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4AEA62">
      <w:pPr>
        <w:jc w:val="center"/>
        <w:rPr>
          <w:rFonts w:hint="eastAsia" w:ascii="楷体_GB2312" w:hAnsi="楷体_GB2312" w:eastAsia="楷体_GB2312" w:cs="楷体_GB2312"/>
          <w:color w:val="auto"/>
          <w:sz w:val="32"/>
          <w:highlight w:val="none"/>
        </w:rPr>
      </w:pPr>
      <w:r>
        <w:rPr>
          <w:rFonts w:hint="eastAsia" w:ascii="楷体_GB2312" w:hAnsi="楷体_GB2312" w:eastAsia="楷体_GB2312" w:cs="楷体_GB2312"/>
          <w:color w:val="auto"/>
          <w:sz w:val="32"/>
          <w:highlight w:val="none"/>
        </w:rPr>
        <w:t>采购公告</w:t>
      </w:r>
    </w:p>
    <w:p w14:paraId="69038204">
      <w:pPr>
        <w:widowControl/>
        <w:snapToGrid w:val="0"/>
        <w:spacing w:line="360" w:lineRule="auto"/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</w:rPr>
        <w:t>至：投标人</w:t>
      </w:r>
    </w:p>
    <w:p w14:paraId="1740E772">
      <w:pPr>
        <w:widowControl/>
        <w:snapToGrid w:val="0"/>
        <w:spacing w:line="360" w:lineRule="auto"/>
        <w:ind w:firstLine="525" w:firstLineChars="250"/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  <w:lang w:eastAsia="zh-CN"/>
        </w:rPr>
        <w:t>东莞市城市工程建设集团有限公司</w:t>
      </w: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</w:rPr>
        <w:t>就</w:t>
      </w: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  <w:u w:val="single"/>
          <w:lang w:val="en-US" w:eastAsia="zh-CN"/>
        </w:rPr>
        <w:t>东莞市鳒鱼洲D1梦想运动中心改建项目劳务分包</w:t>
      </w: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</w:rPr>
        <w:t>进行</w:t>
      </w: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  <w:u w:val="single"/>
          <w:lang w:val="en-US" w:eastAsia="zh-CN"/>
        </w:rPr>
        <w:t>公开</w:t>
      </w: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  <w:u w:val="single"/>
        </w:rPr>
        <w:t xml:space="preserve">采购 </w:t>
      </w: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</w:rPr>
        <w:t>现将有关事项说明如下：</w:t>
      </w:r>
    </w:p>
    <w:p w14:paraId="29CC7812">
      <w:pPr>
        <w:widowControl/>
        <w:numPr>
          <w:ilvl w:val="0"/>
          <w:numId w:val="1"/>
        </w:numPr>
        <w:snapToGrid w:val="0"/>
        <w:spacing w:line="360" w:lineRule="auto"/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</w:rPr>
        <w:t>项目名称：</w:t>
      </w: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  <w:u w:val="single"/>
          <w:lang w:val="en-US" w:eastAsia="zh-CN"/>
        </w:rPr>
        <w:t>东莞市鳒鱼洲D1梦想运动中心改建项目劳务分包</w:t>
      </w:r>
    </w:p>
    <w:p w14:paraId="6878147C">
      <w:pPr>
        <w:widowControl/>
        <w:numPr>
          <w:ilvl w:val="0"/>
          <w:numId w:val="1"/>
        </w:numPr>
        <w:snapToGrid w:val="0"/>
        <w:spacing w:line="360" w:lineRule="auto"/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</w:rPr>
        <w:t>项目编号：</w:t>
      </w: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  <w:u w:val="single"/>
          <w:lang w:val="en-US" w:eastAsia="zh-CN"/>
        </w:rPr>
        <w:t xml:space="preserve">  ZBCG-2026-232</w:t>
      </w: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</w:rPr>
        <w:t xml:space="preserve"> </w:t>
      </w:r>
    </w:p>
    <w:p w14:paraId="02D8D4D8">
      <w:pPr>
        <w:widowControl/>
        <w:snapToGrid w:val="0"/>
        <w:spacing w:line="360" w:lineRule="auto"/>
        <w:ind w:left="420"/>
        <w:rPr>
          <w:rFonts w:hint="default" w:ascii="仿宋_GB2312" w:hAnsi="仿宋_GB2312" w:eastAsia="仿宋_GB2312" w:cs="仿宋_GB2312"/>
          <w:color w:val="auto"/>
          <w:kern w:val="0"/>
          <w:szCs w:val="21"/>
          <w:highlight w:val="none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</w:rPr>
        <w:t>三、工程地点：</w:t>
      </w:r>
      <w:r>
        <w:rPr>
          <w:rFonts w:hint="default" w:ascii="仿宋_GB2312" w:hAnsi="仿宋_GB2312" w:eastAsia="仿宋_GB2312" w:cs="仿宋_GB2312"/>
          <w:color w:val="auto"/>
          <w:kern w:val="0"/>
          <w:szCs w:val="21"/>
          <w:highlight w:val="none"/>
          <w:u w:val="single"/>
          <w:lang w:val="en-US" w:eastAsia="zh-CN"/>
        </w:rPr>
        <w:t>东莞</w:t>
      </w: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  <w:u w:val="single"/>
          <w:lang w:val="en-US" w:eastAsia="zh-CN"/>
        </w:rPr>
        <w:t>莞城</w:t>
      </w:r>
    </w:p>
    <w:p w14:paraId="7CED81D7">
      <w:pPr>
        <w:widowControl/>
        <w:snapToGrid w:val="0"/>
        <w:spacing w:line="360" w:lineRule="auto"/>
        <w:ind w:firstLine="367" w:firstLineChars="175"/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</w:rPr>
        <w:t>四、采购限价：</w:t>
      </w:r>
    </w:p>
    <w:p w14:paraId="0143C648">
      <w:pPr>
        <w:spacing w:line="360" w:lineRule="auto"/>
        <w:ind w:firstLine="420" w:firstLineChars="200"/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</w:rPr>
        <w:t>本</w:t>
      </w: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  <w:lang w:val="en-US" w:eastAsia="zh-CN"/>
        </w:rPr>
        <w:t>项目采购控制价 1669904.79元，采购限价为¥ 1536312.40元（含税3%），(大写) 人民币壹佰伍拾叁万陆仟叁佰壹拾贰元肆角整；其中不含税工程价款为:(小写)¥ 1491565.44元，(大写)人民币壹佰肆拾玖万壹仟伍佰陆拾伍元肆角肆分;税金:(小写)¥ 44746.96元，(大写)人民币肆万肆仟柒佰肆拾陆元玖角陆分。（投标人报价不得高于采购限价）</w:t>
      </w:r>
    </w:p>
    <w:p w14:paraId="0B4F7447">
      <w:pPr>
        <w:pageBreakBefore w:val="0"/>
        <w:widowControl/>
        <w:numPr>
          <w:ilvl w:val="0"/>
          <w:numId w:val="2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21"/>
          <w:szCs w:val="21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21"/>
          <w:szCs w:val="21"/>
          <w:highlight w:val="none"/>
          <w:lang w:val="en-US" w:eastAsia="zh-CN"/>
        </w:rPr>
        <w:t>工程概况：</w:t>
      </w: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  <w:lang w:val="en-US" w:eastAsia="zh-CN"/>
        </w:rPr>
        <w:t>项目总规划占地面积约4300m2(含室外)，建筑面积3138.38m，最高高度15.85m。主要建设内容包括改造建设体育运动中心、游泳馆等。</w:t>
      </w:r>
    </w:p>
    <w:p w14:paraId="189388C4"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left="0" w:leftChars="0" w:firstLine="420" w:firstLineChars="200"/>
        <w:textAlignment w:val="auto"/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  <w:lang w:val="en-US" w:eastAsia="zh-CN"/>
        </w:rPr>
        <w:t>工程范围：</w:t>
      </w:r>
    </w:p>
    <w:p w14:paraId="3299148D">
      <w:pPr>
        <w:pageBreakBefore w:val="0"/>
        <w:widowControl/>
        <w:numPr>
          <w:ilvl w:val="0"/>
          <w:numId w:val="0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仿宋_GB2312" w:hAnsi="仿宋_GB2312" w:eastAsia="仿宋_GB2312" w:cs="仿宋_GB2312"/>
          <w:b w:val="0"/>
          <w:bCs w:val="0"/>
          <w:color w:val="auto"/>
          <w:kern w:val="0"/>
          <w:sz w:val="21"/>
          <w:szCs w:val="21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21"/>
          <w:szCs w:val="21"/>
          <w:highlight w:val="none"/>
          <w:lang w:val="en-US" w:eastAsia="zh-CN"/>
        </w:rPr>
        <w:t>劳务分包</w:t>
      </w:r>
      <w:r>
        <w:rPr>
          <w:rFonts w:hint="default" w:ascii="仿宋_GB2312" w:hAnsi="仿宋_GB2312" w:eastAsia="仿宋_GB2312" w:cs="仿宋_GB2312"/>
          <w:b w:val="0"/>
          <w:bCs w:val="0"/>
          <w:color w:val="auto"/>
          <w:kern w:val="0"/>
          <w:sz w:val="21"/>
          <w:szCs w:val="21"/>
          <w:highlight w:val="none"/>
          <w:lang w:val="en-US" w:eastAsia="zh-CN"/>
        </w:rPr>
        <w:t>具体工作范围包括但不限于以下内容：</w:t>
      </w:r>
    </w:p>
    <w:p w14:paraId="6FD86C41">
      <w:pPr>
        <w:pageBreakBefore w:val="0"/>
        <w:widowControl/>
        <w:numPr>
          <w:ilvl w:val="0"/>
          <w:numId w:val="0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仿宋_GB2312" w:hAnsi="仿宋_GB2312" w:eastAsia="仿宋_GB2312" w:cs="仿宋_GB2312"/>
          <w:b w:val="0"/>
          <w:bCs w:val="0"/>
          <w:color w:val="auto"/>
          <w:kern w:val="0"/>
          <w:sz w:val="21"/>
          <w:szCs w:val="21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21"/>
          <w:szCs w:val="21"/>
          <w:highlight w:val="none"/>
          <w:lang w:val="en-US" w:eastAsia="zh-CN"/>
        </w:rPr>
        <w:t>（一）拆除及保护部分</w:t>
      </w:r>
    </w:p>
    <w:p w14:paraId="6D446483">
      <w:pPr>
        <w:pageBreakBefore w:val="0"/>
        <w:widowControl/>
        <w:numPr>
          <w:ilvl w:val="0"/>
          <w:numId w:val="0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21"/>
          <w:szCs w:val="21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21"/>
          <w:szCs w:val="21"/>
          <w:highlight w:val="none"/>
          <w:lang w:val="en-US" w:eastAsia="zh-CN"/>
        </w:rPr>
        <w:t>拆除工程：施工区域内原有土建及装饰的拆除，范围包括但不限于：开孔打洞、细石混凝土楼地面、台阶、实心砖墙、钢板楼板拆除、余方弃置消纳等所有图纸范围内劳务工作。</w:t>
      </w:r>
    </w:p>
    <w:p w14:paraId="22590893">
      <w:pPr>
        <w:pageBreakBefore w:val="0"/>
        <w:widowControl/>
        <w:numPr>
          <w:ilvl w:val="0"/>
          <w:numId w:val="0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21"/>
          <w:szCs w:val="21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21"/>
          <w:szCs w:val="21"/>
          <w:highlight w:val="none"/>
          <w:lang w:val="en-US" w:eastAsia="zh-CN"/>
        </w:rPr>
        <w:t>成品保护工程：施工区域内无法拆除、搬移且需要保护的设施设备、用品等所有图纸范围内劳务工作，成品保护所有用塑料膜、夹板等材料及耗材由乙方采购。</w:t>
      </w:r>
    </w:p>
    <w:p w14:paraId="43DDBEB7">
      <w:pPr>
        <w:pageBreakBefore w:val="0"/>
        <w:widowControl/>
        <w:numPr>
          <w:ilvl w:val="0"/>
          <w:numId w:val="0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仿宋_GB2312" w:hAnsi="仿宋_GB2312" w:eastAsia="仿宋_GB2312" w:cs="仿宋_GB2312"/>
          <w:b w:val="0"/>
          <w:bCs w:val="0"/>
          <w:color w:val="auto"/>
          <w:kern w:val="0"/>
          <w:sz w:val="21"/>
          <w:szCs w:val="21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21"/>
          <w:szCs w:val="21"/>
          <w:highlight w:val="none"/>
          <w:lang w:val="en-US" w:eastAsia="zh-CN"/>
        </w:rPr>
        <w:t>（二）</w:t>
      </w:r>
      <w:r>
        <w:rPr>
          <w:rFonts w:hint="default" w:ascii="仿宋_GB2312" w:hAnsi="仿宋_GB2312" w:eastAsia="仿宋_GB2312" w:cs="仿宋_GB2312"/>
          <w:b w:val="0"/>
          <w:bCs w:val="0"/>
          <w:color w:val="auto"/>
          <w:kern w:val="0"/>
          <w:sz w:val="21"/>
          <w:szCs w:val="21"/>
          <w:highlight w:val="none"/>
          <w:lang w:val="en-US" w:eastAsia="zh-CN"/>
        </w:rPr>
        <w:t>土建劳务部分</w:t>
      </w:r>
    </w:p>
    <w:p w14:paraId="04B3CAE2">
      <w:pPr>
        <w:pageBreakBefore w:val="0"/>
        <w:widowControl/>
        <w:numPr>
          <w:ilvl w:val="0"/>
          <w:numId w:val="0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仿宋_GB2312" w:hAnsi="仿宋_GB2312" w:eastAsia="仿宋_GB2312" w:cs="仿宋_GB2312"/>
          <w:b w:val="0"/>
          <w:bCs w:val="0"/>
          <w:color w:val="auto"/>
          <w:kern w:val="0"/>
          <w:sz w:val="21"/>
          <w:szCs w:val="21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21"/>
          <w:szCs w:val="21"/>
          <w:highlight w:val="none"/>
          <w:lang w:val="en-US" w:eastAsia="zh-CN"/>
        </w:rPr>
        <w:t>土方工程：场地平整、基础土方开挖及回填（含人工清底、基坑（槽）排水、夯实处理及简易支护等）、余土清理外运等</w:t>
      </w:r>
    </w:p>
    <w:p w14:paraId="70842686">
      <w:pPr>
        <w:pageBreakBefore w:val="0"/>
        <w:widowControl/>
        <w:numPr>
          <w:ilvl w:val="0"/>
          <w:numId w:val="0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仿宋_GB2312" w:hAnsi="仿宋_GB2312" w:eastAsia="仿宋_GB2312" w:cs="仿宋_GB2312"/>
          <w:b w:val="0"/>
          <w:bCs w:val="0"/>
          <w:color w:val="auto"/>
          <w:kern w:val="0"/>
          <w:sz w:val="21"/>
          <w:szCs w:val="21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21"/>
          <w:szCs w:val="21"/>
          <w:highlight w:val="none"/>
          <w:lang w:val="en-US" w:eastAsia="zh-CN"/>
        </w:rPr>
        <w:t>建筑物：地基处理工程、建筑加固、新建混凝土结构、砖砌筑、蒸压加气混凝土砌块、楼地面装饰工程、基础、防水</w:t>
      </w:r>
      <w:r>
        <w:rPr>
          <w:rFonts w:hint="default" w:ascii="仿宋_GB2312" w:hAnsi="仿宋_GB2312" w:eastAsia="仿宋_GB2312" w:cs="仿宋_GB2312"/>
          <w:b w:val="0"/>
          <w:bCs w:val="0"/>
          <w:color w:val="auto"/>
          <w:kern w:val="0"/>
          <w:sz w:val="21"/>
          <w:szCs w:val="21"/>
          <w:highlight w:val="none"/>
          <w:lang w:val="en-US" w:eastAsia="zh-CN"/>
        </w:rPr>
        <w:t>等所有图纸范围内劳务工作。</w:t>
      </w:r>
    </w:p>
    <w:p w14:paraId="12926733">
      <w:pPr>
        <w:pageBreakBefore w:val="0"/>
        <w:widowControl/>
        <w:numPr>
          <w:ilvl w:val="0"/>
          <w:numId w:val="0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仿宋_GB2312" w:hAnsi="仿宋_GB2312" w:eastAsia="仿宋_GB2312" w:cs="仿宋_GB2312"/>
          <w:b w:val="0"/>
          <w:bCs w:val="0"/>
          <w:color w:val="auto"/>
          <w:kern w:val="0"/>
          <w:sz w:val="21"/>
          <w:szCs w:val="21"/>
          <w:highlight w:val="none"/>
          <w:lang w:val="en-US" w:eastAsia="zh-CN"/>
        </w:rPr>
      </w:pPr>
      <w:r>
        <w:rPr>
          <w:rFonts w:hint="default" w:ascii="仿宋_GB2312" w:hAnsi="仿宋_GB2312" w:eastAsia="仿宋_GB2312" w:cs="仿宋_GB2312"/>
          <w:b w:val="0"/>
          <w:bCs w:val="0"/>
          <w:color w:val="auto"/>
          <w:kern w:val="0"/>
          <w:sz w:val="21"/>
          <w:szCs w:val="21"/>
          <w:highlight w:val="none"/>
          <w:lang w:val="en-US" w:eastAsia="zh-CN"/>
        </w:rPr>
        <w:t>劳务施工承包范围包括但不限于：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21"/>
          <w:szCs w:val="21"/>
          <w:highlight w:val="none"/>
          <w:lang w:val="en-US" w:eastAsia="zh-CN"/>
        </w:rPr>
        <w:t>墙体及楼板开孔及修复、金属结构工程、屋面及防水工程、</w:t>
      </w:r>
      <w:r>
        <w:rPr>
          <w:rFonts w:hint="default" w:ascii="仿宋_GB2312" w:hAnsi="仿宋_GB2312" w:eastAsia="仿宋_GB2312" w:cs="仿宋_GB2312"/>
          <w:b w:val="0"/>
          <w:bCs w:val="0"/>
          <w:color w:val="auto"/>
          <w:kern w:val="0"/>
          <w:sz w:val="21"/>
          <w:szCs w:val="21"/>
          <w:highlight w:val="none"/>
          <w:lang w:val="en-US" w:eastAsia="zh-CN"/>
        </w:rPr>
        <w:t>墙体拆除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21"/>
          <w:szCs w:val="21"/>
          <w:highlight w:val="none"/>
          <w:lang w:val="en-US" w:eastAsia="zh-CN"/>
        </w:rPr>
        <w:t>、墙体砌筑、楼地面装饰工程、加固工程；</w:t>
      </w:r>
      <w:r>
        <w:rPr>
          <w:rFonts w:hint="default" w:ascii="仿宋_GB2312" w:hAnsi="仿宋_GB2312" w:eastAsia="仿宋_GB2312" w:cs="仿宋_GB2312"/>
          <w:b w:val="0"/>
          <w:bCs w:val="0"/>
          <w:color w:val="auto"/>
          <w:kern w:val="0"/>
          <w:sz w:val="21"/>
          <w:szCs w:val="21"/>
          <w:highlight w:val="none"/>
          <w:lang w:val="en-US" w:eastAsia="zh-CN"/>
        </w:rPr>
        <w:t>模板制安、拆除；钢筋加工、二次转运、安装绑扎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21"/>
          <w:szCs w:val="21"/>
          <w:highlight w:val="none"/>
          <w:lang w:val="en-US" w:eastAsia="zh-CN"/>
        </w:rPr>
        <w:t>、植筋</w:t>
      </w:r>
      <w:r>
        <w:rPr>
          <w:rFonts w:hint="default" w:ascii="仿宋_GB2312" w:hAnsi="仿宋_GB2312" w:eastAsia="仿宋_GB2312" w:cs="仿宋_GB2312"/>
          <w:b w:val="0"/>
          <w:bCs w:val="0"/>
          <w:color w:val="auto"/>
          <w:kern w:val="0"/>
          <w:sz w:val="21"/>
          <w:szCs w:val="21"/>
          <w:highlight w:val="none"/>
          <w:lang w:val="en-US" w:eastAsia="zh-CN"/>
        </w:rPr>
        <w:t>；混凝土浇筑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21"/>
          <w:szCs w:val="21"/>
          <w:highlight w:val="none"/>
          <w:lang w:val="en-US" w:eastAsia="zh-CN"/>
        </w:rPr>
        <w:t>（包机械</w:t>
      </w:r>
      <w:r>
        <w:rPr>
          <w:rFonts w:hint="default" w:ascii="仿宋_GB2312" w:hAnsi="仿宋_GB2312" w:eastAsia="仿宋_GB2312" w:cs="仿宋_GB2312"/>
          <w:b w:val="0"/>
          <w:bCs w:val="0"/>
          <w:color w:val="auto"/>
          <w:kern w:val="0"/>
          <w:sz w:val="21"/>
          <w:szCs w:val="21"/>
          <w:highlight w:val="none"/>
          <w:lang w:val="en-US" w:eastAsia="zh-CN"/>
        </w:rPr>
        <w:t>施工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21"/>
          <w:szCs w:val="21"/>
          <w:highlight w:val="none"/>
          <w:lang w:val="en-US" w:eastAsia="zh-CN"/>
        </w:rPr>
        <w:t>）</w:t>
      </w:r>
      <w:r>
        <w:rPr>
          <w:rFonts w:hint="default" w:ascii="仿宋_GB2312" w:hAnsi="仿宋_GB2312" w:eastAsia="仿宋_GB2312" w:cs="仿宋_GB2312"/>
          <w:b w:val="0"/>
          <w:bCs w:val="0"/>
          <w:color w:val="auto"/>
          <w:kern w:val="0"/>
          <w:sz w:val="21"/>
          <w:szCs w:val="21"/>
          <w:highlight w:val="none"/>
          <w:lang w:val="en-US" w:eastAsia="zh-CN"/>
        </w:rPr>
        <w:t>、养护；土方开挖（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21"/>
          <w:szCs w:val="21"/>
          <w:highlight w:val="none"/>
          <w:lang w:val="en-US" w:eastAsia="zh-CN"/>
        </w:rPr>
        <w:t>包</w:t>
      </w:r>
      <w:r>
        <w:rPr>
          <w:rFonts w:hint="default" w:ascii="仿宋_GB2312" w:hAnsi="仿宋_GB2312" w:eastAsia="仿宋_GB2312" w:cs="仿宋_GB2312"/>
          <w:b w:val="0"/>
          <w:bCs w:val="0"/>
          <w:color w:val="auto"/>
          <w:kern w:val="0"/>
          <w:sz w:val="21"/>
          <w:szCs w:val="21"/>
          <w:highlight w:val="none"/>
          <w:lang w:val="en-US" w:eastAsia="zh-CN"/>
        </w:rPr>
        <w:t>机械施工）；砌体砌筑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21"/>
          <w:szCs w:val="21"/>
          <w:highlight w:val="none"/>
          <w:lang w:val="en-US" w:eastAsia="zh-CN"/>
        </w:rPr>
        <w:t>（包材料转运）</w:t>
      </w:r>
      <w:r>
        <w:rPr>
          <w:rFonts w:hint="default" w:ascii="仿宋_GB2312" w:hAnsi="仿宋_GB2312" w:eastAsia="仿宋_GB2312" w:cs="仿宋_GB2312"/>
          <w:b w:val="0"/>
          <w:bCs w:val="0"/>
          <w:color w:val="auto"/>
          <w:kern w:val="0"/>
          <w:sz w:val="21"/>
          <w:szCs w:val="21"/>
          <w:highlight w:val="none"/>
          <w:lang w:val="en-US" w:eastAsia="zh-CN"/>
        </w:rPr>
        <w:t>、抹灰及基层处理；施工区域围挡围蔽施工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21"/>
          <w:szCs w:val="21"/>
          <w:highlight w:val="none"/>
          <w:lang w:val="en-US" w:eastAsia="zh-CN"/>
        </w:rPr>
        <w:t>；内外架搭设</w:t>
      </w:r>
      <w:r>
        <w:rPr>
          <w:rFonts w:hint="default" w:ascii="仿宋_GB2312" w:hAnsi="仿宋_GB2312" w:eastAsia="仿宋_GB2312" w:cs="仿宋_GB2312"/>
          <w:b w:val="0"/>
          <w:bCs w:val="0"/>
          <w:color w:val="auto"/>
          <w:kern w:val="0"/>
          <w:sz w:val="21"/>
          <w:szCs w:val="21"/>
          <w:highlight w:val="none"/>
          <w:lang w:val="en-US" w:eastAsia="zh-CN"/>
        </w:rPr>
        <w:t>。</w:t>
      </w:r>
    </w:p>
    <w:p w14:paraId="65BC4588">
      <w:pPr>
        <w:pageBreakBefore w:val="0"/>
        <w:widowControl/>
        <w:numPr>
          <w:ilvl w:val="0"/>
          <w:numId w:val="0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仿宋_GB2312" w:hAnsi="仿宋_GB2312" w:eastAsia="仿宋_GB2312" w:cs="仿宋_GB2312"/>
          <w:b w:val="0"/>
          <w:bCs w:val="0"/>
          <w:color w:val="auto"/>
          <w:kern w:val="0"/>
          <w:sz w:val="21"/>
          <w:szCs w:val="21"/>
          <w:highlight w:val="none"/>
          <w:lang w:val="en-US" w:eastAsia="zh-CN"/>
        </w:rPr>
      </w:pPr>
      <w:r>
        <w:rPr>
          <w:rFonts w:hint="default" w:ascii="仿宋_GB2312" w:hAnsi="仿宋_GB2312" w:eastAsia="仿宋_GB2312" w:cs="仿宋_GB2312"/>
          <w:b w:val="0"/>
          <w:bCs w:val="0"/>
          <w:color w:val="auto"/>
          <w:kern w:val="0"/>
          <w:sz w:val="21"/>
          <w:szCs w:val="21"/>
          <w:highlight w:val="none"/>
          <w:lang w:val="en-US" w:eastAsia="zh-CN"/>
        </w:rPr>
        <w:t>具体详见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21"/>
          <w:szCs w:val="21"/>
          <w:highlight w:val="none"/>
          <w:lang w:val="en-US" w:eastAsia="zh-CN"/>
        </w:rPr>
        <w:t>用户需求书及</w:t>
      </w:r>
      <w:r>
        <w:rPr>
          <w:rFonts w:hint="default" w:ascii="仿宋_GB2312" w:hAnsi="仿宋_GB2312" w:eastAsia="仿宋_GB2312" w:cs="仿宋_GB2312"/>
          <w:b w:val="0"/>
          <w:bCs w:val="0"/>
          <w:color w:val="auto"/>
          <w:kern w:val="0"/>
          <w:sz w:val="21"/>
          <w:szCs w:val="21"/>
          <w:highlight w:val="none"/>
          <w:lang w:val="en-US" w:eastAsia="zh-CN"/>
        </w:rPr>
        <w:t>工程量清单及图纸。</w:t>
      </w:r>
    </w:p>
    <w:p w14:paraId="40BE9A6E">
      <w:pPr>
        <w:keepNext w:val="0"/>
        <w:keepLines w:val="0"/>
        <w:pageBreakBefore w:val="0"/>
        <w:widowControl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367" w:firstLineChars="175"/>
        <w:textAlignment w:val="auto"/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</w:rPr>
        <w:t>承包方式：</w:t>
      </w:r>
    </w:p>
    <w:p w14:paraId="0D87DFD6">
      <w:pPr>
        <w:pageBreakBefore w:val="0"/>
        <w:widowControl/>
        <w:numPr>
          <w:ilvl w:val="0"/>
          <w:numId w:val="0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21"/>
          <w:szCs w:val="21"/>
          <w:highlight w:val="none"/>
          <w:lang w:val="en-US" w:eastAsia="zh-CN"/>
        </w:rPr>
        <w:t>包工、包材料（甲供材除外）、包机械设备（甲方提供除外）、包机械设备操作用工、包施工用水电设备及相关费用、包保险费用、包税金、包工期、包质量、包安全生产、包现场文明施工、包治安、包验收、包结算、包风险、包报建、包与其他分包单位的配合等、完成图纸所有工程内容的全部费用。</w:t>
      </w:r>
    </w:p>
    <w:p w14:paraId="4618163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420" w:firstLineChars="200"/>
        <w:textAlignment w:val="auto"/>
        <w:rPr>
          <w:rFonts w:hint="default" w:ascii="仿宋_GB2312" w:hAnsi="仿宋_GB2312" w:eastAsia="仿宋_GB2312" w:cs="仿宋_GB2312"/>
          <w:color w:val="auto"/>
          <w:kern w:val="0"/>
          <w:szCs w:val="21"/>
          <w:highlight w:val="none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</w:rPr>
        <w:t>2、甲供材：</w:t>
      </w: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  <w:lang w:val="en-US" w:eastAsia="zh-CN"/>
        </w:rPr>
        <w:t>详见甲供材清单表</w:t>
      </w:r>
    </w:p>
    <w:p w14:paraId="6877A61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367" w:firstLineChars="175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21"/>
          <w:szCs w:val="21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</w:rPr>
        <w:t>八、工期：</w:t>
      </w: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  <w:lang w:val="en-US" w:eastAsia="zh-CN"/>
        </w:rPr>
        <w:t>计划</w:t>
      </w:r>
      <w:r>
        <w:rPr>
          <w:rFonts w:hint="eastAsia" w:ascii="仿宋_GB2312" w:hAnsi="仿宋_GB2312" w:eastAsia="仿宋_GB2312" w:cs="仿宋_GB2312"/>
          <w:strike w:val="0"/>
          <w:dstrike w:val="0"/>
          <w:color w:val="auto"/>
          <w:kern w:val="0"/>
          <w:szCs w:val="21"/>
          <w:highlight w:val="none"/>
          <w:lang w:val="en-US" w:eastAsia="zh-CN"/>
        </w:rPr>
        <w:t>工期为50个日历天，具体施工时间根据项目部施工进度安排。乙方无条件配合甲方施工进度要求。</w:t>
      </w:r>
    </w:p>
    <w:p w14:paraId="1FDFD7C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367" w:firstLineChars="175"/>
        <w:textAlignment w:val="auto"/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</w:rPr>
        <w:t>九、投标文件的递交时间及开标地点：以密封形式于</w:t>
      </w: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  <w:u w:val="single"/>
          <w:lang w:val="en-US" w:eastAsia="zh-CN"/>
        </w:rPr>
        <w:t>2026</w:t>
      </w: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</w:rPr>
        <w:t>年</w:t>
      </w: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  <w:u w:val="single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</w:rPr>
        <w:t>月</w:t>
      </w: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  <w:u w:val="single"/>
          <w:lang w:val="en-US" w:eastAsia="zh-CN"/>
        </w:rPr>
        <w:t xml:space="preserve">23 </w:t>
      </w: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</w:rPr>
        <w:t>日</w:t>
      </w: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  <w:u w:val="single"/>
          <w:lang w:val="en-US" w:eastAsia="zh-CN"/>
        </w:rPr>
        <w:t>15</w:t>
      </w: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</w:rPr>
        <w:t>时</w:t>
      </w: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  <w:u w:val="single"/>
          <w:lang w:val="en-US" w:eastAsia="zh-CN"/>
        </w:rPr>
        <w:t>00</w:t>
      </w: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</w:rPr>
        <w:t>分前递交，截止时间为</w:t>
      </w: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  <w:u w:val="single"/>
          <w:lang w:val="en-US" w:eastAsia="zh-CN"/>
        </w:rPr>
        <w:t>2026</w:t>
      </w: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</w:rPr>
        <w:t>年</w:t>
      </w: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  <w:u w:val="single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</w:rPr>
        <w:t>月</w:t>
      </w: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  <w:u w:val="single"/>
          <w:lang w:val="en-US" w:eastAsia="zh-CN"/>
        </w:rPr>
        <w:t xml:space="preserve">23 </w:t>
      </w: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</w:rPr>
        <w:t>日</w:t>
      </w: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  <w:u w:val="single"/>
          <w:lang w:val="en-US" w:eastAsia="zh-CN"/>
        </w:rPr>
        <w:t>15</w:t>
      </w: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</w:rPr>
        <w:t>时</w:t>
      </w: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  <w:u w:val="single"/>
          <w:lang w:val="en-US" w:eastAsia="zh-CN"/>
        </w:rPr>
        <w:t>00</w:t>
      </w: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</w:rPr>
        <w:t>分，所有应答文件必须在规定的应答截止时间前按规定地址送达采购人，逾期恕不接受。</w:t>
      </w:r>
    </w:p>
    <w:p w14:paraId="5CEB239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630" w:firstLineChars="300"/>
        <w:textAlignment w:val="auto"/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</w:rPr>
        <w:t>开标地址：东莞市南城街道城市风景街8栋</w:t>
      </w: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  <w:lang w:val="en-US" w:eastAsia="zh-CN"/>
        </w:rPr>
        <w:t>4楼</w:t>
      </w: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</w:rPr>
        <w:t>城工集团开标室。</w:t>
      </w:r>
    </w:p>
    <w:p w14:paraId="4880242B">
      <w:pPr>
        <w:widowControl/>
        <w:snapToGrid w:val="0"/>
        <w:spacing w:line="360" w:lineRule="auto"/>
        <w:ind w:firstLine="367" w:firstLineChars="175"/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</w:rPr>
        <w:t>十、注意事项：</w:t>
      </w:r>
    </w:p>
    <w:p w14:paraId="5B80A3B8">
      <w:pPr>
        <w:widowControl/>
        <w:snapToGrid w:val="0"/>
        <w:spacing w:line="360" w:lineRule="auto"/>
        <w:ind w:firstLine="367" w:firstLineChars="175"/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</w:rPr>
        <w:t>1、投标人必须全面响应采购文件要求，投标人任何附加条件采购人一律不接受或视为废标。</w:t>
      </w:r>
    </w:p>
    <w:p w14:paraId="17013F90">
      <w:pPr>
        <w:widowControl/>
        <w:snapToGrid w:val="0"/>
        <w:spacing w:line="360" w:lineRule="auto"/>
        <w:ind w:firstLine="367" w:firstLineChars="175"/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</w:rPr>
        <w:t>2、中标人严禁有挂靠或者违法转包行为。</w:t>
      </w:r>
    </w:p>
    <w:p w14:paraId="7D0F78AC">
      <w:pPr>
        <w:widowControl/>
        <w:snapToGrid w:val="0"/>
        <w:spacing w:line="360" w:lineRule="auto"/>
        <w:ind w:firstLine="367" w:firstLineChars="175"/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</w:rPr>
        <w:t>3、投标文件严禁出现不平衡报价。</w:t>
      </w:r>
    </w:p>
    <w:p w14:paraId="283BFADE">
      <w:pPr>
        <w:widowControl/>
        <w:snapToGrid w:val="0"/>
        <w:spacing w:line="360" w:lineRule="auto"/>
        <w:ind w:firstLine="367" w:firstLineChars="175"/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</w:rPr>
        <w:t>4、质量要求：现行的施工规范要求及用户需求书列明的质量管控要求。</w:t>
      </w:r>
    </w:p>
    <w:p w14:paraId="79202EAC">
      <w:pPr>
        <w:widowControl/>
        <w:snapToGrid w:val="0"/>
        <w:spacing w:line="360" w:lineRule="auto"/>
        <w:ind w:firstLine="367" w:firstLineChars="175"/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Cs w:val="21"/>
          <w:highlight w:val="none"/>
        </w:rPr>
        <w:t>5、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Cs w:val="21"/>
          <w:highlight w:val="none"/>
          <w:lang w:val="en-US" w:eastAsia="zh-CN"/>
        </w:rPr>
        <w:t>本工程要求开具工人工资支付保函：</w:t>
      </w: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  <w:lang w:val="en-US" w:eastAsia="zh-CN"/>
        </w:rPr>
        <w:t>劳务施工单位需要提供合同总额10%的工人工资支付保函。</w:t>
      </w:r>
    </w:p>
    <w:p w14:paraId="0FAA1F74">
      <w:pPr>
        <w:widowControl/>
        <w:snapToGrid w:val="0"/>
        <w:spacing w:line="360" w:lineRule="auto"/>
        <w:ind w:firstLine="367" w:firstLineChars="175"/>
        <w:rPr>
          <w:rFonts w:hint="default" w:ascii="仿宋_GB2312" w:hAnsi="仿宋_GB2312" w:eastAsia="仿宋_GB2312" w:cs="仿宋_GB2312"/>
          <w:color w:val="auto"/>
          <w:kern w:val="0"/>
          <w:szCs w:val="21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  <w:lang w:val="en-US" w:eastAsia="zh-CN"/>
        </w:rPr>
        <w:t>6、本项目履约保证金：</w:t>
      </w: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Cs w:val="21"/>
          <w:highlight w:val="none"/>
          <w:lang w:val="en-US" w:eastAsia="zh-CN"/>
        </w:rPr>
        <w:t>设立</w:t>
      </w: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  <w:lang w:val="en-US" w:eastAsia="zh-CN"/>
        </w:rPr>
        <w:t>（详见合同条款约定第十二条）</w:t>
      </w:r>
    </w:p>
    <w:p w14:paraId="49DC9F2A">
      <w:pPr>
        <w:widowControl/>
        <w:snapToGrid w:val="0"/>
        <w:spacing w:line="360" w:lineRule="auto"/>
        <w:ind w:firstLine="367" w:firstLineChars="175"/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</w:rPr>
        <w:t>十一、采购文件获取：</w:t>
      </w:r>
    </w:p>
    <w:p w14:paraId="15EAFECC">
      <w:pPr>
        <w:widowControl/>
        <w:snapToGrid w:val="0"/>
        <w:spacing w:line="360" w:lineRule="auto"/>
        <w:ind w:firstLine="367" w:firstLineChars="175"/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</w:rPr>
        <w:t>城工集团公司官网（http://www.dggcc.cn）。</w:t>
      </w: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  <w:lang w:val="en-US" w:eastAsia="zh-CN"/>
        </w:rPr>
        <w:t>东实集团官网（http://www.dgsy.com.cn）。</w:t>
      </w:r>
    </w:p>
    <w:p w14:paraId="114D36F0">
      <w:pPr>
        <w:widowControl/>
        <w:snapToGrid w:val="0"/>
        <w:spacing w:line="360" w:lineRule="auto"/>
        <w:ind w:firstLine="367" w:firstLineChars="175"/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</w:rPr>
        <w:t>十二、其他及特别内容说明：</w:t>
      </w: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  <w:lang w:val="en-US" w:eastAsia="zh-CN"/>
        </w:rPr>
        <w:t>无。</w:t>
      </w:r>
      <w:bookmarkStart w:id="0" w:name="_GoBack"/>
      <w:bookmarkEnd w:id="0"/>
    </w:p>
    <w:p w14:paraId="3B89DEEA">
      <w:pPr>
        <w:widowControl/>
        <w:snapToGrid w:val="0"/>
        <w:spacing w:line="360" w:lineRule="auto"/>
        <w:ind w:firstLine="367" w:firstLineChars="175"/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</w:rPr>
        <w:t xml:space="preserve">十三、有关此次采购答疑事宜，按下列地址以书面或电话形式向采购人查询：  </w:t>
      </w:r>
    </w:p>
    <w:p w14:paraId="6FCB0602">
      <w:pPr>
        <w:widowControl/>
        <w:snapToGrid w:val="0"/>
        <w:spacing w:line="360" w:lineRule="auto"/>
        <w:ind w:firstLine="840" w:firstLineChars="400"/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</w:rPr>
        <w:t>采购人：</w:t>
      </w: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  <w:lang w:eastAsia="zh-CN"/>
        </w:rPr>
        <w:t>东莞市城市工程建设集团有限公司</w:t>
      </w:r>
    </w:p>
    <w:p w14:paraId="18A7C074">
      <w:pPr>
        <w:widowControl/>
        <w:snapToGrid w:val="0"/>
        <w:spacing w:line="360" w:lineRule="auto"/>
        <w:ind w:firstLine="840" w:firstLineChars="400"/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</w:rPr>
        <w:t>地址：东莞市南城区城市风景街8栋城工集团</w:t>
      </w: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</w:rPr>
        <w:t>层。</w:t>
      </w:r>
    </w:p>
    <w:p w14:paraId="02D0D94D">
      <w:pPr>
        <w:widowControl/>
        <w:snapToGrid w:val="0"/>
        <w:spacing w:line="360" w:lineRule="auto"/>
        <w:ind w:firstLine="840" w:firstLineChars="400"/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</w:rPr>
        <w:t>联系人：</w:t>
      </w: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  <w:lang w:val="en-US" w:eastAsia="zh-CN"/>
        </w:rPr>
        <w:t>黄</w:t>
      </w: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</w:rPr>
        <w:t>工                   邮政编码：523000</w:t>
      </w:r>
    </w:p>
    <w:p w14:paraId="5E07E8E3">
      <w:pPr>
        <w:widowControl/>
        <w:snapToGrid w:val="0"/>
        <w:spacing w:line="360" w:lineRule="auto"/>
        <w:ind w:firstLine="840" w:firstLineChars="400"/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</w:rPr>
        <w:t>联系方式：</w:t>
      </w: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  <w:lang w:val="en-US" w:eastAsia="zh-CN"/>
        </w:rPr>
        <w:t>15017133726</w:t>
      </w: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</w:rPr>
        <w:t xml:space="preserve">         传真：0769-39009090</w:t>
      </w:r>
    </w:p>
    <w:p w14:paraId="4C267F2D">
      <w:pPr>
        <w:widowControl/>
        <w:snapToGrid w:val="0"/>
        <w:spacing w:line="480" w:lineRule="auto"/>
        <w:jc w:val="both"/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</w:rPr>
      </w:pPr>
    </w:p>
    <w:p w14:paraId="29752413">
      <w:pPr>
        <w:widowControl/>
        <w:snapToGrid w:val="0"/>
        <w:spacing w:line="480" w:lineRule="auto"/>
        <w:ind w:firstLine="640"/>
        <w:jc w:val="right"/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  <w:lang w:eastAsia="zh-CN"/>
        </w:rPr>
        <w:t>东莞市城市工程建设集团有限公司</w:t>
      </w:r>
    </w:p>
    <w:p w14:paraId="011DA1CF">
      <w:pPr>
        <w:jc w:val="right"/>
      </w:pP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  <w:lang w:val="en-US" w:eastAsia="zh-CN"/>
        </w:rPr>
        <w:t xml:space="preserve">                                           2026</w:t>
      </w: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</w:rPr>
        <w:t>年</w:t>
      </w: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  <w:lang w:val="en-US" w:eastAsia="zh-CN"/>
        </w:rPr>
        <w:t xml:space="preserve"> 10 </w:t>
      </w: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</w:rPr>
        <w:t>月</w:t>
      </w: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  <w:lang w:val="en-US" w:eastAsia="zh-CN"/>
        </w:rPr>
        <w:t xml:space="preserve"> 19 </w:t>
      </w: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</w:rPr>
        <w:t xml:space="preserve">日 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0E8EEF5"/>
    <w:multiLevelType w:val="singleLevel"/>
    <w:tmpl w:val="80E8EEF5"/>
    <w:lvl w:ilvl="0" w:tentative="0">
      <w:start w:val="1"/>
      <w:numFmt w:val="chineseCounting"/>
      <w:suff w:val="nothing"/>
      <w:lvlText w:val="%1、"/>
      <w:lvlJc w:val="left"/>
      <w:pPr>
        <w:ind w:left="0" w:firstLine="420"/>
      </w:pPr>
      <w:rPr>
        <w:rFonts w:hint="eastAsia"/>
      </w:rPr>
    </w:lvl>
  </w:abstractNum>
  <w:abstractNum w:abstractNumId="1">
    <w:nsid w:val="22B18FD9"/>
    <w:multiLevelType w:val="singleLevel"/>
    <w:tmpl w:val="22B18FD9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3E9D9673"/>
    <w:multiLevelType w:val="singleLevel"/>
    <w:tmpl w:val="3E9D9673"/>
    <w:lvl w:ilvl="0" w:tentative="0">
      <w:start w:val="7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AE70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2026-10-19T06:19:51Z</dcterms:created>
  <dc:creator>lenovo</dc:creator>
  <cp:lastModifiedBy>黄惠东</cp:lastModifiedBy>
  <dcterms:modified xsi:type="dcterms:W3CDTF">2026-10-19T06:20:10Z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KSOTemplateDocerSaveRecord">
    <vt:lpwstr>eyJoZGlkIjoiMDVhNGUzYzIxMzZiNGUwYjk4M2NhYzM1YTAzMjk5NTIiLCJ1c2VySWQiOiIxNTgyODExNDczIn0=</vt:lpwstr>
  </property>
  <property fmtid="{D5CDD505-2E9C-101B-9397-08002B2CF9AE}" pid="4" name="ICV">
    <vt:lpwstr>5CB1D24890044ABFB66A1B57970D4506_12</vt:lpwstr>
  </property>
</Properties>
</file>