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48800">
      <w:pPr>
        <w:spacing w:line="460" w:lineRule="exact"/>
        <w:rPr>
          <w:rFonts w:hint="eastAsia" w:ascii="宋体" w:hAnsi="宋体"/>
          <w:b/>
          <w:color w:val="auto"/>
          <w:sz w:val="24"/>
          <w:highlight w:val="none"/>
        </w:rPr>
      </w:pPr>
      <w:r>
        <w:rPr>
          <w:rFonts w:hint="eastAsia" w:ascii="宋体" w:hAnsi="宋体"/>
          <w:color w:val="auto"/>
          <w:sz w:val="24"/>
          <w:highlight w:val="none"/>
        </w:rPr>
        <w:t xml:space="preserve">                                                </w:t>
      </w:r>
      <w:r>
        <w:rPr>
          <w:rFonts w:hint="eastAsia" w:ascii="宋体" w:hAnsi="宋体"/>
          <w:color w:val="auto"/>
          <w:sz w:val="28"/>
          <w:szCs w:val="28"/>
          <w:highlight w:val="none"/>
        </w:rPr>
        <w:t>【</w:t>
      </w:r>
      <w:r>
        <w:rPr>
          <w:rFonts w:hint="eastAsia" w:ascii="宋体" w:hAnsi="宋体"/>
          <w:b/>
          <w:color w:val="auto"/>
          <w:sz w:val="28"/>
          <w:szCs w:val="28"/>
          <w:highlight w:val="none"/>
        </w:rPr>
        <w:t>合同编号：</w:t>
      </w:r>
      <w:r>
        <w:rPr>
          <w:rFonts w:hint="eastAsia" w:ascii="宋体" w:hAnsi="宋体"/>
          <w:b/>
          <w:color w:val="auto"/>
          <w:sz w:val="28"/>
          <w:szCs w:val="28"/>
          <w:highlight w:val="none"/>
          <w:lang w:val="en-US" w:eastAsia="zh-CN"/>
        </w:rPr>
        <w:t>XNYSG20260XX</w:t>
      </w:r>
      <w:r>
        <w:rPr>
          <w:rFonts w:hint="eastAsia" w:ascii="宋体" w:hAnsi="宋体"/>
          <w:color w:val="auto"/>
          <w:sz w:val="28"/>
          <w:szCs w:val="28"/>
          <w:highlight w:val="none"/>
        </w:rPr>
        <w:t>】</w:t>
      </w:r>
    </w:p>
    <w:p w14:paraId="010F65FD">
      <w:pPr>
        <w:ind w:firstLine="1626" w:firstLineChars="540"/>
        <w:rPr>
          <w:rFonts w:hint="eastAsia" w:ascii="宋体" w:hAnsi="宋体"/>
          <w:b/>
          <w:color w:val="auto"/>
          <w:sz w:val="30"/>
          <w:highlight w:val="none"/>
        </w:rPr>
      </w:pPr>
    </w:p>
    <w:p w14:paraId="75A3CECB">
      <w:pPr>
        <w:ind w:firstLine="1626" w:firstLineChars="540"/>
        <w:rPr>
          <w:rFonts w:hint="eastAsia" w:ascii="宋体" w:hAnsi="宋体"/>
          <w:b/>
          <w:color w:val="auto"/>
          <w:sz w:val="30"/>
          <w:highlight w:val="none"/>
        </w:rPr>
      </w:pPr>
    </w:p>
    <w:p w14:paraId="027D51E9">
      <w:pPr>
        <w:ind w:firstLine="1626" w:firstLineChars="540"/>
        <w:rPr>
          <w:rFonts w:hint="eastAsia" w:ascii="宋体" w:hAnsi="宋体"/>
          <w:b/>
          <w:color w:val="auto"/>
          <w:sz w:val="30"/>
          <w:highlight w:val="none"/>
        </w:rPr>
      </w:pPr>
    </w:p>
    <w:p w14:paraId="48D3EFB5">
      <w:pPr>
        <w:jc w:val="center"/>
        <w:rPr>
          <w:rFonts w:hint="eastAsia" w:ascii="宋体" w:hAnsi="宋体"/>
          <w:b/>
          <w:color w:val="auto"/>
          <w:sz w:val="52"/>
          <w:szCs w:val="52"/>
          <w:highlight w:val="none"/>
          <w:lang w:val="en-US" w:eastAsia="zh-CN"/>
        </w:rPr>
      </w:pPr>
      <w:r>
        <w:rPr>
          <w:rFonts w:hint="eastAsia" w:ascii="宋体" w:hAnsi="宋体"/>
          <w:b/>
          <w:color w:val="auto"/>
          <w:sz w:val="52"/>
          <w:szCs w:val="52"/>
          <w:highlight w:val="none"/>
          <w:lang w:eastAsia="zh-CN"/>
        </w:rPr>
        <w:t>东莞市新锋新能源有限公司XXX厂区充电桩及配套设施采购项目</w:t>
      </w:r>
    </w:p>
    <w:p w14:paraId="78953D03">
      <w:pPr>
        <w:jc w:val="center"/>
        <w:rPr>
          <w:rFonts w:hint="eastAsia" w:ascii="宋体" w:hAnsi="宋体"/>
          <w:b/>
          <w:color w:val="auto"/>
          <w:sz w:val="52"/>
          <w:szCs w:val="52"/>
          <w:highlight w:val="none"/>
          <w:lang w:eastAsia="zh-CN"/>
        </w:rPr>
      </w:pPr>
      <w:r>
        <w:rPr>
          <w:rFonts w:hint="eastAsia" w:ascii="宋体" w:hAnsi="宋体"/>
          <w:b/>
          <w:color w:val="auto"/>
          <w:sz w:val="52"/>
          <w:szCs w:val="52"/>
          <w:highlight w:val="none"/>
          <w:lang w:eastAsia="zh-CN"/>
        </w:rPr>
        <w:t>承包合同</w:t>
      </w:r>
    </w:p>
    <w:p w14:paraId="2AF198C4">
      <w:pPr>
        <w:ind w:firstLine="1626" w:firstLineChars="540"/>
        <w:rPr>
          <w:rFonts w:hint="eastAsia" w:ascii="宋体" w:hAnsi="宋体"/>
          <w:b/>
          <w:color w:val="auto"/>
          <w:sz w:val="30"/>
          <w:highlight w:val="none"/>
        </w:rPr>
      </w:pPr>
    </w:p>
    <w:p w14:paraId="130D6980">
      <w:pPr>
        <w:ind w:firstLine="1626" w:firstLineChars="540"/>
        <w:rPr>
          <w:rFonts w:hint="eastAsia" w:ascii="宋体" w:hAnsi="宋体"/>
          <w:b/>
          <w:color w:val="auto"/>
          <w:sz w:val="30"/>
          <w:highlight w:val="none"/>
        </w:rPr>
      </w:pPr>
    </w:p>
    <w:p w14:paraId="7ACF6247">
      <w:pPr>
        <w:rPr>
          <w:rFonts w:hint="eastAsia" w:ascii="宋体" w:hAnsi="宋体"/>
          <w:b/>
          <w:color w:val="auto"/>
          <w:sz w:val="30"/>
          <w:highlight w:val="none"/>
        </w:rPr>
      </w:pPr>
    </w:p>
    <w:p w14:paraId="730EF14A">
      <w:pPr>
        <w:rPr>
          <w:rFonts w:hint="eastAsia" w:ascii="宋体" w:hAnsi="宋体"/>
          <w:b/>
          <w:color w:val="auto"/>
          <w:sz w:val="30"/>
          <w:highlight w:val="none"/>
        </w:rPr>
      </w:pPr>
    </w:p>
    <w:p w14:paraId="414A1CC9">
      <w:pPr>
        <w:pStyle w:val="3"/>
        <w:adjustRightInd w:val="0"/>
        <w:snapToGrid w:val="0"/>
        <w:spacing w:line="288" w:lineRule="auto"/>
        <w:ind w:firstLine="900" w:firstLineChars="280"/>
        <w:outlineLvl w:val="0"/>
        <w:rPr>
          <w:rFonts w:hint="eastAsia" w:ascii="宋体" w:hAnsi="宋体" w:eastAsia="宋体"/>
          <w:b/>
          <w:color w:val="auto"/>
          <w:sz w:val="32"/>
          <w:szCs w:val="32"/>
          <w:highlight w:val="none"/>
          <w:u w:val="single"/>
          <w:lang w:eastAsia="zh-CN"/>
        </w:rPr>
      </w:pPr>
      <w:r>
        <w:rPr>
          <w:rFonts w:hint="eastAsia" w:ascii="宋体" w:hAnsi="宋体"/>
          <w:b/>
          <w:color w:val="auto"/>
          <w:sz w:val="32"/>
          <w:szCs w:val="32"/>
          <w:highlight w:val="none"/>
        </w:rPr>
        <w:t xml:space="preserve">  发包人（甲方）： </w:t>
      </w:r>
      <w:r>
        <w:rPr>
          <w:rFonts w:hint="eastAsia" w:ascii="宋体" w:hAnsi="宋体"/>
          <w:b/>
          <w:color w:val="auto"/>
          <w:sz w:val="32"/>
          <w:szCs w:val="32"/>
          <w:highlight w:val="none"/>
          <w:u w:val="single"/>
          <w:lang w:eastAsia="zh-CN"/>
        </w:rPr>
        <w:t>东莞市新锋新能源有限公司</w:t>
      </w:r>
    </w:p>
    <w:p w14:paraId="4BE1728D">
      <w:pPr>
        <w:pStyle w:val="3"/>
        <w:adjustRightInd w:val="0"/>
        <w:snapToGrid w:val="0"/>
        <w:spacing w:line="288" w:lineRule="auto"/>
        <w:ind w:firstLine="900" w:firstLineChars="280"/>
        <w:outlineLvl w:val="0"/>
        <w:rPr>
          <w:rFonts w:hint="eastAsia" w:ascii="宋体" w:hAnsi="宋体"/>
          <w:b/>
          <w:color w:val="auto"/>
          <w:sz w:val="32"/>
          <w:szCs w:val="32"/>
          <w:highlight w:val="none"/>
          <w:u w:val="single"/>
        </w:rPr>
      </w:pPr>
    </w:p>
    <w:p w14:paraId="3E71AAA4">
      <w:pPr>
        <w:pStyle w:val="3"/>
        <w:adjustRightInd w:val="0"/>
        <w:snapToGrid w:val="0"/>
        <w:spacing w:line="288" w:lineRule="auto"/>
        <w:ind w:firstLine="900" w:firstLineChars="280"/>
        <w:outlineLvl w:val="0"/>
        <w:rPr>
          <w:rFonts w:hint="default" w:ascii="宋体" w:hAnsi="宋体" w:cs="宋体" w:eastAsiaTheme="minorEastAsia"/>
          <w:b/>
          <w:color w:val="auto"/>
          <w:sz w:val="32"/>
          <w:szCs w:val="32"/>
          <w:highlight w:val="none"/>
          <w:lang w:val="en-US" w:eastAsia="zh-CN"/>
        </w:rPr>
      </w:pPr>
      <w:r>
        <w:rPr>
          <w:rFonts w:hint="eastAsia" w:ascii="宋体" w:hAnsi="宋体"/>
          <w:b/>
          <w:color w:val="auto"/>
          <w:sz w:val="32"/>
          <w:szCs w:val="32"/>
          <w:highlight w:val="none"/>
        </w:rPr>
        <w:t xml:space="preserve">  承包人（乙方）： </w:t>
      </w:r>
      <w:r>
        <w:rPr>
          <w:rFonts w:hint="eastAsia" w:hAnsi="宋体"/>
          <w:b/>
          <w:color w:val="auto"/>
          <w:sz w:val="32"/>
          <w:szCs w:val="32"/>
          <w:highlight w:val="none"/>
          <w:u w:val="single"/>
          <w:lang w:val="en-US" w:eastAsia="zh-CN"/>
        </w:rPr>
        <w:t>XXX有限公司</w:t>
      </w:r>
    </w:p>
    <w:p w14:paraId="578FF63A">
      <w:pPr>
        <w:pStyle w:val="3"/>
        <w:adjustRightInd w:val="0"/>
        <w:snapToGrid w:val="0"/>
        <w:spacing w:line="288" w:lineRule="auto"/>
        <w:ind w:firstLine="900" w:firstLineChars="280"/>
        <w:outlineLvl w:val="0"/>
        <w:rPr>
          <w:rFonts w:hint="eastAsia" w:ascii="宋体" w:hAnsi="宋体"/>
          <w:b/>
          <w:color w:val="auto"/>
          <w:sz w:val="32"/>
          <w:szCs w:val="32"/>
          <w:highlight w:val="none"/>
        </w:rPr>
      </w:pPr>
      <w:r>
        <w:rPr>
          <w:rFonts w:hint="eastAsia" w:ascii="宋体" w:hAnsi="宋体" w:eastAsia="宋体" w:cs="宋体"/>
          <w:b/>
          <w:color w:val="auto"/>
          <w:sz w:val="32"/>
          <w:szCs w:val="32"/>
          <w:highlight w:val="none"/>
        </w:rPr>
        <w:t xml:space="preserve">               </w:t>
      </w:r>
      <w:r>
        <w:rPr>
          <w:rFonts w:hint="eastAsia" w:ascii="宋体" w:hAnsi="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 xml:space="preserve">  </w:t>
      </w:r>
      <w:r>
        <w:rPr>
          <w:rFonts w:hint="eastAsia" w:ascii="宋体" w:hAnsi="宋体" w:eastAsia="宋体" w:cs="宋体"/>
          <w:b/>
          <w:color w:val="auto"/>
          <w:sz w:val="32"/>
          <w:szCs w:val="32"/>
          <w:highlight w:val="none"/>
          <w:lang w:val="en-US" w:eastAsia="zh-CN"/>
        </w:rPr>
        <w:t xml:space="preserve"> </w:t>
      </w:r>
    </w:p>
    <w:p w14:paraId="5EEBCF4C">
      <w:pPr>
        <w:pStyle w:val="2"/>
        <w:spacing w:before="156"/>
        <w:ind w:firstLine="0" w:firstLineChars="0"/>
        <w:rPr>
          <w:color w:val="auto"/>
          <w:highlight w:val="none"/>
        </w:rPr>
      </w:pPr>
    </w:p>
    <w:p w14:paraId="21D3F4D1">
      <w:pPr>
        <w:adjustRightInd w:val="0"/>
        <w:snapToGrid w:val="0"/>
        <w:spacing w:line="288"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广东省 东莞市</w:t>
      </w:r>
    </w:p>
    <w:p w14:paraId="72B38819">
      <w:pPr>
        <w:adjustRightInd w:val="0"/>
        <w:snapToGrid w:val="0"/>
        <w:spacing w:line="288" w:lineRule="auto"/>
        <w:jc w:val="center"/>
        <w:rPr>
          <w:rFonts w:hint="eastAsia" w:ascii="宋体" w:hAnsi="宋体"/>
          <w:b/>
          <w:color w:val="auto"/>
          <w:sz w:val="32"/>
          <w:szCs w:val="32"/>
          <w:highlight w:val="none"/>
        </w:rPr>
      </w:pPr>
    </w:p>
    <w:p w14:paraId="78676501">
      <w:pPr>
        <w:adjustRightInd w:val="0"/>
        <w:snapToGrid w:val="0"/>
        <w:spacing w:line="288" w:lineRule="auto"/>
        <w:jc w:val="center"/>
        <w:rPr>
          <w:rFonts w:hint="eastAsia" w:ascii="宋体" w:hAnsi="宋体"/>
          <w:b/>
          <w:color w:val="auto"/>
          <w:sz w:val="32"/>
          <w:szCs w:val="32"/>
          <w:highlight w:val="none"/>
        </w:rPr>
      </w:pP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rPr>
        <w:t>年</w:t>
      </w: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rPr>
        <w:t>月</w:t>
      </w: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rPr>
        <w:t>日</w:t>
      </w:r>
    </w:p>
    <w:p w14:paraId="53BBA4B7">
      <w:pPr>
        <w:rPr>
          <w:color w:val="auto"/>
          <w:highlight w:val="none"/>
        </w:rPr>
      </w:pPr>
    </w:p>
    <w:p w14:paraId="3C2BEFC4">
      <w:pPr>
        <w:spacing w:line="360" w:lineRule="auto"/>
        <w:jc w:val="center"/>
        <w:rPr>
          <w:rFonts w:hint="eastAsia" w:ascii="宋体" w:hAnsi="宋体"/>
          <w:b/>
          <w:color w:val="auto"/>
          <w:sz w:val="32"/>
          <w:szCs w:val="32"/>
          <w:highlight w:val="none"/>
        </w:rPr>
        <w:sectPr>
          <w:headerReference r:id="rId4" w:type="first"/>
          <w:headerReference r:id="rId3" w:type="default"/>
          <w:footerReference r:id="rId5" w:type="default"/>
          <w:footerReference r:id="rId6" w:type="even"/>
          <w:pgSz w:w="11906" w:h="16838"/>
          <w:pgMar w:top="1361" w:right="1134" w:bottom="1361" w:left="1134"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2DBDFACE">
      <w:pPr>
        <w:spacing w:line="360" w:lineRule="auto"/>
        <w:jc w:val="center"/>
        <w:rPr>
          <w:rFonts w:hint="eastAsia" w:ascii="宋体" w:hAnsi="宋体"/>
          <w:b/>
          <w:color w:val="auto"/>
          <w:sz w:val="32"/>
          <w:szCs w:val="32"/>
          <w:highlight w:val="none"/>
          <w:lang w:eastAsia="zh-CN"/>
        </w:rPr>
      </w:pPr>
      <w:r>
        <w:rPr>
          <w:rFonts w:hint="eastAsia" w:ascii="宋体" w:hAnsi="宋体"/>
          <w:b/>
          <w:color w:val="auto"/>
          <w:sz w:val="32"/>
          <w:szCs w:val="32"/>
          <w:highlight w:val="none"/>
          <w:lang w:eastAsia="zh-CN"/>
        </w:rPr>
        <w:t>东莞市新锋新能源有限公司</w:t>
      </w:r>
    </w:p>
    <w:p w14:paraId="5D302ABC">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lang w:eastAsia="zh-CN"/>
        </w:rPr>
        <w:t>XXX厂区充电桩及配套设施采购项目承包合同</w:t>
      </w:r>
    </w:p>
    <w:p w14:paraId="162A19BB">
      <w:pPr>
        <w:spacing w:line="360" w:lineRule="auto"/>
        <w:rPr>
          <w:rFonts w:hint="default" w:ascii="仿宋_GB2312" w:eastAsia="仿宋_GB2312"/>
          <w:color w:val="auto"/>
          <w:sz w:val="24"/>
          <w:highlight w:val="none"/>
        </w:rPr>
      </w:pPr>
    </w:p>
    <w:p w14:paraId="233FD079">
      <w:pPr>
        <w:spacing w:line="360" w:lineRule="auto"/>
        <w:rPr>
          <w:rFonts w:hint="eastAsia" w:ascii="仿宋_GB2312" w:eastAsia="仿宋_GB2312"/>
          <w:color w:val="auto"/>
          <w:sz w:val="24"/>
          <w:highlight w:val="none"/>
          <w:u w:val="none"/>
          <w:lang w:eastAsia="zh-CN"/>
        </w:rPr>
      </w:pPr>
      <w:r>
        <w:rPr>
          <w:rFonts w:hint="eastAsia" w:ascii="仿宋_GB2312" w:eastAsia="仿宋_GB2312"/>
          <w:b/>
          <w:color w:val="auto"/>
          <w:sz w:val="24"/>
          <w:highlight w:val="none"/>
        </w:rPr>
        <w:t>发包单位</w:t>
      </w:r>
      <w:r>
        <w:rPr>
          <w:rFonts w:hint="eastAsia" w:ascii="仿宋_GB2312" w:eastAsia="仿宋_GB2312"/>
          <w:color w:val="auto"/>
          <w:sz w:val="24"/>
          <w:highlight w:val="none"/>
        </w:rPr>
        <w:t>（以下简称甲方）</w:t>
      </w:r>
      <w:r>
        <w:rPr>
          <w:rFonts w:hint="eastAsia" w:ascii="仿宋_GB2312" w:eastAsia="仿宋_GB2312"/>
          <w:color w:val="auto"/>
          <w:sz w:val="24"/>
          <w:highlight w:val="none"/>
          <w:u w:val="none"/>
        </w:rPr>
        <w:t>：</w:t>
      </w:r>
      <w:r>
        <w:rPr>
          <w:rFonts w:hint="eastAsia" w:ascii="仿宋_GB2312" w:eastAsia="仿宋_GB2312"/>
          <w:color w:val="auto"/>
          <w:sz w:val="24"/>
          <w:highlight w:val="none"/>
          <w:u w:val="none"/>
          <w:lang w:eastAsia="zh-CN"/>
        </w:rPr>
        <w:t>东莞市新锋新能源有限公司</w:t>
      </w:r>
    </w:p>
    <w:p w14:paraId="45DBB215">
      <w:pPr>
        <w:spacing w:line="360" w:lineRule="auto"/>
        <w:rPr>
          <w:rFonts w:hint="eastAsia" w:ascii="仿宋_GB2312" w:eastAsia="仿宋_GB2312"/>
          <w:color w:val="auto"/>
          <w:sz w:val="24"/>
          <w:highlight w:val="none"/>
          <w:u w:val="none"/>
          <w:lang w:eastAsia="zh-CN"/>
        </w:rPr>
      </w:pPr>
      <w:r>
        <w:rPr>
          <w:rFonts w:hint="eastAsia" w:ascii="仿宋_GB2312" w:eastAsia="仿宋_GB2312"/>
          <w:b/>
          <w:color w:val="auto"/>
          <w:sz w:val="24"/>
          <w:highlight w:val="none"/>
          <w:u w:val="none"/>
        </w:rPr>
        <w:t>承包单位</w:t>
      </w:r>
      <w:r>
        <w:rPr>
          <w:rFonts w:hint="eastAsia" w:ascii="仿宋_GB2312" w:eastAsia="仿宋_GB2312"/>
          <w:color w:val="auto"/>
          <w:sz w:val="24"/>
          <w:highlight w:val="none"/>
          <w:u w:val="none"/>
        </w:rPr>
        <w:t>（以下简称乙方）：</w:t>
      </w:r>
      <w:r>
        <w:rPr>
          <w:rFonts w:hint="eastAsia" w:ascii="仿宋_GB2312" w:eastAsia="仿宋_GB2312"/>
          <w:color w:val="auto"/>
          <w:sz w:val="24"/>
          <w:highlight w:val="none"/>
          <w:u w:val="none"/>
          <w:lang w:eastAsia="zh-CN"/>
        </w:rPr>
        <w:t>XXX有限公司</w:t>
      </w:r>
    </w:p>
    <w:p w14:paraId="0F7C8D2A">
      <w:pPr>
        <w:spacing w:line="360" w:lineRule="auto"/>
        <w:rPr>
          <w:rFonts w:hint="default" w:ascii="仿宋_GB2312" w:eastAsia="仿宋_GB2312"/>
          <w:color w:val="auto"/>
          <w:sz w:val="24"/>
          <w:highlight w:val="none"/>
        </w:rPr>
      </w:pPr>
    </w:p>
    <w:p w14:paraId="12666FFC">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经甲乙双方协商一致，确定由乙方作为</w:t>
      </w:r>
      <w:r>
        <w:rPr>
          <w:rFonts w:hint="eastAsia" w:ascii="仿宋_GB2312" w:eastAsia="仿宋_GB2312"/>
          <w:color w:val="auto"/>
          <w:sz w:val="24"/>
          <w:highlight w:val="none"/>
          <w:lang w:eastAsia="zh-CN"/>
        </w:rPr>
        <w:t>东莞市新锋新能源有限公司XXX厂区充电桩及配套设施采购项目</w:t>
      </w:r>
      <w:r>
        <w:rPr>
          <w:rFonts w:hint="eastAsia" w:ascii="仿宋_GB2312" w:eastAsia="仿宋_GB2312"/>
          <w:color w:val="auto"/>
          <w:sz w:val="24"/>
          <w:highlight w:val="none"/>
        </w:rPr>
        <w:t>相关设备及配套设施设计、采购及安装等服务的承包单位,为明确双方的权利、义务，保质、保量、按期完成工程任务，双方根据《中华人民共和国民法典》、《中华人民共和国建筑法》等法律法规，签订本合同，供双方共同遵守执行。</w:t>
      </w:r>
    </w:p>
    <w:p w14:paraId="0D06C05A">
      <w:pPr>
        <w:spacing w:line="360" w:lineRule="auto"/>
        <w:rPr>
          <w:rFonts w:hint="default" w:ascii="仿宋_GB2312" w:eastAsia="仿宋_GB2312"/>
          <w:b/>
          <w:color w:val="auto"/>
          <w:sz w:val="24"/>
          <w:highlight w:val="none"/>
        </w:rPr>
      </w:pPr>
    </w:p>
    <w:p w14:paraId="6A05B33D">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一、工程概况</w:t>
      </w:r>
    </w:p>
    <w:p w14:paraId="09968199">
      <w:pPr>
        <w:spacing w:line="360" w:lineRule="auto"/>
        <w:ind w:firstLine="480" w:firstLineChars="200"/>
        <w:rPr>
          <w:rFonts w:hint="eastAsia" w:ascii="仿宋_GB2312" w:eastAsia="仿宋_GB2312"/>
          <w:color w:val="auto"/>
          <w:sz w:val="24"/>
          <w:highlight w:val="none"/>
          <w:lang w:eastAsia="zh-CN"/>
        </w:rPr>
      </w:pPr>
      <w:r>
        <w:rPr>
          <w:rFonts w:hint="eastAsia" w:ascii="仿宋_GB2312" w:eastAsia="仿宋_GB2312"/>
          <w:color w:val="auto"/>
          <w:sz w:val="24"/>
          <w:highlight w:val="none"/>
        </w:rPr>
        <w:t>1．工程名称：</w:t>
      </w:r>
      <w:r>
        <w:rPr>
          <w:rFonts w:hint="eastAsia" w:ascii="仿宋_GB2312" w:eastAsia="仿宋_GB2312"/>
          <w:color w:val="auto"/>
          <w:sz w:val="24"/>
          <w:highlight w:val="none"/>
          <w:lang w:eastAsia="zh-CN"/>
        </w:rPr>
        <w:t>东莞市新锋新能源有限公司XXX厂区充电桩及配套设施采购项目</w:t>
      </w:r>
    </w:p>
    <w:p w14:paraId="36922E53">
      <w:pPr>
        <w:spacing w:line="360" w:lineRule="auto"/>
        <w:ind w:firstLine="480" w:firstLineChars="200"/>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eastAsia="zh-CN"/>
        </w:rPr>
        <w:t>2．工程地点：</w:t>
      </w:r>
      <w:r>
        <w:rPr>
          <w:rFonts w:hint="eastAsia" w:ascii="仿宋_GB2312" w:eastAsia="仿宋_GB2312"/>
          <w:color w:val="auto"/>
          <w:sz w:val="24"/>
          <w:highlight w:val="none"/>
          <w:lang w:val="en-US" w:eastAsia="zh-CN"/>
        </w:rPr>
        <w:t>XXXX</w:t>
      </w:r>
    </w:p>
    <w:p w14:paraId="0D332AE5">
      <w:pPr>
        <w:spacing w:line="360" w:lineRule="auto"/>
        <w:ind w:firstLine="480" w:firstLineChars="200"/>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3. 主要工程量：</w:t>
      </w:r>
    </w:p>
    <w:p w14:paraId="4D442A81">
      <w:pPr>
        <w:spacing w:line="360" w:lineRule="auto"/>
        <w:rPr>
          <w:rFonts w:hint="default" w:ascii="仿宋_GB2312" w:eastAsia="仿宋_GB2312"/>
          <w:b/>
          <w:color w:val="auto"/>
          <w:sz w:val="24"/>
          <w:highlight w:val="none"/>
        </w:rPr>
      </w:pPr>
    </w:p>
    <w:p w14:paraId="3F446AB5">
      <w:pPr>
        <w:spacing w:line="360" w:lineRule="auto"/>
        <w:rPr>
          <w:rFonts w:hint="default" w:ascii="仿宋_GB2312" w:eastAsia="仿宋_GB2312"/>
          <w:b/>
          <w:color w:val="auto"/>
          <w:sz w:val="24"/>
          <w:highlight w:val="none"/>
          <w:lang w:val="en-US" w:eastAsia="zh-CN"/>
        </w:rPr>
      </w:pPr>
      <w:r>
        <w:rPr>
          <w:rFonts w:hint="eastAsia" w:ascii="仿宋_GB2312" w:eastAsia="仿宋_GB2312"/>
          <w:b/>
          <w:color w:val="auto"/>
          <w:sz w:val="24"/>
          <w:highlight w:val="none"/>
        </w:rPr>
        <w:t>二、承包范围</w:t>
      </w:r>
      <w:r>
        <w:rPr>
          <w:rFonts w:hint="eastAsia" w:ascii="仿宋_GB2312" w:eastAsia="仿宋_GB2312"/>
          <w:b/>
          <w:color w:val="auto"/>
          <w:sz w:val="24"/>
          <w:highlight w:val="none"/>
          <w:lang w:eastAsia="zh-CN"/>
        </w:rPr>
        <w:t>、</w:t>
      </w:r>
      <w:r>
        <w:rPr>
          <w:rFonts w:hint="eastAsia" w:ascii="仿宋_GB2312" w:eastAsia="仿宋_GB2312"/>
          <w:b/>
          <w:color w:val="auto"/>
          <w:sz w:val="24"/>
          <w:highlight w:val="none"/>
        </w:rPr>
        <w:t>承包方式</w:t>
      </w:r>
      <w:r>
        <w:rPr>
          <w:rFonts w:hint="eastAsia" w:ascii="仿宋_GB2312" w:eastAsia="仿宋_GB2312"/>
          <w:b/>
          <w:color w:val="auto"/>
          <w:sz w:val="24"/>
          <w:highlight w:val="none"/>
          <w:lang w:val="en-US" w:eastAsia="zh-CN"/>
        </w:rPr>
        <w:t>与需求清单</w:t>
      </w:r>
    </w:p>
    <w:p w14:paraId="0161BB8F">
      <w:pPr>
        <w:numPr>
          <w:ilvl w:val="2"/>
          <w:numId w:val="0"/>
        </w:numPr>
        <w:spacing w:line="360" w:lineRule="auto"/>
        <w:ind w:left="0" w:leftChars="0" w:firstLine="420" w:firstLineChars="0"/>
        <w:rPr>
          <w:color w:val="auto"/>
          <w:highlight w:val="none"/>
        </w:rPr>
      </w:pPr>
      <w:r>
        <w:rPr>
          <w:rFonts w:hint="eastAsia" w:ascii="仿宋_GB2312" w:hAnsi="仿宋_GB2312" w:eastAsia="仿宋_GB2312" w:cs="仿宋_GB2312"/>
          <w:color w:val="auto"/>
          <w:kern w:val="2"/>
          <w:sz w:val="24"/>
          <w:szCs w:val="24"/>
          <w:highlight w:val="none"/>
          <w:lang w:val="en-US" w:eastAsia="zh-CN" w:bidi="ar-SA"/>
        </w:rPr>
        <w:t>1.</w:t>
      </w:r>
      <w:r>
        <w:rPr>
          <w:rFonts w:hint="eastAsia" w:ascii="仿宋_GB2312" w:eastAsia="仿宋_GB2312"/>
          <w:color w:val="auto"/>
          <w:sz w:val="24"/>
          <w:highlight w:val="none"/>
        </w:rPr>
        <w:t>本项目位于</w:t>
      </w:r>
      <w:r>
        <w:rPr>
          <w:rFonts w:hint="eastAsia" w:ascii="仿宋_GB2312" w:eastAsia="仿宋_GB2312"/>
          <w:color w:val="auto"/>
          <w:sz w:val="24"/>
          <w:highlight w:val="none"/>
          <w:lang w:val="en-US" w:eastAsia="zh-CN"/>
        </w:rPr>
        <w:t>XXX</w:t>
      </w:r>
      <w:r>
        <w:rPr>
          <w:rFonts w:hint="eastAsia" w:ascii="仿宋_GB2312" w:eastAsia="仿宋_GB2312"/>
          <w:color w:val="auto"/>
          <w:sz w:val="24"/>
          <w:highlight w:val="none"/>
        </w:rPr>
        <w:t>，利用</w:t>
      </w:r>
      <w:r>
        <w:rPr>
          <w:rFonts w:hint="eastAsia" w:ascii="仿宋_GB2312" w:eastAsia="仿宋_GB2312"/>
          <w:color w:val="auto"/>
          <w:sz w:val="24"/>
          <w:highlight w:val="none"/>
          <w:lang w:val="en-US" w:eastAsia="zh-CN"/>
        </w:rPr>
        <w:t>XXX</w:t>
      </w:r>
      <w:r>
        <w:rPr>
          <w:rFonts w:hint="eastAsia" w:ascii="仿宋_GB2312" w:eastAsia="仿宋_GB2312"/>
          <w:color w:val="auto"/>
          <w:sz w:val="24"/>
          <w:highlight w:val="none"/>
        </w:rPr>
        <w:t>场地，建设</w:t>
      </w:r>
      <w:r>
        <w:rPr>
          <w:rFonts w:hint="eastAsia" w:ascii="仿宋_GB2312" w:eastAsia="仿宋_GB2312"/>
          <w:color w:val="auto"/>
          <w:sz w:val="24"/>
          <w:highlight w:val="none"/>
          <w:lang w:val="en-US" w:eastAsia="zh-CN"/>
        </w:rPr>
        <w:t>新能源汽车充电</w:t>
      </w:r>
      <w:r>
        <w:rPr>
          <w:rFonts w:hint="eastAsia" w:ascii="仿宋_GB2312" w:eastAsia="仿宋_GB2312"/>
          <w:color w:val="auto"/>
          <w:sz w:val="24"/>
          <w:highlight w:val="none"/>
        </w:rPr>
        <w:t>站设备（</w:t>
      </w:r>
      <w:r>
        <w:rPr>
          <w:rFonts w:hint="eastAsia" w:ascii="仿宋_GB2312" w:eastAsia="仿宋_GB2312"/>
          <w:color w:val="auto"/>
          <w:sz w:val="24"/>
          <w:highlight w:val="none"/>
          <w:lang w:val="en-US" w:eastAsia="zh-CN"/>
        </w:rPr>
        <w:t>XXX充电桩）</w:t>
      </w:r>
      <w:r>
        <w:rPr>
          <w:rFonts w:hint="eastAsia" w:ascii="仿宋_GB2312" w:eastAsia="仿宋_GB2312"/>
          <w:color w:val="auto"/>
          <w:sz w:val="24"/>
          <w:highlight w:val="none"/>
        </w:rPr>
        <w:t>及监控、消防配套设施</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发改备案、两违办理、供电手续办理</w:t>
      </w:r>
      <w:r>
        <w:rPr>
          <w:rFonts w:hint="eastAsia" w:ascii="仿宋_GB2312" w:eastAsia="仿宋_GB2312"/>
          <w:color w:val="auto"/>
          <w:sz w:val="24"/>
          <w:highlight w:val="none"/>
        </w:rPr>
        <w:t>。</w:t>
      </w:r>
    </w:p>
    <w:p w14:paraId="7A2C382F">
      <w:pP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lang w:val="en-US" w:eastAsia="zh-CN"/>
        </w:rPr>
        <w:t>2</w:t>
      </w:r>
      <w:r>
        <w:rPr>
          <w:rFonts w:hint="eastAsia" w:ascii="仿宋_GB2312" w:eastAsia="仿宋_GB2312"/>
          <w:color w:val="auto"/>
          <w:sz w:val="24"/>
          <w:highlight w:val="none"/>
        </w:rPr>
        <w:t>．承包方式：</w:t>
      </w:r>
      <w:r>
        <w:rPr>
          <w:rFonts w:hint="eastAsia" w:ascii="仿宋_GB2312" w:eastAsia="仿宋_GB2312"/>
          <w:color w:val="auto"/>
          <w:sz w:val="24"/>
          <w:highlight w:val="none"/>
          <w:lang w:val="en-US" w:eastAsia="zh-CN"/>
        </w:rPr>
        <w:t>本项目的承包方式为EPC交钥匙总承包，</w:t>
      </w:r>
      <w:r>
        <w:rPr>
          <w:rFonts w:hint="eastAsia" w:ascii="仿宋_GB2312" w:eastAsia="仿宋_GB2312"/>
          <w:color w:val="auto"/>
          <w:sz w:val="24"/>
          <w:highlight w:val="none"/>
        </w:rPr>
        <w:t>以</w:t>
      </w:r>
      <w:r>
        <w:rPr>
          <w:rFonts w:hint="eastAsia" w:ascii="仿宋_GB2312" w:eastAsia="仿宋_GB2312"/>
          <w:color w:val="auto"/>
          <w:sz w:val="24"/>
          <w:highlight w:val="none"/>
          <w:lang w:val="en-US" w:eastAsia="zh-CN"/>
        </w:rPr>
        <w:t>固定总价包干</w:t>
      </w:r>
      <w:r>
        <w:rPr>
          <w:rFonts w:hint="eastAsia" w:ascii="仿宋_GB2312" w:eastAsia="仿宋_GB2312"/>
          <w:color w:val="auto"/>
          <w:sz w:val="24"/>
          <w:highlight w:val="none"/>
        </w:rPr>
        <w:t>的方式承包。在此约定下，乙方包含施工图纸设计、包供应设备及其配件、包工包料包安装、包调试及检测、包质量、包工期、包施工图纸通过甲方</w:t>
      </w:r>
      <w:r>
        <w:rPr>
          <w:rFonts w:hint="eastAsia" w:ascii="仿宋_GB2312" w:eastAsia="仿宋_GB2312"/>
          <w:color w:val="auto"/>
          <w:sz w:val="24"/>
          <w:highlight w:val="none"/>
          <w:lang w:val="en-US" w:eastAsia="zh-CN"/>
        </w:rPr>
        <w:t>、发改委、</w:t>
      </w:r>
      <w:r>
        <w:rPr>
          <w:rFonts w:hint="eastAsia" w:ascii="仿宋_GB2312" w:eastAsia="仿宋_GB2312"/>
          <w:color w:val="auto"/>
          <w:sz w:val="24"/>
          <w:highlight w:val="none"/>
        </w:rPr>
        <w:t>供电部门审定、包相关部门的验收合格、包资料、包安全、包管理、包利润、包税金、包安全文明施工、包材料及成品保管、包保险、包保修等。</w:t>
      </w:r>
    </w:p>
    <w:p w14:paraId="7A314320">
      <w:pPr>
        <w:spacing w:line="360" w:lineRule="auto"/>
        <w:ind w:firstLine="480" w:firstLineChars="200"/>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3. 承包范围：包含但不限于从前期踏勘勘察、接入报建、全套方案 / 初设 / 施工图专项设计、各类专项计算及报审资料编制、所有工程设备材料采购、运输、卸货、保管、土建结构工程施工、高低压 10kV/0.4kV 供配电系统施工、充电桩设备安装、桥架管线预埋敷设、强弱电系统施工、防雷接地系统施工、消防系统安装调试、门禁系统施工（如有）、场区照明排水硬化交通标识工程、系统集成调试、电能质量治理调试、全站联动调试、供电局并网验收、消防验收、整体竣工验收、资料整编移交、人员培训、质保期运维服务等全过程、全专业、全链条交钥匙工程，具体包含：项目现场地形、车位、通道、原有配电容量、电缆通道，对接市政供电部门完成接入方案申报、现场勘查、接入评审、取得正式供电批复，完成项目整体总平规划、车位排布、通道规划、消防通道规划、快慢充容量配比计算、负荷计算、变压器容量选型、同时系数计算、短路电流计算、压降计算、继电保护整定计算、电能质量评估与谐波治理方案设计，完成全套规划方案设计、初步设计、施工图设计，涵盖总图交通、建筑土建、设备基础、结构加固、10kV 高压系统、0.4kV 低压配电、无功补偿、APF/SVG 谐波治理、交直流充电桩配电系统、计量系统、全站等电位及防雷接地系统、消防给排水及火灾自动报警联动系统、视频监控、充电运营后台、通讯网络、弱电布线、场区照明、雨水排水、地面硬化、防撞设施、标识标线等所有专业全套施工图纸、设计说明、设备材料清单及专项报审资料；承包范围内所有设备及主材采购供货，包含直流充电桩、交流充电桩、箱式变压器、高低压开关柜、电缆、桥架、管材、接地材料、防雷设备、补偿治理设备、消防设备、监控设备、道闸设备、后台服务器、网络设备、土建材料等全部工程物资的选型、采购、生产、监造、运输、卸货、现场保管、二次转运；负责全部土建施工内容，包含场地清理、设备独立基础、箱变基础（如有）、电缆沟、电缆井、排水沟、集水井、地坪硬化、车位划线、防撞护栏、挡车器、减速带、安全标识安装，支架预埋、管线打孔封堵、防腐防火、防雷连接件施工；负责全部电气安装工程，包含 10kV 外线及场内高压电缆敷设、环网柜、箱变安装接线、低压配电柜安装、母线排布、无功补偿、谐波治理设备安装、分区配电布设、所有充电桩固定安装、接线、接地、通电试运行，强弱电桥架安装、管线预埋、穿线、接线、标识挂牌、防火封堵、电缆测试、绝缘测试、接地网敷设、接地系统、全站等电位联结施工；负责智能化系统施工，包含全场监控布点、摄像头安装、NVR 存储、交换机、机柜布线、4G / 光纤通讯布线、充电后台系统组网、数据对接、平台上传调试；负责消防系统施工；完成全站系统集成调试、单桩调试、集群充电调试、功率分配调试、电能质量优化调试、三相不平衡治理、功率因数整定、继电保护试验、绝缘耐压试验、接地电阻测试、通讯联调、后台数据比对调试，全权负责对接供电公司完成现场核查、计量验收、并网试验、送电验收、资料移交、并网投运；配合完成消防验收、住建竣工验收、现场整改、资料归档、竣工图编制、全套竣工资料整编、试验报告、验收报告、台账清单整理移交甲方；负责对甲方运维人员开展设备操作、日常巡检、故障排查、系统后台操作全套培训；承担项目整体缺陷责任期及质保期内所有设备免费维修、更换、故障抢修、现场巡查、系统优化、软件升级、售后技术服务；本承包范围包含项目设计、采购、施工、安装、调试、验收、并网、移交、质保全部交钥匙工作。包括但不限于当地电力公司送电前的验收、消防部门验收、安全生产标准化达标、工程档案验收、质监、并网安评、计量系统、低电压穿越现场验收由承包人牵头，发包人协助办理，承包人提供人力、物力、财力等相关支持。</w:t>
      </w:r>
    </w:p>
    <w:p w14:paraId="64C84467">
      <w:pPr>
        <w:pStyle w:val="2"/>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4. 主要需求清单：</w:t>
      </w:r>
    </w:p>
    <w:tbl>
      <w:tblPr>
        <w:tblStyle w:val="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2"/>
        <w:gridCol w:w="973"/>
        <w:gridCol w:w="1312"/>
        <w:gridCol w:w="5541"/>
      </w:tblGrid>
      <w:tr w14:paraId="1ABA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026" w:type="pct"/>
            <w:shd w:val="clear" w:color="auto" w:fill="auto"/>
            <w:noWrap w:val="0"/>
            <w:vAlign w:val="center"/>
          </w:tcPr>
          <w:p w14:paraId="2F5865E8">
            <w:pPr>
              <w:spacing w:line="360" w:lineRule="auto"/>
              <w:ind w:firstLine="480" w:firstLineChars="200"/>
              <w:jc w:val="center"/>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产品名称</w:t>
            </w:r>
          </w:p>
        </w:tc>
        <w:tc>
          <w:tcPr>
            <w:tcW w:w="494" w:type="pct"/>
            <w:shd w:val="clear" w:color="auto" w:fill="auto"/>
            <w:noWrap w:val="0"/>
            <w:vAlign w:val="center"/>
          </w:tcPr>
          <w:p w14:paraId="359266BA">
            <w:pPr>
              <w:spacing w:line="360" w:lineRule="auto"/>
              <w:jc w:val="center"/>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数量</w:t>
            </w:r>
          </w:p>
        </w:tc>
        <w:tc>
          <w:tcPr>
            <w:tcW w:w="666" w:type="pct"/>
            <w:shd w:val="clear" w:color="auto" w:fill="auto"/>
            <w:noWrap w:val="0"/>
            <w:vAlign w:val="center"/>
          </w:tcPr>
          <w:p w14:paraId="2A35C0BB">
            <w:pPr>
              <w:spacing w:line="360" w:lineRule="auto"/>
              <w:jc w:val="center"/>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单位</w:t>
            </w:r>
          </w:p>
        </w:tc>
        <w:tc>
          <w:tcPr>
            <w:tcW w:w="2812" w:type="pct"/>
            <w:shd w:val="clear" w:color="auto" w:fill="auto"/>
            <w:noWrap w:val="0"/>
            <w:vAlign w:val="center"/>
          </w:tcPr>
          <w:p w14:paraId="38721581">
            <w:pPr>
              <w:spacing w:line="360" w:lineRule="auto"/>
              <w:jc w:val="center"/>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规格、明细</w:t>
            </w:r>
          </w:p>
        </w:tc>
      </w:tr>
      <w:tr w14:paraId="0E7D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026" w:type="pct"/>
            <w:shd w:val="clear" w:color="auto" w:fill="auto"/>
            <w:noWrap w:val="0"/>
            <w:vAlign w:val="center"/>
          </w:tcPr>
          <w:p w14:paraId="6F08272D">
            <w:pPr>
              <w:spacing w:line="360" w:lineRule="auto"/>
              <w:jc w:val="center"/>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户外箱式变压器及其配套工程</w:t>
            </w:r>
          </w:p>
        </w:tc>
        <w:tc>
          <w:tcPr>
            <w:tcW w:w="494" w:type="pct"/>
            <w:shd w:val="clear" w:color="auto" w:fill="auto"/>
            <w:noWrap w:val="0"/>
            <w:vAlign w:val="center"/>
          </w:tcPr>
          <w:p w14:paraId="4881D61F">
            <w:pPr>
              <w:spacing w:line="360" w:lineRule="auto"/>
              <w:jc w:val="center"/>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 xml:space="preserve"> </w:t>
            </w:r>
          </w:p>
        </w:tc>
        <w:tc>
          <w:tcPr>
            <w:tcW w:w="666" w:type="pct"/>
            <w:shd w:val="clear" w:color="auto" w:fill="auto"/>
            <w:noWrap w:val="0"/>
            <w:vAlign w:val="center"/>
          </w:tcPr>
          <w:p w14:paraId="7F349E76">
            <w:pPr>
              <w:spacing w:line="360" w:lineRule="auto"/>
              <w:jc w:val="center"/>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项</w:t>
            </w:r>
          </w:p>
        </w:tc>
        <w:tc>
          <w:tcPr>
            <w:tcW w:w="2812" w:type="pct"/>
            <w:shd w:val="clear" w:color="auto" w:fill="auto"/>
            <w:noWrap w:val="0"/>
            <w:vAlign w:val="center"/>
          </w:tcPr>
          <w:p w14:paraId="09EB708B">
            <w:pPr>
              <w:spacing w:line="360" w:lineRule="auto"/>
              <w:jc w:val="left"/>
              <w:rPr>
                <w:rFonts w:hint="eastAsia" w:ascii="仿宋_GB2312" w:eastAsia="仿宋_GB2312"/>
                <w:color w:val="auto"/>
                <w:sz w:val="24"/>
                <w:highlight w:val="none"/>
                <w:lang w:val="en-US" w:eastAsia="zh-CN"/>
              </w:rPr>
            </w:pPr>
            <w:r>
              <w:rPr>
                <w:rFonts w:hint="eastAsia" w:ascii="仿宋_GB2312" w:eastAsia="仿宋_GB2312"/>
                <w:color w:val="auto"/>
                <w:sz w:val="24"/>
                <w:highlight w:val="none"/>
                <w:u w:val="single"/>
                <w:lang w:val="en-US" w:eastAsia="zh-CN"/>
              </w:rPr>
              <w:t xml:space="preserve">        </w:t>
            </w:r>
            <w:r>
              <w:rPr>
                <w:rFonts w:hint="eastAsia" w:ascii="仿宋_GB2312" w:eastAsia="仿宋_GB2312"/>
                <w:color w:val="auto"/>
                <w:sz w:val="24"/>
                <w:highlight w:val="none"/>
                <w:lang w:val="en-US" w:eastAsia="zh-CN"/>
              </w:rPr>
              <w:t xml:space="preserve">kVA箱变，包括但不限于10kV外线及 </w:t>
            </w:r>
          </w:p>
          <w:p w14:paraId="2D3294FB">
            <w:pPr>
              <w:spacing w:line="360" w:lineRule="auto"/>
              <w:jc w:val="left"/>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 xml:space="preserve">其电缆沟/电缆井工程、高低压配电柜设 </w:t>
            </w:r>
          </w:p>
          <w:p w14:paraId="60829FAB">
            <w:pPr>
              <w:spacing w:line="360" w:lineRule="auto"/>
              <w:jc w:val="left"/>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 xml:space="preserve">备、变压器、连接电缆采购与安装、及 </w:t>
            </w:r>
          </w:p>
          <w:p w14:paraId="6CE1A37A">
            <w:pPr>
              <w:spacing w:line="360" w:lineRule="auto"/>
              <w:jc w:val="left"/>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其箱变基础，含供电报装流程、供电验收及送电。</w:t>
            </w:r>
          </w:p>
        </w:tc>
      </w:tr>
      <w:tr w14:paraId="37362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026" w:type="pct"/>
            <w:shd w:val="clear" w:color="auto" w:fill="auto"/>
            <w:noWrap w:val="0"/>
            <w:vAlign w:val="center"/>
          </w:tcPr>
          <w:p w14:paraId="23614EF4">
            <w:pPr>
              <w:spacing w:line="360" w:lineRule="auto"/>
              <w:jc w:val="center"/>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直流快充桩</w:t>
            </w:r>
            <w:bookmarkStart w:id="14" w:name="_GoBack"/>
            <w:bookmarkEnd w:id="14"/>
            <w:r>
              <w:rPr>
                <w:rFonts w:hint="eastAsia" w:ascii="仿宋_GB2312" w:eastAsia="仿宋_GB2312"/>
                <w:color w:val="auto"/>
                <w:sz w:val="24"/>
                <w:highlight w:val="none"/>
                <w:lang w:val="en-US" w:eastAsia="zh-CN"/>
              </w:rPr>
              <w:t>（枪）</w:t>
            </w:r>
          </w:p>
        </w:tc>
        <w:tc>
          <w:tcPr>
            <w:tcW w:w="494" w:type="pct"/>
            <w:shd w:val="clear" w:color="auto" w:fill="auto"/>
            <w:noWrap w:val="0"/>
            <w:vAlign w:val="center"/>
          </w:tcPr>
          <w:p w14:paraId="308A93FD">
            <w:pPr>
              <w:spacing w:line="360" w:lineRule="auto"/>
              <w:jc w:val="center"/>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 xml:space="preserve"> </w:t>
            </w:r>
          </w:p>
        </w:tc>
        <w:tc>
          <w:tcPr>
            <w:tcW w:w="666" w:type="pct"/>
            <w:shd w:val="clear" w:color="auto" w:fill="auto"/>
            <w:noWrap w:val="0"/>
            <w:vAlign w:val="center"/>
          </w:tcPr>
          <w:p w14:paraId="60B9F8C1">
            <w:pPr>
              <w:spacing w:line="360" w:lineRule="auto"/>
              <w:ind w:firstLine="480" w:firstLineChars="200"/>
              <w:jc w:val="both"/>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把</w:t>
            </w:r>
          </w:p>
        </w:tc>
        <w:tc>
          <w:tcPr>
            <w:tcW w:w="2812" w:type="pct"/>
            <w:shd w:val="clear" w:color="auto" w:fill="auto"/>
            <w:noWrap w:val="0"/>
            <w:vAlign w:val="center"/>
          </w:tcPr>
          <w:p w14:paraId="0121CA16">
            <w:pPr>
              <w:spacing w:line="360" w:lineRule="auto"/>
              <w:jc w:val="center"/>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功率：设备详细参数</w:t>
            </w:r>
          </w:p>
        </w:tc>
      </w:tr>
      <w:tr w14:paraId="3057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026" w:type="pct"/>
            <w:shd w:val="clear" w:color="auto" w:fill="auto"/>
            <w:noWrap w:val="0"/>
            <w:vAlign w:val="center"/>
          </w:tcPr>
          <w:p w14:paraId="3DFF9C8B">
            <w:pPr>
              <w:spacing w:line="360" w:lineRule="auto"/>
              <w:jc w:val="center"/>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交流慢充桩（枪）</w:t>
            </w:r>
          </w:p>
        </w:tc>
        <w:tc>
          <w:tcPr>
            <w:tcW w:w="494" w:type="pct"/>
            <w:shd w:val="clear" w:color="auto" w:fill="auto"/>
            <w:noWrap w:val="0"/>
            <w:vAlign w:val="center"/>
          </w:tcPr>
          <w:p w14:paraId="4EBD123A">
            <w:pPr>
              <w:spacing w:line="360" w:lineRule="auto"/>
              <w:jc w:val="center"/>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 xml:space="preserve"> </w:t>
            </w:r>
          </w:p>
        </w:tc>
        <w:tc>
          <w:tcPr>
            <w:tcW w:w="666" w:type="pct"/>
            <w:shd w:val="clear" w:color="auto" w:fill="auto"/>
            <w:noWrap w:val="0"/>
            <w:vAlign w:val="center"/>
          </w:tcPr>
          <w:p w14:paraId="15AE4AB1">
            <w:pPr>
              <w:spacing w:line="360" w:lineRule="auto"/>
              <w:ind w:firstLine="480" w:firstLineChars="200"/>
              <w:jc w:val="both"/>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把</w:t>
            </w:r>
          </w:p>
        </w:tc>
        <w:tc>
          <w:tcPr>
            <w:tcW w:w="2812" w:type="pct"/>
            <w:shd w:val="clear" w:color="auto" w:fill="auto"/>
            <w:noWrap w:val="0"/>
            <w:vAlign w:val="center"/>
          </w:tcPr>
          <w:p w14:paraId="3B5A0BB7">
            <w:pPr>
              <w:spacing w:line="360" w:lineRule="auto"/>
              <w:jc w:val="center"/>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功率：设备详细参数</w:t>
            </w:r>
          </w:p>
        </w:tc>
      </w:tr>
      <w:tr w14:paraId="0667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026" w:type="pct"/>
            <w:shd w:val="clear" w:color="auto" w:fill="auto"/>
            <w:noWrap w:val="0"/>
            <w:vAlign w:val="center"/>
          </w:tcPr>
          <w:p w14:paraId="2E7F6B18">
            <w:pPr>
              <w:spacing w:line="360" w:lineRule="auto"/>
              <w:jc w:val="center"/>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配套电缆</w:t>
            </w:r>
          </w:p>
        </w:tc>
        <w:tc>
          <w:tcPr>
            <w:tcW w:w="494" w:type="pct"/>
            <w:shd w:val="clear" w:color="auto" w:fill="auto"/>
            <w:noWrap w:val="0"/>
            <w:vAlign w:val="center"/>
          </w:tcPr>
          <w:p w14:paraId="32CC6464">
            <w:pPr>
              <w:spacing w:line="360" w:lineRule="auto"/>
              <w:jc w:val="center"/>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 xml:space="preserve"> </w:t>
            </w:r>
          </w:p>
        </w:tc>
        <w:tc>
          <w:tcPr>
            <w:tcW w:w="666" w:type="pct"/>
            <w:shd w:val="clear" w:color="auto" w:fill="auto"/>
            <w:noWrap w:val="0"/>
            <w:vAlign w:val="center"/>
          </w:tcPr>
          <w:p w14:paraId="69A09B23">
            <w:pPr>
              <w:spacing w:line="360" w:lineRule="auto"/>
              <w:ind w:firstLine="480" w:firstLineChars="200"/>
              <w:jc w:val="both"/>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项</w:t>
            </w:r>
          </w:p>
        </w:tc>
        <w:tc>
          <w:tcPr>
            <w:tcW w:w="2812" w:type="pct"/>
            <w:shd w:val="clear" w:color="auto" w:fill="auto"/>
            <w:noWrap w:val="0"/>
            <w:vAlign w:val="center"/>
          </w:tcPr>
          <w:p w14:paraId="46161353">
            <w:pPr>
              <w:spacing w:line="360" w:lineRule="auto"/>
              <w:ind w:firstLine="480" w:firstLineChars="200"/>
              <w:jc w:val="center"/>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本项目所涉及的所有高低压电缆</w:t>
            </w:r>
          </w:p>
        </w:tc>
      </w:tr>
      <w:tr w14:paraId="23C2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026" w:type="pct"/>
            <w:shd w:val="clear" w:color="auto" w:fill="auto"/>
            <w:noWrap w:val="0"/>
            <w:vAlign w:val="center"/>
          </w:tcPr>
          <w:p w14:paraId="1472DB60">
            <w:pPr>
              <w:spacing w:line="360" w:lineRule="auto"/>
              <w:jc w:val="center"/>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综合监控与运营管理云平台</w:t>
            </w:r>
          </w:p>
        </w:tc>
        <w:tc>
          <w:tcPr>
            <w:tcW w:w="494" w:type="pct"/>
            <w:shd w:val="clear" w:color="auto" w:fill="auto"/>
            <w:noWrap w:val="0"/>
            <w:vAlign w:val="center"/>
          </w:tcPr>
          <w:p w14:paraId="571BC8B8">
            <w:pPr>
              <w:spacing w:line="360" w:lineRule="auto"/>
              <w:jc w:val="center"/>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 xml:space="preserve"> </w:t>
            </w:r>
          </w:p>
        </w:tc>
        <w:tc>
          <w:tcPr>
            <w:tcW w:w="666" w:type="pct"/>
            <w:shd w:val="clear" w:color="auto" w:fill="auto"/>
            <w:noWrap w:val="0"/>
            <w:vAlign w:val="center"/>
          </w:tcPr>
          <w:p w14:paraId="76906CC0">
            <w:pPr>
              <w:spacing w:line="360" w:lineRule="auto"/>
              <w:ind w:firstLine="480" w:firstLineChars="200"/>
              <w:jc w:val="both"/>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套</w:t>
            </w:r>
          </w:p>
        </w:tc>
        <w:tc>
          <w:tcPr>
            <w:tcW w:w="2812" w:type="pct"/>
            <w:shd w:val="clear" w:color="auto" w:fill="auto"/>
            <w:noWrap w:val="0"/>
            <w:vAlign w:val="center"/>
          </w:tcPr>
          <w:p w14:paraId="6D73EFF6">
            <w:pPr>
              <w:spacing w:line="360" w:lineRule="auto"/>
              <w:ind w:firstLine="480" w:firstLineChars="200"/>
              <w:jc w:val="center"/>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要求云平台操作系统、数据库等为正版授权</w:t>
            </w:r>
          </w:p>
        </w:tc>
      </w:tr>
    </w:tbl>
    <w:p w14:paraId="1EC4CD34">
      <w:pPr>
        <w:rPr>
          <w:rFonts w:hint="default"/>
          <w:highlight w:val="none"/>
          <w:lang w:val="en-US" w:eastAsia="zh-CN"/>
        </w:rPr>
      </w:pPr>
    </w:p>
    <w:p w14:paraId="4F481243">
      <w:pPr>
        <w:spacing w:line="360" w:lineRule="auto"/>
        <w:rPr>
          <w:rFonts w:hint="eastAsia" w:ascii="仿宋_GB2312" w:eastAsia="仿宋_GB2312"/>
          <w:b/>
          <w:color w:val="auto"/>
          <w:sz w:val="24"/>
          <w:highlight w:val="none"/>
        </w:rPr>
      </w:pPr>
    </w:p>
    <w:p w14:paraId="6E67B664">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三、合同工期</w:t>
      </w:r>
    </w:p>
    <w:p w14:paraId="45197741">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1．合同总工期数为</w:t>
      </w:r>
      <w:permStart w:id="0" w:edGrp="everyone"/>
      <w:r>
        <w:rPr>
          <w:rFonts w:hint="eastAsia" w:ascii="仿宋_GB2312" w:eastAsia="仿宋_GB2312"/>
          <w:color w:val="auto"/>
          <w:sz w:val="24"/>
          <w:highlight w:val="none"/>
          <w:u w:val="single"/>
          <w:lang w:val="en-US" w:eastAsia="zh-CN"/>
        </w:rPr>
        <w:t>90</w:t>
      </w:r>
      <w:permEnd w:id="0"/>
      <w:r>
        <w:rPr>
          <w:rFonts w:hint="eastAsia" w:ascii="仿宋_GB2312" w:eastAsia="仿宋_GB2312"/>
          <w:color w:val="auto"/>
          <w:sz w:val="24"/>
          <w:highlight w:val="none"/>
        </w:rPr>
        <w:t>个日历天。</w:t>
      </w:r>
    </w:p>
    <w:p w14:paraId="78A6F6F7">
      <w:pP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（1）计划开工日期为：</w:t>
      </w:r>
      <w:permStart w:id="1" w:edGrp="everyone"/>
      <w:r>
        <w:rPr>
          <w:rFonts w:hint="eastAsia" w:ascii="仿宋_GB2312" w:eastAsia="仿宋_GB2312"/>
          <w:color w:val="auto"/>
          <w:sz w:val="24"/>
          <w:highlight w:val="none"/>
          <w:u w:val="single"/>
        </w:rPr>
        <w:t xml:space="preserve">      </w:t>
      </w:r>
      <w:permEnd w:id="1"/>
      <w:r>
        <w:rPr>
          <w:rFonts w:hint="eastAsia" w:ascii="仿宋_GB2312" w:eastAsia="仿宋_GB2312"/>
          <w:color w:val="auto"/>
          <w:sz w:val="24"/>
          <w:highlight w:val="none"/>
        </w:rPr>
        <w:t>年</w:t>
      </w:r>
      <w:permStart w:id="2" w:edGrp="everyone"/>
      <w:r>
        <w:rPr>
          <w:rFonts w:hint="eastAsia" w:ascii="仿宋_GB2312" w:eastAsia="仿宋_GB2312"/>
          <w:color w:val="auto"/>
          <w:sz w:val="24"/>
          <w:highlight w:val="none"/>
          <w:u w:val="single"/>
        </w:rPr>
        <w:t xml:space="preserve">    </w:t>
      </w:r>
      <w:permEnd w:id="2"/>
      <w:r>
        <w:rPr>
          <w:rFonts w:hint="eastAsia" w:ascii="仿宋_GB2312" w:eastAsia="仿宋_GB2312"/>
          <w:color w:val="auto"/>
          <w:sz w:val="24"/>
          <w:highlight w:val="none"/>
        </w:rPr>
        <w:t>月</w:t>
      </w:r>
      <w:permStart w:id="3" w:edGrp="everyone"/>
      <w:r>
        <w:rPr>
          <w:rFonts w:hint="eastAsia" w:ascii="仿宋_GB2312" w:eastAsia="仿宋_GB2312"/>
          <w:color w:val="auto"/>
          <w:sz w:val="24"/>
          <w:highlight w:val="none"/>
          <w:u w:val="single"/>
        </w:rPr>
        <w:t xml:space="preserve">    </w:t>
      </w:r>
      <w:permEnd w:id="3"/>
      <w:r>
        <w:rPr>
          <w:rFonts w:hint="eastAsia" w:ascii="仿宋_GB2312" w:eastAsia="仿宋_GB2312"/>
          <w:color w:val="auto"/>
          <w:sz w:val="24"/>
          <w:highlight w:val="none"/>
        </w:rPr>
        <w:t>日，具体以甲方通知的开工日期</w:t>
      </w:r>
      <w:r>
        <w:rPr>
          <w:rFonts w:hint="eastAsia" w:ascii="仿宋_GB2312" w:eastAsia="仿宋_GB2312"/>
          <w:color w:val="auto"/>
          <w:sz w:val="24"/>
          <w:highlight w:val="none"/>
          <w:lang w:val="en-US" w:eastAsia="zh-CN"/>
        </w:rPr>
        <w:t>为准</w:t>
      </w:r>
      <w:r>
        <w:rPr>
          <w:rFonts w:hint="eastAsia" w:ascii="仿宋_GB2312" w:eastAsia="仿宋_GB2312"/>
          <w:color w:val="auto"/>
          <w:sz w:val="24"/>
          <w:highlight w:val="none"/>
        </w:rPr>
        <w:t>。</w:t>
      </w:r>
    </w:p>
    <w:p w14:paraId="660C905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（2）计划竣工日期为：</w:t>
      </w:r>
      <w:permStart w:id="4" w:edGrp="everyone"/>
      <w:r>
        <w:rPr>
          <w:rFonts w:hint="eastAsia" w:ascii="仿宋_GB2312" w:eastAsia="仿宋_GB2312"/>
          <w:color w:val="auto"/>
          <w:sz w:val="24"/>
          <w:highlight w:val="none"/>
          <w:u w:val="single"/>
        </w:rPr>
        <w:t xml:space="preserve">      </w:t>
      </w:r>
      <w:permEnd w:id="4"/>
      <w:r>
        <w:rPr>
          <w:rFonts w:hint="eastAsia" w:ascii="仿宋_GB2312" w:eastAsia="仿宋_GB2312"/>
          <w:color w:val="auto"/>
          <w:sz w:val="24"/>
          <w:highlight w:val="none"/>
        </w:rPr>
        <w:t>年</w:t>
      </w:r>
      <w:permStart w:id="5" w:edGrp="everyone"/>
      <w:r>
        <w:rPr>
          <w:rFonts w:hint="eastAsia" w:ascii="仿宋_GB2312" w:eastAsia="仿宋_GB2312"/>
          <w:color w:val="auto"/>
          <w:sz w:val="24"/>
          <w:highlight w:val="none"/>
          <w:u w:val="single"/>
        </w:rPr>
        <w:t xml:space="preserve">    </w:t>
      </w:r>
      <w:permEnd w:id="5"/>
      <w:r>
        <w:rPr>
          <w:rFonts w:hint="eastAsia" w:ascii="仿宋_GB2312" w:eastAsia="仿宋_GB2312"/>
          <w:color w:val="auto"/>
          <w:sz w:val="24"/>
          <w:highlight w:val="none"/>
        </w:rPr>
        <w:t>月</w:t>
      </w:r>
      <w:permStart w:id="6" w:edGrp="everyone"/>
      <w:r>
        <w:rPr>
          <w:rFonts w:hint="eastAsia" w:ascii="仿宋_GB2312" w:eastAsia="仿宋_GB2312"/>
          <w:color w:val="auto"/>
          <w:sz w:val="24"/>
          <w:highlight w:val="none"/>
          <w:u w:val="single"/>
        </w:rPr>
        <w:t xml:space="preserve">    </w:t>
      </w:r>
      <w:permEnd w:id="6"/>
      <w:r>
        <w:rPr>
          <w:rFonts w:hint="eastAsia" w:ascii="仿宋_GB2312" w:eastAsia="仿宋_GB2312"/>
          <w:color w:val="auto"/>
          <w:sz w:val="24"/>
          <w:highlight w:val="none"/>
        </w:rPr>
        <w:t>日，乙方须保证于此日期前完成全部产品的安装、调试并交付正常使用。</w:t>
      </w:r>
    </w:p>
    <w:p w14:paraId="2EBD8694">
      <w:pPr>
        <w:spacing w:line="360" w:lineRule="auto"/>
        <w:ind w:firstLine="480" w:firstLineChars="200"/>
        <w:rPr>
          <w:rFonts w:hint="eastAsia" w:ascii="仿宋_GB2312" w:eastAsia="仿宋_GB2312"/>
          <w:color w:val="auto"/>
          <w:sz w:val="24"/>
          <w:highlight w:val="none"/>
          <w:lang w:val="en-US" w:eastAsia="zh-CN"/>
        </w:rPr>
      </w:pPr>
      <w:r>
        <w:rPr>
          <w:rFonts w:hint="eastAsia" w:ascii="仿宋_GB2312" w:eastAsia="仿宋_GB2312"/>
          <w:color w:val="auto"/>
          <w:sz w:val="24"/>
          <w:highlight w:val="none"/>
        </w:rPr>
        <w:t>2．如乙方预计施工进度将滞后于合同约定的竣工日期，不论工期的延误是何种原因造成，乙方均应在完工前向甲方提出书面申请报告，详细解释工期延误发生的原因提供相关证明资料。甲方</w:t>
      </w:r>
      <w:r>
        <w:rPr>
          <w:rFonts w:hint="eastAsia" w:ascii="仿宋_GB2312" w:eastAsia="仿宋_GB2312"/>
          <w:color w:val="auto"/>
          <w:sz w:val="24"/>
          <w:highlight w:val="none"/>
          <w:lang w:val="en-US" w:eastAsia="zh-CN"/>
        </w:rPr>
        <w:t>可以</w:t>
      </w:r>
      <w:r>
        <w:rPr>
          <w:rFonts w:hint="eastAsia" w:ascii="仿宋_GB2312" w:eastAsia="仿宋_GB2312"/>
          <w:color w:val="auto"/>
          <w:sz w:val="24"/>
          <w:highlight w:val="none"/>
        </w:rPr>
        <w:t>根据乙方提供的书面申请报告重新调整竣工日期，但</w:t>
      </w:r>
      <w:r>
        <w:rPr>
          <w:rFonts w:hint="eastAsia" w:ascii="仿宋_GB2312" w:eastAsia="仿宋_GB2312"/>
          <w:color w:val="auto"/>
          <w:sz w:val="24"/>
          <w:highlight w:val="none"/>
          <w:lang w:val="en-US" w:eastAsia="zh-CN"/>
        </w:rPr>
        <w:t>因乙方原因发生</w:t>
      </w:r>
      <w:r>
        <w:rPr>
          <w:rFonts w:hint="eastAsia" w:ascii="仿宋_GB2312" w:eastAsia="仿宋_GB2312"/>
          <w:color w:val="auto"/>
          <w:sz w:val="24"/>
          <w:highlight w:val="none"/>
        </w:rPr>
        <w:t>工期延误</w:t>
      </w:r>
      <w:r>
        <w:rPr>
          <w:rFonts w:hint="eastAsia" w:ascii="仿宋_GB2312" w:eastAsia="仿宋_GB2312"/>
          <w:color w:val="auto"/>
          <w:sz w:val="24"/>
          <w:highlight w:val="none"/>
          <w:lang w:val="en-US" w:eastAsia="zh-CN"/>
        </w:rPr>
        <w:t>导致甲方自身发生损失或向第三方赔偿</w:t>
      </w:r>
      <w:r>
        <w:rPr>
          <w:rFonts w:hint="eastAsia" w:ascii="仿宋_GB2312" w:eastAsia="仿宋_GB2312"/>
          <w:color w:val="auto"/>
          <w:sz w:val="24"/>
          <w:highlight w:val="none"/>
        </w:rPr>
        <w:t>责任</w:t>
      </w:r>
      <w:r>
        <w:rPr>
          <w:rFonts w:hint="eastAsia" w:ascii="仿宋_GB2312" w:eastAsia="仿宋_GB2312"/>
          <w:color w:val="auto"/>
          <w:sz w:val="24"/>
          <w:highlight w:val="none"/>
          <w:lang w:val="en-US" w:eastAsia="zh-CN"/>
        </w:rPr>
        <w:t>的</w:t>
      </w: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由</w:t>
      </w:r>
      <w:r>
        <w:rPr>
          <w:rFonts w:hint="eastAsia" w:ascii="仿宋_GB2312" w:eastAsia="仿宋_GB2312"/>
          <w:color w:val="auto"/>
          <w:sz w:val="24"/>
          <w:highlight w:val="none"/>
        </w:rPr>
        <w:t>乙方</w:t>
      </w:r>
      <w:r>
        <w:rPr>
          <w:rFonts w:hint="eastAsia" w:ascii="仿宋_GB2312" w:eastAsia="仿宋_GB2312"/>
          <w:color w:val="auto"/>
          <w:sz w:val="24"/>
          <w:highlight w:val="none"/>
          <w:lang w:val="en-US" w:eastAsia="zh-CN"/>
        </w:rPr>
        <w:t>实际</w:t>
      </w:r>
      <w:r>
        <w:rPr>
          <w:rFonts w:hint="eastAsia" w:ascii="仿宋_GB2312" w:eastAsia="仿宋_GB2312"/>
          <w:color w:val="auto"/>
          <w:sz w:val="24"/>
          <w:highlight w:val="none"/>
        </w:rPr>
        <w:t>承担。如乙方未按本条约定及时向甲方提交书面申请报告及相关证明资料，则视为乙方放弃工期顺延的申请权利，甲方有权直接依据原合同约定的竣工日期追究乙方工期延误的违约责任，且乙方应承担由此增加的一切费用及损失。</w:t>
      </w:r>
    </w:p>
    <w:p w14:paraId="524C61C3">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3．本工程工期已充分考虑各种因素的影响，除按照本条第4款约定经甲方签证后相应顺延工期外，工期不因</w:t>
      </w:r>
      <w:r>
        <w:rPr>
          <w:rFonts w:hint="eastAsia" w:ascii="仿宋_GB2312" w:eastAsia="仿宋_GB2312"/>
          <w:color w:val="auto"/>
          <w:sz w:val="24"/>
          <w:highlight w:val="none"/>
          <w:lang w:val="en-US" w:eastAsia="zh-CN"/>
        </w:rPr>
        <w:t>下列</w:t>
      </w:r>
      <w:r>
        <w:rPr>
          <w:rFonts w:hint="eastAsia" w:ascii="仿宋_GB2312" w:eastAsia="仿宋_GB2312"/>
          <w:color w:val="auto"/>
          <w:sz w:val="24"/>
          <w:highlight w:val="none"/>
        </w:rPr>
        <w:t>任何因素而顺延，具体包括但不限于：</w:t>
      </w:r>
    </w:p>
    <w:p w14:paraId="7419AF76">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（1）下雨、大风、高低温天气等气候干扰等；</w:t>
      </w:r>
    </w:p>
    <w:p w14:paraId="5B7078B2">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（2）施工中可能遇到的设备材料不能按时备货、交叉作业、现场配合、停水、停电、扰民、有关部门人员及权限变动、政策调整、市场价格变动等因素引起工期延误。</w:t>
      </w:r>
    </w:p>
    <w:p w14:paraId="3BB90C9B">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4．因下列原因且经甲方签证确认，乙方工期可相应顺延：</w:t>
      </w:r>
    </w:p>
    <w:p w14:paraId="704A9D9B">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（1）甲方未能履行本合同规定之责任；</w:t>
      </w:r>
    </w:p>
    <w:p w14:paraId="222B7700">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（2）业主、当地有关部门对设计方案、施工图纸进行变更或工作配合导致施工无法正常进行而影响进度；</w:t>
      </w:r>
    </w:p>
    <w:p w14:paraId="6A1277DA">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（3）人力不可抗拒的自然灾害（如特大暴雨、台风等）。</w:t>
      </w:r>
    </w:p>
    <w:p w14:paraId="1C395A44">
      <w:pP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若发生上述原因，未经甲方签证确认，乙方工期不顺延。非乙方原因造成的停工或工期延误，该拖延后果确属不可避免，且有充分证据证明该事件的停工或工期延误对工期造成影响，经甲方确认，工期可相应顺延，甲方不承担乙方因停工或工期延误造成如窝工、停工、误工、机械停滞、机械进出场等增加的费用与其它款项。</w:t>
      </w:r>
    </w:p>
    <w:p w14:paraId="2C811EF8">
      <w:pPr>
        <w:pStyle w:val="2"/>
        <w:rPr>
          <w:rFonts w:hint="default"/>
          <w:color w:val="auto"/>
          <w:highlight w:val="none"/>
        </w:rPr>
      </w:pPr>
    </w:p>
    <w:p w14:paraId="469477D9">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四、合同价款</w:t>
      </w:r>
    </w:p>
    <w:p w14:paraId="72C37E2F">
      <w:pPr>
        <w:keepNext w:val="0"/>
        <w:keepLines w:val="0"/>
        <w:pageBreakBefore w:val="0"/>
        <w:widowControl w:val="0"/>
        <w:numPr>
          <w:ilvl w:val="1"/>
          <w:numId w:val="0"/>
        </w:numPr>
        <w:kinsoku/>
        <w:wordWrap/>
        <w:overflowPunct/>
        <w:topLinePunct w:val="0"/>
        <w:autoSpaceDE/>
        <w:autoSpaceDN/>
        <w:adjustRightInd w:val="0"/>
        <w:snapToGrid/>
        <w:spacing w:line="360" w:lineRule="auto"/>
        <w:ind w:left="0" w:leftChars="0" w:firstLine="420" w:firstLineChars="0"/>
        <w:textAlignment w:val="auto"/>
        <w:rPr>
          <w:rFonts w:hint="eastAsia" w:ascii="仿宋_GB2312" w:eastAsia="仿宋_GB2312"/>
          <w:color w:val="auto"/>
          <w:sz w:val="24"/>
          <w:highlight w:val="none"/>
          <w:lang w:val="en-US" w:eastAsia="zh-CN"/>
        </w:rPr>
      </w:pPr>
      <w:r>
        <w:rPr>
          <w:rFonts w:hint="eastAsia" w:ascii="仿宋_GB2312" w:eastAsia="仿宋_GB2312" w:cstheme="minorBidi"/>
          <w:color w:val="auto"/>
          <w:kern w:val="2"/>
          <w:sz w:val="24"/>
          <w:szCs w:val="24"/>
          <w:highlight w:val="none"/>
          <w:lang w:val="en-US" w:eastAsia="zh-CN" w:bidi="ar-SA"/>
        </w:rPr>
        <w:t>1</w:t>
      </w:r>
      <w:r>
        <w:rPr>
          <w:rFonts w:hint="eastAsia" w:ascii="仿宋_GB2312" w:eastAsia="仿宋_GB2312" w:hAnsiTheme="minorHAnsi" w:cstheme="minorBidi"/>
          <w:color w:val="auto"/>
          <w:kern w:val="2"/>
          <w:sz w:val="24"/>
          <w:szCs w:val="24"/>
          <w:highlight w:val="none"/>
          <w:lang w:val="en-US" w:eastAsia="zh-CN" w:bidi="ar-SA"/>
        </w:rPr>
        <w:t>．</w:t>
      </w:r>
      <w:r>
        <w:rPr>
          <w:rFonts w:hint="eastAsia" w:ascii="仿宋_GB2312" w:eastAsia="仿宋_GB2312"/>
          <w:color w:val="auto"/>
          <w:sz w:val="24"/>
          <w:highlight w:val="none"/>
        </w:rPr>
        <w:t>签约合同价（含税）为：</w:t>
      </w:r>
      <w:r>
        <w:rPr>
          <w:rFonts w:hint="eastAsia" w:ascii="仿宋_GB2312" w:hAnsi="仿宋_GB2312" w:eastAsia="仿宋_GB2312" w:cs="仿宋_GB2312"/>
          <w:color w:val="auto"/>
          <w:sz w:val="24"/>
          <w:highlight w:val="none"/>
        </w:rPr>
        <w:t>¥</w:t>
      </w:r>
      <w:r>
        <w:rPr>
          <w:rFonts w:hint="eastAsia" w:ascii="仿宋_GB2312" w:eastAsia="仿宋_GB2312"/>
          <w:color w:val="auto"/>
          <w:sz w:val="24"/>
          <w:highlight w:val="none"/>
          <w:u w:val="single"/>
          <w:lang w:val="en-US" w:eastAsia="zh-CN"/>
        </w:rPr>
        <w:t>XX</w:t>
      </w:r>
      <w:r>
        <w:rPr>
          <w:rFonts w:hint="eastAsia" w:ascii="仿宋_GB2312" w:eastAsia="仿宋_GB2312"/>
          <w:color w:val="auto"/>
          <w:sz w:val="24"/>
          <w:highlight w:val="none"/>
        </w:rPr>
        <w:t>元（大写：</w:t>
      </w:r>
      <w:permStart w:id="7" w:edGrp="everyone"/>
      <w:r>
        <w:rPr>
          <w:rFonts w:hint="eastAsia" w:ascii="仿宋_GB2312" w:eastAsia="仿宋_GB2312"/>
          <w:color w:val="auto"/>
          <w:sz w:val="24"/>
          <w:highlight w:val="none"/>
          <w:u w:val="single"/>
        </w:rPr>
        <w:t xml:space="preserve"> </w:t>
      </w:r>
      <w:r>
        <w:rPr>
          <w:rFonts w:hint="eastAsia" w:ascii="仿宋_GB2312" w:eastAsia="仿宋_GB2312"/>
          <w:color w:val="auto"/>
          <w:sz w:val="24"/>
          <w:highlight w:val="none"/>
          <w:u w:val="single"/>
          <w:lang w:val="en-US" w:eastAsia="zh-CN"/>
        </w:rPr>
        <w:t>XXX元</w:t>
      </w:r>
      <w:permEnd w:id="7"/>
      <w:r>
        <w:rPr>
          <w:rFonts w:hint="eastAsia" w:ascii="仿宋_GB2312" w:eastAsia="仿宋_GB2312"/>
          <w:color w:val="auto"/>
          <w:sz w:val="24"/>
          <w:highlight w:val="none"/>
        </w:rPr>
        <w:t>）。税率9%（增值税额按业务发生时国家政策规定增值税率计算），</w:t>
      </w:r>
      <w:r>
        <w:rPr>
          <w:rFonts w:hint="eastAsia" w:ascii="仿宋_GB2312" w:eastAsia="仿宋_GB2312"/>
          <w:color w:val="auto"/>
          <w:sz w:val="24"/>
          <w:highlight w:val="none"/>
          <w:lang w:val="en-US" w:eastAsia="zh-CN"/>
        </w:rPr>
        <w:t>清单详见附件，具体以现场为准。</w:t>
      </w:r>
    </w:p>
    <w:p w14:paraId="394743B9">
      <w:pPr>
        <w:keepNext w:val="0"/>
        <w:keepLines w:val="0"/>
        <w:pageBreakBefore w:val="0"/>
        <w:widowControl w:val="0"/>
        <w:kinsoku/>
        <w:wordWrap/>
        <w:overflowPunct/>
        <w:topLinePunct w:val="0"/>
        <w:autoSpaceDE/>
        <w:autoSpaceDN/>
        <w:adjustRightInd w:val="0"/>
        <w:snapToGrid/>
        <w:spacing w:line="360" w:lineRule="auto"/>
        <w:ind w:firstLine="480" w:firstLineChars="200"/>
        <w:textAlignment w:val="auto"/>
        <w:rPr>
          <w:rFonts w:hint="default" w:ascii="仿宋_GB2312" w:eastAsia="仿宋_GB2312"/>
          <w:color w:val="auto"/>
          <w:sz w:val="24"/>
          <w:highlight w:val="none"/>
        </w:rPr>
      </w:pPr>
      <w:r>
        <w:rPr>
          <w:rFonts w:hint="eastAsia" w:ascii="仿宋_GB2312" w:eastAsia="仿宋_GB2312"/>
          <w:color w:val="auto"/>
          <w:sz w:val="24"/>
          <w:highlight w:val="none"/>
        </w:rPr>
        <w:t>该签约合同价包含但不限于：</w:t>
      </w:r>
    </w:p>
    <w:p w14:paraId="79F933F2">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（1）前期勘察费、设计费、鉴定费、资料费、结构加固费、报建费、报装费等费用；</w:t>
      </w:r>
    </w:p>
    <w:p w14:paraId="0A3ADB7D">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（2）场地清理费、材料费、辅材费、人工费、设备及配件费、施工机具费、包装运输费、吊装费、安装费、保险费、保修费、测试及检测费、采保费、</w:t>
      </w:r>
      <w:r>
        <w:rPr>
          <w:rFonts w:hint="eastAsia" w:ascii="仿宋_GB2312" w:eastAsia="仿宋_GB2312"/>
          <w:color w:val="auto"/>
          <w:sz w:val="24"/>
          <w:highlight w:val="none"/>
          <w:lang w:val="en-US" w:eastAsia="zh-CN"/>
        </w:rPr>
        <w:t>监控流量（1年）、</w:t>
      </w:r>
      <w:r>
        <w:rPr>
          <w:rFonts w:hint="eastAsia" w:ascii="仿宋_GB2312" w:eastAsia="仿宋_GB2312"/>
          <w:color w:val="auto"/>
          <w:sz w:val="24"/>
          <w:highlight w:val="none"/>
        </w:rPr>
        <w:t>施工管理费、临水临电费、赶工费、安全防护措施费、文明施工措施费、其他一切项目措施费、规费、人员培训教育、售后技术服务等费用、管理</w:t>
      </w:r>
      <w:r>
        <w:rPr>
          <w:rFonts w:hint="default" w:ascii="仿宋_GB2312" w:eastAsia="仿宋_GB2312"/>
          <w:color w:val="auto"/>
          <w:sz w:val="24"/>
          <w:highlight w:val="none"/>
        </w:rPr>
        <w:t>费、</w:t>
      </w:r>
      <w:r>
        <w:rPr>
          <w:rFonts w:hint="eastAsia" w:ascii="仿宋_GB2312" w:eastAsia="仿宋_GB2312"/>
          <w:color w:val="auto"/>
          <w:sz w:val="24"/>
          <w:highlight w:val="none"/>
        </w:rPr>
        <w:t>利润</w:t>
      </w:r>
      <w:r>
        <w:rPr>
          <w:rFonts w:hint="default" w:ascii="仿宋_GB2312" w:eastAsia="仿宋_GB2312"/>
          <w:color w:val="auto"/>
          <w:sz w:val="24"/>
          <w:highlight w:val="none"/>
        </w:rPr>
        <w:t>、</w:t>
      </w:r>
      <w:r>
        <w:rPr>
          <w:rFonts w:hint="eastAsia" w:ascii="仿宋_GB2312" w:eastAsia="仿宋_GB2312"/>
          <w:color w:val="auto"/>
          <w:sz w:val="24"/>
          <w:highlight w:val="none"/>
        </w:rPr>
        <w:t>税金等所有费用。</w:t>
      </w:r>
    </w:p>
    <w:p w14:paraId="20B4302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（3）本工程产生的建筑垃圾、生活垃圾、临建搭拆及施工所需的设备、线材、辅材、人工等费用和乙方为履行本合同项下的义务而应承担的一切可预见或不可预见的费用。</w:t>
      </w:r>
    </w:p>
    <w:p w14:paraId="03EB629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2．除本工程价款外，甲方为实现本合同项下权益，无需再向乙方或任何第三方支付其他任何费用或款项。</w:t>
      </w:r>
    </w:p>
    <w:p w14:paraId="6917EE92">
      <w:pPr>
        <w:spacing w:line="360" w:lineRule="auto"/>
        <w:ind w:firstLine="480" w:firstLineChars="200"/>
        <w:rPr>
          <w:rFonts w:hint="default" w:ascii="仿宋_GB2312" w:eastAsia="仿宋_GB2312"/>
          <w:dstrike/>
          <w:color w:val="auto"/>
          <w:sz w:val="24"/>
          <w:highlight w:val="none"/>
        </w:rPr>
      </w:pPr>
      <w:r>
        <w:rPr>
          <w:rFonts w:hint="eastAsia" w:ascii="仿宋_GB2312" w:eastAsia="仿宋_GB2312"/>
          <w:color w:val="auto"/>
          <w:sz w:val="24"/>
          <w:highlight w:val="none"/>
        </w:rPr>
        <w:t>3．本合同在承包范围内</w:t>
      </w:r>
      <w:r>
        <w:rPr>
          <w:rFonts w:hint="eastAsia" w:ascii="仿宋_GB2312" w:eastAsia="仿宋_GB2312"/>
          <w:color w:val="auto"/>
          <w:sz w:val="24"/>
          <w:highlight w:val="none"/>
          <w:lang w:val="en-US" w:eastAsia="zh-CN"/>
        </w:rPr>
        <w:t>固定总价包干</w:t>
      </w:r>
      <w:r>
        <w:rPr>
          <w:rFonts w:hint="eastAsia" w:ascii="仿宋_GB2312" w:eastAsia="仿宋_GB2312"/>
          <w:color w:val="auto"/>
          <w:sz w:val="24"/>
          <w:highlight w:val="none"/>
        </w:rPr>
        <w:t>的方式承包，增值税按业务发生时国家增值税率计算。</w:t>
      </w:r>
    </w:p>
    <w:p w14:paraId="1E0F5FEA">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4．经甲方</w:t>
      </w:r>
      <w:r>
        <w:rPr>
          <w:rFonts w:hint="eastAsia" w:ascii="仿宋_GB2312" w:eastAsia="仿宋_GB2312"/>
          <w:color w:val="auto"/>
          <w:sz w:val="24"/>
          <w:highlight w:val="none"/>
          <w:lang w:val="en-US" w:eastAsia="zh-CN"/>
        </w:rPr>
        <w:t>书面</w:t>
      </w:r>
      <w:r>
        <w:rPr>
          <w:rFonts w:hint="eastAsia" w:ascii="仿宋_GB2312" w:eastAsia="仿宋_GB2312"/>
          <w:color w:val="auto"/>
          <w:sz w:val="24"/>
          <w:highlight w:val="none"/>
        </w:rPr>
        <w:t>确认后的施工图纸不得进行变更</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且未经双方书面确认，任何一方不得私自变更施工图纸</w:t>
      </w:r>
      <w:r>
        <w:rPr>
          <w:rFonts w:hint="eastAsia" w:ascii="仿宋_GB2312" w:eastAsia="仿宋_GB2312"/>
          <w:color w:val="auto"/>
          <w:sz w:val="24"/>
          <w:highlight w:val="none"/>
        </w:rPr>
        <w:t>。</w:t>
      </w:r>
    </w:p>
    <w:p w14:paraId="0CE8CA7B">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5．乙方在本合同签订前已到工地现场踏勘，已充分了解工地位置、场地情况、道路情况、安装空间、装卸限制及任何其他足以影响承包总价的情况，任何因忽视或误解工地情况导致的索赔（增补）或工期延长申请将不被批准。</w:t>
      </w:r>
    </w:p>
    <w:p w14:paraId="569E5FD0">
      <w:pP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6．乙方应具备相应的专业资格及丰富施工经验，在本合同签订前已综合考虑行业规范、政府要求、施工图纸、资料说明或专业交叉施工将要发生质量缺陷、验收风险等，任何因素导致的索赔（增补）或工期延长申请将不被批准。</w:t>
      </w:r>
    </w:p>
    <w:p w14:paraId="7A00694B">
      <w:pPr>
        <w:rPr>
          <w:rFonts w:hint="default"/>
          <w:color w:val="auto"/>
          <w:highlight w:val="none"/>
        </w:rPr>
      </w:pPr>
    </w:p>
    <w:p w14:paraId="3677DD4A">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五、工程质量技术要求</w:t>
      </w:r>
    </w:p>
    <w:p w14:paraId="0F4EADEA">
      <w:pPr>
        <w:wordWrap/>
        <w:topLinePunct w:val="0"/>
        <w:spacing w:line="360" w:lineRule="auto"/>
        <w:ind w:firstLine="480" w:firstLineChars="200"/>
        <w:rPr>
          <w:rFonts w:hint="eastAsia" w:ascii="仿宋_GB2312" w:eastAsia="仿宋_GB2312"/>
          <w:color w:val="auto"/>
          <w:sz w:val="24"/>
          <w:szCs w:val="24"/>
          <w:highlight w:val="none"/>
        </w:rPr>
      </w:pPr>
      <w:r>
        <w:rPr>
          <w:rFonts w:hint="eastAsia" w:ascii="仿宋_GB2312" w:eastAsia="仿宋_GB2312"/>
          <w:color w:val="auto"/>
          <w:sz w:val="24"/>
          <w:highlight w:val="none"/>
        </w:rPr>
        <w:t>1．</w:t>
      </w:r>
      <w:r>
        <w:rPr>
          <w:rFonts w:hint="eastAsia" w:ascii="仿宋_GB2312" w:eastAsia="仿宋_GB2312"/>
          <w:color w:val="auto"/>
          <w:sz w:val="24"/>
          <w:szCs w:val="24"/>
          <w:highlight w:val="none"/>
          <w:lang w:val="en-US" w:eastAsia="zh-CN"/>
        </w:rPr>
        <w:t>设计</w:t>
      </w:r>
      <w:r>
        <w:rPr>
          <w:rFonts w:hint="eastAsia" w:ascii="仿宋_GB2312" w:eastAsia="仿宋_GB2312"/>
          <w:color w:val="auto"/>
          <w:sz w:val="24"/>
          <w:szCs w:val="24"/>
          <w:highlight w:val="none"/>
        </w:rPr>
        <w:t>质量标准：</w:t>
      </w:r>
      <w:r>
        <w:rPr>
          <w:rFonts w:hint="eastAsia" w:ascii="仿宋_GB2312" w:eastAsia="仿宋_GB2312"/>
          <w:color w:val="auto"/>
          <w:sz w:val="24"/>
          <w:szCs w:val="24"/>
          <w:highlight w:val="none"/>
          <w:u w:val="none"/>
        </w:rPr>
        <w:t>本项目的设计过程和成果必须符合国家、广东省、东莞市颁布的有关设计方面的现行标准、规范、规程、定额、办法，满足招标人的相关功能需求，并通过招标人及有关部门</w:t>
      </w:r>
      <w:r>
        <w:rPr>
          <w:rFonts w:hint="eastAsia" w:ascii="仿宋_GB2312" w:eastAsia="仿宋_GB2312"/>
          <w:color w:val="auto"/>
          <w:sz w:val="24"/>
          <w:szCs w:val="24"/>
          <w:highlight w:val="none"/>
          <w:u w:val="none"/>
          <w:lang w:eastAsia="zh-CN"/>
        </w:rPr>
        <w:t>（</w:t>
      </w:r>
      <w:r>
        <w:rPr>
          <w:rFonts w:hint="eastAsia" w:ascii="仿宋_GB2312" w:eastAsia="仿宋_GB2312"/>
          <w:color w:val="auto"/>
          <w:sz w:val="24"/>
          <w:szCs w:val="24"/>
          <w:highlight w:val="none"/>
          <w:u w:val="none"/>
          <w:lang w:val="en-US" w:eastAsia="zh-CN"/>
        </w:rPr>
        <w:t>如涉及</w:t>
      </w:r>
      <w:r>
        <w:rPr>
          <w:rFonts w:hint="eastAsia" w:ascii="仿宋_GB2312" w:eastAsia="仿宋_GB2312"/>
          <w:color w:val="auto"/>
          <w:sz w:val="24"/>
          <w:szCs w:val="24"/>
          <w:highlight w:val="none"/>
          <w:u w:val="none"/>
          <w:lang w:eastAsia="zh-CN"/>
        </w:rPr>
        <w:t>）</w:t>
      </w:r>
      <w:r>
        <w:rPr>
          <w:rFonts w:hint="eastAsia" w:ascii="仿宋_GB2312" w:eastAsia="仿宋_GB2312"/>
          <w:color w:val="auto"/>
          <w:sz w:val="24"/>
          <w:szCs w:val="24"/>
          <w:highlight w:val="none"/>
          <w:u w:val="none"/>
        </w:rPr>
        <w:t>或专业审图机构的审查。在设计过程中，如果国家或有关部门颁发了新的技术标准或规范，应采用新的标准或规范进行设计</w:t>
      </w:r>
      <w:r>
        <w:rPr>
          <w:rFonts w:hint="eastAsia" w:ascii="仿宋_GB2312" w:eastAsia="仿宋_GB2312"/>
          <w:color w:val="auto"/>
          <w:sz w:val="24"/>
          <w:szCs w:val="24"/>
          <w:highlight w:val="none"/>
        </w:rPr>
        <w:t>。</w:t>
      </w:r>
    </w:p>
    <w:p w14:paraId="11D9710A">
      <w:pPr>
        <w:spacing w:line="360" w:lineRule="auto"/>
        <w:ind w:firstLine="480" w:firstLineChars="200"/>
        <w:rPr>
          <w:rFonts w:hint="eastAsia" w:ascii="仿宋_GB2312" w:eastAsia="仿宋_GB2312"/>
          <w:color w:val="auto"/>
          <w:sz w:val="24"/>
          <w:szCs w:val="24"/>
          <w:highlight w:val="none"/>
          <w:u w:val="none"/>
        </w:rPr>
      </w:pPr>
      <w:r>
        <w:rPr>
          <w:rFonts w:hint="eastAsia" w:ascii="仿宋_GB2312" w:eastAsia="仿宋_GB2312"/>
          <w:color w:val="auto"/>
          <w:sz w:val="24"/>
          <w:szCs w:val="24"/>
          <w:highlight w:val="none"/>
          <w:lang w:val="en-US" w:eastAsia="zh-CN"/>
        </w:rPr>
        <w:t>施工</w:t>
      </w:r>
      <w:r>
        <w:rPr>
          <w:rFonts w:hint="eastAsia" w:ascii="仿宋_GB2312" w:eastAsia="仿宋_GB2312"/>
          <w:color w:val="auto"/>
          <w:sz w:val="24"/>
          <w:szCs w:val="24"/>
          <w:highlight w:val="none"/>
        </w:rPr>
        <w:t>质量标准：</w:t>
      </w:r>
      <w:r>
        <w:rPr>
          <w:rFonts w:hint="eastAsia" w:ascii="仿宋_GB2312" w:eastAsia="仿宋_GB2312"/>
          <w:color w:val="auto"/>
          <w:sz w:val="24"/>
          <w:szCs w:val="24"/>
          <w:highlight w:val="none"/>
          <w:u w:val="none"/>
        </w:rPr>
        <w:t>执行国家、</w:t>
      </w:r>
      <w:r>
        <w:rPr>
          <w:rFonts w:hint="eastAsia" w:ascii="仿宋_GB2312" w:eastAsia="仿宋_GB2312"/>
          <w:color w:val="auto"/>
          <w:sz w:val="24"/>
          <w:szCs w:val="24"/>
          <w:highlight w:val="none"/>
          <w:u w:val="none"/>
          <w:lang w:val="en-US" w:eastAsia="zh-CN"/>
        </w:rPr>
        <w:t>东莞市</w:t>
      </w:r>
      <w:r>
        <w:rPr>
          <w:rFonts w:hint="eastAsia" w:ascii="仿宋_GB2312" w:eastAsia="仿宋_GB2312"/>
          <w:color w:val="auto"/>
          <w:sz w:val="24"/>
          <w:szCs w:val="24"/>
          <w:highlight w:val="none"/>
          <w:u w:val="none"/>
        </w:rPr>
        <w:t>或行业现行的工程建设质量验收标准及规范，</w:t>
      </w:r>
      <w:r>
        <w:rPr>
          <w:rFonts w:hint="eastAsia" w:ascii="仿宋_GB2312" w:eastAsia="仿宋_GB2312"/>
          <w:color w:val="auto"/>
          <w:sz w:val="24"/>
          <w:szCs w:val="24"/>
          <w:highlight w:val="none"/>
          <w:u w:val="none"/>
          <w:lang w:val="en-US" w:eastAsia="zh-CN"/>
        </w:rPr>
        <w:t>各工序环节</w:t>
      </w:r>
      <w:r>
        <w:rPr>
          <w:rFonts w:hint="eastAsia" w:ascii="仿宋_GB2312" w:eastAsia="仿宋_GB2312"/>
          <w:color w:val="auto"/>
          <w:sz w:val="24"/>
          <w:szCs w:val="24"/>
          <w:highlight w:val="none"/>
          <w:u w:val="none"/>
        </w:rPr>
        <w:t>须达到合格标准，</w:t>
      </w:r>
      <w:r>
        <w:rPr>
          <w:rFonts w:hint="eastAsia" w:ascii="仿宋_GB2312" w:eastAsia="仿宋_GB2312"/>
          <w:color w:val="auto"/>
          <w:sz w:val="24"/>
          <w:szCs w:val="24"/>
          <w:highlight w:val="none"/>
          <w:u w:val="none"/>
          <w:lang w:val="en-US" w:eastAsia="zh-CN"/>
        </w:rPr>
        <w:t>现场交、直流的交接试验应通过具备CNAS或CMA资质的检测单位检测</w:t>
      </w:r>
      <w:r>
        <w:rPr>
          <w:rFonts w:hint="eastAsia" w:ascii="仿宋_GB2312" w:eastAsia="仿宋_GB2312"/>
          <w:color w:val="auto"/>
          <w:sz w:val="24"/>
          <w:szCs w:val="24"/>
          <w:highlight w:val="none"/>
          <w:u w:val="none"/>
        </w:rPr>
        <w:t>并通过本市</w:t>
      </w:r>
      <w:r>
        <w:rPr>
          <w:rFonts w:hint="eastAsia" w:ascii="仿宋_GB2312" w:eastAsia="仿宋_GB2312"/>
          <w:color w:val="auto"/>
          <w:sz w:val="24"/>
          <w:szCs w:val="24"/>
          <w:highlight w:val="none"/>
          <w:u w:val="none"/>
          <w:lang w:val="en-US" w:eastAsia="zh-CN"/>
        </w:rPr>
        <w:t>相关部门及甲方</w:t>
      </w:r>
      <w:r>
        <w:rPr>
          <w:rFonts w:hint="eastAsia" w:ascii="仿宋_GB2312" w:eastAsia="仿宋_GB2312"/>
          <w:color w:val="auto"/>
          <w:sz w:val="24"/>
          <w:szCs w:val="24"/>
          <w:highlight w:val="none"/>
          <w:u w:val="none"/>
        </w:rPr>
        <w:t>验收合格，保证按时</w:t>
      </w:r>
      <w:r>
        <w:rPr>
          <w:rFonts w:hint="eastAsia" w:ascii="仿宋_GB2312" w:eastAsia="仿宋_GB2312"/>
          <w:color w:val="auto"/>
          <w:sz w:val="24"/>
          <w:szCs w:val="24"/>
          <w:highlight w:val="none"/>
          <w:u w:val="none"/>
          <w:lang w:val="en-US" w:eastAsia="zh-CN"/>
        </w:rPr>
        <w:t>通电</w:t>
      </w:r>
      <w:r>
        <w:rPr>
          <w:rFonts w:hint="eastAsia" w:ascii="仿宋_GB2312" w:eastAsia="仿宋_GB2312"/>
          <w:color w:val="auto"/>
          <w:sz w:val="24"/>
          <w:szCs w:val="24"/>
          <w:highlight w:val="none"/>
          <w:u w:val="none"/>
        </w:rPr>
        <w:t>投运。</w:t>
      </w:r>
    </w:p>
    <w:p w14:paraId="06883B5F">
      <w:pPr>
        <w:spacing w:line="360" w:lineRule="auto"/>
        <w:ind w:firstLine="480" w:firstLineChars="200"/>
        <w:rPr>
          <w:rFonts w:hint="eastAsia" w:ascii="仿宋_GB2312" w:eastAsia="仿宋_GB2312"/>
          <w:color w:val="auto"/>
          <w:sz w:val="24"/>
          <w:highlight w:val="none"/>
          <w:u w:val="none"/>
          <w:lang w:val="en-US" w:eastAsia="zh-CN"/>
        </w:rPr>
      </w:pPr>
      <w:r>
        <w:rPr>
          <w:rFonts w:hint="eastAsia" w:ascii="仿宋_GB2312" w:eastAsia="仿宋_GB2312"/>
          <w:color w:val="auto"/>
          <w:sz w:val="24"/>
          <w:highlight w:val="none"/>
          <w:u w:val="none"/>
          <w:lang w:val="en-US" w:eastAsia="zh-CN"/>
        </w:rPr>
        <w:t>具体技术规范：</w:t>
      </w:r>
      <w:r>
        <w:rPr>
          <w:rFonts w:hint="eastAsia" w:ascii="仿宋_GB2312" w:eastAsia="仿宋_GB2312" w:hAnsiTheme="minorHAnsi" w:cstheme="minorBidi"/>
          <w:color w:val="auto"/>
          <w:sz w:val="24"/>
          <w:szCs w:val="24"/>
          <w:highlight w:val="none"/>
          <w:u w:val="none"/>
        </w:rPr>
        <w:t>符合</w:t>
      </w:r>
      <w:r>
        <w:rPr>
          <w:rFonts w:hint="default" w:ascii="仿宋_GB2312" w:eastAsia="仿宋_GB2312"/>
          <w:color w:val="auto"/>
          <w:sz w:val="24"/>
          <w:highlight w:val="none"/>
          <w:u w:val="none"/>
          <w:lang w:val="en-US" w:eastAsia="zh-CN"/>
        </w:rPr>
        <w:t>《电动汽车充电站设计标准》GB/T 50966-2024</w:t>
      </w:r>
      <w:r>
        <w:rPr>
          <w:rFonts w:hint="eastAsia" w:ascii="仿宋_GB2312" w:eastAsia="仿宋_GB2312"/>
          <w:color w:val="auto"/>
          <w:sz w:val="24"/>
          <w:highlight w:val="none"/>
          <w:u w:val="none"/>
          <w:lang w:val="en-US" w:eastAsia="zh-CN"/>
        </w:rPr>
        <w:t>、《东莞市充换电基础设施规范设计、施工建设、运行维护、安全管理技术规范》T/DGDLHX 001-2003、《低压配电设计规范》(GB50054-2011)、《建筑设计</w:t>
      </w:r>
      <w:r>
        <w:rPr>
          <w:rFonts w:hint="eastAsia" w:ascii="仿宋_GB2312" w:eastAsia="仿宋_GB2312" w:hAnsiTheme="minorHAnsi" w:cstheme="minorBidi"/>
          <w:color w:val="auto"/>
          <w:sz w:val="24"/>
          <w:szCs w:val="24"/>
          <w:highlight w:val="none"/>
          <w:u w:val="none"/>
        </w:rPr>
        <w:t>防火规范》(GB50016-2014)、</w:t>
      </w:r>
      <w:r>
        <w:rPr>
          <w:rFonts w:hint="eastAsia" w:ascii="仿宋_GB2312" w:eastAsia="仿宋_GB2312"/>
          <w:color w:val="auto"/>
          <w:sz w:val="24"/>
          <w:highlight w:val="none"/>
          <w:u w:val="none"/>
          <w:lang w:val="en-US" w:eastAsia="zh-CN"/>
        </w:rPr>
        <w:t>《建筑灭火器配置设计规范</w:t>
      </w:r>
      <w:r>
        <w:rPr>
          <w:rFonts w:hint="eastAsia" w:ascii="仿宋_GB2312" w:eastAsia="仿宋_GB2312" w:hAnsiTheme="minorHAnsi" w:cstheme="minorBidi"/>
          <w:color w:val="auto"/>
          <w:sz w:val="24"/>
          <w:szCs w:val="24"/>
          <w:highlight w:val="none"/>
          <w:u w:val="none"/>
        </w:rPr>
        <w:t>》</w:t>
      </w:r>
      <w:r>
        <w:rPr>
          <w:rFonts w:hint="eastAsia" w:ascii="仿宋_GB2312" w:eastAsia="仿宋_GB2312"/>
          <w:color w:val="auto"/>
          <w:sz w:val="24"/>
          <w:highlight w:val="none"/>
          <w:u w:val="none"/>
          <w:lang w:val="en-US" w:eastAsia="zh-CN"/>
        </w:rPr>
        <w:t>（GB 50140）、《建筑物防雷设计规范》(GB50057-2010)</w:t>
      </w:r>
      <w:r>
        <w:rPr>
          <w:rFonts w:hint="eastAsia" w:ascii="仿宋_GB2312" w:eastAsia="仿宋_GB2312" w:hAnsiTheme="minorHAnsi" w:cstheme="minorBidi"/>
          <w:color w:val="auto"/>
          <w:sz w:val="24"/>
          <w:szCs w:val="24"/>
          <w:highlight w:val="none"/>
          <w:u w:val="none"/>
        </w:rPr>
        <w:t>、《电力工程电缆设计规范》(GB50217-2018)。</w:t>
      </w:r>
    </w:p>
    <w:p w14:paraId="66CBB732">
      <w:pPr>
        <w:spacing w:line="360" w:lineRule="auto"/>
        <w:ind w:firstLine="480" w:firstLineChars="200"/>
        <w:rPr>
          <w:rFonts w:hint="eastAsia" w:ascii="仿宋_GB2312" w:eastAsia="仿宋_GB2312"/>
          <w:color w:val="auto"/>
          <w:sz w:val="24"/>
          <w:highlight w:val="none"/>
          <w:u w:val="none"/>
          <w:lang w:val="en-US" w:eastAsia="zh-CN"/>
        </w:rPr>
      </w:pPr>
      <w:r>
        <w:rPr>
          <w:rFonts w:hint="eastAsia" w:ascii="仿宋_GB2312" w:eastAsia="仿宋_GB2312"/>
          <w:color w:val="auto"/>
          <w:sz w:val="24"/>
          <w:highlight w:val="none"/>
          <w:u w:val="none"/>
          <w:lang w:val="en-US" w:eastAsia="zh-CN"/>
        </w:rPr>
        <w:t>甲方按本合同约定技术规范、经甲方审批的施工图纸、设计变更文件及双方书面确认的其他文件作为验收客观判断标准。</w:t>
      </w:r>
    </w:p>
    <w:p w14:paraId="60989774">
      <w:pPr>
        <w:numPr>
          <w:ilvl w:val="0"/>
          <w:numId w:val="1"/>
        </w:numP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在本工程开工前，乙方应向甲方报送材料、设备清单，并须经甲方审核同意，乙方须按经甲方审核同意的材料、设备品牌、规格清单中的要求执行。乙方采购的材料、设备的品牌、型号、规格、质量标准等应与甲方招标技术要求及本合同约定的一致。设备的技术参数应与施工图纸审查意见书一致。若乙方在本工程现场使用的材料、设备与本合同约定的不一致，甲方有权要求乙方在2小时内把不符约定的材料、设备清运出施工现场，已经使用的，必须拆换或者拆除重新返工，由此发生的费用和损失全部由乙方承担，且工期不予顺延；同时乙方应按本合同第十二条第7款的约定承担违约责任。</w:t>
      </w:r>
    </w:p>
    <w:p w14:paraId="0AB4AF8A">
      <w:pPr>
        <w:numPr>
          <w:ilvl w:val="0"/>
          <w:numId w:val="1"/>
        </w:numPr>
        <w:spacing w:line="360" w:lineRule="auto"/>
        <w:ind w:firstLine="480" w:firstLineChars="200"/>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充电桩设备</w:t>
      </w:r>
      <w:r>
        <w:rPr>
          <w:rFonts w:hint="default" w:ascii="仿宋_GB2312" w:eastAsia="仿宋_GB2312"/>
          <w:color w:val="auto"/>
          <w:sz w:val="24"/>
          <w:highlight w:val="none"/>
          <w:lang w:val="en-US" w:eastAsia="zh-CN"/>
        </w:rPr>
        <w:t>选用华为、</w:t>
      </w:r>
      <w:r>
        <w:rPr>
          <w:rFonts w:hint="eastAsia" w:ascii="仿宋_GB2312" w:eastAsia="仿宋_GB2312"/>
          <w:color w:val="auto"/>
          <w:sz w:val="24"/>
          <w:highlight w:val="none"/>
          <w:lang w:val="en-US" w:eastAsia="zh-CN"/>
        </w:rPr>
        <w:t>特来电、星星充电</w:t>
      </w:r>
      <w:r>
        <w:rPr>
          <w:rFonts w:hint="default" w:ascii="仿宋_GB2312" w:eastAsia="仿宋_GB2312"/>
          <w:color w:val="auto"/>
          <w:sz w:val="24"/>
          <w:highlight w:val="none"/>
          <w:lang w:val="en-US" w:eastAsia="zh-CN"/>
        </w:rPr>
        <w:t>或具备同等质量的品牌;视频监控品牌选用海康威视、大华科技或具备同等质量的品牌</w:t>
      </w:r>
      <w:r>
        <w:rPr>
          <w:rFonts w:hint="eastAsia" w:ascii="仿宋_GB2312" w:eastAsia="仿宋_GB2312"/>
          <w:color w:val="auto"/>
          <w:sz w:val="24"/>
          <w:highlight w:val="none"/>
          <w:lang w:val="en-US" w:eastAsia="zh-CN"/>
        </w:rPr>
        <w:t>。</w:t>
      </w:r>
    </w:p>
    <w:p w14:paraId="7B2C4AFC">
      <w:pPr>
        <w:numPr>
          <w:ilvl w:val="0"/>
          <w:numId w:val="1"/>
        </w:num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乙方所供应的所有设备、材料须为国标产品，应符合国家或行业规定的合格质量</w:t>
      </w:r>
      <w:r>
        <w:rPr>
          <w:rFonts w:hint="eastAsia" w:ascii="仿宋_GB2312" w:eastAsia="仿宋_GB2312"/>
          <w:color w:val="auto"/>
          <w:sz w:val="24"/>
          <w:highlight w:val="none"/>
        </w:rPr>
        <w:t>标准，品牌、型号规格等必须符合本工程招标文件技术要求约定。</w:t>
      </w:r>
    </w:p>
    <w:p w14:paraId="0C9B0AAB">
      <w:pP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lang w:val="en-US" w:eastAsia="zh-CN"/>
        </w:rPr>
        <w:t>5</w:t>
      </w:r>
      <w:r>
        <w:rPr>
          <w:rFonts w:hint="eastAsia" w:ascii="仿宋_GB2312" w:eastAsia="仿宋_GB2312"/>
          <w:color w:val="auto"/>
          <w:sz w:val="24"/>
          <w:highlight w:val="none"/>
        </w:rPr>
        <w:t>．乙方须保证其所供应的所有设备、材料有合法来源且甲方有权在</w:t>
      </w:r>
      <w:r>
        <w:rPr>
          <w:rFonts w:hint="eastAsia" w:ascii="仿宋_GB2312" w:eastAsia="仿宋_GB2312"/>
          <w:color w:val="auto"/>
          <w:sz w:val="24"/>
          <w:highlight w:val="none"/>
          <w:lang w:val="en-US" w:eastAsia="zh-CN"/>
        </w:rPr>
        <w:t>现场</w:t>
      </w:r>
      <w:r>
        <w:rPr>
          <w:rFonts w:hint="eastAsia" w:ascii="仿宋_GB2312" w:eastAsia="仿宋_GB2312"/>
          <w:color w:val="auto"/>
          <w:sz w:val="24"/>
          <w:highlight w:val="none"/>
        </w:rPr>
        <w:t>合法使用。任何涉及本合同设备或工程的非法使用、包括但不限于知识产权侵权或任何第三方针对甲方的索赔或控诉，应由乙方出面代表甲方处理此类索赔或控诉并承担一切法律责任和因此给甲方造成的任何损失及费用。</w:t>
      </w:r>
    </w:p>
    <w:p w14:paraId="14E490AF">
      <w:pPr>
        <w:spacing w:line="360" w:lineRule="auto"/>
        <w:ind w:firstLine="480" w:firstLineChars="200"/>
        <w:rPr>
          <w:rFonts w:hint="eastAsia" w:ascii="仿宋_GB2312" w:eastAsia="仿宋_GB2312" w:hAnsiTheme="minorHAnsi" w:cstheme="minorBidi"/>
          <w:b w:val="0"/>
          <w:bCs w:val="0"/>
          <w:color w:val="auto"/>
          <w:kern w:val="2"/>
          <w:sz w:val="24"/>
          <w:szCs w:val="24"/>
          <w:highlight w:val="none"/>
          <w:lang w:val="en-US" w:eastAsia="zh-CN" w:bidi="ar-SA"/>
        </w:rPr>
      </w:pPr>
      <w:r>
        <w:rPr>
          <w:rFonts w:hint="eastAsia" w:ascii="仿宋_GB2312" w:eastAsia="仿宋_GB2312"/>
          <w:color w:val="auto"/>
          <w:sz w:val="24"/>
          <w:highlight w:val="none"/>
          <w:lang w:val="en-US" w:eastAsia="zh-CN"/>
        </w:rPr>
        <w:t>6.</w:t>
      </w:r>
      <w:r>
        <w:rPr>
          <w:rFonts w:hint="eastAsia" w:ascii="仿宋_GB2312" w:eastAsia="仿宋_GB2312" w:hAnsiTheme="minorHAnsi" w:cstheme="minorBidi"/>
          <w:b w:val="0"/>
          <w:bCs w:val="0"/>
          <w:color w:val="auto"/>
          <w:kern w:val="2"/>
          <w:sz w:val="24"/>
          <w:szCs w:val="24"/>
          <w:highlight w:val="none"/>
          <w:lang w:val="en-US" w:eastAsia="zh-CN" w:bidi="ar-SA"/>
        </w:rPr>
        <w:t>乙方需确保本工程通过当地消防、供电等主管部门（如涉及）的专项验收，未通过专项验收的，视为工程验收不合格，乙方需承担整改至合格的全部责任且工期不予顺延。</w:t>
      </w:r>
    </w:p>
    <w:p w14:paraId="3B8D7D24">
      <w:pPr>
        <w:pStyle w:val="2"/>
        <w:rPr>
          <w:highlight w:val="none"/>
        </w:rPr>
      </w:pPr>
    </w:p>
    <w:p w14:paraId="5BE2DBC0">
      <w:pPr>
        <w:spacing w:line="360" w:lineRule="auto"/>
        <w:rPr>
          <w:rFonts w:hint="default" w:ascii="仿宋_GB2312" w:eastAsia="仿宋_GB2312"/>
          <w:b/>
          <w:color w:val="auto"/>
          <w:sz w:val="24"/>
          <w:highlight w:val="none"/>
          <w:lang w:val="en-US" w:eastAsia="zh-CN"/>
        </w:rPr>
      </w:pPr>
      <w:r>
        <w:rPr>
          <w:rFonts w:hint="eastAsia" w:ascii="仿宋_GB2312" w:eastAsia="仿宋_GB2312"/>
          <w:b/>
          <w:color w:val="auto"/>
          <w:sz w:val="24"/>
          <w:highlight w:val="none"/>
        </w:rPr>
        <w:t>六、履约担保</w:t>
      </w:r>
      <w:r>
        <w:rPr>
          <w:rFonts w:hint="eastAsia" w:ascii="仿宋_GB2312" w:eastAsia="仿宋_GB2312"/>
          <w:b/>
          <w:color w:val="auto"/>
          <w:sz w:val="24"/>
          <w:highlight w:val="none"/>
          <w:lang w:val="en-US" w:eastAsia="zh-CN"/>
        </w:rPr>
        <w:t>与保险</w:t>
      </w:r>
    </w:p>
    <w:p w14:paraId="6D059209">
      <w:pPr>
        <w:spacing w:line="360" w:lineRule="auto"/>
        <w:ind w:firstLine="480" w:firstLineChars="200"/>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1、履约担保</w:t>
      </w:r>
    </w:p>
    <w:p w14:paraId="410FD4BB">
      <w:pPr>
        <w:spacing w:line="360" w:lineRule="auto"/>
        <w:ind w:firstLine="480" w:firstLineChars="200"/>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乙方应自本合同签订之日起7天内，按合同总价的10%向甲方缴纳履约保证金(以电汇、银行转账的方式提交至甲方指定账户)或提交履约保函(应由银行机构开具，有效期应覆盖至项目竣工验收合格后【90】日，不接受担保公司出具的保函);工程全部竣工验收合格且乙方无违约行为情况的，甲方在全部工程竣工结算后无息退回履约保证金；乙方提交履约保函的，保函应在前述有效期内持续有效。</w:t>
      </w:r>
    </w:p>
    <w:p w14:paraId="662191C5">
      <w:pPr>
        <w:spacing w:line="360" w:lineRule="auto"/>
        <w:ind w:firstLine="480" w:firstLineChars="200"/>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2、保险条例</w:t>
      </w:r>
    </w:p>
    <w:p w14:paraId="3C85CA6D">
      <w:pPr>
        <w:spacing w:line="360" w:lineRule="auto"/>
        <w:ind w:firstLine="480" w:firstLineChars="200"/>
        <w:rPr>
          <w:rFonts w:hint="eastAsia" w:ascii="仿宋_GB2312" w:eastAsia="仿宋_GB2312"/>
          <w:sz w:val="24"/>
          <w:highlight w:val="none"/>
          <w:lang w:val="en-US" w:eastAsia="zh-CN"/>
        </w:rPr>
      </w:pPr>
      <w:r>
        <w:rPr>
          <w:rFonts w:hint="eastAsia" w:ascii="仿宋_GB2312" w:eastAsia="仿宋_GB2312"/>
          <w:sz w:val="24"/>
          <w:highlight w:val="none"/>
          <w:lang w:val="en-US" w:eastAsia="zh-CN"/>
        </w:rPr>
        <w:t>（1）乙方应在项目开工前完成办理本项目建筑安装工程一切险等保险、第三者责任险、施工人员工伤保险/意外保险。</w:t>
      </w:r>
    </w:p>
    <w:p w14:paraId="2482C80D">
      <w:pPr>
        <w:spacing w:line="360" w:lineRule="auto"/>
        <w:ind w:firstLine="480" w:firstLineChars="200"/>
        <w:rPr>
          <w:rFonts w:hint="eastAsia" w:ascii="仿宋_GB2312" w:eastAsia="仿宋_GB2312"/>
          <w:sz w:val="24"/>
          <w:highlight w:val="none"/>
          <w:lang w:val="en-US" w:eastAsia="zh-CN"/>
        </w:rPr>
      </w:pPr>
      <w:r>
        <w:rPr>
          <w:rFonts w:hint="eastAsia" w:ascii="仿宋_GB2312" w:eastAsia="仿宋_GB2312"/>
          <w:sz w:val="24"/>
          <w:highlight w:val="none"/>
          <w:lang w:val="en-US" w:eastAsia="zh-CN"/>
        </w:rPr>
        <w:t>（2）承包人应按照合同约定向双方同意的保险人投保建筑安装工程一切险等保险。具体的投保险种、保险范围、保险金额、保险费率、保险期限等有关内容应当在专用合同条件中明确约定，该保险的费用由承包人承担。</w:t>
      </w:r>
    </w:p>
    <w:p w14:paraId="6F352BF8">
      <w:pPr>
        <w:spacing w:line="360" w:lineRule="auto"/>
        <w:ind w:firstLine="480" w:firstLineChars="200"/>
        <w:rPr>
          <w:rFonts w:hint="eastAsia" w:ascii="仿宋_GB2312" w:eastAsia="仿宋_GB2312"/>
          <w:sz w:val="24"/>
          <w:highlight w:val="none"/>
          <w:lang w:val="en-US" w:eastAsia="zh-CN"/>
        </w:rPr>
      </w:pPr>
      <w:r>
        <w:rPr>
          <w:rFonts w:hint="eastAsia" w:ascii="仿宋_GB2312" w:eastAsia="仿宋_GB2312"/>
          <w:sz w:val="24"/>
          <w:highlight w:val="none"/>
          <w:lang w:val="en-US" w:eastAsia="zh-CN"/>
        </w:rPr>
        <w:t>（3）承包人应按照合同条件的约定投保第三者责任险，并在缺陷责任期终止证书颁发前维持其持续有效。第三者责任险最低投保额应在专用合同条件内约定，该保险的费用由承包人承担。</w:t>
      </w:r>
    </w:p>
    <w:p w14:paraId="5A0CF90F">
      <w:pPr>
        <w:spacing w:line="360" w:lineRule="auto"/>
        <w:ind w:firstLine="480" w:firstLineChars="200"/>
        <w:rPr>
          <w:rFonts w:hint="eastAsia" w:ascii="仿宋_GB2312" w:eastAsia="仿宋_GB2312"/>
          <w:sz w:val="24"/>
          <w:highlight w:val="none"/>
          <w:lang w:val="en-US" w:eastAsia="zh-CN"/>
        </w:rPr>
      </w:pPr>
      <w:r>
        <w:rPr>
          <w:rFonts w:hint="eastAsia" w:ascii="仿宋_GB2312" w:eastAsia="仿宋_GB2312"/>
          <w:sz w:val="24"/>
          <w:highlight w:val="none"/>
          <w:lang w:val="en-US" w:eastAsia="zh-CN"/>
        </w:rPr>
        <w:t>（4）承包人应依照法律规定为其履行合同雇用的全部人员办理工伤保险，缴纳工伤保险费，并要求分包人及由承包人为履行合同聘请的第三方雇用的全部人员依法办理工伤保险。</w:t>
      </w:r>
    </w:p>
    <w:p w14:paraId="4BB2ED0E">
      <w:pPr>
        <w:pStyle w:val="2"/>
        <w:rPr>
          <w:rFonts w:hint="eastAsia"/>
          <w:highlight w:val="none"/>
          <w:lang w:val="en-US" w:eastAsia="zh-CN"/>
        </w:rPr>
      </w:pPr>
    </w:p>
    <w:p w14:paraId="0D9C24F9">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七、付款方式与工程结算</w:t>
      </w:r>
    </w:p>
    <w:p w14:paraId="13C6028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（一）付款方式：</w:t>
      </w:r>
    </w:p>
    <w:p w14:paraId="45219D91">
      <w:pPr>
        <w:spacing w:line="360" w:lineRule="auto"/>
        <w:ind w:firstLine="480" w:firstLineChars="200"/>
        <w:rPr>
          <w:color w:val="auto"/>
          <w:highlight w:val="none"/>
        </w:rPr>
      </w:pPr>
      <w:r>
        <w:rPr>
          <w:rFonts w:hint="default" w:ascii="仿宋_GB2312" w:eastAsia="仿宋_GB2312"/>
          <w:color w:val="auto"/>
          <w:sz w:val="24"/>
          <w:highlight w:val="none"/>
        </w:rPr>
        <w:t>1、</w:t>
      </w:r>
      <w:r>
        <w:rPr>
          <w:rFonts w:hint="eastAsia" w:ascii="仿宋_GB2312" w:eastAsia="仿宋_GB2312"/>
          <w:color w:val="auto"/>
          <w:sz w:val="24"/>
          <w:highlight w:val="none"/>
        </w:rPr>
        <w:t>预付</w:t>
      </w:r>
      <w:r>
        <w:rPr>
          <w:rFonts w:hint="default" w:ascii="仿宋_GB2312" w:eastAsia="仿宋_GB2312"/>
          <w:color w:val="auto"/>
          <w:sz w:val="24"/>
          <w:highlight w:val="none"/>
        </w:rPr>
        <w:t>款支付：本项目无预付款。</w:t>
      </w:r>
    </w:p>
    <w:p w14:paraId="3F4B489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w:t>
      </w:r>
      <w:r>
        <w:rPr>
          <w:rFonts w:hint="default" w:ascii="仿宋_GB2312" w:eastAsia="仿宋_GB2312"/>
          <w:color w:val="auto"/>
          <w:sz w:val="24"/>
          <w:highlight w:val="none"/>
        </w:rPr>
        <w:t>、</w:t>
      </w:r>
      <w:r>
        <w:rPr>
          <w:rFonts w:hint="eastAsia" w:ascii="仿宋_GB2312" w:eastAsia="仿宋_GB2312"/>
          <w:color w:val="auto"/>
          <w:sz w:val="24"/>
          <w:highlight w:val="none"/>
          <w:lang w:val="en-US" w:eastAsia="zh-CN"/>
        </w:rPr>
        <w:t>工程款</w:t>
      </w:r>
      <w:r>
        <w:rPr>
          <w:rFonts w:hint="default" w:ascii="仿宋_GB2312" w:eastAsia="仿宋_GB2312"/>
          <w:color w:val="auto"/>
          <w:sz w:val="24"/>
          <w:highlight w:val="none"/>
        </w:rPr>
        <w:t>款支付：</w:t>
      </w:r>
    </w:p>
    <w:p w14:paraId="239D477F">
      <w:pPr>
        <w:spacing w:line="360" w:lineRule="auto"/>
        <w:ind w:firstLine="720" w:firstLineChars="300"/>
        <w:rPr>
          <w:rFonts w:hint="default" w:ascii="仿宋_GB2312" w:eastAsia="仿宋_GB2312"/>
          <w:color w:val="auto"/>
          <w:sz w:val="24"/>
          <w:highlight w:val="none"/>
        </w:rPr>
      </w:pPr>
      <w:r>
        <w:rPr>
          <w:rFonts w:hint="default" w:ascii="仿宋_GB2312" w:eastAsia="仿宋_GB2312"/>
          <w:color w:val="auto"/>
          <w:sz w:val="24"/>
          <w:highlight w:val="none"/>
        </w:rPr>
        <w:t>(1)支付原则:乙方在申请进度款之前，应先自行确认是否满足支付条件后，邀请发包人现场代表确认，并在提交请款资料之前，缴清因承包人在工程实施过程中因违规或违章作业所产生的全部违规罚款。</w:t>
      </w:r>
    </w:p>
    <w:p w14:paraId="13D758E2">
      <w:pPr>
        <w:spacing w:line="360" w:lineRule="auto"/>
        <w:ind w:firstLine="480" w:firstLineChars="200"/>
        <w:rPr>
          <w:rFonts w:hint="default" w:ascii="仿宋_GB2312" w:eastAsia="仿宋_GB2312"/>
          <w:color w:val="auto"/>
          <w:sz w:val="24"/>
          <w:highlight w:val="none"/>
          <w:lang w:val="en-US" w:eastAsia="zh-CN"/>
        </w:rPr>
      </w:pP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2</w:t>
      </w: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进度款：在规定期限内提供相关资料并负责取得备案许可证，办理完成各种与本工程相关的报建、报装手续及施工所需设计图、开工报审、许可、证件等文件，包括但不限于办理施工许可证、报建手续、开工令相关文件等工作，同时完成视频监控系统(甲方负责人指定位置)安装投运并移交安全管理部(通电投运后再移交运营部)。待满足开工条件且取得甲方签证的开工报审页后，乙方可向甲方申请支付合同总金额的30%。</w:t>
      </w:r>
    </w:p>
    <w:p w14:paraId="6536B5FB">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3</w:t>
      </w: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进度款：</w:t>
      </w:r>
      <w:r>
        <w:rPr>
          <w:rFonts w:hint="eastAsia" w:ascii="仿宋_GB2312" w:eastAsia="仿宋_GB2312"/>
          <w:color w:val="auto"/>
          <w:sz w:val="24"/>
          <w:highlight w:val="none"/>
        </w:rPr>
        <w:t>项目安装、调试完毕并经</w:t>
      </w:r>
      <w:r>
        <w:rPr>
          <w:rFonts w:hint="eastAsia" w:ascii="仿宋_GB2312" w:eastAsia="仿宋_GB2312"/>
          <w:color w:val="auto"/>
          <w:sz w:val="24"/>
          <w:highlight w:val="none"/>
          <w:lang w:val="en-US" w:eastAsia="zh-CN"/>
        </w:rPr>
        <w:t>甲方或</w:t>
      </w:r>
      <w:r>
        <w:rPr>
          <w:rFonts w:hint="eastAsia" w:ascii="仿宋_GB2312" w:eastAsia="仿宋_GB2312"/>
          <w:color w:val="auto"/>
          <w:sz w:val="24"/>
          <w:highlight w:val="none"/>
        </w:rPr>
        <w:t>相关部门验收合格，同时能够投入使用后,</w:t>
      </w:r>
      <w:r>
        <w:rPr>
          <w:rFonts w:hint="eastAsia" w:ascii="仿宋_GB2312" w:eastAsia="仿宋_GB2312"/>
          <w:color w:val="auto"/>
          <w:sz w:val="24"/>
          <w:highlight w:val="none"/>
          <w:lang w:val="en-US" w:eastAsia="zh-CN"/>
        </w:rPr>
        <w:t>乙方</w:t>
      </w:r>
      <w:r>
        <w:rPr>
          <w:rFonts w:hint="eastAsia" w:ascii="仿宋_GB2312" w:eastAsia="仿宋_GB2312"/>
          <w:color w:val="auto"/>
          <w:sz w:val="24"/>
          <w:highlight w:val="none"/>
        </w:rPr>
        <w:t>可向</w:t>
      </w:r>
      <w:r>
        <w:rPr>
          <w:rFonts w:hint="eastAsia" w:ascii="仿宋_GB2312" w:eastAsia="仿宋_GB2312"/>
          <w:color w:val="auto"/>
          <w:sz w:val="24"/>
          <w:highlight w:val="none"/>
          <w:lang w:val="en-US" w:eastAsia="zh-CN"/>
        </w:rPr>
        <w:t>甲方</w:t>
      </w:r>
      <w:r>
        <w:rPr>
          <w:rFonts w:hint="eastAsia" w:ascii="仿宋_GB2312" w:eastAsia="仿宋_GB2312"/>
          <w:color w:val="auto"/>
          <w:sz w:val="24"/>
          <w:highlight w:val="none"/>
        </w:rPr>
        <w:t>申请支付合同总金额的40%。</w:t>
      </w:r>
    </w:p>
    <w:p w14:paraId="5F81C676">
      <w:pPr>
        <w:spacing w:line="360" w:lineRule="auto"/>
        <w:ind w:firstLine="480" w:firstLineChars="200"/>
        <w:rPr>
          <w:rFonts w:hint="default"/>
          <w:highlight w:val="none"/>
        </w:rPr>
      </w:pP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4</w:t>
      </w: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验收结算款：</w:t>
      </w:r>
      <w:r>
        <w:rPr>
          <w:rFonts w:hint="eastAsia" w:ascii="仿宋_GB2312" w:eastAsia="仿宋_GB2312"/>
          <w:color w:val="auto"/>
          <w:sz w:val="24"/>
          <w:highlight w:val="none"/>
        </w:rPr>
        <w:t>项目通过竣工验收并移交竣工资料，同时办理完成结算后，</w:t>
      </w:r>
      <w:r>
        <w:rPr>
          <w:rFonts w:hint="eastAsia" w:ascii="仿宋_GB2312" w:eastAsia="仿宋_GB2312"/>
          <w:color w:val="auto"/>
          <w:sz w:val="24"/>
          <w:highlight w:val="none"/>
          <w:lang w:val="en-US" w:eastAsia="zh-CN"/>
        </w:rPr>
        <w:t>乙方</w:t>
      </w:r>
      <w:r>
        <w:rPr>
          <w:rFonts w:hint="eastAsia" w:ascii="仿宋_GB2312" w:eastAsia="仿宋_GB2312"/>
          <w:color w:val="auto"/>
          <w:sz w:val="24"/>
          <w:highlight w:val="none"/>
        </w:rPr>
        <w:t>提交符合甲方要求的请款资料及足额的增值税专用发票，</w:t>
      </w:r>
      <w:r>
        <w:rPr>
          <w:rFonts w:hint="eastAsia" w:ascii="仿宋_GB2312" w:eastAsia="仿宋_GB2312"/>
          <w:color w:val="auto"/>
          <w:sz w:val="24"/>
          <w:highlight w:val="none"/>
          <w:lang w:val="en-US" w:eastAsia="zh-CN"/>
        </w:rPr>
        <w:t>甲方</w:t>
      </w:r>
      <w:r>
        <w:rPr>
          <w:rFonts w:hint="eastAsia" w:ascii="仿宋_GB2312" w:eastAsia="仿宋_GB2312"/>
          <w:color w:val="auto"/>
          <w:sz w:val="24"/>
          <w:highlight w:val="none"/>
        </w:rPr>
        <w:t>在收到相应请款资料及发票后向</w:t>
      </w:r>
      <w:r>
        <w:rPr>
          <w:rFonts w:hint="eastAsia" w:ascii="仿宋_GB2312" w:eastAsia="仿宋_GB2312"/>
          <w:color w:val="auto"/>
          <w:sz w:val="24"/>
          <w:highlight w:val="none"/>
          <w:lang w:val="en-US" w:eastAsia="zh-CN"/>
        </w:rPr>
        <w:t>乙方</w:t>
      </w:r>
      <w:r>
        <w:rPr>
          <w:rFonts w:hint="eastAsia" w:ascii="仿宋_GB2312" w:eastAsia="仿宋_GB2312"/>
          <w:color w:val="auto"/>
          <w:sz w:val="24"/>
          <w:highlight w:val="none"/>
        </w:rPr>
        <w:t>支付至合同总价的97%</w:t>
      </w:r>
      <w:r>
        <w:rPr>
          <w:rFonts w:hint="eastAsia" w:ascii="仿宋_GB2312" w:eastAsia="仿宋_GB2312"/>
          <w:color w:val="auto"/>
          <w:sz w:val="24"/>
          <w:highlight w:val="none"/>
          <w:lang w:val="en-US" w:eastAsia="zh-CN"/>
        </w:rPr>
        <w:t>，</w:t>
      </w:r>
      <w:r>
        <w:rPr>
          <w:rFonts w:hint="eastAsia" w:ascii="仿宋_GB2312" w:eastAsia="仿宋_GB2312"/>
          <w:color w:val="auto"/>
          <w:sz w:val="24"/>
          <w:highlight w:val="none"/>
        </w:rPr>
        <w:t>留本项目合同总结算金额的3%作为质量保修金留置在</w:t>
      </w:r>
      <w:r>
        <w:rPr>
          <w:rFonts w:hint="eastAsia" w:ascii="仿宋_GB2312" w:eastAsia="仿宋_GB2312"/>
          <w:color w:val="auto"/>
          <w:sz w:val="24"/>
          <w:highlight w:val="none"/>
          <w:lang w:val="en-US" w:eastAsia="zh-CN"/>
        </w:rPr>
        <w:t>甲方</w:t>
      </w:r>
      <w:r>
        <w:rPr>
          <w:rFonts w:hint="eastAsia" w:ascii="仿宋_GB2312" w:eastAsia="仿宋_GB2312"/>
          <w:color w:val="auto"/>
          <w:sz w:val="24"/>
          <w:highlight w:val="none"/>
        </w:rPr>
        <w:t>处。自本工程保修期届满后，</w:t>
      </w:r>
      <w:r>
        <w:rPr>
          <w:rFonts w:hint="eastAsia" w:ascii="仿宋_GB2312" w:eastAsia="仿宋_GB2312"/>
          <w:color w:val="auto"/>
          <w:sz w:val="24"/>
          <w:highlight w:val="none"/>
          <w:lang w:val="en-US" w:eastAsia="zh-CN"/>
        </w:rPr>
        <w:t>甲方</w:t>
      </w:r>
      <w:r>
        <w:rPr>
          <w:rFonts w:hint="eastAsia" w:ascii="仿宋_GB2312" w:eastAsia="仿宋_GB2312"/>
          <w:color w:val="auto"/>
          <w:sz w:val="24"/>
          <w:highlight w:val="none"/>
        </w:rPr>
        <w:t>扣除</w:t>
      </w:r>
      <w:r>
        <w:rPr>
          <w:rFonts w:hint="eastAsia" w:ascii="仿宋_GB2312" w:eastAsia="仿宋_GB2312"/>
          <w:color w:val="auto"/>
          <w:sz w:val="24"/>
          <w:highlight w:val="none"/>
          <w:lang w:val="en-US" w:eastAsia="zh-CN"/>
        </w:rPr>
        <w:t>乙方</w:t>
      </w:r>
      <w:r>
        <w:rPr>
          <w:rFonts w:hint="eastAsia" w:ascii="仿宋_GB2312" w:eastAsia="仿宋_GB2312"/>
          <w:color w:val="auto"/>
          <w:sz w:val="24"/>
          <w:highlight w:val="none"/>
        </w:rPr>
        <w:t>应付的维修、维护及质量损失赔偿金等金额后</w:t>
      </w:r>
      <w:r>
        <w:rPr>
          <w:rFonts w:hint="eastAsia" w:ascii="仿宋_GB2312" w:eastAsia="仿宋_GB2312"/>
          <w:color w:val="auto"/>
          <w:sz w:val="24"/>
          <w:highlight w:val="none"/>
          <w:lang w:val="en-US" w:eastAsia="zh-CN"/>
        </w:rPr>
        <w:t>乙方</w:t>
      </w:r>
      <w:r>
        <w:rPr>
          <w:rFonts w:hint="eastAsia" w:ascii="仿宋_GB2312" w:eastAsia="仿宋_GB2312"/>
          <w:color w:val="auto"/>
          <w:sz w:val="24"/>
          <w:highlight w:val="none"/>
        </w:rPr>
        <w:t>可向</w:t>
      </w:r>
      <w:r>
        <w:rPr>
          <w:rFonts w:hint="eastAsia" w:ascii="仿宋_GB2312" w:eastAsia="仿宋_GB2312"/>
          <w:color w:val="auto"/>
          <w:sz w:val="24"/>
          <w:highlight w:val="none"/>
          <w:lang w:val="en-US" w:eastAsia="zh-CN"/>
        </w:rPr>
        <w:t>甲方</w:t>
      </w:r>
      <w:r>
        <w:rPr>
          <w:rFonts w:hint="eastAsia" w:ascii="仿宋_GB2312" w:eastAsia="仿宋_GB2312"/>
          <w:color w:val="auto"/>
          <w:sz w:val="24"/>
          <w:highlight w:val="none"/>
        </w:rPr>
        <w:t>申请无息退还。</w:t>
      </w:r>
    </w:p>
    <w:p w14:paraId="02CB6ED2">
      <w:pPr>
        <w:spacing w:line="360" w:lineRule="auto"/>
        <w:ind w:firstLine="480" w:firstLineChars="200"/>
        <w:rPr>
          <w:rFonts w:hint="eastAsia" w:ascii="仿宋_GB2312" w:eastAsia="仿宋_GB2312"/>
          <w:color w:val="auto"/>
          <w:sz w:val="24"/>
          <w:highlight w:val="none"/>
          <w:lang w:eastAsia="zh-CN"/>
        </w:rPr>
      </w:pPr>
      <w:r>
        <w:rPr>
          <w:rFonts w:hint="eastAsia" w:ascii="仿宋_GB2312" w:eastAsia="仿宋_GB2312"/>
          <w:color w:val="auto"/>
          <w:sz w:val="24"/>
          <w:highlight w:val="none"/>
          <w:lang w:val="en-US" w:eastAsia="zh-CN"/>
        </w:rPr>
        <w:t>3、进度款及结算款暂缓支付：当施工期间出现农民工讨薪、集体维权、闹事等事件的，甲方有权暂缓支付当期进度款及结算款，直至乙方妥善解决问题为止；若因此给甲方带来损失的，乙方应赔偿甲方受到的直接损失及间接损失。</w:t>
      </w:r>
    </w:p>
    <w:p w14:paraId="43D8FB6B">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4、</w:t>
      </w:r>
      <w:r>
        <w:rPr>
          <w:rFonts w:hint="eastAsia" w:ascii="仿宋_GB2312" w:eastAsia="仿宋_GB2312"/>
          <w:color w:val="auto"/>
          <w:sz w:val="24"/>
          <w:highlight w:val="none"/>
        </w:rPr>
        <w:t>乙方每次申请付款前，应向甲方提供与工程产值等额且含税9%的增值税专用发票（增值税按业务发生时国家增值税率计算），并报送相应款项的形象进度完成情况的照片和资料。</w:t>
      </w:r>
    </w:p>
    <w:p w14:paraId="339460C6">
      <w:pPr>
        <w:spacing w:line="360" w:lineRule="auto"/>
        <w:ind w:firstLine="480" w:firstLineChars="200"/>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5、</w:t>
      </w:r>
      <w:r>
        <w:rPr>
          <w:rFonts w:hint="eastAsia" w:ascii="仿宋_GB2312" w:eastAsia="仿宋_GB2312"/>
          <w:color w:val="auto"/>
          <w:sz w:val="24"/>
          <w:highlight w:val="none"/>
        </w:rPr>
        <w:t>乙方保证按时足额向实际施工人发放薪资，保障用工秩序，如因乙方欠薪导致甲方</w:t>
      </w:r>
      <w:r>
        <w:rPr>
          <w:rFonts w:hint="eastAsia" w:ascii="仿宋_GB2312" w:eastAsia="仿宋_GB2312"/>
          <w:color w:val="auto"/>
          <w:sz w:val="24"/>
          <w:highlight w:val="none"/>
          <w:lang w:val="en-US" w:eastAsia="zh-CN"/>
        </w:rPr>
        <w:t>遭</w:t>
      </w:r>
      <w:r>
        <w:rPr>
          <w:rFonts w:hint="eastAsia" w:ascii="仿宋_GB2312" w:eastAsia="仿宋_GB2312"/>
          <w:color w:val="auto"/>
          <w:sz w:val="24"/>
          <w:highlight w:val="none"/>
        </w:rPr>
        <w:t>实际施工人追讨（包括但不限于前往甲方经营、施工现场、向甲方提起诉讼等），甲方有权在未结算工程款范围内指定乙方优先支付工人薪资，必要时，乙方应配合甲方及实际施工人签订三方支付结算协议。因乙方违反上述义务造成甲方工期延误、</w:t>
      </w:r>
      <w:r>
        <w:rPr>
          <w:rFonts w:hint="eastAsia" w:ascii="仿宋_GB2312" w:eastAsia="仿宋_GB2312"/>
          <w:color w:val="auto"/>
          <w:sz w:val="24"/>
          <w:highlight w:val="none"/>
          <w:lang w:val="en-US" w:eastAsia="zh-CN"/>
        </w:rPr>
        <w:t>项目损失、</w:t>
      </w:r>
      <w:r>
        <w:rPr>
          <w:rFonts w:hint="eastAsia" w:ascii="仿宋_GB2312" w:eastAsia="仿宋_GB2312"/>
          <w:color w:val="auto"/>
          <w:sz w:val="24"/>
          <w:highlight w:val="none"/>
        </w:rPr>
        <w:t>向第三方赔偿、</w:t>
      </w:r>
      <w:r>
        <w:rPr>
          <w:rFonts w:hint="eastAsia" w:ascii="仿宋_GB2312" w:eastAsia="仿宋_GB2312"/>
          <w:color w:val="auto"/>
          <w:sz w:val="24"/>
          <w:highlight w:val="none"/>
          <w:lang w:val="en-US" w:eastAsia="zh-CN"/>
        </w:rPr>
        <w:t>诉讼费、律师费等损失的，由乙方承担全部责任。</w:t>
      </w:r>
    </w:p>
    <w:p w14:paraId="36A392C4">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6.</w:t>
      </w:r>
      <w:r>
        <w:rPr>
          <w:rFonts w:hint="default" w:ascii="仿宋_GB2312" w:eastAsia="仿宋_GB2312"/>
          <w:color w:val="auto"/>
          <w:sz w:val="24"/>
          <w:highlight w:val="none"/>
        </w:rPr>
        <w:t>在施工过程中，如因</w:t>
      </w:r>
      <w:r>
        <w:rPr>
          <w:rFonts w:hint="eastAsia" w:ascii="仿宋_GB2312" w:eastAsia="仿宋_GB2312"/>
          <w:color w:val="auto"/>
          <w:sz w:val="24"/>
          <w:highlight w:val="none"/>
          <w:lang w:val="en-US" w:eastAsia="zh-CN"/>
        </w:rPr>
        <w:t>乙方</w:t>
      </w:r>
      <w:r>
        <w:rPr>
          <w:rFonts w:hint="default" w:ascii="仿宋_GB2312" w:eastAsia="仿宋_GB2312"/>
          <w:color w:val="auto"/>
          <w:sz w:val="24"/>
          <w:highlight w:val="none"/>
        </w:rPr>
        <w:t>拖欠农民工工资引发集体维权事件，经甲方或相关主管部门核实后，甲方有权从应付工程款中暂扣</w:t>
      </w:r>
      <w:r>
        <w:rPr>
          <w:rFonts w:hint="eastAsia" w:ascii="仿宋_GB2312" w:eastAsia="仿宋_GB2312"/>
          <w:color w:val="auto"/>
          <w:sz w:val="24"/>
          <w:highlight w:val="none"/>
          <w:lang w:val="en-US" w:eastAsia="zh-CN"/>
        </w:rPr>
        <w:t>相应未结清工资款</w:t>
      </w:r>
      <w:r>
        <w:rPr>
          <w:rFonts w:hint="default" w:ascii="仿宋_GB2312" w:eastAsia="仿宋_GB2312"/>
          <w:color w:val="auto"/>
          <w:sz w:val="24"/>
          <w:highlight w:val="none"/>
        </w:rPr>
        <w:t>。待承包方提供农民工工资足额支付凭证，或经劳动监察部门确认无欠薪问题后，甲方</w:t>
      </w:r>
      <w:r>
        <w:rPr>
          <w:rFonts w:hint="eastAsia" w:ascii="仿宋_GB2312" w:eastAsia="仿宋_GB2312"/>
          <w:color w:val="auto"/>
          <w:sz w:val="24"/>
          <w:highlight w:val="none"/>
          <w:lang w:val="en-US" w:eastAsia="zh-CN"/>
        </w:rPr>
        <w:t>再</w:t>
      </w:r>
      <w:r>
        <w:rPr>
          <w:rFonts w:hint="default" w:ascii="仿宋_GB2312" w:eastAsia="仿宋_GB2312"/>
          <w:color w:val="auto"/>
          <w:sz w:val="24"/>
          <w:highlight w:val="none"/>
        </w:rPr>
        <w:t>予以支付</w:t>
      </w:r>
      <w:r>
        <w:rPr>
          <w:rFonts w:hint="eastAsia" w:ascii="仿宋_GB2312" w:eastAsia="仿宋_GB2312"/>
          <w:color w:val="auto"/>
          <w:sz w:val="24"/>
          <w:highlight w:val="none"/>
          <w:lang w:val="en-US" w:eastAsia="zh-CN"/>
        </w:rPr>
        <w:t>工程款</w:t>
      </w:r>
      <w:r>
        <w:rPr>
          <w:rFonts w:hint="default" w:ascii="仿宋_GB2312" w:eastAsia="仿宋_GB2312"/>
          <w:color w:val="auto"/>
          <w:sz w:val="24"/>
          <w:highlight w:val="none"/>
        </w:rPr>
        <w:t>。由此产生的一切法律责任及后果均由</w:t>
      </w:r>
      <w:r>
        <w:rPr>
          <w:rFonts w:hint="eastAsia" w:ascii="仿宋_GB2312" w:eastAsia="仿宋_GB2312"/>
          <w:color w:val="auto"/>
          <w:sz w:val="24"/>
          <w:highlight w:val="none"/>
          <w:lang w:val="en-US" w:eastAsia="zh-CN"/>
        </w:rPr>
        <w:t>乙方</w:t>
      </w:r>
      <w:r>
        <w:rPr>
          <w:rFonts w:hint="default" w:ascii="仿宋_GB2312" w:eastAsia="仿宋_GB2312"/>
          <w:color w:val="auto"/>
          <w:sz w:val="24"/>
          <w:highlight w:val="none"/>
        </w:rPr>
        <w:t>承担。</w:t>
      </w:r>
    </w:p>
    <w:p w14:paraId="59E4ECD9">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（二）工程结算：</w:t>
      </w:r>
    </w:p>
    <w:p w14:paraId="317A2B2A">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1．原则要求</w:t>
      </w:r>
    </w:p>
    <w:p w14:paraId="1C524215">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1</w:t>
      </w:r>
      <w:r>
        <w:rPr>
          <w:rFonts w:hint="eastAsia" w:ascii="仿宋_GB2312" w:eastAsia="仿宋_GB2312"/>
          <w:color w:val="auto"/>
          <w:sz w:val="24"/>
          <w:highlight w:val="none"/>
        </w:rPr>
        <w:t>）以</w:t>
      </w:r>
      <w:r>
        <w:rPr>
          <w:rFonts w:hint="eastAsia" w:ascii="仿宋_GB2312" w:eastAsia="仿宋_GB2312"/>
          <w:color w:val="auto"/>
          <w:sz w:val="24"/>
          <w:highlight w:val="none"/>
          <w:lang w:val="en-US" w:eastAsia="zh-CN"/>
        </w:rPr>
        <w:t>固定总价</w:t>
      </w:r>
      <w:r>
        <w:rPr>
          <w:rFonts w:hint="eastAsia" w:ascii="仿宋_GB2312" w:eastAsia="仿宋_GB2312"/>
          <w:color w:val="auto"/>
          <w:sz w:val="24"/>
          <w:highlight w:val="none"/>
        </w:rPr>
        <w:t>承包的方式承包，后期不得以任何理由调整合同</w:t>
      </w:r>
      <w:r>
        <w:rPr>
          <w:rFonts w:hint="eastAsia" w:ascii="仿宋_GB2312" w:eastAsia="仿宋_GB2312"/>
          <w:color w:val="auto"/>
          <w:sz w:val="24"/>
          <w:highlight w:val="none"/>
          <w:lang w:val="en-US" w:eastAsia="zh-CN"/>
        </w:rPr>
        <w:t>价</w:t>
      </w:r>
      <w:r>
        <w:rPr>
          <w:rFonts w:hint="eastAsia" w:ascii="仿宋_GB2312" w:eastAsia="仿宋_GB2312"/>
          <w:color w:val="auto"/>
          <w:sz w:val="24"/>
          <w:highlight w:val="none"/>
        </w:rPr>
        <w:t>。</w:t>
      </w:r>
    </w:p>
    <w:p w14:paraId="5523A381">
      <w:pPr>
        <w:adjustRightInd w:val="0"/>
        <w:snapToGrid w:val="0"/>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 竣工结算</w:t>
      </w:r>
    </w:p>
    <w:p w14:paraId="6CC18292">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仿宋_GB2312" w:eastAsia="仿宋_GB2312"/>
          <w:color w:val="auto"/>
          <w:sz w:val="24"/>
          <w:highlight w:val="none"/>
        </w:rPr>
      </w:pPr>
      <w:r>
        <w:rPr>
          <w:rFonts w:hint="eastAsia" w:ascii="仿宋_GB2312" w:eastAsia="仿宋_GB2312"/>
          <w:color w:val="auto"/>
          <w:sz w:val="24"/>
          <w:highlight w:val="none"/>
        </w:rPr>
        <w:t>（1）单项工程经乙方自检合格后，在单项工程全部完工并调试合格后，乙方应在30日内向甲方移交完整的竣工结算资料（主要设备的合格证及使用说明书等竣工资料）。因乙方原因影响结算款的支付由乙方负责。</w:t>
      </w:r>
    </w:p>
    <w:p w14:paraId="3480326A">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仿宋_GB2312" w:eastAsia="仿宋_GB2312"/>
          <w:color w:val="auto"/>
          <w:sz w:val="24"/>
          <w:highlight w:val="none"/>
        </w:rPr>
      </w:pPr>
      <w:r>
        <w:rPr>
          <w:rFonts w:hint="eastAsia" w:ascii="仿宋_GB2312" w:eastAsia="仿宋_GB2312"/>
          <w:color w:val="auto"/>
          <w:sz w:val="24"/>
          <w:highlight w:val="none"/>
        </w:rPr>
        <w:t>（2）甲方结算资料接收人为甲方代表。乙方需按以下要求报送完整结算资料，结算资料包括但不限于下列内容：</w:t>
      </w:r>
    </w:p>
    <w:p w14:paraId="01D4EB21">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仿宋_GB2312" w:eastAsia="仿宋_GB2312"/>
          <w:color w:val="auto"/>
          <w:sz w:val="24"/>
          <w:highlight w:val="none"/>
        </w:rPr>
      </w:pPr>
      <w:r>
        <w:rPr>
          <w:rFonts w:hint="eastAsia" w:ascii="仿宋_GB2312" w:eastAsia="仿宋_GB2312"/>
          <w:color w:val="auto"/>
          <w:sz w:val="24"/>
          <w:highlight w:val="none"/>
        </w:rPr>
        <w:t>①工程结算书（编制说明、造价汇总表等）；</w:t>
      </w:r>
    </w:p>
    <w:p w14:paraId="13DFF978">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仿宋_GB2312" w:eastAsia="仿宋_GB2312"/>
          <w:color w:val="auto"/>
          <w:sz w:val="24"/>
          <w:highlight w:val="none"/>
        </w:rPr>
      </w:pPr>
      <w:r>
        <w:rPr>
          <w:rFonts w:hint="eastAsia" w:ascii="仿宋_GB2312" w:eastAsia="仿宋_GB2312"/>
          <w:color w:val="auto"/>
          <w:sz w:val="24"/>
          <w:highlight w:val="none"/>
        </w:rPr>
        <w:t>②竣工图、施工图（经建设方确认的图纸）；</w:t>
      </w:r>
    </w:p>
    <w:p w14:paraId="4C4050A6">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仿宋_GB2312" w:eastAsia="仿宋_GB2312"/>
          <w:color w:val="auto"/>
          <w:sz w:val="24"/>
          <w:highlight w:val="none"/>
        </w:rPr>
      </w:pPr>
      <w:r>
        <w:rPr>
          <w:rFonts w:hint="eastAsia" w:ascii="仿宋_GB2312" w:eastAsia="仿宋_GB2312"/>
          <w:color w:val="auto"/>
          <w:sz w:val="24"/>
          <w:highlight w:val="none"/>
        </w:rPr>
        <w:t>③项目单项合同及补充协议；</w:t>
      </w:r>
    </w:p>
    <w:p w14:paraId="1735101C">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仿宋_GB2312" w:eastAsia="仿宋_GB2312"/>
          <w:color w:val="auto"/>
          <w:sz w:val="24"/>
          <w:highlight w:val="none"/>
        </w:rPr>
      </w:pPr>
      <w:r>
        <w:rPr>
          <w:rFonts w:hint="eastAsia" w:ascii="仿宋_GB2312" w:eastAsia="仿宋_GB2312"/>
          <w:color w:val="auto"/>
          <w:sz w:val="24"/>
          <w:highlight w:val="none"/>
        </w:rPr>
        <w:t>④开工资料、工程验收证明、工期延期证明、甲方《工程竣工验收申请表》；</w:t>
      </w:r>
    </w:p>
    <w:p w14:paraId="3D128692">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仿宋_GB2312" w:eastAsia="仿宋_GB2312"/>
          <w:color w:val="auto"/>
          <w:sz w:val="24"/>
          <w:highlight w:val="none"/>
        </w:rPr>
      </w:pPr>
      <w:r>
        <w:rPr>
          <w:rFonts w:hint="eastAsia" w:ascii="仿宋_GB2312" w:eastAsia="仿宋_GB2312"/>
          <w:color w:val="auto"/>
          <w:sz w:val="24"/>
          <w:highlight w:val="none"/>
        </w:rPr>
        <w:t>⑤扣款罚款单；</w:t>
      </w:r>
    </w:p>
    <w:p w14:paraId="71498429">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仿宋_GB2312" w:eastAsia="仿宋_GB2312"/>
          <w:color w:val="auto"/>
          <w:sz w:val="24"/>
          <w:highlight w:val="none"/>
        </w:rPr>
      </w:pPr>
      <w:r>
        <w:rPr>
          <w:rFonts w:hint="eastAsia" w:ascii="仿宋_GB2312" w:eastAsia="仿宋_GB2312"/>
          <w:color w:val="auto"/>
          <w:sz w:val="24"/>
          <w:highlight w:val="none"/>
        </w:rPr>
        <w:t>⑥甲方结算清单规定的其他工程资料、结算资料及依据。</w:t>
      </w:r>
    </w:p>
    <w:p w14:paraId="20100867">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仿宋_GB2312" w:eastAsia="仿宋_GB2312"/>
          <w:color w:val="auto"/>
          <w:sz w:val="24"/>
          <w:highlight w:val="none"/>
          <w:lang w:eastAsia="zh-CN"/>
        </w:rPr>
      </w:pPr>
      <w:r>
        <w:rPr>
          <w:rFonts w:hint="eastAsia" w:ascii="仿宋_GB2312" w:eastAsia="仿宋_GB2312"/>
          <w:color w:val="auto"/>
          <w:sz w:val="24"/>
          <w:highlight w:val="none"/>
        </w:rPr>
        <w:t>（3）结算资料报送甲方后，原则上不再调整，但经甲方确认不属实需更改的除外。乙方由于自身原因申请调增结算价款的，甲方有权要求乙方按照审核同意调增金额的10%支付违约金，且甲方结算审核时间相应顺延。</w:t>
      </w:r>
      <w:r>
        <w:rPr>
          <w:rFonts w:hint="eastAsia" w:ascii="仿宋_GB2312" w:eastAsia="仿宋_GB2312"/>
          <w:color w:val="auto"/>
          <w:sz w:val="24"/>
          <w:highlight w:val="none"/>
          <w:lang w:val="en-US" w:eastAsia="zh-CN"/>
        </w:rPr>
        <w:t>甲方</w:t>
      </w:r>
      <w:r>
        <w:rPr>
          <w:rFonts w:hint="eastAsia" w:ascii="仿宋_GB2312" w:eastAsia="仿宋_GB2312"/>
          <w:color w:val="auto"/>
          <w:sz w:val="24"/>
          <w:highlight w:val="none"/>
        </w:rPr>
        <w:t>由于自身原因申请</w:t>
      </w:r>
      <w:r>
        <w:rPr>
          <w:rFonts w:hint="eastAsia" w:ascii="仿宋_GB2312" w:eastAsia="仿宋_GB2312"/>
          <w:color w:val="auto"/>
          <w:sz w:val="24"/>
          <w:highlight w:val="none"/>
          <w:lang w:val="en-US" w:eastAsia="zh-CN"/>
        </w:rPr>
        <w:t>扣减</w:t>
      </w:r>
      <w:r>
        <w:rPr>
          <w:rFonts w:hint="eastAsia" w:ascii="仿宋_GB2312" w:eastAsia="仿宋_GB2312"/>
          <w:color w:val="auto"/>
          <w:sz w:val="24"/>
          <w:highlight w:val="none"/>
        </w:rPr>
        <w:t>结算价款的</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乙方有权要求甲方按照</w:t>
      </w:r>
      <w:r>
        <w:rPr>
          <w:rFonts w:hint="eastAsia" w:ascii="仿宋_GB2312" w:eastAsia="仿宋_GB2312"/>
          <w:color w:val="auto"/>
          <w:sz w:val="24"/>
          <w:highlight w:val="none"/>
        </w:rPr>
        <w:t>审核同意</w:t>
      </w:r>
      <w:r>
        <w:rPr>
          <w:rFonts w:hint="eastAsia" w:ascii="仿宋_GB2312" w:eastAsia="仿宋_GB2312"/>
          <w:color w:val="auto"/>
          <w:sz w:val="24"/>
          <w:highlight w:val="none"/>
          <w:lang w:val="en-US" w:eastAsia="zh-CN"/>
        </w:rPr>
        <w:t>扣减</w:t>
      </w:r>
      <w:r>
        <w:rPr>
          <w:rFonts w:hint="eastAsia" w:ascii="仿宋_GB2312" w:eastAsia="仿宋_GB2312"/>
          <w:color w:val="auto"/>
          <w:sz w:val="24"/>
          <w:highlight w:val="none"/>
        </w:rPr>
        <w:t>金额的10%支付违约金。</w:t>
      </w:r>
    </w:p>
    <w:p w14:paraId="0AD6A81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仿宋_GB2312" w:eastAsia="仿宋_GB2312"/>
          <w:color w:val="auto"/>
          <w:sz w:val="24"/>
          <w:highlight w:val="none"/>
        </w:rPr>
      </w:pPr>
      <w:r>
        <w:rPr>
          <w:rFonts w:hint="eastAsia" w:ascii="仿宋_GB2312" w:eastAsia="仿宋_GB2312"/>
          <w:color w:val="auto"/>
          <w:sz w:val="24"/>
          <w:highlight w:val="none"/>
        </w:rPr>
        <w:t>（4）如出现以下情况，经甲方催办，乙方必须在10天内予以整改或答复。同一问题催办三次乙方仍未按时予以整改或答复的，每逾期一天，</w:t>
      </w:r>
      <w:r>
        <w:rPr>
          <w:rFonts w:hint="eastAsia" w:ascii="仿宋_GB2312" w:eastAsia="仿宋_GB2312"/>
          <w:color w:val="auto"/>
          <w:sz w:val="24"/>
          <w:highlight w:val="none"/>
          <w:lang w:val="en-US" w:eastAsia="zh-CN"/>
        </w:rPr>
        <w:t>乙方需支付违约金</w:t>
      </w:r>
      <w:r>
        <w:rPr>
          <w:rFonts w:hint="eastAsia" w:ascii="仿宋_GB2312" w:eastAsia="仿宋_GB2312"/>
          <w:color w:val="auto"/>
          <w:sz w:val="24"/>
          <w:highlight w:val="none"/>
        </w:rPr>
        <w:t>人民币</w:t>
      </w:r>
      <w:permStart w:id="8" w:edGrp="everyone"/>
      <w:r>
        <w:rPr>
          <w:rFonts w:hint="eastAsia" w:ascii="仿宋_GB2312" w:eastAsia="仿宋_GB2312"/>
          <w:color w:val="auto"/>
          <w:sz w:val="24"/>
          <w:highlight w:val="none"/>
          <w:lang w:val="en-US" w:eastAsia="zh-CN"/>
        </w:rPr>
        <w:t>1</w:t>
      </w:r>
      <w:r>
        <w:rPr>
          <w:rFonts w:hint="eastAsia" w:ascii="仿宋_GB2312" w:eastAsia="仿宋_GB2312"/>
          <w:color w:val="auto"/>
          <w:sz w:val="24"/>
          <w:highlight w:val="none"/>
        </w:rPr>
        <w:t>0</w:t>
      </w:r>
      <w:r>
        <w:rPr>
          <w:rFonts w:hint="eastAsia" w:ascii="仿宋_GB2312" w:eastAsia="仿宋_GB2312"/>
          <w:color w:val="auto"/>
          <w:sz w:val="24"/>
          <w:highlight w:val="none"/>
          <w:lang w:val="en-US" w:eastAsia="zh-CN"/>
        </w:rPr>
        <w:t>0</w:t>
      </w:r>
      <w:r>
        <w:rPr>
          <w:rFonts w:hint="eastAsia" w:ascii="仿宋_GB2312" w:eastAsia="仿宋_GB2312"/>
          <w:color w:val="auto"/>
          <w:sz w:val="24"/>
          <w:highlight w:val="none"/>
        </w:rPr>
        <w:t>0</w:t>
      </w:r>
      <w:permEnd w:id="8"/>
      <w:r>
        <w:rPr>
          <w:rFonts w:hint="eastAsia" w:ascii="仿宋_GB2312" w:eastAsia="仿宋_GB2312"/>
          <w:color w:val="auto"/>
          <w:sz w:val="24"/>
          <w:highlight w:val="none"/>
        </w:rPr>
        <w:t>元，处罚金额累计不超过合同总价</w:t>
      </w:r>
      <w:r>
        <w:rPr>
          <w:rFonts w:hint="eastAsia" w:ascii="仿宋_GB2312" w:eastAsia="仿宋_GB2312"/>
          <w:color w:val="auto"/>
          <w:sz w:val="24"/>
          <w:highlight w:val="none"/>
          <w:lang w:val="en-US" w:eastAsia="zh-CN"/>
        </w:rPr>
        <w:t>1</w:t>
      </w:r>
      <w:r>
        <w:rPr>
          <w:rFonts w:hint="eastAsia" w:ascii="仿宋_GB2312" w:eastAsia="仿宋_GB2312"/>
          <w:color w:val="auto"/>
          <w:sz w:val="24"/>
          <w:highlight w:val="none"/>
        </w:rPr>
        <w:t>%：</w:t>
      </w:r>
    </w:p>
    <w:p w14:paraId="4E8C159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仿宋_GB2312" w:eastAsia="仿宋_GB2312"/>
          <w:color w:val="auto"/>
          <w:sz w:val="24"/>
          <w:highlight w:val="none"/>
        </w:rPr>
      </w:pPr>
      <w:r>
        <w:rPr>
          <w:rFonts w:hint="default" w:ascii="仿宋_GB2312" w:eastAsia="仿宋_GB2312"/>
          <w:color w:val="auto"/>
          <w:sz w:val="24"/>
          <w:highlight w:val="none"/>
        </w:rPr>
        <w:fldChar w:fldCharType="begin"/>
      </w:r>
      <w:r>
        <w:rPr>
          <w:rFonts w:hint="default" w:ascii="仿宋_GB2312" w:eastAsia="仿宋_GB2312"/>
          <w:color w:val="auto"/>
          <w:sz w:val="24"/>
          <w:highlight w:val="none"/>
        </w:rPr>
        <w:instrText xml:space="preserve"> </w:instrText>
      </w:r>
      <w:r>
        <w:rPr>
          <w:rFonts w:hint="eastAsia" w:ascii="仿宋_GB2312" w:eastAsia="仿宋_GB2312"/>
          <w:color w:val="auto"/>
          <w:sz w:val="24"/>
          <w:highlight w:val="none"/>
        </w:rPr>
        <w:instrText xml:space="preserve">= 1 \* GB3</w:instrText>
      </w:r>
      <w:r>
        <w:rPr>
          <w:rFonts w:hint="default" w:ascii="仿宋_GB2312" w:eastAsia="仿宋_GB2312"/>
          <w:color w:val="auto"/>
          <w:sz w:val="24"/>
          <w:highlight w:val="none"/>
        </w:rPr>
        <w:instrText xml:space="preserve"> </w:instrText>
      </w:r>
      <w:r>
        <w:rPr>
          <w:rFonts w:hint="default" w:ascii="仿宋_GB2312" w:eastAsia="仿宋_GB2312"/>
          <w:color w:val="auto"/>
          <w:sz w:val="24"/>
          <w:highlight w:val="none"/>
        </w:rPr>
        <w:fldChar w:fldCharType="separate"/>
      </w:r>
      <w:r>
        <w:rPr>
          <w:rFonts w:hint="eastAsia" w:ascii="仿宋_GB2312" w:eastAsia="仿宋_GB2312"/>
          <w:color w:val="auto"/>
          <w:sz w:val="24"/>
          <w:highlight w:val="none"/>
        </w:rPr>
        <w:t>①</w:t>
      </w:r>
      <w:r>
        <w:rPr>
          <w:rFonts w:hint="default" w:ascii="仿宋_GB2312" w:eastAsia="仿宋_GB2312"/>
          <w:color w:val="auto"/>
          <w:sz w:val="24"/>
          <w:highlight w:val="none"/>
        </w:rPr>
        <w:fldChar w:fldCharType="end"/>
      </w:r>
      <w:r>
        <w:rPr>
          <w:rFonts w:hint="eastAsia" w:ascii="仿宋_GB2312" w:eastAsia="仿宋_GB2312"/>
          <w:color w:val="auto"/>
          <w:sz w:val="24"/>
          <w:highlight w:val="none"/>
        </w:rPr>
        <w:t>工程已竣工验收，乙方未按时提交竣工资料、结算资料；</w:t>
      </w:r>
    </w:p>
    <w:p w14:paraId="33976E9E">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default" w:ascii="仿宋_GB2312" w:eastAsia="仿宋_GB2312"/>
          <w:color w:val="auto"/>
          <w:sz w:val="24"/>
          <w:highlight w:val="none"/>
        </w:rPr>
      </w:pPr>
      <w:r>
        <w:rPr>
          <w:rFonts w:hint="default" w:ascii="仿宋_GB2312" w:eastAsia="仿宋_GB2312"/>
          <w:color w:val="auto"/>
          <w:sz w:val="24"/>
          <w:highlight w:val="none"/>
        </w:rPr>
        <w:fldChar w:fldCharType="begin"/>
      </w:r>
      <w:r>
        <w:rPr>
          <w:rFonts w:hint="default" w:ascii="仿宋_GB2312" w:eastAsia="仿宋_GB2312"/>
          <w:color w:val="auto"/>
          <w:sz w:val="24"/>
          <w:highlight w:val="none"/>
        </w:rPr>
        <w:instrText xml:space="preserve"> </w:instrText>
      </w:r>
      <w:r>
        <w:rPr>
          <w:rFonts w:hint="eastAsia" w:ascii="仿宋_GB2312" w:eastAsia="仿宋_GB2312"/>
          <w:color w:val="auto"/>
          <w:sz w:val="24"/>
          <w:highlight w:val="none"/>
        </w:rPr>
        <w:instrText xml:space="preserve">= 2 \* GB3</w:instrText>
      </w:r>
      <w:r>
        <w:rPr>
          <w:rFonts w:hint="default" w:ascii="仿宋_GB2312" w:eastAsia="仿宋_GB2312"/>
          <w:color w:val="auto"/>
          <w:sz w:val="24"/>
          <w:highlight w:val="none"/>
        </w:rPr>
        <w:instrText xml:space="preserve"> </w:instrText>
      </w:r>
      <w:r>
        <w:rPr>
          <w:rFonts w:hint="default" w:ascii="仿宋_GB2312" w:eastAsia="仿宋_GB2312"/>
          <w:color w:val="auto"/>
          <w:sz w:val="24"/>
          <w:highlight w:val="none"/>
        </w:rPr>
        <w:fldChar w:fldCharType="separate"/>
      </w:r>
      <w:r>
        <w:rPr>
          <w:rFonts w:hint="eastAsia" w:ascii="仿宋_GB2312" w:eastAsia="仿宋_GB2312"/>
          <w:color w:val="auto"/>
          <w:sz w:val="24"/>
          <w:highlight w:val="none"/>
        </w:rPr>
        <w:t>②</w:t>
      </w:r>
      <w:r>
        <w:rPr>
          <w:rFonts w:hint="default" w:ascii="仿宋_GB2312" w:eastAsia="仿宋_GB2312"/>
          <w:color w:val="auto"/>
          <w:sz w:val="24"/>
          <w:highlight w:val="none"/>
        </w:rPr>
        <w:fldChar w:fldCharType="end"/>
      </w:r>
      <w:r>
        <w:rPr>
          <w:rFonts w:hint="eastAsia" w:ascii="仿宋_GB2312" w:eastAsia="仿宋_GB2312"/>
          <w:color w:val="auto"/>
          <w:sz w:val="24"/>
          <w:highlight w:val="none"/>
        </w:rPr>
        <w:t>结算资料需补充完善；</w:t>
      </w:r>
    </w:p>
    <w:p w14:paraId="5081B412">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仿宋_GB2312" w:eastAsia="仿宋_GB2312"/>
          <w:color w:val="auto"/>
          <w:sz w:val="24"/>
          <w:highlight w:val="none"/>
        </w:rPr>
      </w:pPr>
      <w:r>
        <w:rPr>
          <w:rFonts w:hint="default" w:ascii="仿宋_GB2312" w:eastAsia="仿宋_GB2312"/>
          <w:color w:val="auto"/>
          <w:sz w:val="24"/>
          <w:highlight w:val="none"/>
        </w:rPr>
        <w:fldChar w:fldCharType="begin"/>
      </w:r>
      <w:r>
        <w:rPr>
          <w:rFonts w:hint="default" w:ascii="仿宋_GB2312" w:eastAsia="仿宋_GB2312"/>
          <w:color w:val="auto"/>
          <w:sz w:val="24"/>
          <w:highlight w:val="none"/>
        </w:rPr>
        <w:instrText xml:space="preserve"> </w:instrText>
      </w:r>
      <w:r>
        <w:rPr>
          <w:rFonts w:hint="eastAsia" w:ascii="仿宋_GB2312" w:eastAsia="仿宋_GB2312"/>
          <w:color w:val="auto"/>
          <w:sz w:val="24"/>
          <w:highlight w:val="none"/>
        </w:rPr>
        <w:instrText xml:space="preserve">= 3 \* GB3</w:instrText>
      </w:r>
      <w:r>
        <w:rPr>
          <w:rFonts w:hint="default" w:ascii="仿宋_GB2312" w:eastAsia="仿宋_GB2312"/>
          <w:color w:val="auto"/>
          <w:sz w:val="24"/>
          <w:highlight w:val="none"/>
        </w:rPr>
        <w:instrText xml:space="preserve"> </w:instrText>
      </w:r>
      <w:r>
        <w:rPr>
          <w:rFonts w:hint="default" w:ascii="仿宋_GB2312" w:eastAsia="仿宋_GB2312"/>
          <w:color w:val="auto"/>
          <w:sz w:val="24"/>
          <w:highlight w:val="none"/>
        </w:rPr>
        <w:fldChar w:fldCharType="separate"/>
      </w:r>
      <w:r>
        <w:rPr>
          <w:rFonts w:hint="eastAsia" w:ascii="仿宋_GB2312" w:eastAsia="仿宋_GB2312"/>
          <w:color w:val="auto"/>
          <w:sz w:val="24"/>
          <w:highlight w:val="none"/>
        </w:rPr>
        <w:t>③</w:t>
      </w:r>
      <w:r>
        <w:rPr>
          <w:rFonts w:hint="default" w:ascii="仿宋_GB2312" w:eastAsia="仿宋_GB2312"/>
          <w:color w:val="auto"/>
          <w:sz w:val="24"/>
          <w:highlight w:val="none"/>
        </w:rPr>
        <w:fldChar w:fldCharType="end"/>
      </w:r>
      <w:r>
        <w:rPr>
          <w:rFonts w:hint="eastAsia" w:ascii="仿宋_GB2312" w:eastAsia="仿宋_GB2312"/>
          <w:color w:val="auto"/>
          <w:sz w:val="24"/>
          <w:highlight w:val="none"/>
        </w:rPr>
        <w:t>乙方不配合甲方进行商务沟通。</w:t>
      </w:r>
    </w:p>
    <w:p w14:paraId="769FADBC">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仿宋_GB2312" w:eastAsia="仿宋_GB2312"/>
          <w:color w:val="auto"/>
          <w:sz w:val="24"/>
          <w:highlight w:val="none"/>
          <w:lang w:eastAsia="zh-CN"/>
        </w:rPr>
      </w:pP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5</w:t>
      </w:r>
      <w:r>
        <w:rPr>
          <w:rFonts w:hint="eastAsia" w:ascii="仿宋_GB2312" w:eastAsia="仿宋_GB2312"/>
          <w:color w:val="auto"/>
          <w:sz w:val="24"/>
          <w:highlight w:val="none"/>
          <w:lang w:eastAsia="zh-CN"/>
        </w:rPr>
        <w:t>）若乙方已经出现违约情形，或甲方正在行使抗辩权处理与乙方的争议，则甲方有权暂停支付相关款项，且不承担逾期付款违约责任。</w:t>
      </w:r>
    </w:p>
    <w:p w14:paraId="2E464E1A">
      <w:pPr>
        <w:rPr>
          <w:color w:val="auto"/>
          <w:highlight w:val="none"/>
        </w:rPr>
      </w:pPr>
    </w:p>
    <w:p w14:paraId="28D33048">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八、双方的权利和义务</w:t>
      </w:r>
    </w:p>
    <w:p w14:paraId="4CAB6F75">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1．甲方权利与义务</w:t>
      </w:r>
    </w:p>
    <w:p w14:paraId="4FC501D5">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（1）指派</w:t>
      </w:r>
      <w:r>
        <w:rPr>
          <w:rFonts w:hint="eastAsia" w:ascii="仿宋_GB2312" w:eastAsia="仿宋_GB2312"/>
          <w:color w:val="auto"/>
          <w:sz w:val="24"/>
          <w:highlight w:val="none"/>
          <w:lang w:val="en-US" w:eastAsia="zh-CN"/>
        </w:rPr>
        <w:t>XXX</w:t>
      </w:r>
      <w:r>
        <w:rPr>
          <w:rFonts w:hint="eastAsia" w:ascii="仿宋_GB2312" w:eastAsia="仿宋_GB2312"/>
          <w:color w:val="auto"/>
          <w:sz w:val="24"/>
          <w:highlight w:val="none"/>
        </w:rPr>
        <w:t>为现场代表，联系方式</w:t>
      </w:r>
      <w:r>
        <w:rPr>
          <w:rFonts w:hint="eastAsia" w:ascii="仿宋_GB2312" w:eastAsia="仿宋_GB2312"/>
          <w:color w:val="auto"/>
          <w:sz w:val="24"/>
          <w:highlight w:val="none"/>
          <w:lang w:val="en-US" w:eastAsia="zh-CN"/>
        </w:rPr>
        <w:t>XXXXXXX</w:t>
      </w:r>
      <w:r>
        <w:rPr>
          <w:rFonts w:hint="eastAsia" w:ascii="仿宋_GB2312" w:eastAsia="仿宋_GB2312"/>
          <w:color w:val="auto"/>
          <w:sz w:val="24"/>
          <w:highlight w:val="none"/>
        </w:rPr>
        <w:t>,参与对工程质量、进度及安全的监督检查。甲方中途更换现场代表，应在更换之日起3日内通知乙方。</w:t>
      </w:r>
    </w:p>
    <w:p w14:paraId="1319DB67">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（2）有权对乙方设计提供的施工图纸进行审核并提出修改意见。</w:t>
      </w:r>
    </w:p>
    <w:p w14:paraId="1455DF20">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（3）有权对乙方工程建设中提供的设备、材料及隐蔽工程进行检验和验收。</w:t>
      </w:r>
    </w:p>
    <w:p w14:paraId="23B69D3F">
      <w:pPr>
        <w:spacing w:line="360" w:lineRule="auto"/>
        <w:ind w:firstLine="480" w:firstLineChars="200"/>
        <w:rPr>
          <w:rFonts w:hint="default" w:ascii="仿宋_GB2312" w:eastAsia="仿宋_GB2312"/>
          <w:color w:val="auto"/>
          <w:sz w:val="24"/>
          <w:highlight w:val="none"/>
          <w:lang w:val="en-US" w:eastAsia="zh-CN"/>
        </w:rPr>
      </w:pPr>
      <w:r>
        <w:rPr>
          <w:rFonts w:hint="eastAsia" w:ascii="仿宋_GB2312" w:eastAsia="仿宋_GB2312"/>
          <w:color w:val="auto"/>
          <w:sz w:val="24"/>
          <w:highlight w:val="none"/>
        </w:rPr>
        <w:t>（4）有权对乙方不规范的施工行为和设备、材料质量、施工进度等提出质疑和处理意见。</w:t>
      </w:r>
    </w:p>
    <w:p w14:paraId="5B830DB5">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（5）组织监理单位、乙方进行工程技术交底、施工图纸会审、施工安全交底。</w:t>
      </w:r>
    </w:p>
    <w:p w14:paraId="417B8024">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（6）组织工程竣工验收，负责施工图纸的处理，设计变更、技术核定及现场签证的签署及审批。</w:t>
      </w:r>
    </w:p>
    <w:p w14:paraId="79458CE9">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7</w:t>
      </w:r>
      <w:r>
        <w:rPr>
          <w:rFonts w:hint="eastAsia" w:ascii="仿宋_GB2312" w:eastAsia="仿宋_GB2312"/>
          <w:color w:val="auto"/>
          <w:sz w:val="24"/>
          <w:highlight w:val="none"/>
        </w:rPr>
        <w:t>）配合乙方有关工程进度及工程结算的签认工作，乙方递交请款、竣工结算资料后，</w:t>
      </w:r>
      <w:r>
        <w:rPr>
          <w:rFonts w:hint="eastAsia" w:ascii="仿宋_GB2312" w:eastAsia="仿宋_GB2312"/>
          <w:color w:val="auto"/>
          <w:sz w:val="24"/>
          <w:highlight w:val="none"/>
          <w:lang w:val="en-US" w:eastAsia="zh-CN"/>
        </w:rPr>
        <w:t>在乙方完全履约前提下，</w:t>
      </w:r>
      <w:r>
        <w:rPr>
          <w:rFonts w:hint="eastAsia" w:ascii="仿宋_GB2312" w:eastAsia="仿宋_GB2312"/>
          <w:color w:val="auto"/>
          <w:sz w:val="24"/>
          <w:highlight w:val="none"/>
        </w:rPr>
        <w:t>甲方应按时办理完工程进度款和竣工结算的审核，按时向乙方支付工程进度款。</w:t>
      </w:r>
    </w:p>
    <w:p w14:paraId="6BF7F1F1">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8</w:t>
      </w:r>
      <w:r>
        <w:rPr>
          <w:rFonts w:hint="eastAsia" w:ascii="仿宋_GB2312" w:eastAsia="仿宋_GB2312"/>
          <w:color w:val="auto"/>
          <w:sz w:val="24"/>
          <w:highlight w:val="none"/>
        </w:rPr>
        <w:t>）如乙方不按合同要求进行施工，甲方有权通知乙方暂停施工，待整改完毕后报甲方验收并同意后方可复工，由此造成的损失由乙方负责，工期不予顺延；若乙方拒绝整改或在甲方规定的时间内未整改完毕又没有向甲方说明理由的，甲方有权单方解除合同，未支付的工程费不予支付，乙方还应赔偿甲方因此遭受的所有损失</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包括但不限于甲方与第三方进行替代交易、向第三方赔偿、合同履行后的利益损失、诉讼费、律师费、保全保险费等）</w:t>
      </w:r>
      <w:r>
        <w:rPr>
          <w:rFonts w:hint="eastAsia" w:ascii="仿宋_GB2312" w:eastAsia="仿宋_GB2312"/>
          <w:color w:val="auto"/>
          <w:sz w:val="24"/>
          <w:highlight w:val="none"/>
        </w:rPr>
        <w:t>。</w:t>
      </w:r>
    </w:p>
    <w:p w14:paraId="62F25123">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2．乙方权利与义务</w:t>
      </w:r>
    </w:p>
    <w:p w14:paraId="636602B1">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（1）指派</w:t>
      </w:r>
      <w:r>
        <w:rPr>
          <w:rFonts w:hint="eastAsia" w:ascii="仿宋_GB2312" w:eastAsia="仿宋_GB2312"/>
          <w:color w:val="auto"/>
          <w:sz w:val="24"/>
          <w:highlight w:val="none"/>
          <w:lang w:val="en-US" w:eastAsia="zh-CN"/>
        </w:rPr>
        <w:t>XXX</w:t>
      </w:r>
      <w:r>
        <w:rPr>
          <w:rFonts w:hint="eastAsia" w:ascii="仿宋_GB2312" w:eastAsia="仿宋_GB2312"/>
          <w:color w:val="auto"/>
          <w:sz w:val="24"/>
          <w:highlight w:val="none"/>
        </w:rPr>
        <w:t>为工程总承包项目</w:t>
      </w:r>
      <w:r>
        <w:rPr>
          <w:rFonts w:hint="eastAsia" w:ascii="仿宋_GB2312" w:eastAsia="仿宋_GB2312"/>
          <w:color w:val="auto"/>
          <w:sz w:val="24"/>
          <w:highlight w:val="none"/>
          <w:lang w:val="en-US" w:eastAsia="zh-CN"/>
        </w:rPr>
        <w:t>现场负责人</w:t>
      </w:r>
      <w:r>
        <w:rPr>
          <w:rFonts w:hint="eastAsia" w:ascii="仿宋_GB2312" w:eastAsia="仿宋_GB2312"/>
          <w:color w:val="auto"/>
          <w:sz w:val="24"/>
          <w:highlight w:val="none"/>
        </w:rPr>
        <w:t>，联系方式</w:t>
      </w:r>
      <w:r>
        <w:rPr>
          <w:rFonts w:hint="eastAsia" w:ascii="仿宋_GB2312" w:eastAsia="仿宋_GB2312"/>
          <w:color w:val="auto"/>
          <w:sz w:val="24"/>
          <w:highlight w:val="none"/>
          <w:lang w:val="en-US" w:eastAsia="zh-CN"/>
        </w:rPr>
        <w:t>XXXXXXX</w:t>
      </w:r>
      <w:r>
        <w:rPr>
          <w:rFonts w:hint="eastAsia" w:ascii="仿宋_GB2312" w:eastAsia="仿宋_GB2312"/>
          <w:color w:val="auto"/>
          <w:sz w:val="24"/>
          <w:highlight w:val="none"/>
        </w:rPr>
        <w:t>,负责合同履行，按要求组织施工，解决由乙方负责的各项事宜，同时与</w:t>
      </w:r>
      <w:r>
        <w:rPr>
          <w:rFonts w:hint="eastAsia" w:ascii="仿宋_GB2312" w:eastAsia="仿宋_GB2312"/>
          <w:color w:val="auto"/>
          <w:sz w:val="24"/>
          <w:highlight w:val="none"/>
          <w:lang w:val="en-US" w:eastAsia="zh-CN"/>
        </w:rPr>
        <w:t>现场</w:t>
      </w:r>
      <w:r>
        <w:rPr>
          <w:rFonts w:hint="eastAsia" w:ascii="仿宋_GB2312" w:eastAsia="仿宋_GB2312"/>
          <w:color w:val="auto"/>
          <w:sz w:val="24"/>
          <w:highlight w:val="none"/>
        </w:rPr>
        <w:t>业主对接好施工场地规划、施工时间安排、施工人员进出、施工用水用电等相关事宜。乙方中途更换现场代表，应提出书面申请征得甲方和监理单位同意后方可换人，否则乙方应按本合同约定承担违约金。</w:t>
      </w:r>
    </w:p>
    <w:p w14:paraId="2D5AC000">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（2）严格按施工图纸、招标技术要求、设计变更及国家、本市的现行施工验收规范的要求负责本工程的施工，保证本工程质量达到本合同约定的标准，并通过</w:t>
      </w:r>
      <w:r>
        <w:rPr>
          <w:rFonts w:hint="eastAsia" w:ascii="仿宋_GB2312" w:eastAsia="仿宋_GB2312"/>
          <w:color w:val="auto"/>
          <w:sz w:val="24"/>
          <w:highlight w:val="none"/>
          <w:lang w:val="en-US" w:eastAsia="zh-CN"/>
        </w:rPr>
        <w:t>甲方</w:t>
      </w:r>
      <w:r>
        <w:rPr>
          <w:rFonts w:hint="eastAsia" w:ascii="仿宋_GB2312" w:eastAsia="仿宋_GB2312"/>
          <w:color w:val="auto"/>
          <w:sz w:val="24"/>
          <w:highlight w:val="none"/>
        </w:rPr>
        <w:t>的验收。</w:t>
      </w:r>
    </w:p>
    <w:p w14:paraId="44800690">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（3）实地勘察并全面了解本工程现场情况，根据招标技术要求及现场情况自行负责委托具备相应资质的设计单位进行施工图纸深化设计、供电方案编制并确保通过甲方审核通过，按甲方提出的</w:t>
      </w:r>
      <w:r>
        <w:rPr>
          <w:rFonts w:hint="eastAsia" w:ascii="仿宋_GB2312" w:eastAsia="仿宋_GB2312"/>
          <w:color w:val="auto"/>
          <w:sz w:val="24"/>
          <w:highlight w:val="none"/>
          <w:lang w:val="en-US" w:eastAsia="zh-CN"/>
        </w:rPr>
        <w:t>合理</w:t>
      </w:r>
      <w:r>
        <w:rPr>
          <w:rFonts w:hint="eastAsia" w:ascii="仿宋_GB2312" w:eastAsia="仿宋_GB2312"/>
          <w:color w:val="auto"/>
          <w:sz w:val="24"/>
          <w:highlight w:val="none"/>
        </w:rPr>
        <w:t>审查修改意见进行整改。</w:t>
      </w:r>
    </w:p>
    <w:p w14:paraId="2A99ED07">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（4）自本工程开工前，乙方应向甲方报送施工组织设计、安全专项方案、施工资质、设计资质、相关管理人员资质、特种作业人员资质、工程一切保险（含第三者）、</w:t>
      </w:r>
      <w:r>
        <w:rPr>
          <w:rFonts w:hint="eastAsia" w:ascii="仿宋_GB2312" w:eastAsia="仿宋_GB2312"/>
          <w:color w:val="auto"/>
          <w:sz w:val="24"/>
          <w:highlight w:val="none"/>
          <w:lang w:val="en-US" w:eastAsia="zh-CN"/>
        </w:rPr>
        <w:t>施工人员工伤保</w:t>
      </w:r>
      <w:r>
        <w:rPr>
          <w:rFonts w:hint="eastAsia" w:ascii="仿宋_GB2312" w:eastAsia="仿宋_GB2312"/>
          <w:color w:val="auto"/>
          <w:sz w:val="24"/>
          <w:highlight w:val="none"/>
        </w:rPr>
        <w:t>险</w:t>
      </w:r>
      <w:r>
        <w:rPr>
          <w:rFonts w:hint="eastAsia" w:ascii="仿宋_GB2312" w:eastAsia="仿宋_GB2312"/>
          <w:color w:val="auto"/>
          <w:sz w:val="24"/>
          <w:highlight w:val="none"/>
          <w:lang w:val="en-US" w:eastAsia="zh-CN"/>
        </w:rPr>
        <w:t>/意外保险</w:t>
      </w:r>
      <w:r>
        <w:rPr>
          <w:rFonts w:hint="eastAsia" w:ascii="仿宋_GB2312" w:eastAsia="仿宋_GB2312"/>
          <w:color w:val="auto"/>
          <w:sz w:val="24"/>
          <w:highlight w:val="none"/>
        </w:rPr>
        <w:t>，施工总进度计划等开工报审资料，经甲方、监理单位审核同意后，乙方须严格按开工报审资料要求执行。</w:t>
      </w:r>
    </w:p>
    <w:p w14:paraId="2632A51D">
      <w:pP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5）项目开工后，乙方须严格执行施工日志制度，每日向甲方提交施工日志，该制度持续至项目投运为止。同时，所有主材及设备进场前，乙方必须向甲方报审，并提供完整的产品合格证、质量检验报告及现场检查记录表等资料，经甲方技术人员和监理人员检查确认合格后方可进场使用。</w:t>
      </w:r>
    </w:p>
    <w:p w14:paraId="70459DD4">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此外，项目经理每月现场出勤天数不得低于施工周期总天数的80%，且需进行现场打卡考勤。若项目经理出勤率未达标准，甲方有权更换项目经理</w:t>
      </w:r>
      <w:r>
        <w:rPr>
          <w:rFonts w:hint="eastAsia" w:ascii="仿宋_GB2312" w:eastAsia="仿宋_GB2312"/>
          <w:color w:val="auto"/>
          <w:sz w:val="24"/>
          <w:highlight w:val="none"/>
          <w:lang w:val="en-US" w:eastAsia="zh-CN"/>
        </w:rPr>
        <w:t>及按施工管理条例进行处罚</w:t>
      </w:r>
      <w:r>
        <w:rPr>
          <w:rFonts w:hint="eastAsia" w:ascii="仿宋_GB2312" w:eastAsia="仿宋_GB2312"/>
          <w:color w:val="auto"/>
          <w:sz w:val="24"/>
          <w:highlight w:val="none"/>
        </w:rPr>
        <w:t>。</w:t>
      </w:r>
    </w:p>
    <w:p w14:paraId="71611CE7">
      <w:pPr>
        <w:spacing w:line="360" w:lineRule="auto"/>
        <w:ind w:firstLine="480" w:firstLineChars="200"/>
        <w:rPr>
          <w:color w:val="auto"/>
          <w:highlight w:val="none"/>
        </w:rPr>
      </w:pPr>
      <w:r>
        <w:rPr>
          <w:rFonts w:hint="eastAsia" w:ascii="仿宋_GB2312" w:eastAsia="仿宋_GB2312"/>
          <w:color w:val="auto"/>
          <w:sz w:val="24"/>
          <w:highlight w:val="none"/>
        </w:rPr>
        <w:t>（6）施工过程中，隐蔽工程完成前乙方需向甲方申请报验并提供现场施工记录表等资料，经甲方专业技术人员、监理人员检验合格并经现场确认后方可进行下一步工序施工。</w:t>
      </w:r>
    </w:p>
    <w:p w14:paraId="4B56D7C3">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（7）服从甲方对工程进度监督，并严格遵守甲方各项管理规定；服从甲方及监理单位质量检查，对不满足质量要求的必须立即整改，按期完成施工任务；服从甲方现场施工管理与协调，处理、协调好与</w:t>
      </w:r>
      <w:r>
        <w:rPr>
          <w:rFonts w:hint="eastAsia" w:ascii="仿宋_GB2312" w:eastAsia="仿宋_GB2312"/>
          <w:color w:val="auto"/>
          <w:sz w:val="24"/>
          <w:highlight w:val="none"/>
          <w:lang w:val="en-US" w:eastAsia="zh-CN"/>
        </w:rPr>
        <w:t>现场</w:t>
      </w:r>
      <w:r>
        <w:rPr>
          <w:rFonts w:hint="eastAsia" w:ascii="仿宋_GB2312" w:eastAsia="仿宋_GB2312"/>
          <w:color w:val="auto"/>
          <w:sz w:val="24"/>
          <w:highlight w:val="none"/>
        </w:rPr>
        <w:t>业主</w:t>
      </w:r>
      <w:r>
        <w:rPr>
          <w:rFonts w:hint="eastAsia" w:ascii="仿宋_GB2312" w:eastAsia="仿宋_GB2312"/>
          <w:color w:val="auto"/>
          <w:sz w:val="24"/>
          <w:highlight w:val="none"/>
          <w:lang w:val="en-US" w:eastAsia="zh-CN"/>
        </w:rPr>
        <w:t>及有关</w:t>
      </w:r>
      <w:r>
        <w:rPr>
          <w:rFonts w:hint="eastAsia" w:ascii="仿宋_GB2312" w:eastAsia="仿宋_GB2312"/>
          <w:color w:val="auto"/>
          <w:sz w:val="24"/>
          <w:highlight w:val="none"/>
        </w:rPr>
        <w:t>部门关系，积极配合其工作，保证项目按工期投运。</w:t>
      </w:r>
    </w:p>
    <w:p w14:paraId="54383D3D">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（8）在全部工程验收合格移交甲方之前,对承包范围内已完</w:t>
      </w:r>
      <w:r>
        <w:rPr>
          <w:rFonts w:hint="eastAsia" w:ascii="仿宋_GB2312" w:eastAsia="仿宋_GB2312"/>
          <w:color w:val="auto"/>
          <w:sz w:val="24"/>
          <w:highlight w:val="none"/>
          <w:lang w:val="en-US" w:eastAsia="zh-CN"/>
        </w:rPr>
        <w:t>成</w:t>
      </w:r>
      <w:r>
        <w:rPr>
          <w:rFonts w:hint="eastAsia" w:ascii="仿宋_GB2312" w:eastAsia="仿宋_GB2312"/>
          <w:color w:val="auto"/>
          <w:sz w:val="24"/>
          <w:highlight w:val="none"/>
        </w:rPr>
        <w:t>工程成品、半成品进行保管、保护，保护期间发生的损坏，乙方自费予以修复。</w:t>
      </w:r>
    </w:p>
    <w:p w14:paraId="4F48E063">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（9）施工期间，妥善保护好施工现场周围建筑物、设备管线与其他相关专业的施工成品、半成品，做到人走场清；若有损坏，乙方须无条件修复。</w:t>
      </w:r>
    </w:p>
    <w:p w14:paraId="6E681D36">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（10）按甲方相关部门的规定</w:t>
      </w:r>
      <w:r>
        <w:rPr>
          <w:rFonts w:hint="eastAsia" w:ascii="仿宋_GB2312" w:eastAsia="仿宋_GB2312"/>
          <w:color w:val="auto"/>
          <w:sz w:val="24"/>
          <w:highlight w:val="none"/>
          <w:lang w:val="en-US" w:eastAsia="zh-CN"/>
        </w:rPr>
        <w:t>做</w:t>
      </w:r>
      <w:r>
        <w:rPr>
          <w:rFonts w:hint="eastAsia" w:ascii="仿宋_GB2312" w:eastAsia="仿宋_GB2312"/>
          <w:color w:val="auto"/>
          <w:sz w:val="24"/>
          <w:highlight w:val="none"/>
        </w:rPr>
        <w:t>好施工文件报审记录，汇集资料作为竣工资料移交甲方。</w:t>
      </w:r>
    </w:p>
    <w:p w14:paraId="66FE8B13">
      <w:pP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（11）健全质量、安全检查制度，在现场设专职质量、安全检查员，做好自检</w:t>
      </w:r>
      <w:r>
        <w:rPr>
          <w:rFonts w:hint="eastAsia" w:ascii="仿宋_GB2312" w:eastAsia="仿宋_GB2312"/>
          <w:color w:val="auto"/>
          <w:sz w:val="24"/>
          <w:highlight w:val="none"/>
          <w:lang w:val="en-US" w:eastAsia="zh-CN"/>
        </w:rPr>
        <w:t>记</w:t>
      </w:r>
      <w:r>
        <w:rPr>
          <w:rFonts w:hint="eastAsia" w:ascii="仿宋_GB2312" w:eastAsia="仿宋_GB2312"/>
          <w:color w:val="auto"/>
          <w:sz w:val="24"/>
          <w:highlight w:val="none"/>
        </w:rPr>
        <w:t>录。</w:t>
      </w:r>
      <w:r>
        <w:rPr>
          <w:rFonts w:hint="eastAsia" w:ascii="仿宋_GB2312" w:hAnsi="宋体" w:eastAsia="仿宋_GB2312"/>
          <w:color w:val="auto"/>
          <w:sz w:val="24"/>
          <w:highlight w:val="none"/>
        </w:rPr>
        <w:t>必须时时做好施工人员的安全教育，</w:t>
      </w:r>
      <w:r>
        <w:rPr>
          <w:rFonts w:hint="eastAsia" w:ascii="仿宋_GB2312" w:eastAsia="仿宋_GB2312"/>
          <w:color w:val="auto"/>
          <w:sz w:val="24"/>
          <w:highlight w:val="none"/>
        </w:rPr>
        <w:t>为施工现场人员办理人身意外伤害保险、工伤保险和第三者责任险，</w:t>
      </w:r>
      <w:r>
        <w:rPr>
          <w:rFonts w:hint="eastAsia" w:ascii="仿宋_GB2312" w:hAnsi="宋体" w:eastAsia="仿宋_GB2312"/>
          <w:color w:val="auto"/>
          <w:sz w:val="24"/>
          <w:highlight w:val="none"/>
        </w:rPr>
        <w:t>杜绝安全事故的发生</w:t>
      </w:r>
      <w:r>
        <w:rPr>
          <w:rFonts w:hint="eastAsia" w:ascii="仿宋_GB2312" w:eastAsia="仿宋_GB2312"/>
          <w:color w:val="auto"/>
          <w:sz w:val="24"/>
          <w:highlight w:val="none"/>
        </w:rPr>
        <w:t>。因</w:t>
      </w:r>
      <w:r>
        <w:rPr>
          <w:rFonts w:hint="eastAsia" w:ascii="仿宋_GB2312" w:hAnsi="宋体" w:eastAsia="仿宋_GB2312"/>
          <w:color w:val="auto"/>
          <w:sz w:val="24"/>
          <w:highlight w:val="none"/>
        </w:rPr>
        <w:t>安全施工措施不力等</w:t>
      </w:r>
      <w:r>
        <w:rPr>
          <w:rFonts w:hint="eastAsia" w:ascii="仿宋_GB2312" w:eastAsia="仿宋_GB2312"/>
          <w:color w:val="auto"/>
          <w:sz w:val="24"/>
          <w:highlight w:val="none"/>
        </w:rPr>
        <w:t>乙方原因造成任何人员伤亡（包括第三方人员伤亡在内）</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财产损失或相关行政处理</w:t>
      </w:r>
      <w:r>
        <w:rPr>
          <w:rFonts w:hint="eastAsia" w:ascii="仿宋_GB2312" w:eastAsia="仿宋_GB2312"/>
          <w:color w:val="auto"/>
          <w:sz w:val="24"/>
          <w:highlight w:val="none"/>
        </w:rPr>
        <w:t>，一切责任均由乙方负责。给甲方造成的损失的（包括但不限于声誉及经济损失），乙方还应进行赔偿。</w:t>
      </w:r>
    </w:p>
    <w:p w14:paraId="15DA7722">
      <w:pPr>
        <w:pStyle w:val="2"/>
        <w:rPr>
          <w:rFonts w:hint="default" w:eastAsia="仿宋_GB2312"/>
          <w:highlight w:val="none"/>
          <w:lang w:val="en-US" w:eastAsia="zh-CN"/>
        </w:rPr>
      </w:pPr>
      <w:r>
        <w:rPr>
          <w:rFonts w:hint="eastAsia" w:ascii="仿宋_GB2312" w:eastAsia="仿宋_GB2312"/>
          <w:color w:val="auto"/>
          <w:sz w:val="24"/>
          <w:highlight w:val="none"/>
          <w:lang w:val="en-US" w:eastAsia="zh-CN"/>
        </w:rPr>
        <w:t xml:space="preserve"> (12)乙方须接入我司智慧工地一体化管理平台（新锋新能源数字工地平台），服从我司数字工地平台的管理，保证数字工地平台录入的数据、资料真实性、及时性、有效性。</w:t>
      </w:r>
    </w:p>
    <w:p w14:paraId="4F6F779A">
      <w:pPr>
        <w:spacing w:line="360" w:lineRule="auto"/>
        <w:ind w:firstLine="480" w:firstLineChars="200"/>
        <w:rPr>
          <w:rFonts w:hint="eastAsia" w:ascii="仿宋_GB2312" w:hAnsi="宋体" w:eastAsia="仿宋_GB2312"/>
          <w:color w:val="auto"/>
          <w:sz w:val="24"/>
          <w:highlight w:val="none"/>
        </w:rPr>
      </w:pPr>
      <w:r>
        <w:rPr>
          <w:rFonts w:hint="eastAsia" w:ascii="仿宋_GB2312" w:eastAsia="仿宋_GB2312"/>
          <w:color w:val="auto"/>
          <w:sz w:val="24"/>
          <w:highlight w:val="none"/>
        </w:rPr>
        <w:t>（1</w:t>
      </w:r>
      <w:r>
        <w:rPr>
          <w:rFonts w:hint="eastAsia" w:ascii="仿宋_GB2312" w:eastAsia="仿宋_GB2312"/>
          <w:color w:val="auto"/>
          <w:sz w:val="24"/>
          <w:highlight w:val="none"/>
          <w:lang w:val="en-US" w:eastAsia="zh-CN"/>
        </w:rPr>
        <w:t>3</w:t>
      </w:r>
      <w:r>
        <w:rPr>
          <w:rFonts w:hint="eastAsia" w:ascii="仿宋_GB2312" w:eastAsia="仿宋_GB2312"/>
          <w:color w:val="auto"/>
          <w:sz w:val="24"/>
          <w:highlight w:val="none"/>
        </w:rPr>
        <w:t>）</w:t>
      </w:r>
      <w:r>
        <w:rPr>
          <w:rFonts w:hint="eastAsia" w:ascii="仿宋_GB2312" w:hAnsi="宋体" w:eastAsia="仿宋_GB2312"/>
          <w:color w:val="auto"/>
          <w:sz w:val="24"/>
          <w:highlight w:val="none"/>
        </w:rPr>
        <w:t>乙方应服从甲方管理，并与甲方签订“安全协议”。</w:t>
      </w:r>
    </w:p>
    <w:p w14:paraId="4D7FA05A">
      <w:pPr>
        <w:rPr>
          <w:color w:val="auto"/>
          <w:highlight w:val="none"/>
        </w:rPr>
      </w:pPr>
    </w:p>
    <w:p w14:paraId="323687C4">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九、现场施工管理</w:t>
      </w:r>
    </w:p>
    <w:p w14:paraId="712FF68E">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1．材料、设备管理</w:t>
      </w:r>
    </w:p>
    <w:p w14:paraId="4AB1B345">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（1）乙方应严格按会审好的施工图纸要求选择材料、设备与施工工艺，按图施工。</w:t>
      </w:r>
    </w:p>
    <w:p w14:paraId="04DE9354">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（2）乙方进场材料、设备应报甲方、监理单位验收确认，材料、设备经甲方、监理单位确认同意后方可进行施工，否则，甲方有权要求乙方返工，不合格的材料、设备退场，且施工工期不得顺延。</w:t>
      </w:r>
    </w:p>
    <w:p w14:paraId="4855169E">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2．现场施工管理</w:t>
      </w:r>
    </w:p>
    <w:p w14:paraId="34B8EEEA">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无论任何一方提出设计变更（如：改变设备、材料、规格、型号、产地、功能等；或需要更改施工路线，设备安装位置，改变系统功能等），均需先由提出设计变更要求的一方提出变更方案，交监理单位审核后报甲方及相关部门审批确认后方可实施。设计变更一律使用书面通知形式，任何口头通知都属无效。</w:t>
      </w:r>
    </w:p>
    <w:p w14:paraId="21E60945">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（2）乙方在进场施工前应编制书面进场报告给甲方，进场报告中应包括：施工组织设计、施工安全专项方案、施工资质、设计资质、相关管理人员资质、特种作业人员资质、工程一切保险（含第三者）、</w:t>
      </w:r>
      <w:r>
        <w:rPr>
          <w:rFonts w:hint="eastAsia" w:ascii="仿宋_GB2312" w:eastAsia="仿宋_GB2312"/>
          <w:color w:val="auto"/>
          <w:sz w:val="24"/>
          <w:highlight w:val="none"/>
          <w:lang w:val="en-US" w:eastAsia="zh-CN"/>
        </w:rPr>
        <w:t>施工人员工伤保</w:t>
      </w:r>
      <w:r>
        <w:rPr>
          <w:rFonts w:hint="eastAsia" w:ascii="仿宋_GB2312" w:eastAsia="仿宋_GB2312"/>
          <w:color w:val="auto"/>
          <w:sz w:val="24"/>
          <w:highlight w:val="none"/>
        </w:rPr>
        <w:t>险</w:t>
      </w:r>
      <w:r>
        <w:rPr>
          <w:rFonts w:hint="eastAsia" w:ascii="仿宋_GB2312" w:eastAsia="仿宋_GB2312"/>
          <w:color w:val="auto"/>
          <w:sz w:val="24"/>
          <w:highlight w:val="none"/>
          <w:lang w:val="en-US" w:eastAsia="zh-CN"/>
        </w:rPr>
        <w:t>/意外保险</w:t>
      </w:r>
      <w:r>
        <w:rPr>
          <w:rFonts w:hint="eastAsia" w:ascii="仿宋_GB2312" w:eastAsia="仿宋_GB2312"/>
          <w:color w:val="auto"/>
          <w:sz w:val="24"/>
          <w:highlight w:val="none"/>
        </w:rPr>
        <w:t>、详细的工程进度计划及相关的联络、投诉电话等。</w:t>
      </w:r>
    </w:p>
    <w:p w14:paraId="6A21511A">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（3）乙方必须服从甲方现场工程师（监理）的监督、管理，接受合理的、先进的施工方法建议。</w:t>
      </w:r>
    </w:p>
    <w:p w14:paraId="67124602">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（4）乙方在实施施工图纸时，发现问题要及时向甲方及监理单位汇报与沟通，确实需要更改原工程施工图纸的，应书面报经监理单位确认并经甲方及相关部门审批后方可实施，不得擅作修改。</w:t>
      </w:r>
    </w:p>
    <w:p w14:paraId="59030054">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5</w:t>
      </w:r>
      <w:r>
        <w:rPr>
          <w:rFonts w:hint="eastAsia" w:ascii="仿宋_GB2312" w:eastAsia="仿宋_GB2312"/>
          <w:color w:val="auto"/>
          <w:sz w:val="24"/>
          <w:highlight w:val="none"/>
        </w:rPr>
        <w:t>）乙方在施工中要严格按照国家标准规范或专业的技术规范施工，并最终通过</w:t>
      </w:r>
      <w:r>
        <w:rPr>
          <w:rFonts w:hint="eastAsia" w:ascii="仿宋_GB2312" w:eastAsia="仿宋_GB2312"/>
          <w:color w:val="auto"/>
          <w:sz w:val="24"/>
          <w:highlight w:val="none"/>
          <w:lang w:val="en-US" w:eastAsia="zh-CN"/>
        </w:rPr>
        <w:t>甲方和</w:t>
      </w:r>
      <w:r>
        <w:rPr>
          <w:rFonts w:hint="eastAsia" w:ascii="仿宋_GB2312" w:eastAsia="仿宋_GB2312"/>
          <w:color w:val="auto"/>
          <w:sz w:val="24"/>
          <w:highlight w:val="none"/>
        </w:rPr>
        <w:t>相关部门</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如涉及</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rPr>
        <w:t>验收合格。</w:t>
      </w:r>
    </w:p>
    <w:p w14:paraId="2328F4C5">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6</w:t>
      </w:r>
      <w:r>
        <w:rPr>
          <w:rFonts w:hint="eastAsia" w:ascii="仿宋_GB2312" w:eastAsia="仿宋_GB2312"/>
          <w:color w:val="auto"/>
          <w:sz w:val="24"/>
          <w:highlight w:val="none"/>
        </w:rPr>
        <w:t>）乙方在施工过程中，应做好各种工程施工记录，填写各种工程验收所必</w:t>
      </w:r>
      <w:r>
        <w:rPr>
          <w:rFonts w:hint="eastAsia" w:ascii="仿宋_GB2312" w:eastAsia="仿宋_GB2312"/>
          <w:color w:val="auto"/>
          <w:sz w:val="24"/>
          <w:highlight w:val="none"/>
          <w:lang w:val="en-US" w:eastAsia="zh-CN"/>
        </w:rPr>
        <w:t>需</w:t>
      </w:r>
      <w:r>
        <w:rPr>
          <w:rFonts w:hint="eastAsia" w:ascii="仿宋_GB2312" w:eastAsia="仿宋_GB2312"/>
          <w:color w:val="auto"/>
          <w:sz w:val="24"/>
          <w:highlight w:val="none"/>
        </w:rPr>
        <w:t>的工程资料。</w:t>
      </w:r>
    </w:p>
    <w:p w14:paraId="77988876">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7</w:t>
      </w:r>
      <w:r>
        <w:rPr>
          <w:rFonts w:hint="eastAsia" w:ascii="仿宋_GB2312" w:eastAsia="仿宋_GB2312"/>
          <w:color w:val="auto"/>
          <w:sz w:val="24"/>
          <w:highlight w:val="none"/>
        </w:rPr>
        <w:t>）乙方施工过程中，应遵守甲方、监理单位制定的《工程管理制度》，乙方违反现场施工管理制度的，应接受相关单位的罚款等处罚。</w:t>
      </w:r>
    </w:p>
    <w:p w14:paraId="43EECC53">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8</w:t>
      </w:r>
      <w:r>
        <w:rPr>
          <w:rFonts w:hint="eastAsia" w:ascii="仿宋_GB2312" w:eastAsia="仿宋_GB2312"/>
          <w:color w:val="auto"/>
          <w:sz w:val="24"/>
          <w:highlight w:val="none"/>
        </w:rPr>
        <w:t>）乙方应在项目现场设立安全警示牌。危险区域必须悬挂“临边区域，当心坠落”、“高空作业，当心坠落”、“小心踏空，以防坠落”、“以防坠落，请勿攀爬”、“吊装作业，请勿靠近”、“高压有电，请勿靠近”、“当心触电”、“注意安全 ”、“严禁烟火”、“禁止通行”或“高空作业，系好安全带”、“必须系安全带”、“必须戴安全帽”等安全警示标志。</w:t>
      </w:r>
    </w:p>
    <w:p w14:paraId="34F9DAAE">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9</w:t>
      </w:r>
      <w:r>
        <w:rPr>
          <w:rFonts w:hint="eastAsia" w:ascii="仿宋_GB2312" w:eastAsia="仿宋_GB2312"/>
          <w:color w:val="auto"/>
          <w:sz w:val="24"/>
          <w:highlight w:val="none"/>
        </w:rPr>
        <w:t>）</w:t>
      </w:r>
      <w:r>
        <w:rPr>
          <w:rFonts w:hint="default" w:ascii="仿宋_GB2312" w:eastAsia="仿宋_GB2312"/>
          <w:color w:val="auto"/>
          <w:sz w:val="24"/>
          <w:highlight w:val="none"/>
        </w:rPr>
        <w:t>乙方</w:t>
      </w:r>
      <w:r>
        <w:rPr>
          <w:rFonts w:hint="eastAsia" w:ascii="仿宋_GB2312" w:eastAsia="仿宋_GB2312"/>
          <w:color w:val="auto"/>
          <w:sz w:val="24"/>
          <w:highlight w:val="none"/>
        </w:rPr>
        <w:t>在</w:t>
      </w:r>
      <w:r>
        <w:rPr>
          <w:rFonts w:hint="default" w:ascii="仿宋_GB2312" w:eastAsia="仿宋_GB2312"/>
          <w:color w:val="auto"/>
          <w:sz w:val="24"/>
          <w:highlight w:val="none"/>
        </w:rPr>
        <w:t>施工过程有义务</w:t>
      </w:r>
      <w:r>
        <w:rPr>
          <w:rFonts w:hint="eastAsia" w:ascii="仿宋_GB2312" w:eastAsia="仿宋_GB2312"/>
          <w:color w:val="auto"/>
          <w:sz w:val="24"/>
          <w:highlight w:val="none"/>
        </w:rPr>
        <w:t>完成</w:t>
      </w:r>
      <w:r>
        <w:rPr>
          <w:rFonts w:hint="default" w:ascii="仿宋_GB2312" w:eastAsia="仿宋_GB2312"/>
          <w:color w:val="auto"/>
          <w:sz w:val="24"/>
          <w:highlight w:val="none"/>
        </w:rPr>
        <w:t>施工图纸深化</w:t>
      </w:r>
      <w:r>
        <w:rPr>
          <w:rFonts w:hint="eastAsia" w:ascii="仿宋_GB2312" w:eastAsia="仿宋_GB2312"/>
          <w:color w:val="auto"/>
          <w:sz w:val="24"/>
          <w:highlight w:val="none"/>
        </w:rPr>
        <w:t>设计</w:t>
      </w:r>
      <w:r>
        <w:rPr>
          <w:rFonts w:hint="default" w:ascii="仿宋_GB2312" w:eastAsia="仿宋_GB2312"/>
          <w:color w:val="auto"/>
          <w:sz w:val="24"/>
          <w:highlight w:val="none"/>
        </w:rPr>
        <w:t>，如果在施工过程中因为图纸设计不合理或不应发生的损失由乙方承担，工期不顺延，如乙方提出合理化建议后，由于甲方</w:t>
      </w:r>
      <w:r>
        <w:rPr>
          <w:rFonts w:hint="eastAsia" w:ascii="仿宋_GB2312" w:eastAsia="仿宋_GB2312"/>
          <w:color w:val="auto"/>
          <w:sz w:val="24"/>
          <w:highlight w:val="none"/>
        </w:rPr>
        <w:t>以及</w:t>
      </w:r>
      <w:r>
        <w:rPr>
          <w:rFonts w:hint="default" w:ascii="仿宋_GB2312" w:eastAsia="仿宋_GB2312"/>
          <w:color w:val="auto"/>
          <w:sz w:val="24"/>
          <w:highlight w:val="none"/>
        </w:rPr>
        <w:t>监理</w:t>
      </w:r>
      <w:r>
        <w:rPr>
          <w:rFonts w:hint="eastAsia" w:ascii="仿宋_GB2312" w:eastAsia="仿宋_GB2312"/>
          <w:color w:val="auto"/>
          <w:sz w:val="24"/>
          <w:highlight w:val="none"/>
        </w:rPr>
        <w:t>单位</w:t>
      </w:r>
      <w:r>
        <w:rPr>
          <w:rFonts w:hint="default" w:ascii="仿宋_GB2312" w:eastAsia="仿宋_GB2312"/>
          <w:color w:val="auto"/>
          <w:sz w:val="24"/>
          <w:highlight w:val="none"/>
        </w:rPr>
        <w:t>没有及时处理造成的损失</w:t>
      </w:r>
      <w:r>
        <w:rPr>
          <w:rFonts w:hint="eastAsia" w:ascii="仿宋_GB2312" w:eastAsia="仿宋_GB2312"/>
          <w:color w:val="auto"/>
          <w:sz w:val="24"/>
          <w:highlight w:val="none"/>
        </w:rPr>
        <w:t>由</w:t>
      </w:r>
      <w:r>
        <w:rPr>
          <w:rFonts w:hint="default" w:ascii="仿宋_GB2312" w:eastAsia="仿宋_GB2312"/>
          <w:color w:val="auto"/>
          <w:sz w:val="24"/>
          <w:highlight w:val="none"/>
        </w:rPr>
        <w:t>责任方承担。</w:t>
      </w:r>
    </w:p>
    <w:p w14:paraId="4C016238">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w:t>
      </w:r>
      <w:r>
        <w:rPr>
          <w:rFonts w:hint="eastAsia" w:ascii="仿宋_GB2312" w:eastAsia="仿宋_GB2312"/>
          <w:color w:val="auto"/>
          <w:sz w:val="24"/>
          <w:highlight w:val="none"/>
          <w:lang w:val="en-US" w:eastAsia="zh-CN"/>
        </w:rPr>
        <w:t>0</w:t>
      </w:r>
      <w:r>
        <w:rPr>
          <w:rFonts w:hint="eastAsia" w:ascii="仿宋_GB2312" w:eastAsia="仿宋_GB2312"/>
          <w:color w:val="auto"/>
          <w:sz w:val="24"/>
          <w:highlight w:val="none"/>
        </w:rPr>
        <w:t>）乙方应无条件执行甲方、监理公司的工程指令，按照施工图纸、图纸会审纪要、施工及验收规范进行施工，按合同约定按时保质地完成全部承建内容。合同约定由乙方完成的施工内容和配合工作（包括合同约定、会议纪要、设计变更工程指令、安全文明施工、成品保护等），乙方应全面完成，若由于乙方原因未能按质按期完成或乙方明确表示不予完成的，甲方有权单方解除合同，未支付的工程费不予支付，乙方还应赔偿甲方因此遭受的所有损失</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包括但不限于甲方与第三方进行替代交易、向第三方赔偿、合同履行后的利益损失、诉讼费、律师费、保全保险费等）</w:t>
      </w:r>
    </w:p>
    <w:p w14:paraId="02706783">
      <w:pPr>
        <w:spacing w:line="360" w:lineRule="auto"/>
        <w:rPr>
          <w:rFonts w:hint="eastAsia" w:ascii="仿宋_GB2312" w:eastAsia="仿宋_GB2312"/>
          <w:b/>
          <w:color w:val="auto"/>
          <w:sz w:val="24"/>
          <w:highlight w:val="none"/>
        </w:rPr>
      </w:pPr>
    </w:p>
    <w:p w14:paraId="1140C148">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十、工程验收</w:t>
      </w:r>
    </w:p>
    <w:p w14:paraId="6FE1AAD7">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1．材料设备检查、验收及交货</w:t>
      </w:r>
    </w:p>
    <w:p w14:paraId="474EEDEC">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（1）乙</w:t>
      </w:r>
      <w:r>
        <w:rPr>
          <w:rFonts w:hint="eastAsia" w:ascii="仿宋_GB2312" w:eastAsia="仿宋_GB2312"/>
          <w:color w:val="auto"/>
          <w:sz w:val="24"/>
          <w:highlight w:val="none"/>
          <w:lang w:val="en-US" w:eastAsia="zh-CN"/>
        </w:rPr>
        <w:t>方</w:t>
      </w:r>
      <w:r>
        <w:rPr>
          <w:rFonts w:hint="eastAsia" w:ascii="仿宋_GB2312" w:eastAsia="仿宋_GB2312"/>
          <w:color w:val="auto"/>
          <w:sz w:val="24"/>
          <w:highlight w:val="none"/>
        </w:rPr>
        <w:t>材料设备进场前应向甲方进行品牌、型号规格、</w:t>
      </w:r>
      <w:r>
        <w:rPr>
          <w:rFonts w:hint="default" w:ascii="仿宋_GB2312" w:eastAsia="仿宋_GB2312"/>
          <w:color w:val="auto"/>
          <w:sz w:val="24"/>
          <w:highlight w:val="none"/>
        </w:rPr>
        <w:t>技术参数</w:t>
      </w:r>
      <w:r>
        <w:rPr>
          <w:rFonts w:hint="eastAsia" w:ascii="仿宋_GB2312" w:eastAsia="仿宋_GB2312"/>
          <w:color w:val="auto"/>
          <w:sz w:val="24"/>
          <w:highlight w:val="none"/>
        </w:rPr>
        <w:t>等报审，经甲方确认后方可采购。材料设备运抵工地后乙方应通知甲方及监理工程师，共同开箱验收，经进场验收合格并填写设备材料现场检查记录表后方可施工。未经验收擅自使用的材料设备，甲方有权对该部分工程量不予确认，并要求乙方按要求重新购买材料设备</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rPr>
        <w:t>且工期不予顺延。</w:t>
      </w:r>
    </w:p>
    <w:p w14:paraId="1B139C47">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（2）进场验收合格并不免除任何乙方对材料设备存在质量、设计、性能方面的缺陷和不合格的责任，</w:t>
      </w:r>
      <w:r>
        <w:rPr>
          <w:rFonts w:hint="default" w:ascii="仿宋_GB2312" w:eastAsia="仿宋_GB2312"/>
          <w:color w:val="auto"/>
          <w:sz w:val="24"/>
          <w:highlight w:val="none"/>
        </w:rPr>
        <w:t>以及材料设备品牌、规格型号、技术参数等不符合合同约定的责任</w:t>
      </w:r>
      <w:r>
        <w:rPr>
          <w:rFonts w:hint="eastAsia" w:ascii="仿宋_GB2312" w:eastAsia="仿宋_GB2312"/>
          <w:color w:val="auto"/>
          <w:sz w:val="24"/>
          <w:highlight w:val="none"/>
        </w:rPr>
        <w:t>。</w:t>
      </w:r>
      <w:r>
        <w:rPr>
          <w:rFonts w:hint="eastAsia" w:ascii="仿宋_GB2312" w:hAnsi="宋体" w:eastAsia="仿宋_GB2312"/>
          <w:color w:val="auto"/>
          <w:sz w:val="24"/>
          <w:highlight w:val="none"/>
        </w:rPr>
        <w:t>甲方有权</w:t>
      </w:r>
      <w:r>
        <w:rPr>
          <w:rFonts w:hint="default" w:ascii="仿宋_GB2312" w:hAnsi="宋体" w:eastAsia="仿宋_GB2312"/>
          <w:color w:val="auto"/>
          <w:sz w:val="24"/>
          <w:highlight w:val="none"/>
        </w:rPr>
        <w:t>对</w:t>
      </w:r>
      <w:r>
        <w:rPr>
          <w:rFonts w:hint="eastAsia" w:ascii="仿宋_GB2312" w:hAnsi="宋体" w:eastAsia="仿宋_GB2312"/>
          <w:color w:val="auto"/>
          <w:sz w:val="24"/>
          <w:highlight w:val="none"/>
        </w:rPr>
        <w:t>材料设备</w:t>
      </w:r>
      <w:r>
        <w:rPr>
          <w:rFonts w:hint="default" w:ascii="仿宋_GB2312" w:hAnsi="宋体" w:eastAsia="仿宋_GB2312"/>
          <w:color w:val="auto"/>
          <w:sz w:val="24"/>
          <w:highlight w:val="none"/>
        </w:rPr>
        <w:t>进行破坏性检验，</w:t>
      </w:r>
      <w:r>
        <w:rPr>
          <w:rFonts w:hint="eastAsia" w:ascii="仿宋_GB2312" w:hAnsi="宋体" w:eastAsia="仿宋_GB2312"/>
          <w:color w:val="auto"/>
          <w:sz w:val="24"/>
          <w:highlight w:val="none"/>
        </w:rPr>
        <w:t>如</w:t>
      </w:r>
      <w:r>
        <w:rPr>
          <w:rFonts w:hint="default" w:ascii="仿宋_GB2312" w:hAnsi="宋体" w:eastAsia="仿宋_GB2312"/>
          <w:color w:val="auto"/>
          <w:sz w:val="24"/>
          <w:highlight w:val="none"/>
        </w:rPr>
        <w:t>检验结论证明</w:t>
      </w:r>
      <w:r>
        <w:rPr>
          <w:rFonts w:hint="eastAsia" w:ascii="仿宋_GB2312" w:hAnsi="宋体" w:eastAsia="仿宋_GB2312"/>
          <w:color w:val="auto"/>
          <w:sz w:val="24"/>
          <w:highlight w:val="none"/>
        </w:rPr>
        <w:t>材料设备</w:t>
      </w:r>
      <w:r>
        <w:rPr>
          <w:rFonts w:hint="default" w:ascii="仿宋_GB2312" w:hAnsi="宋体" w:eastAsia="仿宋_GB2312"/>
          <w:color w:val="auto"/>
          <w:sz w:val="24"/>
          <w:highlight w:val="none"/>
        </w:rPr>
        <w:t>不符合合同约定的要求，检验费用</w:t>
      </w:r>
      <w:r>
        <w:rPr>
          <w:rFonts w:hint="eastAsia" w:ascii="仿宋_GB2312" w:hAnsi="宋体" w:eastAsia="仿宋_GB2312"/>
          <w:color w:val="auto"/>
          <w:sz w:val="24"/>
          <w:highlight w:val="none"/>
        </w:rPr>
        <w:t>由</w:t>
      </w:r>
      <w:r>
        <w:rPr>
          <w:rFonts w:hint="default" w:ascii="仿宋_GB2312" w:hAnsi="宋体" w:eastAsia="仿宋_GB2312"/>
          <w:color w:val="auto"/>
          <w:sz w:val="24"/>
          <w:highlight w:val="none"/>
        </w:rPr>
        <w:t>乙方承担</w:t>
      </w:r>
      <w:r>
        <w:rPr>
          <w:rFonts w:hint="eastAsia" w:ascii="仿宋_GB2312" w:hAnsi="宋体" w:eastAsia="仿宋_GB2312"/>
          <w:color w:val="auto"/>
          <w:sz w:val="24"/>
          <w:highlight w:val="none"/>
        </w:rPr>
        <w:t>，并无条件对不符合合同约定要求的材料设备进行更换。</w:t>
      </w:r>
    </w:p>
    <w:p w14:paraId="6C0A12F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（3）进场验收合格后的材料不能及时使用的，应由乙方自行负责保管，并承担保管风险。</w:t>
      </w:r>
    </w:p>
    <w:p w14:paraId="7E97A516">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2．工程竣工验收</w:t>
      </w:r>
    </w:p>
    <w:p w14:paraId="31D66E89">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（1）乙方安装完毕，在自检合格的基础上，负责组织调试检查，调试自检合格后书面通知甲方、监理方，协同甲方及监理作预验收检查，各方应及时参加验收。</w:t>
      </w:r>
    </w:p>
    <w:p w14:paraId="3C1C902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（2）乙方应按甲方合理要求及时组织验收整改。乙方应及时完成竣工验收整改后向甲方移交，双方办理工程移交。</w:t>
      </w:r>
    </w:p>
    <w:p w14:paraId="7B2211B6">
      <w:pPr>
        <w:spacing w:line="360" w:lineRule="auto"/>
        <w:ind w:firstLine="480" w:firstLineChars="200"/>
        <w:rPr>
          <w:color w:val="auto"/>
          <w:highlight w:val="none"/>
        </w:rPr>
      </w:pPr>
      <w:r>
        <w:rPr>
          <w:rFonts w:hint="eastAsia" w:ascii="仿宋_GB2312" w:eastAsia="仿宋_GB2312"/>
          <w:color w:val="auto"/>
          <w:sz w:val="24"/>
          <w:highlight w:val="none"/>
        </w:rPr>
        <w:t>（3）工程竣工时，乙方负责收集、整理本工程承包范围内的全部资料，在甲方规定的时间内向甲方提交全部施工资料。</w:t>
      </w:r>
    </w:p>
    <w:p w14:paraId="4BCBB6C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（4）自本工程</w:t>
      </w:r>
      <w:r>
        <w:rPr>
          <w:rFonts w:hint="eastAsia" w:ascii="仿宋_GB2312" w:eastAsia="仿宋_GB2312"/>
          <w:color w:val="auto"/>
          <w:sz w:val="24"/>
          <w:highlight w:val="none"/>
          <w:lang w:val="en-US" w:eastAsia="zh-CN"/>
        </w:rPr>
        <w:t>通电</w:t>
      </w:r>
      <w:r>
        <w:rPr>
          <w:rFonts w:hint="eastAsia" w:ascii="仿宋_GB2312" w:eastAsia="仿宋_GB2312"/>
          <w:color w:val="auto"/>
          <w:sz w:val="24"/>
          <w:highlight w:val="none"/>
        </w:rPr>
        <w:t>投运后3天内，乙方人员应从施工现场撤离并清理运出乙方剩余材料、设备、垃圾和各种临时设施，保持整个现场清洁、美观，达到竣工使用状态。</w:t>
      </w:r>
    </w:p>
    <w:p w14:paraId="1EB681CE">
      <w:pPr>
        <w:spacing w:line="360" w:lineRule="auto"/>
        <w:rPr>
          <w:rFonts w:hint="default" w:ascii="仿宋_GB2312" w:eastAsia="仿宋_GB2312"/>
          <w:b/>
          <w:color w:val="auto"/>
          <w:sz w:val="24"/>
          <w:highlight w:val="none"/>
        </w:rPr>
      </w:pPr>
    </w:p>
    <w:p w14:paraId="60C57D15">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十一、工程保修</w:t>
      </w:r>
    </w:p>
    <w:p w14:paraId="675E0C31">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1．本工程</w:t>
      </w:r>
      <w:r>
        <w:rPr>
          <w:rFonts w:hint="eastAsia" w:ascii="仿宋_GB2312" w:eastAsia="仿宋_GB2312"/>
          <w:color w:val="auto"/>
          <w:sz w:val="24"/>
          <w:highlight w:val="none"/>
          <w:lang w:val="en-US" w:eastAsia="zh-CN"/>
        </w:rPr>
        <w:t>缺陷责任期</w:t>
      </w:r>
      <w:r>
        <w:rPr>
          <w:rFonts w:hint="eastAsia" w:ascii="仿宋_GB2312" w:eastAsia="仿宋_GB2312"/>
          <w:color w:val="auto"/>
          <w:sz w:val="24"/>
          <w:highlight w:val="none"/>
        </w:rPr>
        <w:t>为</w:t>
      </w:r>
      <w:permStart w:id="9" w:edGrp="everyone"/>
      <w:r>
        <w:rPr>
          <w:rFonts w:hint="eastAsia" w:ascii="仿宋_GB2312" w:eastAsia="仿宋_GB2312"/>
          <w:color w:val="auto"/>
          <w:sz w:val="24"/>
          <w:highlight w:val="none"/>
          <w:lang w:val="en-US" w:eastAsia="zh-CN"/>
        </w:rPr>
        <w:t>2</w:t>
      </w:r>
      <w:permEnd w:id="9"/>
      <w:r>
        <w:rPr>
          <w:rFonts w:hint="eastAsia" w:ascii="仿宋_GB2312" w:eastAsia="仿宋_GB2312"/>
          <w:color w:val="auto"/>
          <w:sz w:val="24"/>
          <w:highlight w:val="none"/>
        </w:rPr>
        <w:t>年，自本工程验收合格，</w:t>
      </w:r>
      <w:r>
        <w:rPr>
          <w:rFonts w:hint="eastAsia" w:ascii="仿宋_GB2312" w:eastAsia="仿宋_GB2312"/>
          <w:color w:val="auto"/>
          <w:sz w:val="24"/>
          <w:highlight w:val="none"/>
          <w:lang w:val="en-US" w:eastAsia="zh-CN"/>
        </w:rPr>
        <w:t>通电</w:t>
      </w:r>
      <w:r>
        <w:rPr>
          <w:rFonts w:hint="eastAsia" w:ascii="仿宋_GB2312" w:eastAsia="仿宋_GB2312"/>
          <w:color w:val="auto"/>
          <w:sz w:val="24"/>
          <w:highlight w:val="none"/>
        </w:rPr>
        <w:t>投运并交付给甲方之日起计。</w:t>
      </w:r>
    </w:p>
    <w:p w14:paraId="2686BA35">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2</w:t>
      </w:r>
      <w:r>
        <w:rPr>
          <w:rFonts w:hint="eastAsia" w:ascii="仿宋_GB2312" w:eastAsia="仿宋_GB2312"/>
          <w:color w:val="auto"/>
          <w:sz w:val="24"/>
          <w:highlight w:val="none"/>
        </w:rPr>
        <w:t>．保修责任：在本工程保修期内，乙方须对无法正常运行的设备承担维修或更换责任。设备发生故障时，乙方应在接到甲方通知后</w:t>
      </w:r>
      <w:r>
        <w:rPr>
          <w:rFonts w:hint="eastAsia" w:ascii="仿宋_GB2312" w:eastAsia="仿宋_GB2312"/>
          <w:color w:val="auto"/>
          <w:sz w:val="24"/>
          <w:highlight w:val="none"/>
          <w:lang w:val="en-US" w:eastAsia="zh-CN"/>
        </w:rPr>
        <w:t>4</w:t>
      </w:r>
      <w:r>
        <w:rPr>
          <w:rFonts w:hint="eastAsia" w:ascii="仿宋_GB2312" w:eastAsia="仿宋_GB2312"/>
          <w:color w:val="auto"/>
          <w:sz w:val="24"/>
          <w:highlight w:val="none"/>
        </w:rPr>
        <w:t>小时内予以响应，并在</w:t>
      </w:r>
      <w:r>
        <w:rPr>
          <w:rFonts w:hint="eastAsia" w:ascii="仿宋_GB2312" w:eastAsia="仿宋_GB2312"/>
          <w:color w:val="auto"/>
          <w:sz w:val="24"/>
          <w:highlight w:val="none"/>
          <w:lang w:val="en-US" w:eastAsia="zh-CN"/>
        </w:rPr>
        <w:t>24</w:t>
      </w:r>
      <w:r>
        <w:rPr>
          <w:rFonts w:hint="eastAsia" w:ascii="仿宋_GB2312" w:eastAsia="仿宋_GB2312"/>
          <w:color w:val="auto"/>
          <w:sz w:val="24"/>
          <w:highlight w:val="none"/>
        </w:rPr>
        <w:t>小时内派遣技术人员抵达现场进行维修；若故障无法现场修复，乙方须立即更换新设备或配件以确保发电系统正常运行。若乙方未能按时响应、拒绝维修或未及时处理故障，甲方有权委托第三方进行维修，由此产生的全部维修费用由乙方承担，并需额外支付维修费用</w:t>
      </w:r>
      <w:r>
        <w:rPr>
          <w:rFonts w:hint="eastAsia" w:ascii="仿宋_GB2312" w:eastAsia="仿宋_GB2312"/>
          <w:color w:val="auto"/>
          <w:sz w:val="24"/>
          <w:highlight w:val="none"/>
          <w:lang w:val="en-US" w:eastAsia="zh-CN"/>
        </w:rPr>
        <w:t>1</w:t>
      </w:r>
      <w:r>
        <w:rPr>
          <w:rFonts w:hint="eastAsia" w:ascii="仿宋_GB2312" w:eastAsia="仿宋_GB2312"/>
          <w:color w:val="auto"/>
          <w:sz w:val="24"/>
          <w:highlight w:val="none"/>
        </w:rPr>
        <w:t>0%的违约金，相关款项将从质量保修金中直接扣除</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质量保修金不足以覆盖甲方全部损失的，甲方有权向乙方追索，乙方应在接到甲方通知后5个工作日内补足</w:t>
      </w:r>
      <w:r>
        <w:rPr>
          <w:rFonts w:hint="eastAsia" w:ascii="仿宋_GB2312" w:eastAsia="仿宋_GB2312"/>
          <w:color w:val="auto"/>
          <w:sz w:val="24"/>
          <w:highlight w:val="none"/>
        </w:rPr>
        <w:t>。如因乙方维修延误或维修不当导致电站全部或部分停运，由此产生的</w:t>
      </w:r>
      <w:r>
        <w:rPr>
          <w:rFonts w:hint="eastAsia" w:ascii="仿宋_GB2312" w:eastAsia="仿宋_GB2312"/>
          <w:color w:val="auto"/>
          <w:sz w:val="24"/>
          <w:highlight w:val="none"/>
          <w:lang w:val="en-US" w:eastAsia="zh-CN"/>
        </w:rPr>
        <w:t>用</w:t>
      </w:r>
      <w:r>
        <w:rPr>
          <w:rFonts w:hint="eastAsia" w:ascii="仿宋_GB2312" w:eastAsia="仿宋_GB2312"/>
          <w:color w:val="auto"/>
          <w:sz w:val="24"/>
          <w:highlight w:val="none"/>
        </w:rPr>
        <w:t>电量损失（按该项目</w:t>
      </w:r>
      <w:r>
        <w:rPr>
          <w:rFonts w:hint="eastAsia" w:ascii="仿宋_GB2312" w:eastAsia="仿宋_GB2312"/>
          <w:color w:val="auto"/>
          <w:sz w:val="24"/>
          <w:highlight w:val="none"/>
          <w:lang w:val="en-US" w:eastAsia="zh-CN"/>
        </w:rPr>
        <w:t>上月电动自行车平均每日用电量计算</w:t>
      </w:r>
      <w:r>
        <w:rPr>
          <w:rFonts w:hint="eastAsia" w:ascii="仿宋_GB2312" w:eastAsia="仿宋_GB2312"/>
          <w:color w:val="auto"/>
          <w:sz w:val="24"/>
          <w:highlight w:val="none"/>
        </w:rPr>
        <w:t>）由乙方全额赔偿。</w:t>
      </w:r>
    </w:p>
    <w:p w14:paraId="08CF0D17">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3</w:t>
      </w:r>
      <w:r>
        <w:rPr>
          <w:rFonts w:hint="eastAsia" w:ascii="仿宋_GB2312" w:eastAsia="仿宋_GB2312"/>
          <w:color w:val="auto"/>
          <w:sz w:val="24"/>
          <w:highlight w:val="none"/>
        </w:rPr>
        <w:t>．保修期限届满后，在设备发生故障时，甲方不能自行排除时，通知乙方，乙方应在接到通知后</w:t>
      </w:r>
      <w:r>
        <w:rPr>
          <w:rFonts w:hint="eastAsia" w:ascii="仿宋_GB2312" w:eastAsia="仿宋_GB2312"/>
          <w:color w:val="auto"/>
          <w:sz w:val="24"/>
          <w:highlight w:val="none"/>
          <w:lang w:val="en-US" w:eastAsia="zh-CN"/>
        </w:rPr>
        <w:t>24</w:t>
      </w:r>
      <w:r>
        <w:rPr>
          <w:rFonts w:hint="eastAsia" w:ascii="仿宋_GB2312" w:eastAsia="仿宋_GB2312"/>
          <w:color w:val="auto"/>
          <w:sz w:val="24"/>
          <w:highlight w:val="none"/>
        </w:rPr>
        <w:t>小时之内派员到达现场进行维修，协助排除故障，超过保修期更换零配件的，乙方应按出厂价收取，人工费按市场标准收取。</w:t>
      </w:r>
    </w:p>
    <w:p w14:paraId="0FDE71F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4</w:t>
      </w:r>
      <w:r>
        <w:rPr>
          <w:rFonts w:hint="eastAsia" w:ascii="仿宋_GB2312" w:eastAsia="仿宋_GB2312"/>
          <w:color w:val="auto"/>
          <w:sz w:val="24"/>
          <w:highlight w:val="none"/>
        </w:rPr>
        <w:t>．工程在交付使用前，乙方应对甲方或业主单位的人员进行技术指导培训，保证甲方或业主单位的人员掌握</w:t>
      </w:r>
      <w:r>
        <w:rPr>
          <w:rFonts w:hint="eastAsia" w:ascii="仿宋_GB2312" w:eastAsia="仿宋_GB2312"/>
          <w:color w:val="auto"/>
          <w:sz w:val="24"/>
          <w:highlight w:val="none"/>
          <w:lang w:val="en-US" w:eastAsia="zh-CN"/>
        </w:rPr>
        <w:t>充电站</w:t>
      </w:r>
      <w:r>
        <w:rPr>
          <w:rFonts w:hint="eastAsia" w:ascii="仿宋_GB2312" w:eastAsia="仿宋_GB2312"/>
          <w:color w:val="auto"/>
          <w:sz w:val="24"/>
          <w:highlight w:val="none"/>
        </w:rPr>
        <w:t>具体情况及设备的操作使用方法、注意事项。</w:t>
      </w:r>
    </w:p>
    <w:p w14:paraId="6AB364CA">
      <w:pP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lang w:val="en-US" w:eastAsia="zh-CN"/>
        </w:rPr>
        <w:t>5</w:t>
      </w:r>
      <w:r>
        <w:rPr>
          <w:rFonts w:hint="eastAsia" w:ascii="仿宋_GB2312" w:eastAsia="仿宋_GB2312"/>
          <w:color w:val="auto"/>
          <w:sz w:val="24"/>
          <w:highlight w:val="none"/>
        </w:rPr>
        <w:t>．乙方应以书面形式提供保修服务队伍有效的名称、资质、人员配备、联系地址、电话等详细资料（若乙方提供的保修服务队伍的地址、电话等变更应及时以书面通知甲方</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如因乙方未及时通知导致未能及时响应的，按上述第2款约定处理</w:t>
      </w:r>
      <w:r>
        <w:rPr>
          <w:rFonts w:hint="eastAsia" w:ascii="仿宋_GB2312" w:eastAsia="仿宋_GB2312"/>
          <w:color w:val="auto"/>
          <w:sz w:val="24"/>
          <w:highlight w:val="none"/>
        </w:rPr>
        <w:t>）。</w:t>
      </w:r>
    </w:p>
    <w:p w14:paraId="4CA6B915">
      <w:pPr>
        <w:pStyle w:val="2"/>
        <w:rPr>
          <w:rFonts w:hint="default"/>
          <w:highlight w:val="none"/>
        </w:rPr>
      </w:pPr>
    </w:p>
    <w:p w14:paraId="01A2A474">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十二、违约</w:t>
      </w:r>
      <w:r>
        <w:rPr>
          <w:rFonts w:hint="eastAsia" w:ascii="仿宋_GB2312" w:eastAsia="仿宋_GB2312"/>
          <w:b/>
          <w:color w:val="auto"/>
          <w:sz w:val="24"/>
          <w:highlight w:val="none"/>
          <w:lang w:val="en-US" w:eastAsia="zh-CN"/>
        </w:rPr>
        <w:t>及合同解除</w:t>
      </w:r>
    </w:p>
    <w:p w14:paraId="05928BDE">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本工程严禁转包或违法分包，若乙方擅自违法分包、转包或中途退场的，甲方有权单方解除本合同，合同解除后，乙方应无条件退还甲方已付工程款，同时应向甲方支付合同总价10%的违约金，且乙方无权要求甲方退回履约保证金。</w:t>
      </w:r>
    </w:p>
    <w:p w14:paraId="416724AA">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2．乙方</w:t>
      </w:r>
      <w:r>
        <w:rPr>
          <w:rFonts w:hint="eastAsia" w:ascii="仿宋_GB2312" w:eastAsia="仿宋_GB2312"/>
          <w:color w:val="auto"/>
          <w:sz w:val="24"/>
          <w:highlight w:val="none"/>
          <w:lang w:val="en-US" w:eastAsia="zh-CN"/>
        </w:rPr>
        <w:t>过错导致</w:t>
      </w:r>
      <w:r>
        <w:rPr>
          <w:rFonts w:hint="eastAsia" w:ascii="仿宋_GB2312" w:eastAsia="仿宋_GB2312"/>
          <w:color w:val="auto"/>
          <w:sz w:val="24"/>
          <w:highlight w:val="none"/>
        </w:rPr>
        <w:t>逾期</w:t>
      </w:r>
      <w:r>
        <w:rPr>
          <w:rFonts w:hint="eastAsia" w:ascii="仿宋_GB2312" w:eastAsia="仿宋_GB2312"/>
          <w:color w:val="auto"/>
          <w:sz w:val="24"/>
          <w:highlight w:val="none"/>
          <w:lang w:val="en-US" w:eastAsia="zh-CN"/>
        </w:rPr>
        <w:t>通电</w:t>
      </w:r>
      <w:r>
        <w:rPr>
          <w:rFonts w:hint="eastAsia" w:ascii="仿宋_GB2312" w:eastAsia="仿宋_GB2312"/>
          <w:color w:val="auto"/>
          <w:sz w:val="24"/>
          <w:highlight w:val="none"/>
        </w:rPr>
        <w:t>的，需按每逾期一天向甲方支付</w:t>
      </w:r>
      <w:r>
        <w:rPr>
          <w:rFonts w:hint="eastAsia" w:ascii="仿宋_GB2312" w:eastAsia="仿宋_GB2312"/>
          <w:color w:val="auto"/>
          <w:sz w:val="24"/>
          <w:highlight w:val="none"/>
          <w:lang w:val="en-US" w:eastAsia="zh-CN"/>
        </w:rPr>
        <w:t>未按期通电工程量造</w:t>
      </w:r>
      <w:r>
        <w:rPr>
          <w:rFonts w:hint="eastAsia" w:ascii="仿宋_GB2312" w:eastAsia="仿宋_GB2312"/>
          <w:color w:val="auto"/>
          <w:sz w:val="24"/>
          <w:highlight w:val="none"/>
        </w:rPr>
        <w:t>价</w:t>
      </w:r>
      <w:r>
        <w:rPr>
          <w:rFonts w:hint="eastAsia" w:ascii="仿宋_GB2312" w:eastAsia="仿宋_GB2312"/>
          <w:b/>
          <w:color w:val="auto"/>
          <w:sz w:val="24"/>
          <w:highlight w:val="none"/>
        </w:rPr>
        <w:t>1‰</w:t>
      </w:r>
      <w:r>
        <w:rPr>
          <w:rFonts w:hint="eastAsia" w:ascii="仿宋_GB2312" w:eastAsia="仿宋_GB2312"/>
          <w:color w:val="auto"/>
          <w:sz w:val="24"/>
          <w:highlight w:val="none"/>
        </w:rPr>
        <w:t>的违约金，累计至合同总价的</w:t>
      </w:r>
      <w:permStart w:id="10" w:edGrp="everyone"/>
      <w:r>
        <w:rPr>
          <w:rFonts w:hint="eastAsia" w:ascii="仿宋_GB2312" w:eastAsia="仿宋_GB2312"/>
          <w:color w:val="auto"/>
          <w:sz w:val="24"/>
          <w:highlight w:val="none"/>
          <w:lang w:val="en-US" w:eastAsia="zh-CN"/>
        </w:rPr>
        <w:t>30</w:t>
      </w:r>
      <w:r>
        <w:rPr>
          <w:rFonts w:hint="eastAsia" w:ascii="仿宋_GB2312" w:eastAsia="仿宋_GB2312"/>
          <w:color w:val="auto"/>
          <w:sz w:val="24"/>
          <w:highlight w:val="none"/>
        </w:rPr>
        <w:t>%</w:t>
      </w:r>
      <w:permEnd w:id="10"/>
      <w:r>
        <w:rPr>
          <w:rFonts w:hint="eastAsia" w:ascii="仿宋_GB2312" w:eastAsia="仿宋_GB2312"/>
          <w:color w:val="auto"/>
          <w:sz w:val="24"/>
          <w:highlight w:val="none"/>
        </w:rPr>
        <w:t>为止。逾期超过60天，甲方有权单方解除本合同，</w:t>
      </w:r>
      <w:r>
        <w:rPr>
          <w:rFonts w:hint="eastAsia" w:ascii="仿宋_GB2312" w:eastAsia="仿宋_GB2312"/>
          <w:color w:val="auto"/>
          <w:sz w:val="24"/>
          <w:highlight w:val="none"/>
          <w:lang w:val="en-US" w:eastAsia="zh-CN"/>
        </w:rPr>
        <w:t>没收乙方履约保证金，</w:t>
      </w:r>
      <w:r>
        <w:rPr>
          <w:rFonts w:hint="eastAsia" w:ascii="仿宋_GB2312" w:eastAsia="仿宋_GB2312"/>
          <w:color w:val="auto"/>
          <w:sz w:val="24"/>
          <w:highlight w:val="none"/>
        </w:rPr>
        <w:t>所造成的损失</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包括但不限于甲方与第三方进行替代交易、向第三方赔偿、合同履行利益损失、诉讼费、律师费、保全保险费等）</w:t>
      </w:r>
      <w:r>
        <w:rPr>
          <w:rFonts w:hint="eastAsia" w:ascii="仿宋_GB2312" w:hAnsi="仿宋_GB2312" w:eastAsia="仿宋_GB2312" w:cs="仿宋_GB2312"/>
          <w:color w:val="auto"/>
          <w:spacing w:val="-2"/>
          <w:sz w:val="24"/>
          <w:szCs w:val="24"/>
          <w:highlight w:val="none"/>
          <w:lang w:val="en-US" w:eastAsia="zh-CN"/>
        </w:rPr>
        <w:t>，</w:t>
      </w:r>
      <w:r>
        <w:rPr>
          <w:rFonts w:hint="eastAsia" w:ascii="仿宋_GB2312" w:eastAsia="仿宋_GB2312"/>
          <w:color w:val="auto"/>
          <w:sz w:val="24"/>
          <w:highlight w:val="none"/>
        </w:rPr>
        <w:t>全部由乙方承担</w:t>
      </w:r>
      <w:r>
        <w:rPr>
          <w:rFonts w:hint="eastAsia" w:ascii="仿宋_GB2312" w:eastAsia="仿宋_GB2312"/>
          <w:color w:val="auto"/>
          <w:sz w:val="24"/>
          <w:highlight w:val="none"/>
          <w:lang w:eastAsia="zh-CN"/>
        </w:rPr>
        <w:t>。</w:t>
      </w:r>
    </w:p>
    <w:p w14:paraId="10F592D2">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3．工程施工过程中出现工程质量问题的，甲方有权要求乙方</w:t>
      </w:r>
      <w:r>
        <w:rPr>
          <w:rFonts w:hint="eastAsia" w:ascii="仿宋_GB2312" w:eastAsia="仿宋_GB2312"/>
          <w:color w:val="auto"/>
          <w:sz w:val="24"/>
          <w:highlight w:val="none"/>
          <w:lang w:val="en-US" w:eastAsia="zh-CN"/>
        </w:rPr>
        <w:t>在合理期限内</w:t>
      </w:r>
      <w:r>
        <w:rPr>
          <w:rFonts w:hint="eastAsia" w:ascii="仿宋_GB2312" w:eastAsia="仿宋_GB2312"/>
          <w:color w:val="auto"/>
          <w:sz w:val="24"/>
          <w:highlight w:val="none"/>
        </w:rPr>
        <w:t>进行整改，整改费用全部由乙方承担，工期不予顺延。</w:t>
      </w:r>
      <w:r>
        <w:rPr>
          <w:rFonts w:hint="eastAsia" w:ascii="仿宋_GB2312" w:hAnsi="Times New Roman" w:eastAsia="仿宋_GB2312" w:cs="Times New Roman"/>
          <w:sz w:val="24"/>
          <w:highlight w:val="none"/>
          <w:lang w:val="en-US" w:eastAsia="zh-CN"/>
        </w:rPr>
        <w:t>工期索赔的天数，</w:t>
      </w:r>
      <w:r>
        <w:rPr>
          <w:rFonts w:hint="default" w:ascii="仿宋_GB2312" w:hAnsi="Times New Roman" w:eastAsia="仿宋_GB2312" w:cs="Times New Roman"/>
          <w:sz w:val="24"/>
          <w:highlight w:val="none"/>
          <w:lang w:val="en-US" w:eastAsia="zh-CN"/>
        </w:rPr>
        <w:t>由甲方根据法律法规裁定工期索赔的天数</w:t>
      </w:r>
      <w:r>
        <w:rPr>
          <w:rFonts w:hint="eastAsia" w:ascii="仿宋_GB2312" w:hAnsi="Times New Roman" w:eastAsia="仿宋_GB2312" w:cs="Times New Roman"/>
          <w:sz w:val="24"/>
          <w:highlight w:val="none"/>
          <w:lang w:val="en-US" w:eastAsia="zh-CN"/>
        </w:rPr>
        <w:t>为准。</w:t>
      </w:r>
    </w:p>
    <w:p w14:paraId="3D25DD95">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4．乙方违章施工或施工质量不符合规范要求而造成工程的质量事故，乙方须按甲方要求进行整改，整改费用全部由乙方承担，工期不予顺延，同时乙方应按相应责任赔偿损失</w:t>
      </w:r>
      <w:r>
        <w:rPr>
          <w:rFonts w:hint="eastAsia" w:ascii="仿宋_GB2312" w:eastAsia="仿宋_GB2312"/>
          <w:color w:val="auto"/>
          <w:sz w:val="24"/>
          <w:highlight w:val="none"/>
          <w:lang w:eastAsia="zh-CN"/>
        </w:rPr>
        <w:t>，</w:t>
      </w:r>
      <w:r>
        <w:rPr>
          <w:rFonts w:hint="eastAsia" w:ascii="仿宋_GB2312" w:hAnsi="仿宋_GB2312" w:eastAsia="仿宋_GB2312" w:cs="仿宋_GB2312"/>
          <w:color w:val="auto"/>
          <w:spacing w:val="-2"/>
          <w:sz w:val="24"/>
          <w:szCs w:val="24"/>
          <w:highlight w:val="none"/>
          <w:lang w:val="en-US" w:eastAsia="zh-CN"/>
        </w:rPr>
        <w:t>包括但不限于甲乙双方或第三方的人身损害赔偿、财产损失赔偿、甲方因事故导致的行政处罚、信誉损失、项目延期损失、可得利益损失等</w:t>
      </w:r>
      <w:r>
        <w:rPr>
          <w:rFonts w:hint="eastAsia" w:ascii="仿宋_GB2312" w:eastAsia="仿宋_GB2312"/>
          <w:color w:val="auto"/>
          <w:sz w:val="24"/>
          <w:highlight w:val="none"/>
        </w:rPr>
        <w:t>。</w:t>
      </w:r>
    </w:p>
    <w:p w14:paraId="59BE8080">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5．工程全部完工，经甲方验收工程质量未能达到本合同约定标准和国家相关标准的，乙方须按甲方要求无条件整改至合格，费用全部由乙方承担，工期不予顺延，造成工期延误的，乙方还应按本条第2款逾期完工的约定承担违约责任。</w:t>
      </w:r>
    </w:p>
    <w:p w14:paraId="740676F9">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6．乙方未按本合同约定施工图纸施工的，甲方有权要求乙方整改至符合图纸内容要求，整改费用由乙方承担；乙方未按图纸施工部分造价达到工程总造价20%的，甲方有权单方解除本合同，乙方已完成且验收合格的工程量按</w:t>
      </w:r>
      <w:r>
        <w:rPr>
          <w:rFonts w:hint="eastAsia" w:ascii="仿宋_GB2312" w:eastAsia="仿宋_GB2312"/>
          <w:b/>
          <w:color w:val="auto"/>
          <w:sz w:val="24"/>
          <w:highlight w:val="none"/>
        </w:rPr>
        <w:t>80%</w:t>
      </w:r>
      <w:r>
        <w:rPr>
          <w:rFonts w:hint="eastAsia" w:ascii="仿宋_GB2312" w:eastAsia="仿宋_GB2312"/>
          <w:color w:val="auto"/>
          <w:sz w:val="24"/>
          <w:highlight w:val="none"/>
        </w:rPr>
        <w:t>结算，</w:t>
      </w:r>
      <w:r>
        <w:rPr>
          <w:rFonts w:hint="eastAsia" w:ascii="仿宋_GB2312" w:eastAsia="仿宋_GB2312"/>
          <w:color w:val="auto"/>
          <w:sz w:val="24"/>
          <w:highlight w:val="none"/>
          <w:lang w:val="en-US" w:eastAsia="zh-CN"/>
        </w:rPr>
        <w:t>合同解除后，乙方按照本条第1款承担违约和赔偿责任</w:t>
      </w:r>
      <w:r>
        <w:rPr>
          <w:rFonts w:hint="eastAsia" w:ascii="仿宋_GB2312" w:eastAsia="仿宋_GB2312"/>
          <w:color w:val="auto"/>
          <w:sz w:val="24"/>
          <w:highlight w:val="none"/>
        </w:rPr>
        <w:t>。</w:t>
      </w:r>
    </w:p>
    <w:p w14:paraId="41529BB2">
      <w:pPr>
        <w:spacing w:line="360" w:lineRule="auto"/>
        <w:ind w:firstLine="480" w:firstLineChars="200"/>
        <w:rPr>
          <w:rFonts w:hint="default" w:ascii="仿宋_GB2312" w:hAnsi="仿宋_GB2312" w:eastAsia="仿宋_GB2312" w:cs="仿宋_GB2312"/>
          <w:color w:val="auto"/>
          <w:spacing w:val="-2"/>
          <w:sz w:val="24"/>
          <w:szCs w:val="24"/>
          <w:highlight w:val="none"/>
          <w:lang w:val="en-US" w:eastAsia="zh-CN"/>
        </w:rPr>
      </w:pPr>
      <w:r>
        <w:rPr>
          <w:rFonts w:hint="eastAsia" w:ascii="仿宋_GB2312" w:eastAsia="仿宋_GB2312"/>
          <w:color w:val="auto"/>
          <w:sz w:val="24"/>
          <w:highlight w:val="none"/>
        </w:rPr>
        <w:t>7.</w:t>
      </w:r>
      <w:r>
        <w:rPr>
          <w:rFonts w:hint="default" w:ascii="仿宋_GB2312" w:eastAsia="仿宋_GB2312"/>
          <w:color w:val="auto"/>
          <w:sz w:val="24"/>
          <w:highlight w:val="none"/>
        </w:rPr>
        <w:t>甲方发现乙方</w:t>
      </w:r>
      <w:r>
        <w:rPr>
          <w:rFonts w:hint="eastAsia" w:ascii="仿宋_GB2312" w:eastAsia="仿宋_GB2312"/>
          <w:color w:val="auto"/>
          <w:sz w:val="24"/>
          <w:highlight w:val="none"/>
          <w:lang w:val="en-US" w:eastAsia="zh-CN"/>
        </w:rPr>
        <w:t>交付</w:t>
      </w:r>
      <w:r>
        <w:rPr>
          <w:rFonts w:hint="default" w:ascii="仿宋_GB2312" w:eastAsia="仿宋_GB2312"/>
          <w:color w:val="auto"/>
          <w:sz w:val="24"/>
          <w:highlight w:val="none"/>
        </w:rPr>
        <w:t>工程存在质量问题，</w:t>
      </w:r>
      <w:r>
        <w:rPr>
          <w:rFonts w:hint="eastAsia" w:ascii="仿宋_GB2312" w:eastAsia="仿宋_GB2312"/>
          <w:color w:val="auto"/>
          <w:sz w:val="24"/>
          <w:highlight w:val="none"/>
          <w:lang w:val="en-US" w:eastAsia="zh-CN"/>
        </w:rPr>
        <w:t>有权要求乙方</w:t>
      </w:r>
      <w:r>
        <w:rPr>
          <w:rFonts w:hint="eastAsia" w:ascii="仿宋_GB2312" w:hAnsi="仿宋_GB2312" w:eastAsia="仿宋_GB2312" w:cs="仿宋_GB2312"/>
          <w:color w:val="auto"/>
          <w:spacing w:val="-2"/>
          <w:sz w:val="24"/>
          <w:szCs w:val="24"/>
          <w:highlight w:val="none"/>
          <w:lang w:val="en-US" w:eastAsia="zh-CN"/>
        </w:rPr>
        <w:t>按照本合同施工及保修条款履行整改、维修义务及违约、赔偿责任。乙方认为交付工程质量不存在问题的，应予3日内书面说明并提供相应佐证材料，双方就工程质量仍有争议的，应由双方共同委托</w:t>
      </w:r>
      <w:r>
        <w:rPr>
          <w:rFonts w:hint="eastAsia" w:ascii="仿宋_GB2312" w:hAnsi="仿宋_GB2312" w:eastAsia="仿宋_GB2312" w:cs="仿宋_GB2312"/>
          <w:color w:val="auto"/>
          <w:spacing w:val="-2"/>
          <w:sz w:val="24"/>
          <w:szCs w:val="24"/>
          <w:highlight w:val="none"/>
        </w:rPr>
        <w:t>具有法定鉴定资质的鉴定机构</w:t>
      </w:r>
      <w:r>
        <w:rPr>
          <w:rFonts w:hint="eastAsia" w:ascii="仿宋_GB2312" w:hAnsi="仿宋_GB2312" w:eastAsia="仿宋_GB2312" w:cs="仿宋_GB2312"/>
          <w:color w:val="auto"/>
          <w:spacing w:val="-2"/>
          <w:sz w:val="24"/>
          <w:szCs w:val="24"/>
          <w:highlight w:val="none"/>
          <w:lang w:val="en-US" w:eastAsia="zh-CN"/>
        </w:rPr>
        <w:t>进行鉴定，鉴定费用由乙方垫付，根据</w:t>
      </w:r>
      <w:r>
        <w:rPr>
          <w:rFonts w:hint="eastAsia" w:ascii="仿宋_GB2312" w:hAnsi="仿宋_GB2312" w:eastAsia="仿宋_GB2312" w:cs="仿宋_GB2312"/>
          <w:color w:val="auto"/>
          <w:spacing w:val="-2"/>
          <w:sz w:val="24"/>
          <w:szCs w:val="24"/>
          <w:highlight w:val="none"/>
        </w:rPr>
        <w:t>鉴定</w:t>
      </w:r>
      <w:r>
        <w:rPr>
          <w:rFonts w:hint="eastAsia" w:ascii="仿宋_GB2312" w:hAnsi="仿宋_GB2312" w:eastAsia="仿宋_GB2312" w:cs="仿宋_GB2312"/>
          <w:color w:val="auto"/>
          <w:spacing w:val="-2"/>
          <w:sz w:val="24"/>
          <w:szCs w:val="24"/>
          <w:highlight w:val="none"/>
          <w:lang w:val="en-US" w:eastAsia="zh-CN"/>
        </w:rPr>
        <w:t>结果实际分担。乙方无法证明工程不存在质量问题，也不申请鉴定的，甲方有权推定乙方承担质量过错责任，按照本条第2款合同解除追究乙方责任。</w:t>
      </w:r>
    </w:p>
    <w:p w14:paraId="2BC25988">
      <w:pPr>
        <w:spacing w:line="360" w:lineRule="auto"/>
        <w:ind w:firstLine="480" w:firstLineChars="200"/>
        <w:rPr>
          <w:rFonts w:hint="eastAsia" w:ascii="仿宋_GB2312" w:eastAsia="仿宋_GB2312"/>
          <w:color w:val="auto"/>
          <w:sz w:val="24"/>
          <w:highlight w:val="none"/>
          <w:lang w:eastAsia="zh-CN"/>
        </w:rPr>
      </w:pPr>
      <w:r>
        <w:rPr>
          <w:rFonts w:hint="eastAsia" w:ascii="仿宋_GB2312" w:eastAsia="仿宋_GB2312"/>
          <w:color w:val="auto"/>
          <w:sz w:val="24"/>
          <w:highlight w:val="none"/>
        </w:rPr>
        <w:t>8.若乙方提供</w:t>
      </w:r>
      <w:r>
        <w:rPr>
          <w:rFonts w:hint="default" w:ascii="仿宋_GB2312" w:eastAsia="仿宋_GB2312"/>
          <w:color w:val="auto"/>
          <w:sz w:val="24"/>
          <w:highlight w:val="none"/>
        </w:rPr>
        <w:t>的材料设备存在</w:t>
      </w:r>
      <w:r>
        <w:rPr>
          <w:rFonts w:hint="eastAsia" w:ascii="仿宋_GB2312" w:eastAsia="仿宋_GB2312"/>
          <w:color w:val="auto"/>
          <w:sz w:val="24"/>
          <w:highlight w:val="none"/>
        </w:rPr>
        <w:t>掺</w:t>
      </w:r>
      <w:r>
        <w:rPr>
          <w:rFonts w:hint="default" w:ascii="仿宋_GB2312" w:eastAsia="仿宋_GB2312"/>
          <w:color w:val="auto"/>
          <w:sz w:val="24"/>
          <w:highlight w:val="none"/>
        </w:rPr>
        <w:t>杂、掺假，</w:t>
      </w:r>
      <w:r>
        <w:rPr>
          <w:rFonts w:hint="eastAsia" w:ascii="仿宋_GB2312" w:eastAsia="仿宋_GB2312"/>
          <w:color w:val="auto"/>
          <w:sz w:val="24"/>
          <w:highlight w:val="none"/>
        </w:rPr>
        <w:t>以</w:t>
      </w:r>
      <w:r>
        <w:rPr>
          <w:rFonts w:hint="default" w:ascii="仿宋_GB2312" w:eastAsia="仿宋_GB2312"/>
          <w:color w:val="auto"/>
          <w:sz w:val="24"/>
          <w:highlight w:val="none"/>
        </w:rPr>
        <w:t>假</w:t>
      </w:r>
      <w:r>
        <w:rPr>
          <w:rFonts w:hint="eastAsia" w:ascii="仿宋_GB2312" w:eastAsia="仿宋_GB2312"/>
          <w:color w:val="auto"/>
          <w:sz w:val="24"/>
          <w:highlight w:val="none"/>
        </w:rPr>
        <w:t>充</w:t>
      </w:r>
      <w:r>
        <w:rPr>
          <w:rFonts w:hint="default" w:ascii="仿宋_GB2312" w:eastAsia="仿宋_GB2312"/>
          <w:color w:val="auto"/>
          <w:sz w:val="24"/>
          <w:highlight w:val="none"/>
        </w:rPr>
        <w:t>真，</w:t>
      </w:r>
      <w:r>
        <w:rPr>
          <w:rFonts w:hint="eastAsia" w:ascii="仿宋_GB2312" w:eastAsia="仿宋_GB2312"/>
          <w:color w:val="auto"/>
          <w:sz w:val="24"/>
          <w:highlight w:val="none"/>
        </w:rPr>
        <w:t>以</w:t>
      </w:r>
      <w:r>
        <w:rPr>
          <w:rFonts w:hint="default" w:ascii="仿宋_GB2312" w:eastAsia="仿宋_GB2312"/>
          <w:color w:val="auto"/>
          <w:sz w:val="24"/>
          <w:highlight w:val="none"/>
        </w:rPr>
        <w:t>次充好，以不合格产品冒充合格产品、以旧货冒充新货</w:t>
      </w:r>
      <w:r>
        <w:rPr>
          <w:rFonts w:hint="eastAsia" w:ascii="仿宋_GB2312" w:eastAsia="仿宋_GB2312"/>
          <w:color w:val="auto"/>
          <w:sz w:val="24"/>
          <w:highlight w:val="none"/>
        </w:rPr>
        <w:t>或擅自更换合同约定材料设备品牌的，甲方有权要求乙方整改至符合合同约定要求，整改费用由乙方承担</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rPr>
        <w:t>工期不予顺延</w:t>
      </w:r>
      <w:r>
        <w:rPr>
          <w:rFonts w:hint="eastAsia" w:ascii="仿宋_GB2312" w:eastAsia="仿宋_GB2312"/>
          <w:color w:val="auto"/>
          <w:sz w:val="24"/>
          <w:highlight w:val="none"/>
          <w:lang w:eastAsia="zh-CN"/>
        </w:rPr>
        <w:t>；除前述整改责任外，乙方还应按该批次材料设备总价【</w:t>
      </w:r>
      <w:r>
        <w:rPr>
          <w:rFonts w:hint="eastAsia" w:ascii="仿宋_GB2312" w:eastAsia="仿宋_GB2312"/>
          <w:color w:val="auto"/>
          <w:sz w:val="24"/>
          <w:highlight w:val="none"/>
          <w:lang w:val="en-US" w:eastAsia="zh-CN"/>
        </w:rPr>
        <w:t>10</w:t>
      </w:r>
      <w:r>
        <w:rPr>
          <w:rFonts w:hint="eastAsia" w:ascii="仿宋_GB2312" w:eastAsia="仿宋_GB2312"/>
          <w:color w:val="auto"/>
          <w:sz w:val="24"/>
          <w:highlight w:val="none"/>
          <w:lang w:eastAsia="zh-CN"/>
        </w:rPr>
        <w:t>】%向甲方支付违约金。</w:t>
      </w:r>
    </w:p>
    <w:p w14:paraId="0FE7DF80">
      <w:pPr>
        <w:spacing w:line="360" w:lineRule="auto"/>
        <w:ind w:firstLine="480" w:firstLineChars="200"/>
        <w:rPr>
          <w:rFonts w:hint="eastAsia" w:ascii="仿宋_GB2312" w:hAnsi="仿宋_GB2312" w:eastAsia="仿宋_GB2312" w:cs="仿宋_GB2312"/>
          <w:color w:val="auto"/>
          <w:sz w:val="24"/>
          <w:highlight w:val="none"/>
        </w:rPr>
      </w:pPr>
      <w:r>
        <w:rPr>
          <w:rFonts w:hint="eastAsia" w:ascii="仿宋_GB2312" w:eastAsia="仿宋_GB2312"/>
          <w:color w:val="auto"/>
          <w:sz w:val="24"/>
          <w:highlight w:val="none"/>
        </w:rPr>
        <w:t>9．乙方损坏施工现场周围建筑物、设备管线及其他相关专业的施工成品、半成品的，乙方须无条件修复，修复费用由乙方承担，工期不予顺延。</w:t>
      </w:r>
    </w:p>
    <w:p w14:paraId="68020CC8">
      <w:pPr>
        <w:spacing w:line="360" w:lineRule="auto"/>
        <w:ind w:firstLine="480" w:firstLineChars="200"/>
        <w:rPr>
          <w:rFonts w:hint="default" w:ascii="仿宋_GB2312" w:eastAsia="仿宋_GB2312"/>
          <w:color w:val="auto"/>
          <w:sz w:val="24"/>
          <w:highlight w:val="none"/>
        </w:rPr>
      </w:pPr>
      <w:r>
        <w:rPr>
          <w:rFonts w:hint="default" w:ascii="仿宋_GB2312" w:eastAsia="仿宋_GB2312"/>
          <w:color w:val="auto"/>
          <w:sz w:val="24"/>
          <w:highlight w:val="none"/>
        </w:rPr>
        <w:t>10.项目投入运行后，因施工质量缺陷导致发生安全生产事故的，甲方有权对乙方进行罚款，同时乙方应按相应责任赔偿损失</w:t>
      </w:r>
      <w:r>
        <w:rPr>
          <w:rFonts w:hint="eastAsia" w:ascii="仿宋_GB2312" w:hAnsi="仿宋_GB2312" w:eastAsia="仿宋_GB2312" w:cs="仿宋_GB2312"/>
          <w:color w:val="auto"/>
          <w:spacing w:val="-2"/>
          <w:sz w:val="24"/>
          <w:szCs w:val="24"/>
          <w:highlight w:val="none"/>
          <w:lang w:eastAsia="zh-CN"/>
        </w:rPr>
        <w:t>，</w:t>
      </w:r>
      <w:r>
        <w:rPr>
          <w:rFonts w:hint="eastAsia" w:ascii="仿宋_GB2312" w:hAnsi="仿宋_GB2312" w:eastAsia="仿宋_GB2312" w:cs="仿宋_GB2312"/>
          <w:color w:val="auto"/>
          <w:spacing w:val="-2"/>
          <w:sz w:val="24"/>
          <w:szCs w:val="24"/>
          <w:highlight w:val="none"/>
          <w:lang w:val="en-US" w:eastAsia="zh-CN"/>
        </w:rPr>
        <w:t>包括但不限于甲乙双方或第三方的人身损害赔偿、财产损失赔偿、甲方因事故导致的行政处罚、信誉损失、项目延期损失、可得利益损失等</w:t>
      </w:r>
      <w:r>
        <w:rPr>
          <w:rFonts w:hint="default" w:ascii="仿宋_GB2312" w:eastAsia="仿宋_GB2312"/>
          <w:color w:val="auto"/>
          <w:sz w:val="24"/>
          <w:highlight w:val="none"/>
        </w:rPr>
        <w:t>。</w:t>
      </w:r>
    </w:p>
    <w:p w14:paraId="3FAD157E">
      <w:pPr>
        <w:rPr>
          <w:rFonts w:hint="default"/>
          <w:color w:val="auto"/>
          <w:highlight w:val="none"/>
        </w:rPr>
      </w:pPr>
    </w:p>
    <w:p w14:paraId="585F665C">
      <w:pPr>
        <w:spacing w:line="360" w:lineRule="auto"/>
        <w:rPr>
          <w:rFonts w:hint="eastAsia" w:ascii="仿宋_GB2312" w:eastAsia="仿宋_GB2312"/>
          <w:b/>
          <w:color w:val="auto"/>
          <w:sz w:val="24"/>
          <w:highlight w:val="none"/>
          <w:lang w:val="en-US" w:eastAsia="zh-CN"/>
        </w:rPr>
      </w:pPr>
      <w:r>
        <w:rPr>
          <w:rFonts w:hint="eastAsia" w:ascii="仿宋_GB2312" w:eastAsia="仿宋_GB2312"/>
          <w:b/>
          <w:color w:val="auto"/>
          <w:sz w:val="24"/>
          <w:highlight w:val="none"/>
        </w:rPr>
        <w:t>十三、</w:t>
      </w:r>
      <w:r>
        <w:rPr>
          <w:rFonts w:hint="eastAsia" w:ascii="仿宋_GB2312" w:eastAsia="仿宋_GB2312"/>
          <w:b/>
          <w:color w:val="auto"/>
          <w:sz w:val="24"/>
          <w:highlight w:val="none"/>
          <w:lang w:val="en-US" w:eastAsia="zh-CN"/>
        </w:rPr>
        <w:t>保密</w:t>
      </w:r>
    </w:p>
    <w:p w14:paraId="10436DBF">
      <w:pPr>
        <w:wordWrap/>
        <w:topLinePunct w:val="0"/>
        <w:spacing w:line="360" w:lineRule="auto"/>
        <w:ind w:firstLine="480" w:firstLineChars="200"/>
        <w:rPr>
          <w:rFonts w:hint="eastAsia" w:ascii="仿宋_GB2312" w:eastAsia="仿宋_GB2312"/>
          <w:color w:val="auto"/>
          <w:sz w:val="24"/>
          <w:szCs w:val="24"/>
          <w:highlight w:val="none"/>
        </w:rPr>
      </w:pPr>
      <w:r>
        <w:rPr>
          <w:rFonts w:hint="eastAsia" w:ascii="仿宋_GB2312" w:hAnsi="Times New Roman" w:eastAsia="仿宋_GB2312" w:cs="Times New Roman"/>
          <w:color w:val="auto"/>
          <w:sz w:val="24"/>
          <w:szCs w:val="24"/>
          <w:highlight w:val="none"/>
          <w:lang w:val="en-US" w:eastAsia="zh-CN"/>
        </w:rPr>
        <w:t xml:space="preserve">1. </w:t>
      </w:r>
      <w:r>
        <w:rPr>
          <w:rFonts w:hint="eastAsia" w:ascii="仿宋_GB2312" w:eastAsia="仿宋_GB2312"/>
          <w:color w:val="auto"/>
          <w:sz w:val="24"/>
          <w:szCs w:val="24"/>
          <w:highlight w:val="none"/>
        </w:rPr>
        <w:t>合同当事人一方对在订立和履行合同过程中知悉的另一方的商业秘密、技术秘密，以及任何一方明确要求保密的其它信息，负有保密责任。</w:t>
      </w:r>
    </w:p>
    <w:p w14:paraId="0C8B6D20">
      <w:pPr>
        <w:wordWrap/>
        <w:topLinePunct w:val="0"/>
        <w:spacing w:line="360" w:lineRule="auto"/>
        <w:ind w:firstLine="480" w:firstLineChars="200"/>
        <w:rPr>
          <w:rFonts w:hint="eastAsia" w:ascii="仿宋_GB2312" w:eastAsia="仿宋_GB2312"/>
          <w:color w:val="auto"/>
          <w:sz w:val="24"/>
          <w:szCs w:val="24"/>
          <w:highlight w:val="none"/>
        </w:rPr>
      </w:pPr>
      <w:r>
        <w:rPr>
          <w:rFonts w:hint="eastAsia" w:ascii="仿宋_GB2312" w:hAnsi="Times New Roman" w:eastAsia="仿宋_GB2312" w:cs="Times New Roman"/>
          <w:color w:val="auto"/>
          <w:sz w:val="24"/>
          <w:szCs w:val="24"/>
          <w:highlight w:val="none"/>
          <w:lang w:val="en-US" w:eastAsia="zh-CN"/>
        </w:rPr>
        <w:t xml:space="preserve">2. </w:t>
      </w:r>
      <w:r>
        <w:rPr>
          <w:rFonts w:hint="eastAsia" w:ascii="仿宋_GB2312" w:eastAsia="仿宋_GB2312"/>
          <w:color w:val="auto"/>
          <w:sz w:val="24"/>
          <w:szCs w:val="24"/>
          <w:highlight w:val="none"/>
        </w:rPr>
        <w:t>除法律规定或合同另有约定外，未经对方同意，任何一方当事人不得将对方提供的文件、技术秘密以及声明需要保密的资料信息等商业秘密泄露给第三方或者用于本合同以外的目的。</w:t>
      </w:r>
    </w:p>
    <w:p w14:paraId="513FC169">
      <w:pPr>
        <w:wordWrap/>
        <w:topLinePunct w:val="0"/>
        <w:spacing w:line="360" w:lineRule="auto"/>
        <w:ind w:firstLine="480" w:firstLineChars="200"/>
        <w:rPr>
          <w:rFonts w:hint="eastAsia" w:ascii="仿宋_GB2312" w:eastAsia="仿宋_GB2312"/>
          <w:color w:val="auto"/>
          <w:sz w:val="24"/>
          <w:szCs w:val="24"/>
          <w:highlight w:val="none"/>
        </w:rPr>
      </w:pPr>
      <w:r>
        <w:rPr>
          <w:rFonts w:hint="eastAsia" w:ascii="仿宋_GB2312" w:hAnsi="Times New Roman" w:eastAsia="仿宋_GB2312" w:cs="Times New Roman"/>
          <w:color w:val="auto"/>
          <w:sz w:val="24"/>
          <w:szCs w:val="24"/>
          <w:highlight w:val="none"/>
          <w:lang w:val="en-US" w:eastAsia="zh-CN"/>
        </w:rPr>
        <w:t xml:space="preserve">3. </w:t>
      </w:r>
      <w:r>
        <w:rPr>
          <w:rFonts w:hint="eastAsia" w:ascii="仿宋_GB2312" w:eastAsia="仿宋_GB2312"/>
          <w:color w:val="auto"/>
          <w:sz w:val="24"/>
          <w:szCs w:val="24"/>
          <w:highlight w:val="none"/>
        </w:rPr>
        <w:t>一方泄露或者在本合同以外使用该商业秘密、技术秘密等保密信息给另一方造成损失的，应承担损害赔偿责任。当事人为履行合同所需要的信息，另一方应予以提供。当事人认为必要时，可订立保密协议，作为合同附件。</w:t>
      </w:r>
    </w:p>
    <w:p w14:paraId="563A957E">
      <w:pPr>
        <w:spacing w:line="360" w:lineRule="auto"/>
        <w:ind w:firstLine="480" w:firstLineChars="200"/>
        <w:rPr>
          <w:rFonts w:hint="eastAsia" w:ascii="仿宋_GB2312" w:eastAsia="仿宋_GB2312"/>
          <w:b w:val="0"/>
          <w:color w:val="auto"/>
          <w:sz w:val="24"/>
          <w:highlight w:val="none"/>
        </w:rPr>
      </w:pPr>
    </w:p>
    <w:p w14:paraId="56B2CC0A">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lang w:val="en-US" w:eastAsia="zh-CN"/>
        </w:rPr>
        <w:t>十四、</w:t>
      </w:r>
      <w:r>
        <w:rPr>
          <w:rFonts w:hint="eastAsia" w:ascii="仿宋_GB2312" w:eastAsia="仿宋_GB2312"/>
          <w:b/>
          <w:color w:val="auto"/>
          <w:sz w:val="24"/>
          <w:highlight w:val="none"/>
        </w:rPr>
        <w:t>不可抗力</w:t>
      </w:r>
    </w:p>
    <w:p w14:paraId="2DA63EAE">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在本合同期限内，任何一方因不可抗力情形的发生（如战争、地震等），导致不能全部或部分履行本合同约定的义务时，双方均应积极采取补救措施以减少损失，需免责方须立即用电话或传真通知对方，并在十天内以书面方式将不可抗力情形详细情况及有关证明文件提供给对方，在其证明得到证实后，可部分或全部免除其违约责任。</w:t>
      </w:r>
    </w:p>
    <w:p w14:paraId="0D43D14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2．一方迟延履行后发生不可抗力的，不得免除或减轻其应承担的违约责任。</w:t>
      </w:r>
    </w:p>
    <w:p w14:paraId="20DF61F2">
      <w:pPr>
        <w:rPr>
          <w:color w:val="auto"/>
          <w:highlight w:val="none"/>
        </w:rPr>
      </w:pPr>
    </w:p>
    <w:p w14:paraId="6C71615B">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十</w:t>
      </w:r>
      <w:r>
        <w:rPr>
          <w:rFonts w:hint="eastAsia" w:ascii="仿宋_GB2312" w:eastAsia="仿宋_GB2312"/>
          <w:b/>
          <w:color w:val="auto"/>
          <w:sz w:val="24"/>
          <w:highlight w:val="none"/>
          <w:lang w:val="en-US" w:eastAsia="zh-CN"/>
        </w:rPr>
        <w:t>五</w:t>
      </w:r>
      <w:r>
        <w:rPr>
          <w:rFonts w:hint="eastAsia" w:ascii="仿宋_GB2312" w:eastAsia="仿宋_GB2312"/>
          <w:b/>
          <w:color w:val="auto"/>
          <w:sz w:val="24"/>
          <w:highlight w:val="none"/>
        </w:rPr>
        <w:t>、争议解决方式</w:t>
      </w:r>
    </w:p>
    <w:p w14:paraId="3207751B">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在本合同的履行过程中，双方如发生争议的，由双方协商解决；协商不成的，双方均可向工程所在地人民法院起诉。</w:t>
      </w:r>
    </w:p>
    <w:p w14:paraId="5E9116A6">
      <w:pPr>
        <w:rPr>
          <w:color w:val="auto"/>
          <w:highlight w:val="none"/>
        </w:rPr>
      </w:pPr>
    </w:p>
    <w:p w14:paraId="7D0B7397">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十</w:t>
      </w:r>
      <w:r>
        <w:rPr>
          <w:rFonts w:hint="eastAsia" w:ascii="仿宋_GB2312" w:eastAsia="仿宋_GB2312"/>
          <w:b/>
          <w:color w:val="auto"/>
          <w:sz w:val="24"/>
          <w:highlight w:val="none"/>
          <w:lang w:val="en-US" w:eastAsia="zh-CN"/>
        </w:rPr>
        <w:t>六</w:t>
      </w:r>
      <w:r>
        <w:rPr>
          <w:rFonts w:hint="eastAsia" w:ascii="仿宋_GB2312" w:eastAsia="仿宋_GB2312"/>
          <w:b/>
          <w:color w:val="auto"/>
          <w:sz w:val="24"/>
          <w:highlight w:val="none"/>
        </w:rPr>
        <w:t>、其他</w:t>
      </w:r>
    </w:p>
    <w:p w14:paraId="7EE33377">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长期合作约定：乙方如严格履行合同，诚实信用，配合情况良好并为甲方提供了高质量、高效率的工作成果，甲方将与其长期合作；若乙方违反合同约定要求及不诚信的，甲方将不再与乙方合作，并追究乙方的违约责任。</w:t>
      </w:r>
    </w:p>
    <w:p w14:paraId="7D2B02C8">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2．双方应保证地址、联系方式、企业法定代表人等工商登记情况及代理人等有关资料和证件真实有效，如有变更，须提前7天书面通知对方。</w:t>
      </w:r>
    </w:p>
    <w:p w14:paraId="54669FEC">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3．与本合同有关的通知、文件等均须采用书面形式发出。</w:t>
      </w:r>
    </w:p>
    <w:p w14:paraId="16664F50">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4．本合同</w:t>
      </w:r>
      <w:bookmarkStart w:id="0" w:name="合同总数"/>
      <w:r>
        <w:rPr>
          <w:rFonts w:hint="eastAsia" w:ascii="仿宋_GB2312" w:eastAsia="仿宋_GB2312"/>
          <w:color w:val="auto"/>
          <w:sz w:val="24"/>
          <w:highlight w:val="none"/>
        </w:rPr>
        <w:t>一式</w:t>
      </w:r>
      <w:permStart w:id="11" w:edGrp="everyone"/>
      <w:r>
        <w:rPr>
          <w:rFonts w:hint="eastAsia" w:ascii="仿宋_GB2312" w:eastAsia="仿宋_GB2312"/>
          <w:color w:val="auto"/>
          <w:sz w:val="24"/>
          <w:highlight w:val="none"/>
          <w:lang w:val="en-US" w:eastAsia="zh-CN"/>
        </w:rPr>
        <w:t>肆</w:t>
      </w:r>
      <w:permEnd w:id="11"/>
      <w:r>
        <w:rPr>
          <w:rFonts w:hint="eastAsia" w:ascii="仿宋_GB2312" w:eastAsia="仿宋_GB2312"/>
          <w:color w:val="auto"/>
          <w:sz w:val="24"/>
          <w:highlight w:val="none"/>
        </w:rPr>
        <w:t>份</w:t>
      </w:r>
      <w:bookmarkEnd w:id="0"/>
      <w:r>
        <w:rPr>
          <w:rFonts w:hint="eastAsia" w:ascii="仿宋_GB2312" w:eastAsia="仿宋_GB2312"/>
          <w:color w:val="auto"/>
          <w:sz w:val="24"/>
          <w:highlight w:val="none"/>
        </w:rPr>
        <w:t>，甲方执</w:t>
      </w:r>
      <w:permStart w:id="12" w:edGrp="everyone"/>
      <w:r>
        <w:rPr>
          <w:rFonts w:hint="eastAsia" w:ascii="仿宋_GB2312" w:eastAsia="仿宋_GB2312"/>
          <w:color w:val="auto"/>
          <w:sz w:val="24"/>
          <w:highlight w:val="none"/>
        </w:rPr>
        <w:t>贰</w:t>
      </w:r>
      <w:permEnd w:id="12"/>
      <w:r>
        <w:rPr>
          <w:rFonts w:hint="eastAsia" w:ascii="仿宋_GB2312" w:eastAsia="仿宋_GB2312"/>
          <w:color w:val="auto"/>
          <w:sz w:val="24"/>
          <w:highlight w:val="none"/>
        </w:rPr>
        <w:t>份，乙方</w:t>
      </w:r>
      <w:bookmarkStart w:id="1" w:name="乙方份数"/>
      <w:r>
        <w:rPr>
          <w:rFonts w:hint="eastAsia" w:ascii="仿宋_GB2312" w:eastAsia="仿宋_GB2312"/>
          <w:color w:val="auto"/>
          <w:sz w:val="24"/>
          <w:highlight w:val="none"/>
        </w:rPr>
        <w:t>执</w:t>
      </w:r>
      <w:permStart w:id="13" w:edGrp="everyone"/>
      <w:r>
        <w:rPr>
          <w:rFonts w:hint="eastAsia" w:ascii="仿宋_GB2312" w:eastAsia="仿宋_GB2312"/>
          <w:color w:val="auto"/>
          <w:sz w:val="24"/>
          <w:highlight w:val="none"/>
        </w:rPr>
        <w:t>贰</w:t>
      </w:r>
      <w:permEnd w:id="13"/>
      <w:r>
        <w:rPr>
          <w:rFonts w:hint="eastAsia" w:ascii="仿宋_GB2312" w:eastAsia="仿宋_GB2312"/>
          <w:color w:val="auto"/>
          <w:sz w:val="24"/>
          <w:highlight w:val="none"/>
        </w:rPr>
        <w:t>份</w:t>
      </w:r>
      <w:bookmarkEnd w:id="1"/>
      <w:r>
        <w:rPr>
          <w:rFonts w:hint="eastAsia" w:ascii="仿宋_GB2312" w:eastAsia="仿宋_GB2312"/>
          <w:color w:val="auto"/>
          <w:sz w:val="24"/>
          <w:highlight w:val="none"/>
        </w:rPr>
        <w:t>，均具同等法律效力。本合同自双方签字盖章之日起发生法律效力，双方履行完合同全部义务后自行失效。</w:t>
      </w:r>
    </w:p>
    <w:p w14:paraId="66EB76F6">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5．本合同未尽事宜，双方另行协商签订补充协议，补充协议与本合同具有同等法律效力。</w:t>
      </w:r>
    </w:p>
    <w:p w14:paraId="6F7EC030">
      <w:pPr>
        <w:rPr>
          <w:color w:val="auto"/>
          <w:highlight w:val="none"/>
        </w:rPr>
      </w:pPr>
    </w:p>
    <w:p w14:paraId="44BD85EA">
      <w:pPr>
        <w:spacing w:line="360" w:lineRule="auto"/>
        <w:rPr>
          <w:rFonts w:hint="default" w:ascii="仿宋_GB2312" w:eastAsia="仿宋_GB2312"/>
          <w:b/>
          <w:color w:val="auto"/>
          <w:sz w:val="24"/>
          <w:highlight w:val="none"/>
        </w:rPr>
      </w:pPr>
      <w:permStart w:id="14" w:edGrp="everyone"/>
      <w:r>
        <w:rPr>
          <w:rFonts w:hint="eastAsia" w:ascii="仿宋_GB2312" w:eastAsia="仿宋_GB2312"/>
          <w:b/>
          <w:color w:val="auto"/>
          <w:sz w:val="24"/>
          <w:highlight w:val="none"/>
        </w:rPr>
        <w:t>十</w:t>
      </w:r>
      <w:r>
        <w:rPr>
          <w:rFonts w:hint="eastAsia" w:ascii="仿宋_GB2312" w:eastAsia="仿宋_GB2312"/>
          <w:b/>
          <w:color w:val="auto"/>
          <w:sz w:val="24"/>
          <w:highlight w:val="none"/>
          <w:lang w:val="en-US" w:eastAsia="zh-CN"/>
        </w:rPr>
        <w:t>七</w:t>
      </w:r>
      <w:r>
        <w:rPr>
          <w:rFonts w:hint="eastAsia" w:ascii="仿宋_GB2312" w:eastAsia="仿宋_GB2312"/>
          <w:b/>
          <w:color w:val="auto"/>
          <w:sz w:val="24"/>
          <w:highlight w:val="none"/>
        </w:rPr>
        <w:t>、专用补充约定 （若本条约定内容与以上条款内容相冲突的，以本条约定内容为准）</w:t>
      </w:r>
    </w:p>
    <w:p w14:paraId="0463293F">
      <w:pPr>
        <w:spacing w:line="360" w:lineRule="auto"/>
        <w:ind w:firstLine="480" w:firstLineChars="200"/>
        <w:rPr>
          <w:rFonts w:hint="eastAsia" w:ascii="仿宋_GB2312" w:hAnsi="仿宋_GB2312" w:eastAsia="仿宋_GB2312" w:cs="仿宋_GB2312"/>
          <w:color w:val="auto"/>
          <w:sz w:val="24"/>
          <w:highlight w:val="none"/>
          <w:u w:val="none"/>
        </w:rPr>
      </w:pPr>
      <w:r>
        <w:rPr>
          <w:rFonts w:hint="eastAsia" w:ascii="仿宋_GB2312" w:hAnsi="仿宋_GB2312" w:eastAsia="仿宋_GB2312" w:cs="仿宋_GB2312"/>
          <w:color w:val="auto"/>
          <w:sz w:val="24"/>
          <w:highlight w:val="none"/>
          <w:u w:val="none"/>
        </w:rPr>
        <w:t>1、乙方保证自</w:t>
      </w:r>
      <w:r>
        <w:rPr>
          <w:rFonts w:hint="eastAsia" w:ascii="仿宋_GB2312" w:hAnsi="仿宋_GB2312" w:eastAsia="仿宋_GB2312" w:cs="仿宋_GB2312"/>
          <w:color w:val="auto"/>
          <w:sz w:val="24"/>
          <w:highlight w:val="none"/>
          <w:u w:val="none"/>
          <w:lang w:val="en-US" w:eastAsia="zh-CN"/>
        </w:rPr>
        <w:t>成交结果</w:t>
      </w:r>
      <w:r>
        <w:rPr>
          <w:rFonts w:hint="eastAsia" w:ascii="仿宋_GB2312" w:hAnsi="仿宋_GB2312" w:eastAsia="仿宋_GB2312" w:cs="仿宋_GB2312"/>
          <w:color w:val="auto"/>
          <w:sz w:val="24"/>
          <w:highlight w:val="none"/>
          <w:u w:val="none"/>
        </w:rPr>
        <w:t>公示完毕之日起15天内提交完整开工资料，在收到甲方通知后2日内进场施工，否则甲方有权按本合同第十二条第2款逾期</w:t>
      </w:r>
      <w:r>
        <w:rPr>
          <w:rFonts w:hint="eastAsia" w:ascii="仿宋_GB2312" w:hAnsi="仿宋_GB2312" w:eastAsia="仿宋_GB2312" w:cs="仿宋_GB2312"/>
          <w:color w:val="auto"/>
          <w:sz w:val="24"/>
          <w:highlight w:val="none"/>
          <w:u w:val="none"/>
          <w:lang w:val="en-US" w:eastAsia="zh-CN"/>
        </w:rPr>
        <w:t>通电</w:t>
      </w:r>
      <w:r>
        <w:rPr>
          <w:rFonts w:hint="eastAsia" w:ascii="仿宋_GB2312" w:hAnsi="仿宋_GB2312" w:eastAsia="仿宋_GB2312" w:cs="仿宋_GB2312"/>
          <w:color w:val="auto"/>
          <w:sz w:val="24"/>
          <w:highlight w:val="none"/>
          <w:u w:val="none"/>
        </w:rPr>
        <w:t>的约定</w:t>
      </w:r>
      <w:r>
        <w:rPr>
          <w:rFonts w:hint="eastAsia" w:ascii="仿宋_GB2312" w:hAnsi="仿宋_GB2312" w:eastAsia="仿宋_GB2312" w:cs="仿宋_GB2312"/>
          <w:color w:val="auto"/>
          <w:sz w:val="24"/>
          <w:highlight w:val="none"/>
          <w:u w:val="none"/>
          <w:lang w:val="en-US" w:eastAsia="zh-CN"/>
        </w:rPr>
        <w:t>要求乙方</w:t>
      </w:r>
      <w:r>
        <w:rPr>
          <w:rFonts w:hint="eastAsia" w:ascii="仿宋_GB2312" w:hAnsi="仿宋_GB2312" w:eastAsia="仿宋_GB2312" w:cs="仿宋_GB2312"/>
          <w:color w:val="auto"/>
          <w:sz w:val="24"/>
          <w:highlight w:val="none"/>
          <w:u w:val="none"/>
        </w:rPr>
        <w:t>承担违约责任。</w:t>
      </w:r>
    </w:p>
    <w:p w14:paraId="1CAD6ED5">
      <w:pPr>
        <w:spacing w:line="360" w:lineRule="auto"/>
        <w:ind w:firstLine="480" w:firstLineChars="200"/>
        <w:rPr>
          <w:rFonts w:hint="eastAsia" w:ascii="仿宋_GB2312" w:hAnsi="仿宋_GB2312" w:eastAsia="仿宋_GB2312" w:cs="仿宋_GB2312"/>
          <w:color w:val="auto"/>
          <w:sz w:val="24"/>
          <w:highlight w:val="none"/>
          <w:u w:val="none"/>
          <w:lang w:val="en-US" w:eastAsia="zh-CN"/>
        </w:rPr>
      </w:pPr>
      <w:r>
        <w:rPr>
          <w:rFonts w:hint="eastAsia" w:ascii="仿宋_GB2312" w:hAnsi="仿宋_GB2312" w:eastAsia="仿宋_GB2312" w:cs="仿宋_GB2312"/>
          <w:color w:val="auto"/>
          <w:sz w:val="24"/>
          <w:highlight w:val="none"/>
          <w:u w:val="none"/>
          <w:lang w:val="en-US" w:eastAsia="zh-CN"/>
        </w:rPr>
        <w:t>2、发包方如遇到以下情况可解除本合同:</w:t>
      </w:r>
    </w:p>
    <w:p w14:paraId="4C222BBC">
      <w:pPr>
        <w:spacing w:line="360" w:lineRule="auto"/>
        <w:ind w:firstLine="480" w:firstLineChars="200"/>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highlight w:val="none"/>
          <w:u w:val="none"/>
          <w:lang w:val="en-US" w:eastAsia="zh-CN"/>
        </w:rPr>
        <w:t>2.1、承包人需在成交结果公示完毕后</w:t>
      </w:r>
      <w:r>
        <w:rPr>
          <w:rFonts w:hint="eastAsia" w:ascii="仿宋_GB2312" w:hAnsi="仿宋_GB2312" w:eastAsia="仿宋_GB2312" w:cs="仿宋_GB2312"/>
          <w:color w:val="auto"/>
          <w:sz w:val="24"/>
          <w:highlight w:val="none"/>
          <w:u w:val="none"/>
        </w:rPr>
        <w:t>15天内提交完整开工资料，在收到甲方通知后2日内进场施工</w:t>
      </w:r>
      <w:r>
        <w:rPr>
          <w:rFonts w:hint="eastAsia" w:ascii="仿宋_GB2312" w:hAnsi="仿宋_GB2312" w:eastAsia="仿宋_GB2312" w:cs="仿宋_GB2312"/>
          <w:color w:val="auto"/>
          <w:sz w:val="24"/>
          <w:highlight w:val="none"/>
          <w:u w:val="none"/>
          <w:lang w:val="en-US" w:eastAsia="zh-CN"/>
        </w:rPr>
        <w:t>。若因承包人自身原因（如拖延办理必要手续、施工组织不力等）导致项目进度滞后，且滞后时间超过7个工作日的，已经对发包人的整体规划产生了实质性影响（例如导致影响后续项目衔接等），发包人有权解除《承包合同》。承包人需自行承担相关损失，包括但不限于已投入的成本、因滞后产生的额外费用以及对发包方整体规划造成影响的赔偿责任等。同时，承包人应在接到解除合同通知后的7个工作日内无条件撤场，并做好已完工程的保护工作，确保现场安全和环境整洁。</w:t>
      </w:r>
      <w:permEnd w:id="14"/>
    </w:p>
    <w:p w14:paraId="0CAEDF82">
      <w:pPr>
        <w:spacing w:line="360" w:lineRule="auto"/>
        <w:rPr>
          <w:rFonts w:hint="default" w:ascii="仿宋_GB2312" w:eastAsia="仿宋_GB2312"/>
          <w:b/>
          <w:color w:val="auto"/>
          <w:sz w:val="24"/>
          <w:highlight w:val="none"/>
        </w:rPr>
      </w:pPr>
    </w:p>
    <w:p w14:paraId="6997B5AE">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十</w:t>
      </w:r>
      <w:r>
        <w:rPr>
          <w:rFonts w:hint="eastAsia" w:ascii="仿宋_GB2312" w:eastAsia="仿宋_GB2312"/>
          <w:b/>
          <w:color w:val="auto"/>
          <w:sz w:val="24"/>
          <w:highlight w:val="none"/>
          <w:lang w:val="en-US" w:eastAsia="zh-CN"/>
        </w:rPr>
        <w:t>八</w:t>
      </w:r>
      <w:r>
        <w:rPr>
          <w:rFonts w:hint="eastAsia" w:ascii="仿宋_GB2312" w:eastAsia="仿宋_GB2312"/>
          <w:b/>
          <w:color w:val="auto"/>
          <w:sz w:val="24"/>
          <w:highlight w:val="none"/>
        </w:rPr>
        <w:t>、合同附件</w:t>
      </w:r>
    </w:p>
    <w:p w14:paraId="37783833">
      <w:pPr>
        <w:keepNext w:val="0"/>
        <w:keepLines w:val="0"/>
        <w:pageBreakBefore w:val="0"/>
        <w:widowControl w:val="0"/>
        <w:kinsoku/>
        <w:wordWrap/>
        <w:overflowPunct/>
        <w:topLinePunct w:val="0"/>
        <w:autoSpaceDE/>
        <w:autoSpaceDN/>
        <w:adjustRightInd/>
        <w:snapToGrid/>
        <w:spacing w:line="360" w:lineRule="auto"/>
        <w:ind w:firstLine="480" w:firstLineChars="200"/>
        <w:textAlignment w:val="auto"/>
        <w:rPr>
          <w:rFonts w:hint="default" w:eastAsia="仿宋_GB2312"/>
          <w:color w:val="auto"/>
          <w:highlight w:val="none"/>
        </w:rPr>
      </w:pPr>
      <w:r>
        <w:rPr>
          <w:rFonts w:hint="eastAsia" w:ascii="仿宋_GB2312" w:eastAsia="仿宋_GB2312"/>
          <w:color w:val="auto"/>
          <w:sz w:val="24"/>
          <w:highlight w:val="none"/>
          <w:lang w:val="en-US" w:eastAsia="zh-CN"/>
        </w:rPr>
        <w:t>1</w:t>
      </w:r>
      <w:r>
        <w:rPr>
          <w:rFonts w:hint="eastAsia" w:ascii="仿宋_GB2312" w:eastAsia="仿宋_GB2312"/>
          <w:color w:val="auto"/>
          <w:sz w:val="24"/>
          <w:highlight w:val="none"/>
        </w:rPr>
        <w:t>．安全协议书；</w:t>
      </w:r>
    </w:p>
    <w:p w14:paraId="0D50A754">
      <w:pPr>
        <w:keepNext w:val="0"/>
        <w:keepLines w:val="0"/>
        <w:pageBreakBefore w:val="0"/>
        <w:widowControl w:val="0"/>
        <w:kinsoku/>
        <w:wordWrap/>
        <w:overflowPunct/>
        <w:topLinePunct w:val="0"/>
        <w:autoSpaceDE/>
        <w:autoSpaceDN/>
        <w:adjustRightInd/>
        <w:snapToGrid/>
        <w:spacing w:line="360" w:lineRule="auto"/>
        <w:ind w:firstLine="480" w:firstLineChars="200"/>
        <w:textAlignment w:val="auto"/>
        <w:rPr>
          <w:rFonts w:hint="eastAsia" w:ascii="仿宋_GB2312" w:eastAsia="仿宋_GB2312"/>
          <w:color w:val="auto"/>
          <w:sz w:val="24"/>
          <w:highlight w:val="none"/>
          <w:lang w:eastAsia="zh-CN"/>
        </w:rPr>
      </w:pPr>
      <w:r>
        <w:rPr>
          <w:rFonts w:hint="eastAsia" w:ascii="仿宋_GB2312" w:eastAsia="仿宋_GB2312"/>
          <w:color w:val="auto"/>
          <w:sz w:val="24"/>
          <w:highlight w:val="none"/>
          <w:lang w:val="en-US" w:eastAsia="zh-CN"/>
        </w:rPr>
        <w:t>2</w:t>
      </w:r>
      <w:r>
        <w:rPr>
          <w:rFonts w:hint="eastAsia" w:ascii="仿宋_GB2312" w:eastAsia="仿宋_GB2312"/>
          <w:color w:val="auto"/>
          <w:sz w:val="24"/>
          <w:highlight w:val="none"/>
        </w:rPr>
        <w:t>．廉洁协议</w:t>
      </w:r>
      <w:r>
        <w:rPr>
          <w:rFonts w:hint="eastAsia" w:ascii="仿宋_GB2312" w:eastAsia="仿宋_GB2312"/>
          <w:color w:val="auto"/>
          <w:sz w:val="24"/>
          <w:highlight w:val="none"/>
          <w:lang w:eastAsia="zh-CN"/>
        </w:rPr>
        <w:t>；</w:t>
      </w:r>
    </w:p>
    <w:p w14:paraId="6078C4E4">
      <w:pPr>
        <w:pStyle w:val="13"/>
        <w:rPr>
          <w:rFonts w:hint="default"/>
          <w:color w:val="auto"/>
          <w:highlight w:val="none"/>
          <w:lang w:val="en-US" w:eastAsia="zh-CN"/>
        </w:rPr>
      </w:pPr>
      <w:r>
        <w:rPr>
          <w:rFonts w:hint="eastAsia" w:ascii="仿宋_GB2312" w:eastAsia="仿宋_GB2312"/>
          <w:color w:val="auto"/>
          <w:sz w:val="24"/>
          <w:highlight w:val="none"/>
          <w:lang w:val="en-US" w:eastAsia="zh-CN"/>
        </w:rPr>
        <w:t>3</w:t>
      </w: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阳光合作协议；</w:t>
      </w:r>
    </w:p>
    <w:p w14:paraId="66AA5501">
      <w:pPr>
        <w:keepNext w:val="0"/>
        <w:keepLines w:val="0"/>
        <w:pageBreakBefore w:val="0"/>
        <w:widowControl w:val="0"/>
        <w:kinsoku/>
        <w:wordWrap/>
        <w:overflowPunct/>
        <w:topLinePunct w:val="0"/>
        <w:autoSpaceDE/>
        <w:autoSpaceDN/>
        <w:adjustRightInd/>
        <w:snapToGrid/>
        <w:spacing w:line="360" w:lineRule="auto"/>
        <w:ind w:firstLine="480" w:firstLineChars="200"/>
        <w:textAlignment w:val="auto"/>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4</w:t>
      </w:r>
      <w:r>
        <w:rPr>
          <w:rFonts w:hint="eastAsia" w:ascii="仿宋_GB2312" w:eastAsia="仿宋_GB2312"/>
          <w:color w:val="auto"/>
          <w:sz w:val="24"/>
          <w:highlight w:val="none"/>
        </w:rPr>
        <w:t>．承包商违规行为处罚条例；</w:t>
      </w:r>
    </w:p>
    <w:p w14:paraId="2FF48216">
      <w:pPr>
        <w:keepNext w:val="0"/>
        <w:keepLines w:val="0"/>
        <w:pageBreakBefore w:val="0"/>
        <w:widowControl w:val="0"/>
        <w:kinsoku/>
        <w:wordWrap/>
        <w:overflowPunct/>
        <w:topLinePunct w:val="0"/>
        <w:autoSpaceDE/>
        <w:autoSpaceDN/>
        <w:adjustRightInd/>
        <w:snapToGrid/>
        <w:spacing w:line="360" w:lineRule="auto"/>
        <w:ind w:firstLine="480" w:firstLineChars="200"/>
        <w:textAlignment w:val="auto"/>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5. 环境保护要求</w:t>
      </w:r>
    </w:p>
    <w:p w14:paraId="410E5A43">
      <w:pPr>
        <w:keepNext w:val="0"/>
        <w:keepLines w:val="0"/>
        <w:pageBreakBefore w:val="0"/>
        <w:widowControl w:val="0"/>
        <w:kinsoku/>
        <w:wordWrap/>
        <w:overflowPunct/>
        <w:topLinePunct w:val="0"/>
        <w:autoSpaceDE/>
        <w:autoSpaceDN/>
        <w:adjustRightInd/>
        <w:snapToGrid/>
        <w:spacing w:line="360" w:lineRule="auto"/>
        <w:ind w:firstLine="480" w:firstLineChars="200"/>
        <w:textAlignment w:val="auto"/>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6. 关于民工权益保障承诺书；</w:t>
      </w:r>
    </w:p>
    <w:p w14:paraId="2F5D5BFB">
      <w:pPr>
        <w:keepNext w:val="0"/>
        <w:keepLines w:val="0"/>
        <w:pageBreakBefore w:val="0"/>
        <w:widowControl w:val="0"/>
        <w:kinsoku/>
        <w:wordWrap/>
        <w:overflowPunct/>
        <w:topLinePunct w:val="0"/>
        <w:autoSpaceDE/>
        <w:autoSpaceDN/>
        <w:adjustRightInd/>
        <w:snapToGrid/>
        <w:spacing w:line="360" w:lineRule="auto"/>
        <w:ind w:firstLine="480" w:firstLineChars="200"/>
        <w:textAlignment w:val="auto"/>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7. 投标清单</w:t>
      </w:r>
    </w:p>
    <w:p w14:paraId="51B31963">
      <w:pPr>
        <w:keepNext w:val="0"/>
        <w:keepLines w:val="0"/>
        <w:pageBreakBefore w:val="0"/>
        <w:widowControl w:val="0"/>
        <w:kinsoku/>
        <w:wordWrap/>
        <w:overflowPunct/>
        <w:topLinePunct w:val="0"/>
        <w:autoSpaceDE/>
        <w:autoSpaceDN/>
        <w:adjustRightInd/>
        <w:snapToGrid/>
        <w:spacing w:line="360" w:lineRule="auto"/>
        <w:ind w:firstLine="480" w:firstLineChars="200"/>
        <w:textAlignment w:val="auto"/>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8. 实施本项目的有关人员资料表；</w:t>
      </w:r>
    </w:p>
    <w:p w14:paraId="1D0C25BA">
      <w:pPr>
        <w:keepNext w:val="0"/>
        <w:keepLines w:val="0"/>
        <w:pageBreakBefore w:val="0"/>
        <w:widowControl w:val="0"/>
        <w:kinsoku/>
        <w:wordWrap/>
        <w:overflowPunct/>
        <w:topLinePunct w:val="0"/>
        <w:autoSpaceDE/>
        <w:autoSpaceDN/>
        <w:adjustRightInd/>
        <w:snapToGrid/>
        <w:spacing w:line="360" w:lineRule="auto"/>
        <w:ind w:firstLine="480" w:firstLineChars="200"/>
        <w:textAlignment w:val="auto"/>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9. 其他。</w:t>
      </w:r>
    </w:p>
    <w:p w14:paraId="5971B37A">
      <w:pP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该等附件是本合同不可分割的组成部分，与本合同具有同等法律效力。若附件内容与本合同内容不一致的，以本合同内容为准。</w:t>
      </w:r>
    </w:p>
    <w:p w14:paraId="1846A419">
      <w:pPr>
        <w:pStyle w:val="2"/>
        <w:rPr>
          <w:rFonts w:hint="eastAsia" w:eastAsia="仿宋_GB2312"/>
          <w:highlight w:val="none"/>
          <w:lang w:eastAsia="zh-CN"/>
        </w:rPr>
      </w:pP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以下无正文</w:t>
      </w:r>
      <w:r>
        <w:rPr>
          <w:rFonts w:hint="eastAsia" w:ascii="仿宋_GB2312" w:eastAsia="仿宋_GB2312"/>
          <w:color w:val="auto"/>
          <w:sz w:val="24"/>
          <w:highlight w:val="none"/>
          <w:lang w:eastAsia="zh-CN"/>
        </w:rPr>
        <w:t>）</w:t>
      </w:r>
    </w:p>
    <w:p w14:paraId="0E0EC3EE">
      <w:pPr>
        <w:pStyle w:val="2"/>
        <w:spacing w:before="156"/>
        <w:ind w:firstLine="480"/>
        <w:rPr>
          <w:rFonts w:hint="default" w:ascii="仿宋_GB2312" w:eastAsia="仿宋_GB2312"/>
          <w:color w:val="auto"/>
          <w:highlight w:val="none"/>
        </w:rPr>
      </w:pPr>
      <w:r>
        <w:rPr>
          <w:color w:val="auto"/>
          <w:highlight w:val="none"/>
        </w:rPr>
        <w:br w:type="page"/>
      </w:r>
      <w:r>
        <w:rPr>
          <w:rFonts w:hint="eastAsia" w:ascii="仿宋_GB2312" w:eastAsia="仿宋_GB2312"/>
          <w:color w:val="auto"/>
          <w:highlight w:val="none"/>
        </w:rPr>
        <w:t>（签署页）</w:t>
      </w:r>
    </w:p>
    <w:p w14:paraId="680A8542">
      <w:pPr>
        <w:rPr>
          <w:color w:val="auto"/>
          <w:highlight w:val="none"/>
        </w:rPr>
      </w:pPr>
    </w:p>
    <w:tbl>
      <w:tblPr>
        <w:tblStyle w:val="8"/>
        <w:tblpPr w:leftFromText="180" w:rightFromText="180" w:vertAnchor="text" w:horzAnchor="page" w:tblpX="1740" w:tblpY="119"/>
        <w:tblW w:w="7938" w:type="dxa"/>
        <w:tblInd w:w="0" w:type="dxa"/>
        <w:tblLayout w:type="fixed"/>
        <w:tblCellMar>
          <w:top w:w="0" w:type="dxa"/>
          <w:left w:w="108" w:type="dxa"/>
          <w:bottom w:w="0" w:type="dxa"/>
          <w:right w:w="108" w:type="dxa"/>
        </w:tblCellMar>
      </w:tblPr>
      <w:tblGrid>
        <w:gridCol w:w="3969"/>
        <w:gridCol w:w="3969"/>
      </w:tblGrid>
      <w:tr w14:paraId="4F9E87EC">
        <w:tblPrEx>
          <w:tblCellMar>
            <w:top w:w="0" w:type="dxa"/>
            <w:left w:w="108" w:type="dxa"/>
            <w:bottom w:w="0" w:type="dxa"/>
            <w:right w:w="108" w:type="dxa"/>
          </w:tblCellMar>
        </w:tblPrEx>
        <w:trPr>
          <w:trHeight w:val="2208" w:hRule="atLeast"/>
        </w:trPr>
        <w:tc>
          <w:tcPr>
            <w:tcW w:w="3969" w:type="dxa"/>
            <w:shd w:val="clear" w:color="auto" w:fill="auto"/>
          </w:tcPr>
          <w:p w14:paraId="1D5C5ADD">
            <w:pPr>
              <w:pStyle w:val="14"/>
              <w:spacing w:after="50" w:line="360" w:lineRule="auto"/>
              <w:rPr>
                <w:rFonts w:hint="eastAsia" w:ascii="仿宋_GB2312" w:hAnsi="宋体" w:eastAsia="仿宋_GB2312"/>
                <w:color w:val="auto"/>
                <w:szCs w:val="24"/>
                <w:highlight w:val="none"/>
                <w:u w:val="none"/>
              </w:rPr>
            </w:pPr>
            <w:r>
              <w:rPr>
                <w:rFonts w:hint="eastAsia" w:ascii="仿宋_GB2312" w:eastAsia="仿宋_GB2312"/>
                <w:color w:val="auto"/>
                <w:highlight w:val="none"/>
                <w:u w:val="none"/>
              </w:rPr>
              <w:t>甲方</w:t>
            </w:r>
            <w:r>
              <w:rPr>
                <w:rFonts w:hint="eastAsia" w:ascii="仿宋_GB2312" w:hAnsi="宋体" w:eastAsia="仿宋_GB2312"/>
                <w:color w:val="auto"/>
                <w:szCs w:val="24"/>
                <w:highlight w:val="none"/>
                <w:u w:val="none"/>
              </w:rPr>
              <w:t>：（公章）</w:t>
            </w:r>
          </w:p>
          <w:p w14:paraId="5F201C8B">
            <w:pPr>
              <w:pStyle w:val="14"/>
              <w:spacing w:after="50" w:line="360" w:lineRule="auto"/>
              <w:rPr>
                <w:rFonts w:hint="eastAsia" w:ascii="仿宋_GB2312" w:hAnsi="宋体" w:eastAsia="仿宋_GB2312"/>
                <w:color w:val="auto"/>
                <w:szCs w:val="24"/>
                <w:highlight w:val="none"/>
                <w:u w:val="none"/>
                <w:lang w:eastAsia="zh-CN"/>
              </w:rPr>
            </w:pPr>
            <w:r>
              <w:rPr>
                <w:rFonts w:hint="eastAsia" w:ascii="仿宋_GB2312" w:hAnsi="宋体" w:eastAsia="仿宋_GB2312"/>
                <w:color w:val="auto"/>
                <w:szCs w:val="24"/>
                <w:highlight w:val="none"/>
                <w:u w:val="none"/>
                <w:lang w:eastAsia="zh-CN"/>
              </w:rPr>
              <w:t>东莞市新锋新能源有限公司</w:t>
            </w:r>
          </w:p>
        </w:tc>
        <w:tc>
          <w:tcPr>
            <w:tcW w:w="3969" w:type="dxa"/>
            <w:shd w:val="clear" w:color="auto" w:fill="auto"/>
          </w:tcPr>
          <w:p w14:paraId="62FDAAB9">
            <w:pPr>
              <w:pStyle w:val="14"/>
              <w:spacing w:after="50" w:line="360" w:lineRule="auto"/>
              <w:rPr>
                <w:rFonts w:hint="eastAsia" w:ascii="仿宋_GB2312" w:hAnsi="宋体" w:eastAsia="仿宋_GB2312"/>
                <w:color w:val="auto"/>
                <w:szCs w:val="24"/>
                <w:highlight w:val="none"/>
                <w:u w:val="none"/>
              </w:rPr>
            </w:pPr>
            <w:r>
              <w:rPr>
                <w:rFonts w:hint="eastAsia" w:ascii="仿宋_GB2312" w:eastAsia="仿宋_GB2312"/>
                <w:color w:val="auto"/>
                <w:highlight w:val="none"/>
                <w:u w:val="none"/>
              </w:rPr>
              <w:t>乙方</w:t>
            </w:r>
            <w:r>
              <w:rPr>
                <w:rFonts w:hint="eastAsia" w:ascii="仿宋_GB2312" w:hAnsi="宋体" w:eastAsia="仿宋_GB2312"/>
                <w:color w:val="auto"/>
                <w:szCs w:val="24"/>
                <w:highlight w:val="none"/>
                <w:u w:val="none"/>
              </w:rPr>
              <w:t>（主）：（公章）</w:t>
            </w:r>
          </w:p>
          <w:p w14:paraId="25F3E56A">
            <w:pPr>
              <w:pStyle w:val="14"/>
              <w:spacing w:after="50" w:line="360" w:lineRule="auto"/>
              <w:rPr>
                <w:rFonts w:hint="eastAsia" w:ascii="仿宋_GB2312" w:hAnsi="宋体" w:eastAsia="仿宋_GB2312"/>
                <w:color w:val="auto"/>
                <w:szCs w:val="24"/>
                <w:highlight w:val="none"/>
                <w:u w:val="none"/>
              </w:rPr>
            </w:pPr>
            <w:r>
              <w:rPr>
                <w:rFonts w:hint="eastAsia" w:ascii="仿宋_GB2312" w:hAnsi="宋体" w:eastAsia="仿宋_GB2312"/>
                <w:color w:val="auto"/>
                <w:szCs w:val="24"/>
                <w:highlight w:val="none"/>
                <w:u w:val="none"/>
                <w:lang w:eastAsia="zh-CN"/>
              </w:rPr>
              <w:t>XXX有限公司</w:t>
            </w:r>
          </w:p>
        </w:tc>
      </w:tr>
      <w:tr w14:paraId="62724B11">
        <w:tblPrEx>
          <w:tblCellMar>
            <w:top w:w="0" w:type="dxa"/>
            <w:left w:w="108" w:type="dxa"/>
            <w:bottom w:w="0" w:type="dxa"/>
            <w:right w:w="108" w:type="dxa"/>
          </w:tblCellMar>
        </w:tblPrEx>
        <w:trPr>
          <w:trHeight w:val="1580" w:hRule="atLeast"/>
        </w:trPr>
        <w:tc>
          <w:tcPr>
            <w:tcW w:w="3969" w:type="dxa"/>
            <w:shd w:val="clear" w:color="auto" w:fill="auto"/>
          </w:tcPr>
          <w:p w14:paraId="60EDF3F4">
            <w:pPr>
              <w:pStyle w:val="14"/>
              <w:spacing w:after="50" w:line="360" w:lineRule="auto"/>
              <w:rPr>
                <w:rFonts w:hint="eastAsia" w:ascii="仿宋_GB2312" w:hAnsi="宋体" w:eastAsia="仿宋_GB2312"/>
                <w:color w:val="auto"/>
                <w:szCs w:val="24"/>
                <w:highlight w:val="none"/>
              </w:rPr>
            </w:pPr>
            <w:r>
              <w:rPr>
                <w:rFonts w:hint="eastAsia" w:ascii="仿宋_GB2312" w:hAnsi="宋体" w:eastAsia="仿宋_GB2312"/>
                <w:color w:val="auto"/>
                <w:szCs w:val="24"/>
                <w:highlight w:val="none"/>
              </w:rPr>
              <w:t>法定代表人（或授权代表）：（签字）</w:t>
            </w:r>
          </w:p>
          <w:p w14:paraId="5DBCA081">
            <w:pPr>
              <w:pStyle w:val="14"/>
              <w:spacing w:after="50" w:line="360" w:lineRule="auto"/>
              <w:rPr>
                <w:rFonts w:hint="eastAsia" w:ascii="仿宋_GB2312" w:hAnsi="宋体" w:eastAsia="仿宋_GB2312"/>
                <w:color w:val="auto"/>
                <w:szCs w:val="24"/>
                <w:highlight w:val="none"/>
              </w:rPr>
            </w:pPr>
          </w:p>
        </w:tc>
        <w:tc>
          <w:tcPr>
            <w:tcW w:w="3969" w:type="dxa"/>
            <w:shd w:val="clear" w:color="auto" w:fill="auto"/>
          </w:tcPr>
          <w:p w14:paraId="197ADAE2">
            <w:pPr>
              <w:pStyle w:val="14"/>
              <w:spacing w:after="50" w:line="360" w:lineRule="auto"/>
              <w:rPr>
                <w:rFonts w:hint="eastAsia" w:ascii="仿宋_GB2312" w:hAnsi="宋体" w:eastAsia="仿宋_GB2312"/>
                <w:color w:val="auto"/>
                <w:szCs w:val="24"/>
                <w:highlight w:val="none"/>
              </w:rPr>
            </w:pPr>
            <w:r>
              <w:rPr>
                <w:rFonts w:hint="eastAsia" w:ascii="仿宋_GB2312" w:hAnsi="宋体" w:eastAsia="仿宋_GB2312"/>
                <w:color w:val="auto"/>
                <w:szCs w:val="24"/>
                <w:highlight w:val="none"/>
              </w:rPr>
              <w:t>法定代表人（或授权代表）：（签字）</w:t>
            </w:r>
          </w:p>
          <w:p w14:paraId="777BFD0B">
            <w:pPr>
              <w:pStyle w:val="14"/>
              <w:spacing w:after="50" w:line="360" w:lineRule="auto"/>
              <w:rPr>
                <w:rFonts w:hint="eastAsia" w:ascii="仿宋_GB2312" w:hAnsi="宋体" w:eastAsia="仿宋_GB2312"/>
                <w:color w:val="auto"/>
                <w:szCs w:val="24"/>
                <w:highlight w:val="none"/>
              </w:rPr>
            </w:pPr>
          </w:p>
          <w:p w14:paraId="45E1018C">
            <w:pPr>
              <w:pStyle w:val="14"/>
              <w:spacing w:after="50" w:line="360" w:lineRule="auto"/>
              <w:rPr>
                <w:rFonts w:hint="eastAsia" w:ascii="仿宋_GB2312" w:hAnsi="宋体" w:eastAsia="仿宋_GB2312"/>
                <w:color w:val="auto"/>
                <w:szCs w:val="24"/>
                <w:highlight w:val="none"/>
              </w:rPr>
            </w:pPr>
          </w:p>
        </w:tc>
      </w:tr>
      <w:tr w14:paraId="41CDABB2">
        <w:tblPrEx>
          <w:tblCellMar>
            <w:top w:w="0" w:type="dxa"/>
            <w:left w:w="108" w:type="dxa"/>
            <w:bottom w:w="0" w:type="dxa"/>
            <w:right w:w="108" w:type="dxa"/>
          </w:tblCellMar>
        </w:tblPrEx>
        <w:tc>
          <w:tcPr>
            <w:tcW w:w="3969" w:type="dxa"/>
            <w:shd w:val="clear" w:color="auto" w:fill="auto"/>
          </w:tcPr>
          <w:p w14:paraId="3258E352">
            <w:pPr>
              <w:pStyle w:val="14"/>
              <w:spacing w:after="50" w:line="360" w:lineRule="auto"/>
              <w:rPr>
                <w:rFonts w:hint="eastAsia" w:ascii="仿宋_GB2312" w:hAnsi="宋体" w:eastAsia="仿宋_GB2312"/>
                <w:color w:val="auto"/>
                <w:szCs w:val="24"/>
                <w:highlight w:val="none"/>
              </w:rPr>
            </w:pPr>
            <w:r>
              <w:rPr>
                <w:rFonts w:hint="eastAsia" w:ascii="仿宋_GB2312" w:hAnsi="宋体" w:eastAsia="仿宋_GB2312"/>
                <w:color w:val="auto"/>
                <w:szCs w:val="24"/>
                <w:highlight w:val="none"/>
              </w:rPr>
              <w:t>统一社会信用代码：</w:t>
            </w:r>
          </w:p>
          <w:p w14:paraId="18DDDA9C">
            <w:pPr>
              <w:pStyle w:val="14"/>
              <w:spacing w:after="50" w:line="360" w:lineRule="auto"/>
              <w:rPr>
                <w:rFonts w:hint="eastAsia" w:ascii="仿宋_GB2312" w:hAnsi="宋体" w:eastAsia="仿宋_GB2312"/>
                <w:color w:val="auto"/>
                <w:kern w:val="0"/>
                <w:szCs w:val="24"/>
                <w:highlight w:val="none"/>
                <w:u w:val="single"/>
              </w:rPr>
            </w:pPr>
            <w:r>
              <w:rPr>
                <w:rFonts w:hint="eastAsia" w:ascii="仿宋_GB2312" w:hAnsi="宋体" w:eastAsia="仿宋_GB2312"/>
                <w:color w:val="auto"/>
                <w:kern w:val="0"/>
                <w:szCs w:val="24"/>
                <w:highlight w:val="none"/>
                <w:u w:val="single"/>
              </w:rPr>
              <w:t>91441900MAA4GDFY5J</w:t>
            </w:r>
          </w:p>
          <w:p w14:paraId="382AF82B">
            <w:pPr>
              <w:pStyle w:val="14"/>
              <w:spacing w:after="50" w:line="360" w:lineRule="auto"/>
              <w:rPr>
                <w:rFonts w:hint="eastAsia" w:ascii="仿宋_GB2312" w:hAnsi="宋体" w:eastAsia="仿宋_GB2312"/>
                <w:color w:val="auto"/>
                <w:szCs w:val="24"/>
                <w:highlight w:val="none"/>
              </w:rPr>
            </w:pPr>
            <w:r>
              <w:rPr>
                <w:rFonts w:hint="eastAsia" w:ascii="仿宋_GB2312" w:hAnsi="宋体" w:eastAsia="仿宋_GB2312"/>
                <w:color w:val="auto"/>
                <w:szCs w:val="24"/>
                <w:highlight w:val="none"/>
              </w:rPr>
              <w:t>地址：</w:t>
            </w:r>
            <w:r>
              <w:rPr>
                <w:rFonts w:hint="eastAsia" w:ascii="仿宋_GB2312" w:hAnsi="宋体" w:eastAsia="仿宋_GB2312"/>
                <w:color w:val="auto"/>
                <w:kern w:val="0"/>
                <w:szCs w:val="24"/>
                <w:highlight w:val="none"/>
                <w:u w:val="single"/>
              </w:rPr>
              <w:t>广东省东莞市松山湖园区新城路5号1栋601室</w:t>
            </w:r>
          </w:p>
          <w:p w14:paraId="1B37DB9F">
            <w:pPr>
              <w:pStyle w:val="14"/>
              <w:spacing w:after="50" w:line="360" w:lineRule="auto"/>
              <w:rPr>
                <w:rFonts w:hint="eastAsia" w:ascii="仿宋_GB2312" w:hAnsi="宋体" w:eastAsia="仿宋_GB2312"/>
                <w:color w:val="auto"/>
                <w:szCs w:val="24"/>
                <w:highlight w:val="none"/>
              </w:rPr>
            </w:pPr>
            <w:r>
              <w:rPr>
                <w:rFonts w:hint="eastAsia" w:ascii="仿宋_GB2312" w:hAnsi="宋体" w:eastAsia="仿宋_GB2312"/>
                <w:color w:val="auto"/>
                <w:szCs w:val="24"/>
                <w:highlight w:val="none"/>
              </w:rPr>
              <w:t>邮政编码：</w:t>
            </w:r>
            <w:r>
              <w:rPr>
                <w:rFonts w:hint="eastAsia" w:ascii="仿宋_GB2312" w:hAnsi="宋体" w:eastAsia="仿宋_GB2312"/>
                <w:color w:val="auto"/>
                <w:kern w:val="0"/>
                <w:szCs w:val="24"/>
                <w:highlight w:val="none"/>
                <w:u w:val="single"/>
              </w:rPr>
              <w:t>523808</w:t>
            </w:r>
          </w:p>
          <w:p w14:paraId="1DA169D6">
            <w:pPr>
              <w:pStyle w:val="14"/>
              <w:spacing w:after="50" w:line="360" w:lineRule="auto"/>
              <w:rPr>
                <w:rFonts w:hint="default" w:ascii="仿宋_GB2312" w:eastAsia="仿宋_GB2312"/>
                <w:color w:val="auto"/>
                <w:kern w:val="0"/>
                <w:szCs w:val="24"/>
                <w:highlight w:val="none"/>
                <w:u w:val="single"/>
              </w:rPr>
            </w:pPr>
            <w:r>
              <w:rPr>
                <w:rFonts w:hint="eastAsia" w:ascii="仿宋_GB2312" w:hAnsi="宋体" w:eastAsia="仿宋_GB2312"/>
                <w:color w:val="auto"/>
                <w:szCs w:val="24"/>
                <w:highlight w:val="none"/>
              </w:rPr>
              <w:t>法定代表人：</w:t>
            </w:r>
            <w:r>
              <w:rPr>
                <w:rFonts w:hint="eastAsia" w:ascii="仿宋_GB2312" w:eastAsia="仿宋_GB2312"/>
                <w:color w:val="auto"/>
                <w:kern w:val="0"/>
                <w:szCs w:val="24"/>
                <w:highlight w:val="none"/>
                <w:u w:val="single"/>
              </w:rPr>
              <w:t>梁志均</w:t>
            </w:r>
          </w:p>
          <w:p w14:paraId="70EB5C99">
            <w:pPr>
              <w:pStyle w:val="14"/>
              <w:spacing w:after="50" w:line="360" w:lineRule="auto"/>
              <w:rPr>
                <w:rFonts w:hint="default" w:ascii="仿宋_GB2312" w:eastAsia="仿宋_GB2312"/>
                <w:color w:val="auto"/>
                <w:kern w:val="0"/>
                <w:szCs w:val="24"/>
                <w:highlight w:val="none"/>
                <w:u w:val="single"/>
                <w:lang w:val="en-US" w:eastAsia="zh-CN"/>
              </w:rPr>
            </w:pPr>
            <w:r>
              <w:rPr>
                <w:rFonts w:hint="default" w:ascii="仿宋_GB2312" w:eastAsia="仿宋_GB2312"/>
                <w:color w:val="auto"/>
                <w:kern w:val="0"/>
                <w:szCs w:val="24"/>
                <w:highlight w:val="none"/>
              </w:rPr>
              <w:t>委托代理人：</w:t>
            </w:r>
            <w:r>
              <w:rPr>
                <w:rFonts w:hint="eastAsia" w:ascii="仿宋_GB2312" w:eastAsia="仿宋_GB2312"/>
                <w:color w:val="auto"/>
                <w:kern w:val="0"/>
                <w:szCs w:val="24"/>
                <w:highlight w:val="none"/>
                <w:u w:val="single"/>
                <w:lang w:val="en-US" w:eastAsia="zh-CN"/>
              </w:rPr>
              <w:t>卢泽桦</w:t>
            </w:r>
          </w:p>
          <w:p w14:paraId="6DD4AE59">
            <w:pPr>
              <w:pStyle w:val="14"/>
              <w:spacing w:after="50" w:line="360" w:lineRule="auto"/>
              <w:rPr>
                <w:rFonts w:hint="default" w:ascii="仿宋_GB2312" w:eastAsia="仿宋_GB2312"/>
                <w:color w:val="auto"/>
                <w:kern w:val="0"/>
                <w:szCs w:val="24"/>
                <w:highlight w:val="none"/>
                <w:u w:val="single"/>
              </w:rPr>
            </w:pPr>
            <w:r>
              <w:rPr>
                <w:rFonts w:hint="eastAsia" w:ascii="仿宋_GB2312" w:hAnsi="宋体" w:eastAsia="仿宋_GB2312"/>
                <w:color w:val="auto"/>
                <w:szCs w:val="24"/>
                <w:highlight w:val="none"/>
              </w:rPr>
              <w:t>电话：</w:t>
            </w:r>
            <w:r>
              <w:rPr>
                <w:rFonts w:hint="eastAsia" w:ascii="仿宋_GB2312" w:eastAsia="仿宋_GB2312"/>
                <w:color w:val="auto"/>
                <w:kern w:val="0"/>
                <w:szCs w:val="24"/>
                <w:highlight w:val="none"/>
                <w:u w:val="single"/>
              </w:rPr>
              <w:t>0769-22899838</w:t>
            </w:r>
          </w:p>
          <w:p w14:paraId="586BCE82">
            <w:pPr>
              <w:pStyle w:val="14"/>
              <w:spacing w:after="50" w:line="360" w:lineRule="auto"/>
              <w:rPr>
                <w:rFonts w:hint="eastAsia" w:ascii="仿宋_GB2312" w:hAnsi="宋体" w:eastAsia="仿宋_GB2312"/>
                <w:color w:val="auto"/>
                <w:szCs w:val="24"/>
                <w:highlight w:val="none"/>
              </w:rPr>
            </w:pPr>
            <w:r>
              <w:rPr>
                <w:rFonts w:hint="eastAsia" w:ascii="仿宋_GB2312" w:hAnsi="宋体" w:eastAsia="仿宋_GB2312"/>
                <w:color w:val="auto"/>
                <w:szCs w:val="24"/>
                <w:highlight w:val="none"/>
              </w:rPr>
              <w:t>开户银行：</w:t>
            </w:r>
            <w:r>
              <w:rPr>
                <w:rFonts w:hint="eastAsia" w:ascii="仿宋_GB2312" w:eastAsia="仿宋_GB2312"/>
                <w:color w:val="auto"/>
                <w:kern w:val="0"/>
                <w:szCs w:val="24"/>
                <w:highlight w:val="none"/>
                <w:u w:val="single"/>
              </w:rPr>
              <w:t>中信银行东莞大朗支行</w:t>
            </w:r>
          </w:p>
          <w:p w14:paraId="3E9DBFD9">
            <w:pPr>
              <w:pStyle w:val="14"/>
              <w:spacing w:after="50" w:line="360" w:lineRule="auto"/>
              <w:rPr>
                <w:rFonts w:hint="eastAsia" w:ascii="仿宋_GB2312" w:hAnsi="宋体" w:eastAsia="仿宋_GB2312"/>
                <w:color w:val="auto"/>
                <w:szCs w:val="24"/>
                <w:highlight w:val="none"/>
              </w:rPr>
            </w:pPr>
            <w:r>
              <w:rPr>
                <w:rFonts w:hint="eastAsia" w:ascii="仿宋_GB2312" w:hAnsi="宋体" w:eastAsia="仿宋_GB2312"/>
                <w:color w:val="auto"/>
                <w:szCs w:val="24"/>
                <w:highlight w:val="none"/>
              </w:rPr>
              <w:t>账号：</w:t>
            </w:r>
            <w:r>
              <w:rPr>
                <w:rFonts w:hint="eastAsia" w:ascii="仿宋_GB2312" w:eastAsia="仿宋_GB2312"/>
                <w:color w:val="auto"/>
                <w:kern w:val="0"/>
                <w:szCs w:val="24"/>
                <w:highlight w:val="none"/>
                <w:u w:val="single"/>
              </w:rPr>
              <w:t>8110901012501383079</w:t>
            </w:r>
          </w:p>
        </w:tc>
        <w:tc>
          <w:tcPr>
            <w:tcW w:w="3969" w:type="dxa"/>
            <w:shd w:val="clear" w:color="auto" w:fill="auto"/>
          </w:tcPr>
          <w:p w14:paraId="181D2524">
            <w:pPr>
              <w:pStyle w:val="14"/>
              <w:spacing w:after="50" w:line="360" w:lineRule="auto"/>
              <w:rPr>
                <w:rFonts w:hint="eastAsia" w:ascii="仿宋_GB2312" w:hAnsi="宋体" w:eastAsia="仿宋_GB2312"/>
                <w:color w:val="auto"/>
                <w:szCs w:val="24"/>
                <w:highlight w:val="none"/>
              </w:rPr>
            </w:pPr>
            <w:r>
              <w:rPr>
                <w:rFonts w:hint="eastAsia" w:ascii="仿宋_GB2312" w:hAnsi="宋体" w:eastAsia="仿宋_GB2312"/>
                <w:color w:val="auto"/>
                <w:szCs w:val="24"/>
                <w:highlight w:val="none"/>
              </w:rPr>
              <w:t>统一社会信用代码：</w:t>
            </w:r>
          </w:p>
          <w:p w14:paraId="4273A27F">
            <w:pPr>
              <w:pStyle w:val="14"/>
              <w:spacing w:after="50" w:line="360" w:lineRule="auto"/>
              <w:rPr>
                <w:rFonts w:hint="default" w:ascii="仿宋_GB2312" w:hAnsi="宋体" w:eastAsia="仿宋_GB2312"/>
                <w:color w:val="auto"/>
                <w:kern w:val="0"/>
                <w:szCs w:val="24"/>
                <w:highlight w:val="none"/>
                <w:u w:val="single"/>
                <w:lang w:val="en-US" w:eastAsia="zh-CN"/>
              </w:rPr>
            </w:pPr>
            <w:r>
              <w:rPr>
                <w:rFonts w:hint="eastAsia" w:ascii="仿宋_GB2312" w:hAnsi="宋体" w:eastAsia="仿宋_GB2312"/>
                <w:color w:val="auto"/>
                <w:kern w:val="0"/>
                <w:szCs w:val="24"/>
                <w:highlight w:val="none"/>
                <w:u w:val="single"/>
                <w:lang w:val="en-US" w:eastAsia="zh-CN"/>
              </w:rPr>
              <w:t>****************</w:t>
            </w:r>
          </w:p>
          <w:p w14:paraId="32D02447">
            <w:pPr>
              <w:pStyle w:val="14"/>
              <w:spacing w:after="50" w:line="360" w:lineRule="auto"/>
              <w:rPr>
                <w:rFonts w:hint="default" w:ascii="仿宋_GB2312" w:hAnsi="宋体" w:eastAsia="仿宋_GB2312"/>
                <w:color w:val="auto"/>
                <w:szCs w:val="24"/>
                <w:highlight w:val="none"/>
                <w:lang w:val="en-US" w:eastAsia="zh-CN"/>
              </w:rPr>
            </w:pPr>
            <w:r>
              <w:rPr>
                <w:rFonts w:hint="eastAsia" w:ascii="仿宋_GB2312" w:hAnsi="宋体" w:eastAsia="仿宋_GB2312"/>
                <w:color w:val="auto"/>
                <w:szCs w:val="24"/>
                <w:highlight w:val="none"/>
              </w:rPr>
              <w:t>地址：</w:t>
            </w:r>
            <w:r>
              <w:rPr>
                <w:rFonts w:hint="eastAsia" w:ascii="仿宋_GB2312" w:hAnsi="宋体" w:eastAsia="仿宋_GB2312"/>
                <w:color w:val="auto"/>
                <w:kern w:val="0"/>
                <w:szCs w:val="24"/>
                <w:highlight w:val="none"/>
                <w:u w:val="single"/>
                <w:lang w:val="en-US" w:eastAsia="zh-CN"/>
              </w:rPr>
              <w:t>**********</w:t>
            </w:r>
          </w:p>
          <w:p w14:paraId="14EBFF46">
            <w:pPr>
              <w:pStyle w:val="14"/>
              <w:spacing w:after="50" w:line="360" w:lineRule="auto"/>
              <w:rPr>
                <w:rFonts w:hint="default" w:ascii="仿宋_GB2312" w:hAnsi="宋体" w:eastAsia="仿宋_GB2312"/>
                <w:color w:val="auto"/>
                <w:szCs w:val="24"/>
                <w:highlight w:val="none"/>
                <w:lang w:val="en-US"/>
              </w:rPr>
            </w:pPr>
            <w:r>
              <w:rPr>
                <w:rFonts w:hint="eastAsia" w:ascii="仿宋_GB2312" w:hAnsi="宋体" w:eastAsia="仿宋_GB2312"/>
                <w:color w:val="auto"/>
                <w:szCs w:val="24"/>
                <w:highlight w:val="none"/>
              </w:rPr>
              <w:t>邮政编码：</w:t>
            </w:r>
            <w:r>
              <w:rPr>
                <w:rFonts w:hint="eastAsia" w:ascii="仿宋_GB2312" w:hAnsi="宋体" w:eastAsia="仿宋_GB2312"/>
                <w:color w:val="auto"/>
                <w:szCs w:val="24"/>
                <w:highlight w:val="none"/>
                <w:u w:val="single"/>
                <w:lang w:val="en-US" w:eastAsia="zh-CN"/>
              </w:rPr>
              <w:t>*******</w:t>
            </w:r>
          </w:p>
          <w:p w14:paraId="1F22FFA3">
            <w:pPr>
              <w:pStyle w:val="14"/>
              <w:spacing w:after="50" w:line="360" w:lineRule="auto"/>
              <w:rPr>
                <w:rFonts w:hint="default" w:ascii="仿宋_GB2312" w:hAnsi="宋体" w:eastAsia="仿宋_GB2312"/>
                <w:color w:val="auto"/>
                <w:szCs w:val="24"/>
                <w:highlight w:val="none"/>
                <w:u w:val="single"/>
                <w:lang w:val="en-US" w:eastAsia="zh-CN"/>
              </w:rPr>
            </w:pPr>
            <w:r>
              <w:rPr>
                <w:rFonts w:hint="eastAsia" w:ascii="仿宋_GB2312" w:hAnsi="宋体" w:eastAsia="仿宋_GB2312"/>
                <w:color w:val="auto"/>
                <w:szCs w:val="24"/>
                <w:highlight w:val="none"/>
              </w:rPr>
              <w:t>法定代表人：</w:t>
            </w:r>
            <w:r>
              <w:rPr>
                <w:rFonts w:hint="eastAsia" w:ascii="仿宋_GB2312" w:hAnsi="宋体" w:eastAsia="仿宋_GB2312"/>
                <w:color w:val="auto"/>
                <w:szCs w:val="24"/>
                <w:highlight w:val="none"/>
                <w:u w:val="single"/>
                <w:lang w:val="en-US" w:eastAsia="zh-CN"/>
              </w:rPr>
              <w:t>*****</w:t>
            </w:r>
          </w:p>
          <w:p w14:paraId="4FD1E5C6">
            <w:pPr>
              <w:pStyle w:val="14"/>
              <w:spacing w:after="50" w:line="360" w:lineRule="auto"/>
              <w:rPr>
                <w:rFonts w:hint="eastAsia" w:ascii="仿宋_GB2312" w:hAnsi="宋体" w:eastAsia="仿宋_GB2312"/>
                <w:color w:val="auto"/>
                <w:szCs w:val="24"/>
                <w:highlight w:val="none"/>
              </w:rPr>
            </w:pPr>
            <w:r>
              <w:rPr>
                <w:rFonts w:hint="default" w:ascii="仿宋_GB2312" w:eastAsia="仿宋_GB2312"/>
                <w:color w:val="auto"/>
                <w:kern w:val="0"/>
                <w:szCs w:val="24"/>
                <w:highlight w:val="none"/>
              </w:rPr>
              <w:t>委托代理人：</w:t>
            </w:r>
            <w:r>
              <w:rPr>
                <w:rFonts w:hint="eastAsia" w:ascii="仿宋_GB2312" w:eastAsia="仿宋_GB2312"/>
                <w:color w:val="auto"/>
                <w:kern w:val="0"/>
                <w:szCs w:val="24"/>
                <w:highlight w:val="none"/>
                <w:u w:val="single"/>
              </w:rPr>
              <w:t>/</w:t>
            </w:r>
          </w:p>
          <w:p w14:paraId="5C8F2851">
            <w:pPr>
              <w:pStyle w:val="14"/>
              <w:spacing w:after="50" w:line="360" w:lineRule="auto"/>
              <w:rPr>
                <w:rFonts w:hint="default" w:ascii="仿宋_GB2312" w:hAnsi="宋体" w:eastAsia="仿宋_GB2312"/>
                <w:color w:val="auto"/>
                <w:szCs w:val="24"/>
                <w:highlight w:val="none"/>
                <w:lang w:val="en-US"/>
              </w:rPr>
            </w:pPr>
            <w:r>
              <w:rPr>
                <w:rFonts w:hint="eastAsia" w:ascii="仿宋_GB2312" w:hAnsi="宋体" w:eastAsia="仿宋_GB2312"/>
                <w:color w:val="auto"/>
                <w:szCs w:val="24"/>
                <w:highlight w:val="none"/>
              </w:rPr>
              <w:t>电话：</w:t>
            </w:r>
            <w:r>
              <w:rPr>
                <w:rFonts w:hint="eastAsia" w:ascii="仿宋_GB2312" w:hAnsi="宋体" w:eastAsia="仿宋_GB2312"/>
                <w:color w:val="auto"/>
                <w:szCs w:val="24"/>
                <w:highlight w:val="none"/>
                <w:u w:val="single"/>
                <w:lang w:val="en-US" w:eastAsia="zh-CN"/>
              </w:rPr>
              <w:t>**************</w:t>
            </w:r>
          </w:p>
          <w:p w14:paraId="56227625">
            <w:pPr>
              <w:pStyle w:val="14"/>
              <w:spacing w:after="50" w:line="360" w:lineRule="auto"/>
              <w:rPr>
                <w:rFonts w:hint="default" w:ascii="仿宋_GB2312" w:hAnsi="宋体" w:eastAsia="仿宋_GB2312"/>
                <w:color w:val="auto"/>
                <w:szCs w:val="24"/>
                <w:highlight w:val="none"/>
                <w:lang w:val="en-US"/>
              </w:rPr>
            </w:pPr>
            <w:r>
              <w:rPr>
                <w:rFonts w:hint="eastAsia" w:ascii="仿宋_GB2312" w:hAnsi="宋体" w:eastAsia="仿宋_GB2312"/>
                <w:color w:val="auto"/>
                <w:szCs w:val="24"/>
                <w:highlight w:val="none"/>
              </w:rPr>
              <w:t>开户银行：</w:t>
            </w:r>
            <w:r>
              <w:rPr>
                <w:rFonts w:hint="eastAsia" w:ascii="仿宋_GB2312" w:hAnsi="宋体" w:eastAsia="仿宋_GB2312" w:cs="Times New Roman"/>
                <w:color w:val="auto"/>
                <w:kern w:val="0"/>
                <w:sz w:val="24"/>
                <w:szCs w:val="24"/>
                <w:highlight w:val="none"/>
                <w:u w:val="single"/>
                <w:lang w:val="en-US" w:eastAsia="zh-CN"/>
              </w:rPr>
              <w:t>*************</w:t>
            </w:r>
          </w:p>
          <w:p w14:paraId="09F9E554">
            <w:pPr>
              <w:pStyle w:val="14"/>
              <w:spacing w:after="50" w:line="360" w:lineRule="auto"/>
              <w:rPr>
                <w:rFonts w:hint="eastAsia" w:ascii="仿宋_GB2312" w:hAnsi="宋体" w:eastAsia="仿宋_GB2312"/>
                <w:color w:val="auto"/>
                <w:szCs w:val="24"/>
                <w:highlight w:val="none"/>
              </w:rPr>
            </w:pPr>
            <w:r>
              <w:rPr>
                <w:rFonts w:hint="eastAsia" w:ascii="仿宋_GB2312" w:hAnsi="宋体" w:eastAsia="仿宋_GB2312"/>
                <w:color w:val="auto"/>
                <w:szCs w:val="24"/>
                <w:highlight w:val="none"/>
              </w:rPr>
              <w:t>账号：</w:t>
            </w:r>
            <w:r>
              <w:rPr>
                <w:rFonts w:hint="eastAsia" w:ascii="仿宋_GB2312" w:hAnsi="宋体" w:eastAsia="仿宋_GB2312" w:cs="Times New Roman"/>
                <w:color w:val="auto"/>
                <w:kern w:val="0"/>
                <w:sz w:val="24"/>
                <w:szCs w:val="24"/>
                <w:highlight w:val="none"/>
                <w:u w:val="single"/>
                <w:lang w:val="en-US" w:eastAsia="zh-CN"/>
              </w:rPr>
              <w:t>*************</w:t>
            </w:r>
            <w:r>
              <w:rPr>
                <w:rFonts w:hint="eastAsia" w:ascii="仿宋_GB2312" w:hAnsi="宋体" w:eastAsia="仿宋_GB2312"/>
                <w:color w:val="auto"/>
                <w:kern w:val="0"/>
                <w:szCs w:val="24"/>
                <w:highlight w:val="none"/>
                <w:u w:val="single"/>
              </w:rPr>
              <w:t xml:space="preserve"> </w:t>
            </w:r>
          </w:p>
        </w:tc>
      </w:tr>
    </w:tbl>
    <w:p w14:paraId="443652EE">
      <w:pPr>
        <w:spacing w:line="360" w:lineRule="auto"/>
        <w:ind w:firstLine="480" w:firstLineChars="200"/>
        <w:rPr>
          <w:rFonts w:hint="default" w:ascii="仿宋_GB2312" w:eastAsia="仿宋_GB2312"/>
          <w:color w:val="auto"/>
          <w:sz w:val="24"/>
          <w:highlight w:val="none"/>
        </w:rPr>
      </w:pPr>
    </w:p>
    <w:p w14:paraId="07851F36">
      <w:pPr>
        <w:rPr>
          <w:rFonts w:hint="default" w:ascii="仿宋_GB2312" w:eastAsia="仿宋_GB2312"/>
          <w:color w:val="auto"/>
          <w:sz w:val="24"/>
          <w:highlight w:val="none"/>
        </w:rPr>
      </w:pPr>
    </w:p>
    <w:p w14:paraId="04DA664A">
      <w:pPr>
        <w:rPr>
          <w:rFonts w:hint="default"/>
          <w:highlight w:val="none"/>
        </w:rPr>
      </w:pPr>
    </w:p>
    <w:p w14:paraId="5C453E55">
      <w:pPr>
        <w:spacing w:line="360" w:lineRule="auto"/>
        <w:ind w:firstLine="480" w:firstLineChars="200"/>
        <w:rPr>
          <w:rFonts w:hint="default" w:ascii="仿宋_GB2312" w:eastAsia="仿宋_GB2312"/>
          <w:color w:val="auto"/>
          <w:sz w:val="24"/>
          <w:highlight w:val="none"/>
        </w:rPr>
      </w:pPr>
    </w:p>
    <w:p w14:paraId="6E39D1D2">
      <w:pPr>
        <w:spacing w:line="360" w:lineRule="auto"/>
        <w:jc w:val="left"/>
        <w:rPr>
          <w:rFonts w:hint="eastAsia" w:ascii="仿宋_GB2312" w:hAnsi="仿宋_GB2312" w:eastAsia="仿宋_GB2312" w:cs="仿宋_GB2312"/>
          <w:b/>
          <w:color w:val="auto"/>
          <w:sz w:val="32"/>
          <w:szCs w:val="32"/>
          <w:highlight w:val="none"/>
        </w:rPr>
      </w:pPr>
    </w:p>
    <w:p w14:paraId="0B0CFA25">
      <w:pPr>
        <w:bidi w:val="0"/>
        <w:rPr>
          <w:rFonts w:hint="eastAsia" w:asciiTheme="minorHAnsi" w:hAnsiTheme="minorHAnsi" w:eastAsiaTheme="minorEastAsia" w:cstheme="minorBidi"/>
          <w:kern w:val="2"/>
          <w:sz w:val="21"/>
          <w:szCs w:val="24"/>
          <w:highlight w:val="none"/>
          <w:lang w:val="en-US" w:eastAsia="zh-CN" w:bidi="ar-SA"/>
        </w:rPr>
      </w:pPr>
    </w:p>
    <w:p w14:paraId="1B7FF850">
      <w:pPr>
        <w:bidi w:val="0"/>
        <w:rPr>
          <w:rFonts w:hint="eastAsia"/>
          <w:highlight w:val="none"/>
          <w:lang w:val="en-US" w:eastAsia="zh-CN"/>
        </w:rPr>
      </w:pPr>
    </w:p>
    <w:p w14:paraId="4D6FF7B3">
      <w:pPr>
        <w:bidi w:val="0"/>
        <w:rPr>
          <w:rFonts w:hint="eastAsia"/>
          <w:highlight w:val="none"/>
          <w:lang w:val="en-US" w:eastAsia="zh-CN"/>
        </w:rPr>
      </w:pPr>
    </w:p>
    <w:p w14:paraId="0A4EAB69">
      <w:pPr>
        <w:bidi w:val="0"/>
        <w:rPr>
          <w:rFonts w:hint="eastAsia"/>
          <w:highlight w:val="none"/>
          <w:lang w:val="en-US" w:eastAsia="zh-CN"/>
        </w:rPr>
      </w:pPr>
    </w:p>
    <w:p w14:paraId="64F69629">
      <w:pPr>
        <w:bidi w:val="0"/>
        <w:rPr>
          <w:rFonts w:hint="eastAsia"/>
          <w:highlight w:val="none"/>
          <w:lang w:val="en-US" w:eastAsia="zh-CN"/>
        </w:rPr>
      </w:pPr>
    </w:p>
    <w:p w14:paraId="5C0F1FAF">
      <w:pPr>
        <w:bidi w:val="0"/>
        <w:rPr>
          <w:rFonts w:hint="eastAsia"/>
          <w:highlight w:val="none"/>
          <w:lang w:val="en-US" w:eastAsia="zh-CN"/>
        </w:rPr>
      </w:pPr>
    </w:p>
    <w:p w14:paraId="18A24DD3">
      <w:pPr>
        <w:bidi w:val="0"/>
        <w:rPr>
          <w:rFonts w:hint="eastAsia"/>
          <w:highlight w:val="none"/>
          <w:lang w:val="en-US" w:eastAsia="zh-CN"/>
        </w:rPr>
      </w:pPr>
    </w:p>
    <w:p w14:paraId="06E0EBC3">
      <w:pPr>
        <w:bidi w:val="0"/>
        <w:rPr>
          <w:rFonts w:hint="eastAsia"/>
          <w:highlight w:val="none"/>
          <w:lang w:val="en-US" w:eastAsia="zh-CN"/>
        </w:rPr>
      </w:pPr>
    </w:p>
    <w:p w14:paraId="7888CB89">
      <w:pPr>
        <w:bidi w:val="0"/>
        <w:rPr>
          <w:rFonts w:hint="eastAsia"/>
          <w:highlight w:val="none"/>
          <w:lang w:val="en-US" w:eastAsia="zh-CN"/>
        </w:rPr>
      </w:pPr>
    </w:p>
    <w:p w14:paraId="569984DF">
      <w:pPr>
        <w:bidi w:val="0"/>
        <w:rPr>
          <w:rFonts w:hint="eastAsia"/>
          <w:highlight w:val="none"/>
          <w:lang w:val="en-US" w:eastAsia="zh-CN"/>
        </w:rPr>
      </w:pPr>
    </w:p>
    <w:p w14:paraId="67E68D81">
      <w:pPr>
        <w:bidi w:val="0"/>
        <w:rPr>
          <w:rFonts w:hint="eastAsia"/>
          <w:highlight w:val="none"/>
          <w:lang w:val="en-US" w:eastAsia="zh-CN"/>
        </w:rPr>
      </w:pPr>
    </w:p>
    <w:p w14:paraId="0203FC86">
      <w:pPr>
        <w:bidi w:val="0"/>
        <w:rPr>
          <w:rFonts w:hint="eastAsia"/>
          <w:highlight w:val="none"/>
          <w:lang w:val="en-US" w:eastAsia="zh-CN"/>
        </w:rPr>
      </w:pPr>
    </w:p>
    <w:p w14:paraId="233E718D">
      <w:pPr>
        <w:bidi w:val="0"/>
        <w:rPr>
          <w:rFonts w:hint="eastAsia"/>
          <w:highlight w:val="none"/>
          <w:lang w:val="en-US" w:eastAsia="zh-CN"/>
        </w:rPr>
      </w:pPr>
    </w:p>
    <w:p w14:paraId="0E4E04EB">
      <w:pPr>
        <w:bidi w:val="0"/>
        <w:rPr>
          <w:rFonts w:hint="eastAsia"/>
          <w:highlight w:val="none"/>
          <w:lang w:val="en-US" w:eastAsia="zh-CN"/>
        </w:rPr>
      </w:pPr>
    </w:p>
    <w:p w14:paraId="2421D82B">
      <w:pPr>
        <w:bidi w:val="0"/>
        <w:rPr>
          <w:rFonts w:hint="eastAsia"/>
          <w:highlight w:val="none"/>
          <w:lang w:val="en-US" w:eastAsia="zh-CN"/>
        </w:rPr>
      </w:pPr>
    </w:p>
    <w:p w14:paraId="15FBBBC7">
      <w:pPr>
        <w:bidi w:val="0"/>
        <w:rPr>
          <w:rFonts w:hint="eastAsia"/>
          <w:highlight w:val="none"/>
          <w:lang w:val="en-US" w:eastAsia="zh-CN"/>
        </w:rPr>
      </w:pPr>
    </w:p>
    <w:p w14:paraId="5AAE15D9">
      <w:pPr>
        <w:bidi w:val="0"/>
        <w:rPr>
          <w:rFonts w:hint="eastAsia"/>
          <w:highlight w:val="none"/>
          <w:lang w:val="en-US" w:eastAsia="zh-CN"/>
        </w:rPr>
      </w:pPr>
    </w:p>
    <w:p w14:paraId="1EB3CA6E">
      <w:pPr>
        <w:bidi w:val="0"/>
        <w:rPr>
          <w:rFonts w:hint="eastAsia"/>
          <w:highlight w:val="none"/>
          <w:lang w:val="en-US" w:eastAsia="zh-CN"/>
        </w:rPr>
      </w:pPr>
    </w:p>
    <w:p w14:paraId="783C6D73">
      <w:pPr>
        <w:bidi w:val="0"/>
        <w:rPr>
          <w:rFonts w:hint="eastAsia"/>
          <w:highlight w:val="none"/>
          <w:lang w:val="en-US" w:eastAsia="zh-CN"/>
        </w:rPr>
      </w:pPr>
    </w:p>
    <w:p w14:paraId="7886870C">
      <w:pPr>
        <w:bidi w:val="0"/>
        <w:rPr>
          <w:rFonts w:hint="eastAsia"/>
          <w:highlight w:val="none"/>
          <w:lang w:val="en-US" w:eastAsia="zh-CN"/>
        </w:rPr>
      </w:pPr>
    </w:p>
    <w:p w14:paraId="3AC36B96">
      <w:pPr>
        <w:bidi w:val="0"/>
        <w:rPr>
          <w:rFonts w:hint="eastAsia"/>
          <w:highlight w:val="none"/>
          <w:lang w:val="en-US" w:eastAsia="zh-CN"/>
        </w:rPr>
      </w:pPr>
    </w:p>
    <w:p w14:paraId="4BB2FB68">
      <w:pPr>
        <w:bidi w:val="0"/>
        <w:rPr>
          <w:rFonts w:hint="eastAsia"/>
          <w:highlight w:val="none"/>
          <w:lang w:val="en-US" w:eastAsia="zh-CN"/>
        </w:rPr>
      </w:pPr>
    </w:p>
    <w:p w14:paraId="5F5F05E3">
      <w:pPr>
        <w:bidi w:val="0"/>
        <w:rPr>
          <w:rFonts w:hint="eastAsia"/>
          <w:highlight w:val="none"/>
          <w:lang w:val="en-US" w:eastAsia="zh-CN"/>
        </w:rPr>
      </w:pPr>
    </w:p>
    <w:p w14:paraId="42FBE9C2">
      <w:pPr>
        <w:spacing w:line="360" w:lineRule="auto"/>
        <w:ind w:firstLine="480" w:firstLineChars="200"/>
        <w:rPr>
          <w:rFonts w:hint="eastAsia" w:ascii="仿宋_GB2312" w:eastAsia="仿宋_GB2312"/>
          <w:color w:val="auto"/>
          <w:sz w:val="24"/>
          <w:highlight w:val="none"/>
        </w:rPr>
      </w:pPr>
    </w:p>
    <w:p w14:paraId="305A405D">
      <w:pPr>
        <w:spacing w:line="360" w:lineRule="auto"/>
        <w:ind w:firstLine="480" w:firstLineChars="200"/>
        <w:rPr>
          <w:rFonts w:hint="eastAsia" w:ascii="仿宋_GB2312" w:eastAsia="仿宋_GB2312"/>
          <w:color w:val="auto"/>
          <w:sz w:val="24"/>
          <w:highlight w:val="none"/>
        </w:rPr>
      </w:pPr>
    </w:p>
    <w:p w14:paraId="3E92C582">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合同签订时间：</w:t>
      </w:r>
      <w:r>
        <w:rPr>
          <w:rFonts w:hint="eastAsia" w:ascii="仿宋_GB2312" w:eastAsia="仿宋_GB2312"/>
          <w:color w:val="auto"/>
          <w:sz w:val="24"/>
          <w:highlight w:val="none"/>
          <w:u w:val="single"/>
        </w:rPr>
        <w:t xml:space="preserve">      </w:t>
      </w:r>
      <w:r>
        <w:rPr>
          <w:rFonts w:hint="eastAsia" w:ascii="仿宋_GB2312" w:eastAsia="仿宋_GB2312"/>
          <w:color w:val="auto"/>
          <w:sz w:val="24"/>
          <w:highlight w:val="none"/>
        </w:rPr>
        <w:t>年</w:t>
      </w:r>
      <w:r>
        <w:rPr>
          <w:rFonts w:hint="eastAsia" w:ascii="仿宋_GB2312" w:eastAsia="仿宋_GB2312"/>
          <w:color w:val="auto"/>
          <w:sz w:val="24"/>
          <w:highlight w:val="none"/>
          <w:u w:val="single"/>
        </w:rPr>
        <w:t xml:space="preserve">    </w:t>
      </w:r>
      <w:r>
        <w:rPr>
          <w:rFonts w:hint="eastAsia" w:ascii="仿宋_GB2312" w:eastAsia="仿宋_GB2312"/>
          <w:color w:val="auto"/>
          <w:sz w:val="24"/>
          <w:highlight w:val="none"/>
        </w:rPr>
        <w:t>月</w:t>
      </w:r>
      <w:r>
        <w:rPr>
          <w:rFonts w:hint="eastAsia" w:ascii="仿宋_GB2312" w:eastAsia="仿宋_GB2312"/>
          <w:color w:val="auto"/>
          <w:sz w:val="24"/>
          <w:highlight w:val="none"/>
          <w:u w:val="single"/>
        </w:rPr>
        <w:t xml:space="preserve">    </w:t>
      </w:r>
      <w:r>
        <w:rPr>
          <w:rFonts w:hint="eastAsia" w:ascii="仿宋_GB2312" w:eastAsia="仿宋_GB2312"/>
          <w:color w:val="auto"/>
          <w:sz w:val="24"/>
          <w:highlight w:val="none"/>
        </w:rPr>
        <w:t>日</w:t>
      </w:r>
    </w:p>
    <w:p w14:paraId="49E5506C">
      <w:pPr>
        <w:tabs>
          <w:tab w:val="left" w:pos="578"/>
        </w:tabs>
        <w:bidi w:val="0"/>
        <w:ind w:firstLine="480" w:firstLineChars="200"/>
        <w:jc w:val="left"/>
        <w:rPr>
          <w:rFonts w:hint="eastAsia" w:ascii="仿宋_GB2312" w:eastAsia="仿宋_GB2312"/>
          <w:color w:val="auto"/>
          <w:sz w:val="24"/>
          <w:highlight w:val="none"/>
        </w:rPr>
      </w:pPr>
    </w:p>
    <w:p w14:paraId="22840CF8">
      <w:pPr>
        <w:tabs>
          <w:tab w:val="left" w:pos="578"/>
        </w:tabs>
        <w:bidi w:val="0"/>
        <w:ind w:firstLine="480" w:firstLineChars="200"/>
        <w:jc w:val="left"/>
        <w:rPr>
          <w:rFonts w:hint="eastAsia"/>
          <w:highlight w:val="none"/>
          <w:lang w:val="en-US" w:eastAsia="zh-CN"/>
        </w:rPr>
        <w:sectPr>
          <w:headerReference r:id="rId8" w:type="first"/>
          <w:footerReference r:id="rId10" w:type="first"/>
          <w:headerReference r:id="rId7" w:type="default"/>
          <w:footerReference r:id="rId9" w:type="default"/>
          <w:pgSz w:w="11906" w:h="16838"/>
          <w:pgMar w:top="1361" w:right="1134" w:bottom="1361" w:left="1134" w:header="851" w:footer="992" w:gutter="0"/>
          <w:pgBorders>
            <w:top w:val="none" w:sz="0" w:space="0"/>
            <w:left w:val="none" w:sz="0" w:space="0"/>
            <w:bottom w:val="none" w:sz="0" w:space="0"/>
            <w:right w:val="none" w:sz="0" w:space="0"/>
          </w:pgBorders>
          <w:pgNumType w:fmt="decimal" w:start="1"/>
          <w:cols w:space="720" w:num="1"/>
          <w:titlePg/>
          <w:docGrid w:type="lines" w:linePitch="312" w:charSpace="0"/>
        </w:sectPr>
      </w:pPr>
      <w:r>
        <w:rPr>
          <w:rFonts w:hint="eastAsia" w:ascii="仿宋_GB2312" w:eastAsia="仿宋_GB2312"/>
          <w:color w:val="auto"/>
          <w:sz w:val="24"/>
          <w:highlight w:val="none"/>
        </w:rPr>
        <w:t>合同签订地点：广东省东莞市</w:t>
      </w:r>
    </w:p>
    <w:p w14:paraId="438DF485">
      <w:pPr>
        <w:spacing w:line="360" w:lineRule="auto"/>
        <w:jc w:val="left"/>
        <w:rPr>
          <w:rFonts w:hint="eastAsia" w:ascii="仿宋_GB2312" w:hAnsi="仿宋_GB2312" w:eastAsia="仿宋_GB2312" w:cs="仿宋_GB2312"/>
          <w:b/>
          <w:color w:val="auto"/>
          <w:sz w:val="32"/>
          <w:szCs w:val="32"/>
          <w:highlight w:val="none"/>
          <w:lang w:eastAsia="zh-CN"/>
        </w:rPr>
      </w:pPr>
      <w:r>
        <w:rPr>
          <w:rFonts w:hint="eastAsia" w:ascii="仿宋_GB2312" w:hAnsi="仿宋_GB2312" w:eastAsia="仿宋_GB2312" w:cs="仿宋_GB2312"/>
          <w:b/>
          <w:color w:val="auto"/>
          <w:sz w:val="32"/>
          <w:szCs w:val="32"/>
          <w:highlight w:val="none"/>
        </w:rPr>
        <w:t>附件</w:t>
      </w:r>
      <w:r>
        <w:rPr>
          <w:rFonts w:hint="eastAsia" w:ascii="仿宋_GB2312" w:hAnsi="仿宋_GB2312" w:eastAsia="仿宋_GB2312" w:cs="仿宋_GB2312"/>
          <w:b/>
          <w:color w:val="auto"/>
          <w:sz w:val="32"/>
          <w:szCs w:val="32"/>
          <w:highlight w:val="none"/>
          <w:lang w:val="en-US" w:eastAsia="zh-CN"/>
        </w:rPr>
        <w:t>1</w:t>
      </w:r>
    </w:p>
    <w:p w14:paraId="6FF40C4B">
      <w:pPr>
        <w:spacing w:line="360" w:lineRule="auto"/>
        <w:jc w:val="center"/>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安全协议书</w:t>
      </w:r>
    </w:p>
    <w:p w14:paraId="4707DC1C">
      <w:pPr>
        <w:spacing w:line="360" w:lineRule="auto"/>
        <w:rPr>
          <w:rFonts w:hint="default" w:ascii="仿宋_GB2312" w:eastAsia="仿宋_GB2312"/>
          <w:color w:val="auto"/>
          <w:sz w:val="24"/>
          <w:highlight w:val="none"/>
        </w:rPr>
      </w:pPr>
    </w:p>
    <w:p w14:paraId="1B7B859C">
      <w:pPr>
        <w:spacing w:line="360" w:lineRule="auto"/>
        <w:rPr>
          <w:rFonts w:hint="eastAsia" w:ascii="仿宋_GB2312" w:eastAsia="仿宋_GB2312"/>
          <w:color w:val="auto"/>
          <w:sz w:val="24"/>
          <w:highlight w:val="none"/>
          <w:lang w:eastAsia="zh-CN"/>
        </w:rPr>
      </w:pPr>
      <w:r>
        <w:rPr>
          <w:rFonts w:hint="eastAsia" w:ascii="仿宋_GB2312" w:eastAsia="仿宋_GB2312"/>
          <w:b/>
          <w:color w:val="auto"/>
          <w:sz w:val="24"/>
          <w:highlight w:val="none"/>
        </w:rPr>
        <w:t>项目名称：</w:t>
      </w:r>
      <w:r>
        <w:rPr>
          <w:rFonts w:hint="eastAsia" w:ascii="仿宋_GB2312" w:eastAsia="仿宋_GB2312"/>
          <w:color w:val="auto"/>
          <w:sz w:val="24"/>
          <w:highlight w:val="none"/>
          <w:lang w:eastAsia="zh-CN"/>
        </w:rPr>
        <w:t>东莞市新锋新能源有限公司XXX厂区充电桩及配套设施采购项目</w:t>
      </w:r>
    </w:p>
    <w:p w14:paraId="44E6EBAE">
      <w:pPr>
        <w:spacing w:line="360" w:lineRule="auto"/>
        <w:rPr>
          <w:rFonts w:hint="eastAsia" w:ascii="仿宋_GB2312" w:eastAsia="仿宋_GB2312"/>
          <w:color w:val="auto"/>
          <w:sz w:val="24"/>
          <w:highlight w:val="none"/>
          <w:lang w:eastAsia="zh-CN"/>
        </w:rPr>
      </w:pPr>
      <w:r>
        <w:rPr>
          <w:rFonts w:hint="eastAsia" w:ascii="仿宋_GB2312" w:eastAsia="仿宋_GB2312"/>
          <w:b/>
          <w:color w:val="auto"/>
          <w:sz w:val="24"/>
          <w:highlight w:val="none"/>
        </w:rPr>
        <w:t>发包人：</w:t>
      </w:r>
      <w:r>
        <w:rPr>
          <w:rFonts w:hint="eastAsia" w:ascii="仿宋_GB2312" w:eastAsia="仿宋_GB2312"/>
          <w:color w:val="auto"/>
          <w:sz w:val="24"/>
          <w:highlight w:val="none"/>
          <w:lang w:eastAsia="zh-CN"/>
        </w:rPr>
        <w:t>东莞市新锋新能源有限公司</w:t>
      </w:r>
    </w:p>
    <w:p w14:paraId="34DF29ED">
      <w:pPr>
        <w:spacing w:line="360" w:lineRule="auto"/>
        <w:rPr>
          <w:rFonts w:hint="eastAsia" w:ascii="仿宋_GB2312" w:eastAsia="仿宋_GB2312"/>
          <w:color w:val="auto"/>
          <w:sz w:val="24"/>
          <w:highlight w:val="none"/>
          <w:u w:val="none"/>
          <w:lang w:eastAsia="zh-CN"/>
        </w:rPr>
      </w:pPr>
      <w:r>
        <w:rPr>
          <w:rFonts w:hint="eastAsia" w:ascii="仿宋_GB2312" w:eastAsia="仿宋_GB2312"/>
          <w:b/>
          <w:color w:val="auto"/>
          <w:sz w:val="24"/>
          <w:highlight w:val="none"/>
        </w:rPr>
        <w:t>承包人</w:t>
      </w:r>
      <w:r>
        <w:rPr>
          <w:rFonts w:hint="eastAsia" w:ascii="仿宋_GB2312" w:eastAsia="仿宋_GB2312"/>
          <w:b/>
          <w:color w:val="auto"/>
          <w:sz w:val="24"/>
          <w:highlight w:val="none"/>
          <w:lang w:eastAsia="zh-CN"/>
        </w:rPr>
        <w:t>：</w:t>
      </w:r>
      <w:r>
        <w:rPr>
          <w:rFonts w:hint="eastAsia" w:ascii="仿宋_GB2312" w:eastAsia="仿宋_GB2312"/>
          <w:color w:val="auto"/>
          <w:sz w:val="24"/>
          <w:highlight w:val="none"/>
          <w:u w:val="none"/>
          <w:lang w:eastAsia="zh-CN"/>
        </w:rPr>
        <w:t>XXX有限公司</w:t>
      </w:r>
    </w:p>
    <w:p w14:paraId="780403E4">
      <w:pPr>
        <w:spacing w:line="360" w:lineRule="auto"/>
        <w:rPr>
          <w:rFonts w:hint="default" w:ascii="仿宋_GB2312" w:eastAsia="仿宋_GB2312"/>
          <w:color w:val="auto"/>
          <w:sz w:val="24"/>
          <w:highlight w:val="none"/>
        </w:rPr>
      </w:pPr>
    </w:p>
    <w:p w14:paraId="6CE94923">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一、安全施工考核</w:t>
      </w:r>
    </w:p>
    <w:p w14:paraId="7359A5FE">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按照施工总承包合同的“安全施工”、“安全事故与检查”的有关内容执行。</w:t>
      </w:r>
    </w:p>
    <w:p w14:paraId="3495C24C">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二、发包人安全责任</w:t>
      </w:r>
    </w:p>
    <w:p w14:paraId="4CBAAA19">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1.对承包人单位进行安全资质审查。</w:t>
      </w:r>
    </w:p>
    <w:p w14:paraId="37706D79">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2.核实承包人进入施工场地的人员经过安全培训教育，具备安全上岗资格。施工场地属配电房、办公楼等治安消防管理重点部位的，配合承包人向建设单位申办出入登记。</w:t>
      </w:r>
    </w:p>
    <w:p w14:paraId="010E1E11">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3.监督承包人编制、报批施工方案（含安全组织措施、技术措施）。</w:t>
      </w:r>
    </w:p>
    <w:p w14:paraId="227A3DAD">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4.向承包人派出安全管理人员并按规定进行安全技术交底。</w:t>
      </w:r>
    </w:p>
    <w:p w14:paraId="67A66A2A">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5.按规定协助承包人办理工作票签发、许可手续，布置安全措施。</w:t>
      </w:r>
    </w:p>
    <w:p w14:paraId="7D995325">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6.按照国家《</w:t>
      </w:r>
      <w:r>
        <w:rPr>
          <w:rFonts w:hint="eastAsia" w:ascii="仿宋_GB2312" w:eastAsia="仿宋_GB2312"/>
          <w:color w:val="auto"/>
          <w:sz w:val="24"/>
          <w:highlight w:val="none"/>
          <w:lang w:eastAsia="zh-CN"/>
        </w:rPr>
        <w:t>中华人民共和国安全生产法</w:t>
      </w:r>
      <w:r>
        <w:rPr>
          <w:rFonts w:hint="eastAsia" w:ascii="仿宋_GB2312" w:eastAsia="仿宋_GB2312"/>
          <w:color w:val="auto"/>
          <w:sz w:val="24"/>
          <w:highlight w:val="none"/>
        </w:rPr>
        <w:t>》规定，督促在同一区域长时间交叉作业的多个承包商开工前协商签订安全协议。</w:t>
      </w:r>
    </w:p>
    <w:p w14:paraId="5C0D0486">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7.向承包人传达有关安全施工、治安、消防工作管理制度、专项活动部署与事故通报等重要信息。</w:t>
      </w:r>
    </w:p>
    <w:p w14:paraId="668C4893">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三、承包人安全责任</w:t>
      </w:r>
    </w:p>
    <w:p w14:paraId="0C55D754">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1.依法建立健全施工安全管理制度，严格执行南方电网公司《电网建设安全健康与环境管理办法实施细则》。</w:t>
      </w:r>
    </w:p>
    <w:p w14:paraId="30D3A57D">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2.对所派出的施工人员持证上岗和上岗前安全教育全面负责。</w:t>
      </w:r>
    </w:p>
    <w:p w14:paraId="4696737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3.开工前负责配合对施工人员进行安全技术交底,人</w:t>
      </w:r>
      <w:r>
        <w:rPr>
          <w:rFonts w:hint="eastAsia" w:ascii="仿宋_GB2312" w:eastAsia="仿宋_GB2312"/>
          <w:color w:val="auto"/>
          <w:sz w:val="24"/>
          <w:highlight w:val="none"/>
          <w:lang w:val="en-US" w:eastAsia="zh-CN"/>
        </w:rPr>
        <w:t>员</w:t>
      </w:r>
      <w:r>
        <w:rPr>
          <w:rFonts w:hint="eastAsia" w:ascii="仿宋_GB2312" w:eastAsia="仿宋_GB2312"/>
          <w:color w:val="auto"/>
          <w:sz w:val="24"/>
          <w:highlight w:val="none"/>
        </w:rPr>
        <w:t>签名记录。</w:t>
      </w:r>
    </w:p>
    <w:p w14:paraId="6CD5AF46">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4.严格按照安全规程、制度要求组织实施现场施工作业，办理各类电气、动火工作票，并负责全面执行各项安全措施。</w:t>
      </w:r>
    </w:p>
    <w:p w14:paraId="00B389DA">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5.制订治安、消防工作管理措施并全面落实执行。</w:t>
      </w:r>
    </w:p>
    <w:p w14:paraId="04080C10">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6.工地、工棚、临时宿舍等应按规定敷设、使用施工电源，配备足够的消防器材，必要时办理消防报审手续。</w:t>
      </w:r>
    </w:p>
    <w:p w14:paraId="06C98029">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7.易燃易爆物品应按规定在室内分类妥善保管，设置明显防火标志。</w:t>
      </w:r>
    </w:p>
    <w:p w14:paraId="5993DBF3">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8.负责施工范围内电力设施防盗工作，夜班值守人员要保证3人以上，并按规定做好废旧线材回收工作。</w:t>
      </w:r>
    </w:p>
    <w:p w14:paraId="1ED81C4D">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9.完全接受发包人或监理公司的安全管理和事故、违章处罚。</w:t>
      </w:r>
    </w:p>
    <w:p w14:paraId="0FF668CD">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四、违约责任及处罚</w:t>
      </w:r>
    </w:p>
    <w:p w14:paraId="0E6DBEA4">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按照总承包合同的“双方的权利和义务”、“违约责任”的有关内容执行。</w:t>
      </w:r>
    </w:p>
    <w:p w14:paraId="73CBC777">
      <w:pP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五、附则</w:t>
      </w:r>
    </w:p>
    <w:p w14:paraId="7C250AF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1.本合同未尽事宜，按国家有关法律法规执行。</w:t>
      </w:r>
    </w:p>
    <w:p w14:paraId="16D909E0">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2.本协议书与工程总承包合同为一整体合同文件。</w:t>
      </w:r>
    </w:p>
    <w:p w14:paraId="1C72429A">
      <w:pPr>
        <w:spacing w:line="360" w:lineRule="auto"/>
        <w:ind w:firstLine="480" w:firstLineChars="200"/>
        <w:rPr>
          <w:rFonts w:hint="default" w:ascii="仿宋_GB2312" w:eastAsia="仿宋_GB2312"/>
          <w:color w:val="auto"/>
          <w:sz w:val="24"/>
          <w:highlight w:val="none"/>
        </w:rPr>
      </w:pPr>
    </w:p>
    <w:p w14:paraId="4B7A3131">
      <w:pPr>
        <w:spacing w:line="360" w:lineRule="auto"/>
        <w:rPr>
          <w:rFonts w:hint="default" w:ascii="仿宋_GB2312" w:eastAsia="仿宋_GB2312"/>
          <w:color w:val="auto"/>
          <w:sz w:val="24"/>
          <w:highlight w:val="none"/>
        </w:rPr>
      </w:pPr>
    </w:p>
    <w:p w14:paraId="4DF526D7">
      <w:pPr>
        <w:spacing w:line="480" w:lineRule="auto"/>
        <w:ind w:firstLine="480" w:firstLineChars="200"/>
        <w:rPr>
          <w:rFonts w:hint="eastAsia" w:ascii="仿宋_GB2312" w:eastAsia="仿宋_GB2312"/>
          <w:color w:val="auto"/>
          <w:sz w:val="24"/>
          <w:highlight w:val="none"/>
          <w:u w:val="none"/>
          <w:lang w:eastAsia="zh-CN"/>
        </w:rPr>
      </w:pPr>
      <w:r>
        <w:rPr>
          <w:rFonts w:hint="eastAsia" w:ascii="仿宋_GB2312" w:eastAsia="仿宋_GB2312"/>
          <w:color w:val="auto"/>
          <w:sz w:val="24"/>
          <w:highlight w:val="none"/>
        </w:rPr>
        <w:t>发包人：（盖章）</w:t>
      </w:r>
      <w:r>
        <w:rPr>
          <w:rFonts w:hint="eastAsia" w:ascii="仿宋_GB2312" w:eastAsia="仿宋_GB2312"/>
          <w:color w:val="auto"/>
          <w:sz w:val="24"/>
          <w:highlight w:val="none"/>
          <w:u w:val="none"/>
          <w:lang w:eastAsia="zh-CN"/>
        </w:rPr>
        <w:t>东莞市新锋新能源有限公司</w:t>
      </w:r>
    </w:p>
    <w:p w14:paraId="3E598684">
      <w:pPr>
        <w:spacing w:line="48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 xml:space="preserve">法定代表人（或授权代表）签字：             </w:t>
      </w:r>
    </w:p>
    <w:p w14:paraId="0FA7455A">
      <w:pPr>
        <w:spacing w:line="48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日   期：    年   月   日</w:t>
      </w:r>
    </w:p>
    <w:p w14:paraId="3F16A501">
      <w:pPr>
        <w:spacing w:line="480" w:lineRule="auto"/>
        <w:ind w:firstLine="480" w:firstLineChars="200"/>
        <w:rPr>
          <w:rFonts w:hint="default" w:ascii="仿宋_GB2312" w:eastAsia="仿宋_GB2312"/>
          <w:color w:val="auto"/>
          <w:sz w:val="24"/>
          <w:highlight w:val="none"/>
        </w:rPr>
      </w:pPr>
    </w:p>
    <w:p w14:paraId="662069B6">
      <w:pPr>
        <w:spacing w:line="480" w:lineRule="auto"/>
        <w:ind w:firstLine="480" w:firstLineChars="200"/>
        <w:rPr>
          <w:rFonts w:hint="default" w:ascii="仿宋_GB2312" w:eastAsia="仿宋_GB2312"/>
          <w:color w:val="auto"/>
          <w:sz w:val="24"/>
          <w:highlight w:val="none"/>
          <w:u w:val="none"/>
        </w:rPr>
      </w:pPr>
      <w:r>
        <w:rPr>
          <w:rFonts w:hint="eastAsia" w:ascii="仿宋_GB2312" w:eastAsia="仿宋_GB2312"/>
          <w:color w:val="auto"/>
          <w:sz w:val="24"/>
          <w:highlight w:val="none"/>
        </w:rPr>
        <w:t>承包人：（盖章）</w:t>
      </w:r>
      <w:r>
        <w:rPr>
          <w:rFonts w:hint="eastAsia" w:ascii="仿宋_GB2312" w:eastAsia="仿宋_GB2312"/>
          <w:color w:val="auto"/>
          <w:sz w:val="24"/>
          <w:highlight w:val="none"/>
          <w:u w:val="none"/>
          <w:lang w:eastAsia="zh-CN"/>
        </w:rPr>
        <w:t>XXX有限公司</w:t>
      </w:r>
      <w:r>
        <w:rPr>
          <w:rFonts w:hint="eastAsia" w:ascii="仿宋_GB2312" w:eastAsia="仿宋_GB2312"/>
          <w:color w:val="auto"/>
          <w:sz w:val="24"/>
          <w:highlight w:val="none"/>
          <w:u w:val="none"/>
        </w:rPr>
        <w:t xml:space="preserve">       </w:t>
      </w:r>
    </w:p>
    <w:p w14:paraId="5E742057">
      <w:pPr>
        <w:spacing w:line="480" w:lineRule="auto"/>
        <w:ind w:firstLine="480" w:firstLineChars="200"/>
        <w:rPr>
          <w:rFonts w:hint="default" w:ascii="仿宋_GB2312" w:eastAsia="仿宋_GB2312"/>
          <w:color w:val="auto"/>
          <w:sz w:val="24"/>
          <w:highlight w:val="none"/>
          <w:u w:val="none"/>
        </w:rPr>
      </w:pPr>
      <w:r>
        <w:rPr>
          <w:rFonts w:hint="eastAsia" w:ascii="仿宋_GB2312" w:eastAsia="仿宋_GB2312"/>
          <w:color w:val="auto"/>
          <w:sz w:val="24"/>
          <w:highlight w:val="none"/>
          <w:u w:val="none"/>
        </w:rPr>
        <w:t xml:space="preserve">法定代表人（或授权代表）签字：              </w:t>
      </w:r>
    </w:p>
    <w:p w14:paraId="470E0F05">
      <w:pPr>
        <w:spacing w:line="480" w:lineRule="auto"/>
        <w:ind w:firstLine="480" w:firstLineChars="200"/>
        <w:rPr>
          <w:rFonts w:hint="default" w:ascii="仿宋_GB2312" w:eastAsia="仿宋_GB2312"/>
          <w:color w:val="auto"/>
          <w:sz w:val="24"/>
          <w:highlight w:val="none"/>
          <w:u w:val="none"/>
        </w:rPr>
      </w:pPr>
      <w:r>
        <w:rPr>
          <w:rFonts w:hint="eastAsia" w:ascii="仿宋_GB2312" w:eastAsia="仿宋_GB2312"/>
          <w:color w:val="auto"/>
          <w:sz w:val="24"/>
          <w:highlight w:val="none"/>
          <w:u w:val="none"/>
        </w:rPr>
        <w:t>日    期：    年   月   日</w:t>
      </w:r>
    </w:p>
    <w:p w14:paraId="058837D4">
      <w:pPr>
        <w:spacing w:line="480" w:lineRule="auto"/>
        <w:ind w:firstLine="480" w:firstLineChars="200"/>
        <w:rPr>
          <w:rFonts w:hint="default" w:ascii="仿宋_GB2312" w:eastAsia="仿宋_GB2312"/>
          <w:color w:val="auto"/>
          <w:sz w:val="24"/>
          <w:highlight w:val="none"/>
          <w:u w:val="none"/>
        </w:rPr>
      </w:pPr>
    </w:p>
    <w:p w14:paraId="33F869F2">
      <w:pPr>
        <w:spacing w:line="480" w:lineRule="auto"/>
        <w:ind w:firstLine="480" w:firstLineChars="200"/>
        <w:rPr>
          <w:rFonts w:hint="default" w:ascii="仿宋_GB2312" w:eastAsia="仿宋_GB2312"/>
          <w:color w:val="auto"/>
          <w:sz w:val="24"/>
          <w:highlight w:val="none"/>
          <w:u w:val="none"/>
        </w:rPr>
      </w:pPr>
    </w:p>
    <w:p w14:paraId="365A1B9D">
      <w:pPr>
        <w:pStyle w:val="2"/>
        <w:spacing w:before="156"/>
        <w:ind w:firstLine="0" w:firstLineChars="0"/>
        <w:rPr>
          <w:rFonts w:hint="eastAsia" w:ascii="仿宋_GB2312" w:hAnsi="仿宋_GB2312" w:eastAsia="仿宋_GB2312" w:cs="仿宋_GB2312"/>
          <w:b/>
          <w:color w:val="auto"/>
          <w:sz w:val="32"/>
          <w:szCs w:val="32"/>
          <w:highlight w:val="none"/>
        </w:rPr>
        <w:sectPr>
          <w:footerReference r:id="rId12" w:type="first"/>
          <w:footerReference r:id="rId11" w:type="default"/>
          <w:pgSz w:w="11906" w:h="16838"/>
          <w:pgMar w:top="1361" w:right="1134" w:bottom="1361" w:left="1134"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732BAC80">
      <w:pPr>
        <w:pStyle w:val="2"/>
        <w:spacing w:before="156"/>
        <w:ind w:firstLine="0" w:firstLineChars="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附件</w:t>
      </w:r>
      <w:r>
        <w:rPr>
          <w:rFonts w:hint="eastAsia" w:ascii="仿宋_GB2312" w:hAnsi="仿宋_GB2312" w:eastAsia="仿宋_GB2312" w:cs="仿宋_GB2312"/>
          <w:b/>
          <w:color w:val="auto"/>
          <w:sz w:val="32"/>
          <w:szCs w:val="32"/>
          <w:highlight w:val="none"/>
          <w:lang w:val="en-US" w:eastAsia="zh-CN"/>
        </w:rPr>
        <w:t>2</w:t>
      </w:r>
      <w:r>
        <w:rPr>
          <w:rFonts w:hint="eastAsia" w:ascii="仿宋_GB2312" w:hAnsi="仿宋_GB2312" w:eastAsia="仿宋_GB2312" w:cs="仿宋_GB2312"/>
          <w:b/>
          <w:color w:val="auto"/>
          <w:sz w:val="32"/>
          <w:szCs w:val="32"/>
          <w:highlight w:val="none"/>
        </w:rPr>
        <w:t xml:space="preserve"> </w:t>
      </w:r>
    </w:p>
    <w:p w14:paraId="2F1A30E2">
      <w:pPr>
        <w:pStyle w:val="2"/>
        <w:spacing w:before="156"/>
        <w:ind w:firstLine="0" w:firstLineChars="0"/>
        <w:jc w:val="center"/>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廉洁协议</w:t>
      </w:r>
    </w:p>
    <w:p w14:paraId="3380986C">
      <w:pPr>
        <w:spacing w:line="360" w:lineRule="auto"/>
        <w:rPr>
          <w:rFonts w:hint="eastAsia" w:ascii="仿宋_GB2312" w:eastAsia="仿宋_GB2312"/>
          <w:color w:val="auto"/>
          <w:sz w:val="24"/>
          <w:highlight w:val="none"/>
          <w:lang w:eastAsia="zh-CN"/>
        </w:rPr>
      </w:pPr>
      <w:r>
        <w:rPr>
          <w:rFonts w:hint="default" w:ascii="仿宋_GB2312" w:eastAsia="仿宋_GB2312"/>
          <w:b/>
          <w:color w:val="auto"/>
          <w:sz w:val="24"/>
          <w:highlight w:val="none"/>
        </w:rPr>
        <w:t>项目名称：</w:t>
      </w:r>
      <w:r>
        <w:rPr>
          <w:rFonts w:hint="eastAsia" w:ascii="仿宋_GB2312" w:eastAsia="仿宋_GB2312"/>
          <w:color w:val="auto"/>
          <w:sz w:val="24"/>
          <w:highlight w:val="none"/>
          <w:lang w:eastAsia="zh-CN"/>
        </w:rPr>
        <w:t>东莞市新锋新能源有限公司XXX厂区充电桩及配套设施采购项目</w:t>
      </w:r>
    </w:p>
    <w:p w14:paraId="53AC71A2">
      <w:pPr>
        <w:spacing w:line="360" w:lineRule="auto"/>
        <w:rPr>
          <w:rFonts w:hint="eastAsia" w:ascii="仿宋_GB2312" w:eastAsia="仿宋_GB2312"/>
          <w:color w:val="auto"/>
          <w:sz w:val="24"/>
          <w:highlight w:val="none"/>
          <w:lang w:eastAsia="zh-CN"/>
        </w:rPr>
      </w:pPr>
      <w:r>
        <w:rPr>
          <w:rFonts w:hint="default" w:ascii="仿宋_GB2312" w:eastAsia="仿宋_GB2312"/>
          <w:b/>
          <w:color w:val="auto"/>
          <w:sz w:val="24"/>
          <w:highlight w:val="none"/>
        </w:rPr>
        <w:t>发包人：</w:t>
      </w:r>
      <w:r>
        <w:rPr>
          <w:rFonts w:hint="eastAsia" w:ascii="仿宋_GB2312" w:eastAsia="仿宋_GB2312"/>
          <w:color w:val="auto"/>
          <w:sz w:val="24"/>
          <w:highlight w:val="none"/>
          <w:lang w:eastAsia="zh-CN"/>
        </w:rPr>
        <w:t>东莞市新锋新能源有限公司</w:t>
      </w:r>
    </w:p>
    <w:p w14:paraId="54A849FD">
      <w:pPr>
        <w:spacing w:line="360" w:lineRule="auto"/>
        <w:rPr>
          <w:rFonts w:hint="eastAsia" w:ascii="仿宋_GB2312" w:eastAsia="仿宋_GB2312"/>
          <w:color w:val="auto"/>
          <w:sz w:val="24"/>
          <w:highlight w:val="none"/>
          <w:u w:val="none"/>
          <w:lang w:eastAsia="zh-CN"/>
        </w:rPr>
      </w:pPr>
      <w:r>
        <w:rPr>
          <w:rFonts w:hint="eastAsia" w:ascii="仿宋_GB2312" w:eastAsia="仿宋_GB2312"/>
          <w:b/>
          <w:color w:val="auto"/>
          <w:sz w:val="24"/>
          <w:highlight w:val="none"/>
        </w:rPr>
        <w:t>承包人</w:t>
      </w:r>
      <w:r>
        <w:rPr>
          <w:rFonts w:hint="eastAsia" w:ascii="仿宋_GB2312" w:eastAsia="仿宋_GB2312"/>
          <w:b/>
          <w:color w:val="auto"/>
          <w:sz w:val="24"/>
          <w:highlight w:val="none"/>
          <w:lang w:eastAsia="zh-CN"/>
        </w:rPr>
        <w:t>：</w:t>
      </w:r>
      <w:r>
        <w:rPr>
          <w:rFonts w:hint="eastAsia" w:ascii="仿宋_GB2312" w:eastAsia="仿宋_GB2312"/>
          <w:color w:val="auto"/>
          <w:sz w:val="24"/>
          <w:highlight w:val="none"/>
          <w:u w:val="none"/>
          <w:lang w:eastAsia="zh-CN"/>
        </w:rPr>
        <w:t>XXX有限公司</w:t>
      </w:r>
    </w:p>
    <w:p w14:paraId="22D1F973">
      <w:pPr>
        <w:spacing w:line="360" w:lineRule="auto"/>
        <w:ind w:firstLine="480" w:firstLineChars="200"/>
        <w:rPr>
          <w:rFonts w:hint="default" w:ascii="仿宋_GB2312" w:eastAsia="仿宋_GB2312"/>
          <w:color w:val="auto"/>
          <w:sz w:val="24"/>
          <w:highlight w:val="none"/>
        </w:rPr>
      </w:pPr>
    </w:p>
    <w:p w14:paraId="77E69259">
      <w:pPr>
        <w:spacing w:line="360" w:lineRule="auto"/>
        <w:ind w:firstLine="480" w:firstLineChars="200"/>
        <w:rPr>
          <w:rFonts w:hint="default" w:ascii="仿宋_GB2312" w:eastAsia="仿宋_GB2312"/>
          <w:color w:val="auto"/>
          <w:sz w:val="24"/>
          <w:highlight w:val="none"/>
        </w:rPr>
      </w:pPr>
      <w:r>
        <w:rPr>
          <w:rFonts w:hint="default" w:ascii="仿宋_GB2312" w:eastAsia="仿宋_GB2312"/>
          <w:color w:val="auto"/>
          <w:sz w:val="24"/>
          <w:highlight w:val="none"/>
        </w:rPr>
        <w:t>为规范</w:t>
      </w:r>
      <w:r>
        <w:rPr>
          <w:rFonts w:hint="eastAsia" w:ascii="仿宋_GB2312" w:hAnsi="Times New Roman" w:eastAsia="仿宋_GB2312" w:cs="Times New Roman"/>
          <w:color w:val="auto"/>
          <w:sz w:val="24"/>
          <w:highlight w:val="none"/>
          <w:lang w:val="en-US" w:eastAsia="zh-CN"/>
        </w:rPr>
        <w:t>发、承包人</w:t>
      </w:r>
      <w:r>
        <w:rPr>
          <w:rFonts w:hint="default" w:ascii="仿宋_GB2312" w:eastAsia="仿宋_GB2312"/>
          <w:color w:val="auto"/>
          <w:sz w:val="24"/>
          <w:highlight w:val="none"/>
        </w:rPr>
        <w:t>双方的行为，防止违法违纪事件的发生，经双方协商同意，签订廉洁协议，供双方恪守，具体条款如下：</w:t>
      </w:r>
    </w:p>
    <w:p w14:paraId="23731AD9">
      <w:pPr>
        <w:spacing w:line="360" w:lineRule="auto"/>
        <w:rPr>
          <w:rFonts w:hint="default" w:ascii="仿宋_GB2312" w:eastAsia="仿宋_GB2312"/>
          <w:b/>
          <w:color w:val="auto"/>
          <w:sz w:val="24"/>
          <w:highlight w:val="none"/>
        </w:rPr>
      </w:pPr>
      <w:r>
        <w:rPr>
          <w:rFonts w:hint="default" w:ascii="仿宋_GB2312" w:eastAsia="仿宋_GB2312"/>
          <w:b/>
          <w:color w:val="auto"/>
          <w:sz w:val="24"/>
          <w:highlight w:val="none"/>
        </w:rPr>
        <w:t>一、发包人的权利和义务</w:t>
      </w:r>
    </w:p>
    <w:p w14:paraId="0E889E52">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1.</w:t>
      </w:r>
      <w:r>
        <w:rPr>
          <w:rFonts w:hint="default" w:ascii="仿宋_GB2312" w:eastAsia="仿宋_GB2312"/>
          <w:color w:val="auto"/>
          <w:sz w:val="24"/>
          <w:highlight w:val="none"/>
        </w:rPr>
        <w:t>发包人的工作人员有责任向承包人介绍本单位有关廉洁从业的制度、规定。发包人的纪检监察人员有权对双方在合同执行过程中的廉洁情况进行监督。</w:t>
      </w:r>
    </w:p>
    <w:p w14:paraId="6E029874">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2.</w:t>
      </w:r>
      <w:r>
        <w:rPr>
          <w:rFonts w:hint="default" w:ascii="仿宋_GB2312" w:eastAsia="仿宋_GB2312"/>
          <w:color w:val="auto"/>
          <w:sz w:val="24"/>
          <w:highlight w:val="none"/>
        </w:rPr>
        <w:t>发包人的工作人员不得向承包人泄露经济活动中的商业秘密。</w:t>
      </w:r>
    </w:p>
    <w:p w14:paraId="57893A9C">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3.</w:t>
      </w:r>
      <w:r>
        <w:rPr>
          <w:rFonts w:hint="default" w:ascii="仿宋_GB2312" w:eastAsia="仿宋_GB2312"/>
          <w:color w:val="auto"/>
          <w:sz w:val="24"/>
          <w:highlight w:val="none"/>
        </w:rPr>
        <w:t>发包人的工作人员在业务往来过程以及合同执行过程中，不得以任何形式向承包人索取贿赂、收受回扣及好处费等；不得接受承包人馈赠的有价证券和贵重物品；不得让承包人报销任何费用；不得参加对执行公务有影响的娱乐活动和宴请；不得向承包人介绍家属或亲友从事与该项目有关的材料、设备供应和该项目分包等经济活动；不得要求承包人为其装修房子；不得要求承包人为亲属安排出境和国内旅游等；不得借婚丧嫁娶之机收受承包人的钱（含有价证券）、物。</w:t>
      </w:r>
    </w:p>
    <w:p w14:paraId="608914E2">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4.</w:t>
      </w:r>
      <w:r>
        <w:rPr>
          <w:rFonts w:hint="default" w:ascii="仿宋_GB2312" w:eastAsia="仿宋_GB2312"/>
          <w:color w:val="auto"/>
          <w:sz w:val="24"/>
          <w:highlight w:val="none"/>
        </w:rPr>
        <w:t>对承包人主动给予的钱（含有价证券）、物，发包人的工作人员要坚决谢绝，无法拒绝的要在两周内上交发包人的纪检监察部门或上级纪检监察部门。</w:t>
      </w:r>
    </w:p>
    <w:p w14:paraId="1FCD01E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5.</w:t>
      </w:r>
      <w:r>
        <w:rPr>
          <w:rFonts w:hint="default" w:ascii="仿宋_GB2312" w:eastAsia="仿宋_GB2312"/>
          <w:color w:val="auto"/>
          <w:sz w:val="24"/>
          <w:highlight w:val="none"/>
        </w:rPr>
        <w:t>发包人的工作人员必须遵守廉洁自律的其他有关规定。</w:t>
      </w:r>
    </w:p>
    <w:p w14:paraId="38717C7A">
      <w:pPr>
        <w:spacing w:line="360" w:lineRule="auto"/>
        <w:rPr>
          <w:rFonts w:hint="default" w:ascii="仿宋_GB2312" w:eastAsia="仿宋_GB2312"/>
          <w:b/>
          <w:color w:val="auto"/>
          <w:sz w:val="24"/>
          <w:highlight w:val="none"/>
        </w:rPr>
      </w:pPr>
      <w:r>
        <w:rPr>
          <w:rFonts w:hint="default" w:ascii="仿宋_GB2312" w:eastAsia="仿宋_GB2312"/>
          <w:b/>
          <w:color w:val="auto"/>
          <w:sz w:val="24"/>
          <w:highlight w:val="none"/>
        </w:rPr>
        <w:t>二、承包人的权利和义务</w:t>
      </w:r>
    </w:p>
    <w:p w14:paraId="5B3F6340">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1.</w:t>
      </w:r>
      <w:r>
        <w:rPr>
          <w:rFonts w:hint="default" w:ascii="仿宋_GB2312" w:eastAsia="仿宋_GB2312"/>
          <w:color w:val="auto"/>
          <w:sz w:val="24"/>
          <w:highlight w:val="none"/>
        </w:rPr>
        <w:t>承包人的纪检监察人员有权对双方在业务往来及合同执行过程中的廉洁从业情况进行监督，并积极配合发包人纪检监察工作人员就有关违纪问题进行调查取证。</w:t>
      </w:r>
    </w:p>
    <w:p w14:paraId="358C5414">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2.</w:t>
      </w:r>
      <w:r>
        <w:rPr>
          <w:rFonts w:hint="default" w:ascii="仿宋_GB2312" w:eastAsia="仿宋_GB2312"/>
          <w:color w:val="auto"/>
          <w:sz w:val="24"/>
          <w:highlight w:val="none"/>
        </w:rPr>
        <w:t>承包人有权了解发包人在廉洁从业方面的各项制度和规定，并主动配合发包人遵守执行。</w:t>
      </w:r>
    </w:p>
    <w:p w14:paraId="743D9054">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3.</w:t>
      </w:r>
      <w:r>
        <w:rPr>
          <w:rFonts w:hint="default" w:ascii="仿宋_GB2312" w:eastAsia="仿宋_GB2312"/>
          <w:color w:val="auto"/>
          <w:sz w:val="24"/>
          <w:highlight w:val="none"/>
        </w:rPr>
        <w:t>承包人的工作人员不得以任何方式向发包人的工作人员了解业务往来中的商业秘密。</w:t>
      </w:r>
    </w:p>
    <w:p w14:paraId="5DCE1236">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4.</w:t>
      </w:r>
      <w:r>
        <w:rPr>
          <w:rFonts w:hint="default" w:ascii="仿宋_GB2312" w:eastAsia="仿宋_GB2312"/>
          <w:color w:val="auto"/>
          <w:sz w:val="24"/>
          <w:highlight w:val="none"/>
        </w:rPr>
        <w:t>承包人的工作人员在业务往来过程及合同执行过程中，不得向发包人的工作人员行贿、提供回扣或其他好处费等；不得向发包人的工作人员馈赠有价证券和贵重物品；不得给发包人的工作人员报销任何费用；不得为发包人的工作人员购置或长期无偿提供交通工具、通讯工具、家电、办公用品等；不得邀请发包人的工作人员参加对执行公务有影响的娱乐活动和宴请；不得接受发包人的工作人员介绍的家属或亲友从事与该项目有关的材料、设备供应或该项目分包等经济活动；不得为发包人的工作人员装修房子；不得为发包人的工作人员的亲属安排出境和国内旅游等；不得借婚丧嫁娶之机向发包人的工作人员赠送钱（含有价证券）、物。</w:t>
      </w:r>
    </w:p>
    <w:p w14:paraId="3C94B796">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5.</w:t>
      </w:r>
      <w:r>
        <w:rPr>
          <w:rFonts w:hint="default" w:ascii="仿宋_GB2312" w:eastAsia="仿宋_GB2312"/>
          <w:color w:val="auto"/>
          <w:sz w:val="24"/>
          <w:highlight w:val="none"/>
        </w:rPr>
        <w:t>承包人发现发包人的工作人员有不廉洁的行为，必须在48小时内署名报告发包人的纪检监察人员或有关领导。</w:t>
      </w:r>
    </w:p>
    <w:p w14:paraId="5777D980">
      <w:pPr>
        <w:spacing w:line="360" w:lineRule="auto"/>
        <w:rPr>
          <w:rFonts w:hint="default" w:ascii="仿宋_GB2312" w:eastAsia="仿宋_GB2312"/>
          <w:b/>
          <w:color w:val="auto"/>
          <w:sz w:val="24"/>
          <w:highlight w:val="none"/>
        </w:rPr>
      </w:pPr>
      <w:r>
        <w:rPr>
          <w:rFonts w:hint="default" w:ascii="仿宋_GB2312" w:eastAsia="仿宋_GB2312"/>
          <w:b/>
          <w:color w:val="auto"/>
          <w:sz w:val="24"/>
          <w:highlight w:val="none"/>
        </w:rPr>
        <w:t>三、违约责任</w:t>
      </w:r>
    </w:p>
    <w:p w14:paraId="3CBFAFBF">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1.</w:t>
      </w:r>
      <w:r>
        <w:rPr>
          <w:rFonts w:hint="default" w:ascii="仿宋_GB2312" w:eastAsia="仿宋_GB2312"/>
          <w:color w:val="auto"/>
          <w:sz w:val="24"/>
          <w:highlight w:val="none"/>
        </w:rPr>
        <w:t>发包人的工作人员违反廉洁责任，经调查属实的，发包人将依据党、政纪对当事人进行严肃处理，对涉嫌犯罪人员移送司法机关。</w:t>
      </w:r>
    </w:p>
    <w:p w14:paraId="1A1DFCE5">
      <w:pP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2.</w:t>
      </w:r>
      <w:r>
        <w:rPr>
          <w:rFonts w:hint="default" w:ascii="仿宋_GB2312" w:eastAsia="仿宋_GB2312"/>
          <w:color w:val="auto"/>
          <w:sz w:val="24"/>
          <w:highlight w:val="none"/>
        </w:rPr>
        <w:t>承包人工作人员违反廉洁责任，经调查属实，发包人有权对承包人进行一次性扣罚与其签订合同总价款的0.5—10%直至终止合同执行，由此造成的经济损失由承包人承担。在今后项目中，发包人公司系统各企业不再考虑与承包人的合作。</w:t>
      </w:r>
    </w:p>
    <w:p w14:paraId="0073B019">
      <w:pPr>
        <w:spacing w:line="360" w:lineRule="auto"/>
        <w:rPr>
          <w:rFonts w:hint="default" w:ascii="仿宋_GB2312" w:eastAsia="仿宋_GB2312"/>
          <w:b/>
          <w:color w:val="auto"/>
          <w:sz w:val="24"/>
          <w:highlight w:val="none"/>
        </w:rPr>
      </w:pPr>
      <w:r>
        <w:rPr>
          <w:rFonts w:hint="default" w:ascii="仿宋_GB2312" w:eastAsia="仿宋_GB2312"/>
          <w:b/>
          <w:color w:val="auto"/>
          <w:sz w:val="24"/>
          <w:highlight w:val="none"/>
        </w:rPr>
        <w:t>四、协议的生效</w:t>
      </w:r>
    </w:p>
    <w:p w14:paraId="2715CB66">
      <w:pPr>
        <w:spacing w:line="360" w:lineRule="auto"/>
        <w:ind w:firstLine="480" w:firstLineChars="200"/>
        <w:jc w:val="both"/>
        <w:rPr>
          <w:rFonts w:hint="default" w:ascii="仿宋_GB2312" w:hAnsi="Times New Roman" w:eastAsia="仿宋_GB2312" w:cs="Times New Roman"/>
          <w:color w:val="auto"/>
          <w:sz w:val="24"/>
          <w:highlight w:val="none"/>
        </w:rPr>
      </w:pPr>
      <w:r>
        <w:rPr>
          <w:rFonts w:hint="eastAsia" w:ascii="仿宋_GB2312" w:hAnsi="Times New Roman" w:eastAsia="仿宋_GB2312" w:cs="Times New Roman"/>
          <w:color w:val="auto"/>
          <w:sz w:val="24"/>
          <w:highlight w:val="none"/>
          <w:lang w:val="en-US" w:eastAsia="zh-CN"/>
        </w:rPr>
        <w:t>1</w:t>
      </w:r>
      <w:r>
        <w:rPr>
          <w:rFonts w:hint="eastAsia" w:ascii="仿宋_GB2312" w:hAnsi="Times New Roman" w:eastAsia="仿宋_GB2312" w:cs="Times New Roman"/>
          <w:color w:val="auto"/>
          <w:sz w:val="24"/>
          <w:highlight w:val="none"/>
        </w:rPr>
        <w:t>.</w:t>
      </w:r>
      <w:r>
        <w:rPr>
          <w:rFonts w:hint="default" w:ascii="仿宋_GB2312" w:hAnsi="Times New Roman" w:eastAsia="仿宋_GB2312" w:cs="Times New Roman"/>
          <w:color w:val="auto"/>
          <w:sz w:val="24"/>
          <w:highlight w:val="none"/>
        </w:rPr>
        <w:t>本</w:t>
      </w:r>
      <w:r>
        <w:rPr>
          <w:rFonts w:hint="eastAsia" w:ascii="仿宋_GB2312" w:hAnsi="Times New Roman" w:eastAsia="仿宋_GB2312" w:cs="Times New Roman"/>
          <w:color w:val="auto"/>
          <w:sz w:val="24"/>
          <w:highlight w:val="none"/>
        </w:rPr>
        <w:t>协议</w:t>
      </w:r>
      <w:permStart w:id="15" w:edGrp="everyone"/>
      <w:r>
        <w:rPr>
          <w:rFonts w:hint="default" w:ascii="仿宋_GB2312" w:hAnsi="Times New Roman" w:eastAsia="仿宋_GB2312" w:cs="Times New Roman"/>
          <w:color w:val="auto"/>
          <w:sz w:val="24"/>
          <w:highlight w:val="none"/>
        </w:rPr>
        <w:fldChar w:fldCharType="begin"/>
      </w:r>
      <w:r>
        <w:rPr>
          <w:rFonts w:hint="default" w:ascii="仿宋_GB2312" w:hAnsi="Times New Roman" w:eastAsia="仿宋_GB2312" w:cs="Times New Roman"/>
          <w:color w:val="auto"/>
          <w:sz w:val="24"/>
          <w:highlight w:val="none"/>
        </w:rPr>
        <w:instrText xml:space="preserve"> REF 合同总数 \h </w:instrText>
      </w:r>
      <w:r>
        <w:rPr>
          <w:rFonts w:hint="default" w:ascii="仿宋_GB2312" w:hAnsi="Times New Roman" w:eastAsia="仿宋_GB2312" w:cs="Times New Roman"/>
          <w:color w:val="auto"/>
          <w:sz w:val="24"/>
          <w:highlight w:val="none"/>
        </w:rPr>
        <w:fldChar w:fldCharType="separate"/>
      </w:r>
      <w:r>
        <w:rPr>
          <w:rFonts w:hint="eastAsia" w:ascii="仿宋_GB2312" w:eastAsia="仿宋_GB2312"/>
          <w:color w:val="auto"/>
          <w:sz w:val="24"/>
          <w:highlight w:val="none"/>
        </w:rPr>
        <w:t>一式</w:t>
      </w:r>
      <w:r>
        <w:rPr>
          <w:rFonts w:hint="eastAsia" w:ascii="仿宋_GB2312" w:eastAsia="仿宋_GB2312"/>
          <w:color w:val="auto"/>
          <w:sz w:val="24"/>
          <w:highlight w:val="none"/>
          <w:lang w:val="en-US" w:eastAsia="zh-CN"/>
        </w:rPr>
        <w:t>肆</w:t>
      </w:r>
      <w:r>
        <w:rPr>
          <w:rFonts w:hint="eastAsia" w:ascii="仿宋_GB2312" w:eastAsia="仿宋_GB2312"/>
          <w:color w:val="auto"/>
          <w:sz w:val="24"/>
          <w:highlight w:val="none"/>
        </w:rPr>
        <w:t>份</w:t>
      </w:r>
      <w:r>
        <w:rPr>
          <w:rFonts w:hint="default" w:ascii="仿宋_GB2312" w:hAnsi="Times New Roman" w:eastAsia="仿宋_GB2312" w:cs="Times New Roman"/>
          <w:color w:val="auto"/>
          <w:sz w:val="24"/>
          <w:highlight w:val="none"/>
        </w:rPr>
        <w:fldChar w:fldCharType="end"/>
      </w:r>
      <w:permEnd w:id="15"/>
      <w:r>
        <w:rPr>
          <w:rFonts w:hint="default" w:ascii="仿宋_GB2312" w:hAnsi="Times New Roman" w:eastAsia="仿宋_GB2312" w:cs="Times New Roman"/>
          <w:color w:val="auto"/>
          <w:sz w:val="24"/>
          <w:highlight w:val="none"/>
        </w:rPr>
        <w:t>，</w:t>
      </w:r>
      <w:r>
        <w:rPr>
          <w:rFonts w:hint="eastAsia" w:ascii="仿宋_GB2312" w:hAnsi="Times New Roman" w:eastAsia="仿宋_GB2312" w:cs="Times New Roman"/>
          <w:color w:val="auto"/>
          <w:sz w:val="24"/>
          <w:highlight w:val="none"/>
          <w:lang w:eastAsia="zh-CN"/>
        </w:rPr>
        <w:t>发包人</w:t>
      </w:r>
      <w:r>
        <w:rPr>
          <w:rFonts w:hint="default" w:ascii="仿宋_GB2312" w:hAnsi="Times New Roman" w:eastAsia="仿宋_GB2312" w:cs="Times New Roman"/>
          <w:color w:val="auto"/>
          <w:sz w:val="24"/>
          <w:highlight w:val="none"/>
        </w:rPr>
        <w:t>执</w:t>
      </w:r>
      <w:r>
        <w:rPr>
          <w:rFonts w:hint="eastAsia" w:ascii="仿宋_GB2312" w:hAnsi="Times New Roman" w:eastAsia="仿宋_GB2312" w:cs="Times New Roman"/>
          <w:color w:val="auto"/>
          <w:sz w:val="24"/>
          <w:highlight w:val="none"/>
        </w:rPr>
        <w:t>贰</w:t>
      </w:r>
      <w:r>
        <w:rPr>
          <w:rFonts w:hint="default" w:ascii="仿宋_GB2312" w:hAnsi="Times New Roman" w:eastAsia="仿宋_GB2312" w:cs="Times New Roman"/>
          <w:color w:val="auto"/>
          <w:sz w:val="24"/>
          <w:highlight w:val="none"/>
        </w:rPr>
        <w:t>份，</w:t>
      </w:r>
      <w:r>
        <w:rPr>
          <w:rFonts w:hint="eastAsia" w:ascii="仿宋_GB2312" w:hAnsi="Times New Roman" w:eastAsia="仿宋_GB2312" w:cs="Times New Roman"/>
          <w:color w:val="auto"/>
          <w:sz w:val="24"/>
          <w:highlight w:val="none"/>
          <w:lang w:eastAsia="zh-CN"/>
        </w:rPr>
        <w:t>承包人</w:t>
      </w:r>
      <w:permStart w:id="16" w:edGrp="everyone"/>
      <w:r>
        <w:rPr>
          <w:rFonts w:hint="eastAsia" w:ascii="仿宋_GB2312" w:hAnsi="Times New Roman" w:eastAsia="仿宋_GB2312" w:cs="Times New Roman"/>
          <w:color w:val="auto"/>
          <w:sz w:val="24"/>
          <w:highlight w:val="none"/>
          <w:lang w:val="en-US" w:eastAsia="zh-CN"/>
        </w:rPr>
        <w:fldChar w:fldCharType="begin"/>
      </w:r>
      <w:r>
        <w:rPr>
          <w:rFonts w:hint="eastAsia" w:ascii="仿宋_GB2312" w:hAnsi="Times New Roman" w:eastAsia="仿宋_GB2312" w:cs="Times New Roman"/>
          <w:color w:val="auto"/>
          <w:sz w:val="24"/>
          <w:highlight w:val="none"/>
          <w:lang w:val="en-US" w:eastAsia="zh-CN"/>
        </w:rPr>
        <w:instrText xml:space="preserve"> REF 乙方份数 \h </w:instrText>
      </w:r>
      <w:r>
        <w:rPr>
          <w:rFonts w:hint="eastAsia" w:ascii="仿宋_GB2312" w:hAnsi="Times New Roman" w:eastAsia="仿宋_GB2312" w:cs="Times New Roman"/>
          <w:color w:val="auto"/>
          <w:sz w:val="24"/>
          <w:highlight w:val="none"/>
          <w:lang w:val="en-US" w:eastAsia="zh-CN"/>
        </w:rPr>
        <w:fldChar w:fldCharType="separate"/>
      </w:r>
      <w:r>
        <w:rPr>
          <w:rFonts w:hint="eastAsia" w:ascii="仿宋_GB2312" w:eastAsia="仿宋_GB2312"/>
          <w:color w:val="auto"/>
          <w:sz w:val="24"/>
          <w:highlight w:val="none"/>
        </w:rPr>
        <w:t>执贰份</w:t>
      </w:r>
      <w:r>
        <w:rPr>
          <w:rFonts w:hint="eastAsia" w:ascii="仿宋_GB2312" w:hAnsi="Times New Roman" w:eastAsia="仿宋_GB2312" w:cs="Times New Roman"/>
          <w:color w:val="auto"/>
          <w:sz w:val="24"/>
          <w:highlight w:val="none"/>
          <w:lang w:val="en-US" w:eastAsia="zh-CN"/>
        </w:rPr>
        <w:fldChar w:fldCharType="end"/>
      </w:r>
      <w:permEnd w:id="16"/>
      <w:r>
        <w:rPr>
          <w:rFonts w:hint="eastAsia" w:ascii="仿宋_GB2312" w:hAnsi="Times New Roman" w:eastAsia="仿宋_GB2312" w:cs="Times New Roman"/>
          <w:color w:val="auto"/>
          <w:sz w:val="24"/>
          <w:highlight w:val="none"/>
        </w:rPr>
        <w:t>,具有同等法律效力。</w:t>
      </w:r>
    </w:p>
    <w:p w14:paraId="02A2757D">
      <w:pPr>
        <w:spacing w:line="360" w:lineRule="auto"/>
        <w:ind w:firstLine="480" w:firstLineChars="200"/>
        <w:jc w:val="both"/>
        <w:rPr>
          <w:rFonts w:hint="default" w:ascii="仿宋_GB2312" w:hAnsi="Times New Roman" w:eastAsia="仿宋_GB2312" w:cs="Times New Roman"/>
          <w:color w:val="auto"/>
          <w:sz w:val="24"/>
          <w:highlight w:val="none"/>
        </w:rPr>
      </w:pPr>
      <w:r>
        <w:rPr>
          <w:rFonts w:hint="eastAsia" w:ascii="仿宋_GB2312" w:hAnsi="Times New Roman" w:eastAsia="仿宋_GB2312" w:cs="Times New Roman"/>
          <w:color w:val="auto"/>
          <w:sz w:val="24"/>
          <w:highlight w:val="none"/>
          <w:lang w:val="en-US" w:eastAsia="zh-CN"/>
        </w:rPr>
        <w:t>2</w:t>
      </w:r>
      <w:r>
        <w:rPr>
          <w:rFonts w:hint="eastAsia" w:ascii="仿宋_GB2312" w:hAnsi="Times New Roman" w:eastAsia="仿宋_GB2312" w:cs="Times New Roman"/>
          <w:color w:val="auto"/>
          <w:sz w:val="24"/>
          <w:highlight w:val="none"/>
        </w:rPr>
        <w:t>.本协议经双方签署后生效。</w:t>
      </w:r>
    </w:p>
    <w:p w14:paraId="0B6788D4">
      <w:pPr>
        <w:rPr>
          <w:color w:val="auto"/>
          <w:highlight w:val="none"/>
        </w:rPr>
      </w:pPr>
    </w:p>
    <w:p w14:paraId="2922EF35">
      <w:pPr>
        <w:pStyle w:val="2"/>
        <w:spacing w:before="156"/>
        <w:ind w:firstLine="480"/>
        <w:rPr>
          <w:color w:val="auto"/>
          <w:highlight w:val="none"/>
        </w:rPr>
      </w:pPr>
    </w:p>
    <w:p w14:paraId="6AD90344">
      <w:pPr>
        <w:spacing w:line="480" w:lineRule="auto"/>
        <w:ind w:firstLine="480" w:firstLineChars="200"/>
        <w:rPr>
          <w:rFonts w:hint="eastAsia" w:ascii="仿宋_GB2312" w:eastAsia="仿宋_GB2312"/>
          <w:color w:val="auto"/>
          <w:sz w:val="24"/>
          <w:highlight w:val="none"/>
          <w:lang w:eastAsia="zh-CN"/>
        </w:rPr>
      </w:pPr>
      <w:r>
        <w:rPr>
          <w:rFonts w:hint="default" w:ascii="仿宋_GB2312" w:eastAsia="仿宋_GB2312"/>
          <w:color w:val="auto"/>
          <w:sz w:val="24"/>
          <w:highlight w:val="none"/>
        </w:rPr>
        <w:t>发包人：（盖章）</w:t>
      </w:r>
      <w:r>
        <w:rPr>
          <w:rFonts w:hint="eastAsia" w:ascii="仿宋_GB2312" w:eastAsia="仿宋_GB2312"/>
          <w:color w:val="auto"/>
          <w:sz w:val="24"/>
          <w:highlight w:val="none"/>
          <w:u w:val="none"/>
          <w:lang w:eastAsia="zh-CN"/>
        </w:rPr>
        <w:t>东莞市新锋新能源有限公司</w:t>
      </w:r>
    </w:p>
    <w:p w14:paraId="68AB3FE3">
      <w:pPr>
        <w:spacing w:line="480" w:lineRule="auto"/>
        <w:ind w:firstLine="480" w:firstLineChars="200"/>
        <w:rPr>
          <w:rFonts w:hint="default" w:ascii="仿宋_GB2312" w:eastAsia="仿宋_GB2312"/>
          <w:color w:val="auto"/>
          <w:sz w:val="24"/>
          <w:highlight w:val="none"/>
        </w:rPr>
      </w:pPr>
      <w:r>
        <w:rPr>
          <w:rFonts w:hint="default" w:ascii="仿宋_GB2312" w:eastAsia="仿宋_GB2312"/>
          <w:color w:val="auto"/>
          <w:sz w:val="24"/>
          <w:highlight w:val="none"/>
        </w:rPr>
        <w:t xml:space="preserve">法定代表人（或授权代表）签字：             </w:t>
      </w:r>
    </w:p>
    <w:p w14:paraId="51A1B49F">
      <w:pPr>
        <w:spacing w:line="480" w:lineRule="auto"/>
        <w:ind w:firstLine="480" w:firstLineChars="200"/>
        <w:rPr>
          <w:rFonts w:hint="default" w:ascii="仿宋_GB2312" w:eastAsia="仿宋_GB2312"/>
          <w:color w:val="auto"/>
          <w:sz w:val="24"/>
          <w:highlight w:val="none"/>
        </w:rPr>
      </w:pPr>
      <w:r>
        <w:rPr>
          <w:rFonts w:hint="default" w:ascii="仿宋_GB2312" w:eastAsia="仿宋_GB2312"/>
          <w:color w:val="auto"/>
          <w:sz w:val="24"/>
          <w:highlight w:val="none"/>
        </w:rPr>
        <w:t>日   期：    年   月   日</w:t>
      </w:r>
    </w:p>
    <w:p w14:paraId="261EF537">
      <w:pPr>
        <w:spacing w:line="480" w:lineRule="auto"/>
        <w:ind w:firstLine="480" w:firstLineChars="200"/>
        <w:rPr>
          <w:rFonts w:hint="default" w:ascii="仿宋_GB2312" w:eastAsia="仿宋_GB2312"/>
          <w:color w:val="auto"/>
          <w:sz w:val="24"/>
          <w:highlight w:val="none"/>
        </w:rPr>
      </w:pPr>
    </w:p>
    <w:p w14:paraId="7D7103C4">
      <w:pPr>
        <w:spacing w:line="480" w:lineRule="auto"/>
        <w:ind w:firstLine="480" w:firstLineChars="200"/>
        <w:rPr>
          <w:rFonts w:hint="default" w:ascii="仿宋_GB2312" w:eastAsia="仿宋_GB2312"/>
          <w:color w:val="auto"/>
          <w:sz w:val="24"/>
          <w:highlight w:val="none"/>
          <w:u w:val="none"/>
        </w:rPr>
      </w:pPr>
      <w:r>
        <w:rPr>
          <w:rFonts w:hint="default" w:ascii="仿宋_GB2312" w:eastAsia="仿宋_GB2312"/>
          <w:color w:val="auto"/>
          <w:sz w:val="24"/>
          <w:highlight w:val="none"/>
        </w:rPr>
        <w:t>承包人：（盖章</w:t>
      </w:r>
      <w:r>
        <w:rPr>
          <w:rFonts w:hint="default" w:ascii="仿宋_GB2312" w:eastAsia="仿宋_GB2312"/>
          <w:color w:val="auto"/>
          <w:sz w:val="24"/>
          <w:highlight w:val="none"/>
          <w:u w:val="none"/>
        </w:rPr>
        <w:t>）</w:t>
      </w:r>
      <w:r>
        <w:rPr>
          <w:rFonts w:hint="eastAsia" w:ascii="仿宋_GB2312" w:eastAsia="仿宋_GB2312"/>
          <w:color w:val="auto"/>
          <w:sz w:val="24"/>
          <w:highlight w:val="none"/>
          <w:u w:val="none"/>
          <w:lang w:eastAsia="zh-CN"/>
        </w:rPr>
        <w:t>XXX有限公司</w:t>
      </w:r>
      <w:r>
        <w:rPr>
          <w:rFonts w:hint="eastAsia" w:ascii="仿宋_GB2312" w:eastAsia="仿宋_GB2312"/>
          <w:color w:val="auto"/>
          <w:sz w:val="24"/>
          <w:highlight w:val="none"/>
          <w:u w:val="none"/>
        </w:rPr>
        <w:t xml:space="preserve">      </w:t>
      </w:r>
    </w:p>
    <w:p w14:paraId="39A8056D">
      <w:pPr>
        <w:spacing w:line="480" w:lineRule="auto"/>
        <w:ind w:firstLine="480" w:firstLineChars="200"/>
        <w:rPr>
          <w:rFonts w:hint="default" w:ascii="仿宋_GB2312" w:eastAsia="仿宋_GB2312"/>
          <w:color w:val="auto"/>
          <w:sz w:val="24"/>
          <w:highlight w:val="none"/>
          <w:u w:val="none"/>
        </w:rPr>
      </w:pPr>
      <w:r>
        <w:rPr>
          <w:rFonts w:hint="default" w:ascii="仿宋_GB2312" w:eastAsia="仿宋_GB2312"/>
          <w:color w:val="auto"/>
          <w:sz w:val="24"/>
          <w:highlight w:val="none"/>
          <w:u w:val="none"/>
        </w:rPr>
        <w:t xml:space="preserve">法定代表人（或授权代表）签字：              </w:t>
      </w:r>
    </w:p>
    <w:p w14:paraId="514DE9E6">
      <w:pPr>
        <w:spacing w:line="480" w:lineRule="auto"/>
        <w:ind w:firstLine="480" w:firstLineChars="200"/>
        <w:rPr>
          <w:rFonts w:hint="default" w:ascii="仿宋_GB2312" w:eastAsia="仿宋_GB2312"/>
          <w:color w:val="auto"/>
          <w:sz w:val="24"/>
          <w:highlight w:val="none"/>
          <w:u w:val="none"/>
        </w:rPr>
      </w:pPr>
      <w:r>
        <w:rPr>
          <w:rFonts w:hint="default" w:ascii="仿宋_GB2312" w:eastAsia="仿宋_GB2312"/>
          <w:color w:val="auto"/>
          <w:sz w:val="24"/>
          <w:highlight w:val="none"/>
          <w:u w:val="none"/>
        </w:rPr>
        <w:t>日    期：    年   月   日</w:t>
      </w:r>
    </w:p>
    <w:p w14:paraId="03A476F1">
      <w:pPr>
        <w:spacing w:line="360" w:lineRule="auto"/>
        <w:jc w:val="left"/>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附件</w:t>
      </w:r>
      <w:r>
        <w:rPr>
          <w:rFonts w:hint="eastAsia" w:ascii="仿宋_GB2312" w:hAnsi="仿宋_GB2312" w:eastAsia="仿宋_GB2312" w:cs="仿宋_GB2312"/>
          <w:b/>
          <w:color w:val="auto"/>
          <w:sz w:val="32"/>
          <w:szCs w:val="32"/>
          <w:highlight w:val="none"/>
          <w:lang w:val="en-US" w:eastAsia="zh-CN"/>
        </w:rPr>
        <w:t>3</w:t>
      </w:r>
    </w:p>
    <w:p w14:paraId="1A35F2D8">
      <w:pPr>
        <w:pStyle w:val="2"/>
        <w:spacing w:before="156"/>
        <w:ind w:firstLine="0" w:firstLineChars="0"/>
        <w:jc w:val="center"/>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阳光合作协议</w:t>
      </w:r>
    </w:p>
    <w:p w14:paraId="495407EF">
      <w:pPr>
        <w:keepNext w:val="0"/>
        <w:keepLines w:val="0"/>
        <w:pageBreakBefore w:val="0"/>
        <w:widowControl/>
        <w:kinsoku/>
        <w:wordWrap/>
        <w:overflowPunct/>
        <w:topLinePunct w:val="0"/>
        <w:autoSpaceDE/>
        <w:autoSpaceDN/>
        <w:adjustRightInd/>
        <w:snapToGrid/>
        <w:spacing w:before="0" w:beforeLines="200" w:after="156" w:afterLines="50" w:line="360" w:lineRule="auto"/>
        <w:ind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为加强双方阳光合作，保证职员职业安全，甲乙双方经协商签订本协议并作为双方共同遵守的阳光合作行为准则。</w:t>
      </w:r>
    </w:p>
    <w:p w14:paraId="5E0A0989">
      <w:pPr>
        <w:keepNext w:val="0"/>
        <w:keepLines w:val="0"/>
        <w:pageBreakBefore w:val="0"/>
        <w:widowControl/>
        <w:kinsoku/>
        <w:wordWrap/>
        <w:overflowPunct/>
        <w:topLinePunct w:val="0"/>
        <w:autoSpaceDE/>
        <w:autoSpaceDN/>
        <w:adjustRightInd/>
        <w:snapToGrid/>
        <w:spacing w:before="156" w:beforeLines="50" w:after="156" w:afterLines="50" w:line="360" w:lineRule="auto"/>
        <w:ind w:left="420" w:leftChars="200"/>
        <w:contextualSpacing/>
        <w:jc w:val="left"/>
        <w:textAlignment w:val="auto"/>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lang w:val="en-US" w:eastAsia="zh-CN"/>
        </w:rPr>
        <w:t>一、</w:t>
      </w:r>
      <w:r>
        <w:rPr>
          <w:rFonts w:hint="eastAsia" w:ascii="仿宋_GB2312" w:hAnsi="仿宋_GB2312" w:eastAsia="仿宋_GB2312" w:cs="仿宋_GB2312"/>
          <w:b/>
          <w:color w:val="auto"/>
          <w:sz w:val="24"/>
          <w:szCs w:val="24"/>
          <w:highlight w:val="none"/>
        </w:rPr>
        <w:t>甲方责任</w:t>
      </w:r>
    </w:p>
    <w:p w14:paraId="6AB78928">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1.甲方有责任向乙方介绍本单位有关采购管理通用原则和本协议的规定。</w:t>
      </w:r>
    </w:p>
    <w:p w14:paraId="73B33587">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2.甲方有责任对本单位相关人员进行阳光合作教育。</w:t>
      </w:r>
    </w:p>
    <w:p w14:paraId="59E202F2">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371AADE8">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4.甲方人员如违反阳光合作管理制度及本协议规定，甲方视情节轻重、影响大小给予行政及经济处罚。</w:t>
      </w:r>
    </w:p>
    <w:p w14:paraId="2B8D9346">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5．对于乙方举报甲方人员违反阳光合作规定的情况，甲方应及时进行调查，根据调查情况进行处理，并将调查结果向乙方反馈。</w:t>
      </w:r>
    </w:p>
    <w:p w14:paraId="08C81D4C">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6.接受举报的一方应为举报方保密，不得对举报方进行报复，对举报属实和严格遵守《阳光合作协议》的合作方，在同等条件下给予后续合作的优先权。</w:t>
      </w:r>
    </w:p>
    <w:p w14:paraId="322F7A55">
      <w:pPr>
        <w:keepNext w:val="0"/>
        <w:keepLines w:val="0"/>
        <w:pageBreakBefore w:val="0"/>
        <w:widowControl/>
        <w:kinsoku/>
        <w:wordWrap/>
        <w:overflowPunct/>
        <w:topLinePunct w:val="0"/>
        <w:autoSpaceDE/>
        <w:autoSpaceDN/>
        <w:adjustRightInd/>
        <w:snapToGrid/>
        <w:spacing w:before="156" w:beforeLines="50" w:after="156" w:afterLines="50" w:line="360" w:lineRule="auto"/>
        <w:ind w:left="420" w:leftChars="200"/>
        <w:contextualSpacing/>
        <w:jc w:val="left"/>
        <w:textAlignment w:val="auto"/>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lang w:val="en-US" w:eastAsia="zh-CN"/>
        </w:rPr>
        <w:t>二、</w:t>
      </w:r>
      <w:r>
        <w:rPr>
          <w:rFonts w:hint="eastAsia" w:ascii="仿宋_GB2312" w:hAnsi="仿宋_GB2312" w:eastAsia="仿宋_GB2312" w:cs="仿宋_GB2312"/>
          <w:b/>
          <w:color w:val="auto"/>
          <w:sz w:val="24"/>
          <w:szCs w:val="24"/>
          <w:highlight w:val="none"/>
        </w:rPr>
        <w:t>乙方责任</w:t>
      </w:r>
    </w:p>
    <w:p w14:paraId="02AD7C3A">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1.乙方应保证乙方人员了解甲方有关采购管理通用原则和及本协议的规定，并遵照执行。</w:t>
      </w:r>
    </w:p>
    <w:p w14:paraId="5E86E08C">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2.乙方不得以任何形式给予甲方人员回扣、赠送实物、现金、有价证券、礼券等有价物品或提供旅游等其他可能影响职务行为公正履行的活动（以下统称“财物”）。</w:t>
      </w:r>
    </w:p>
    <w:p w14:paraId="277F7402">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3.乙方有责任接受甲方对乙方在合作期间阳光合作管理执行情况的监督，并对甲方相关调查工作主动配合。</w:t>
      </w:r>
    </w:p>
    <w:p w14:paraId="3010E4FB">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4.乙方有义务就甲方人员任何形式的索取或收受财物行为及时向甲方（直接联系人为</w:t>
      </w:r>
      <w:r>
        <w:rPr>
          <w:rFonts w:hint="eastAsia" w:ascii="仿宋_GB2312" w:hAnsi="仿宋_GB2312" w:eastAsia="仿宋_GB2312" w:cs="仿宋_GB2312"/>
          <w:color w:val="auto"/>
          <w:sz w:val="24"/>
          <w:szCs w:val="24"/>
          <w:highlight w:val="none"/>
          <w:lang w:eastAsia="zh-CN"/>
        </w:rPr>
        <w:t>东莞市新锋新能源有限公司</w:t>
      </w:r>
      <w:r>
        <w:rPr>
          <w:rFonts w:hint="eastAsia" w:ascii="仿宋_GB2312" w:hAnsi="仿宋_GB2312" w:eastAsia="仿宋_GB2312" w:cs="仿宋_GB2312"/>
          <w:color w:val="auto"/>
          <w:sz w:val="24"/>
          <w:szCs w:val="24"/>
          <w:highlight w:val="none"/>
        </w:rPr>
        <w:t>）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w:t>
      </w:r>
      <w:r>
        <w:rPr>
          <w:rFonts w:hint="eastAsia" w:ascii="仿宋_GB2312" w:hAnsi="仿宋_GB2312" w:eastAsia="仿宋_GB2312" w:cs="仿宋_GB2312"/>
          <w:color w:val="auto"/>
          <w:sz w:val="24"/>
          <w:szCs w:val="24"/>
          <w:highlight w:val="none"/>
          <w:lang w:val="en-US" w:eastAsia="zh-CN"/>
        </w:rPr>
        <w:t>东莞市新锋新能源有限公司</w:t>
      </w:r>
      <w:r>
        <w:rPr>
          <w:rFonts w:hint="eastAsia" w:ascii="仿宋_GB2312" w:hAnsi="仿宋_GB2312" w:eastAsia="仿宋_GB2312" w:cs="仿宋_GB2312"/>
          <w:color w:val="auto"/>
          <w:sz w:val="24"/>
          <w:szCs w:val="24"/>
          <w:highlight w:val="none"/>
        </w:rPr>
        <w:t>合格供应商。</w:t>
      </w:r>
    </w:p>
    <w:p w14:paraId="49639633">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5．甲方接受乙方实名或匿名举报，保证为举报者的信息保密，常设举报部门及电</w:t>
      </w:r>
      <w:r>
        <w:rPr>
          <w:rFonts w:hint="eastAsia" w:ascii="仿宋_GB2312" w:hAnsi="仿宋_GB2312" w:eastAsia="仿宋_GB2312" w:cs="仿宋_GB2312"/>
          <w:color w:val="auto"/>
          <w:sz w:val="24"/>
          <w:szCs w:val="24"/>
          <w:highlight w:val="none"/>
          <w:lang w:val="en-US" w:eastAsia="zh-CN"/>
        </w:rPr>
        <w:t>话</w:t>
      </w:r>
      <w:r>
        <w:rPr>
          <w:rFonts w:hint="eastAsia" w:ascii="仿宋_GB2312" w:hAnsi="仿宋_GB2312" w:eastAsia="仿宋_GB2312" w:cs="仿宋_GB2312"/>
          <w:color w:val="auto"/>
          <w:sz w:val="24"/>
          <w:szCs w:val="24"/>
          <w:highlight w:val="none"/>
        </w:rPr>
        <w:t xml:space="preserve">： </w:t>
      </w:r>
    </w:p>
    <w:p w14:paraId="1CE58A8C">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举报受理部门：</w:t>
      </w:r>
      <w:r>
        <w:rPr>
          <w:rFonts w:hint="eastAsia" w:ascii="仿宋_GB2312" w:hAnsi="仿宋_GB2312" w:eastAsia="仿宋_GB2312" w:cs="仿宋_GB2312"/>
          <w:color w:val="auto"/>
          <w:sz w:val="24"/>
          <w:szCs w:val="24"/>
          <w:highlight w:val="none"/>
          <w:lang w:eastAsia="zh-CN"/>
        </w:rPr>
        <w:t>东莞市新锋新能源有限公司</w:t>
      </w:r>
    </w:p>
    <w:p w14:paraId="16175E22">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举报电话：</w:t>
      </w:r>
      <w:r>
        <w:rPr>
          <w:rFonts w:hint="eastAsia" w:ascii="仿宋_GB2312" w:hAnsi="仿宋_GB2312" w:eastAsia="仿宋_GB2312" w:cs="仿宋_GB2312"/>
          <w:color w:val="auto"/>
          <w:sz w:val="24"/>
          <w:szCs w:val="24"/>
          <w:highlight w:val="none"/>
          <w:lang w:val="en-US" w:eastAsia="zh-CN"/>
        </w:rPr>
        <w:t>0769-22899838</w:t>
      </w:r>
    </w:p>
    <w:p w14:paraId="1324BA0B">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邮寄地址：广东省东莞市松山湖园区新城路5号1栋601室</w:t>
      </w:r>
    </w:p>
    <w:p w14:paraId="4EFCB33D">
      <w:pPr>
        <w:keepNext w:val="0"/>
        <w:keepLines w:val="0"/>
        <w:pageBreakBefore w:val="0"/>
        <w:widowControl/>
        <w:kinsoku/>
        <w:wordWrap/>
        <w:overflowPunct/>
        <w:topLinePunct w:val="0"/>
        <w:autoSpaceDE/>
        <w:autoSpaceDN/>
        <w:adjustRightInd/>
        <w:snapToGrid/>
        <w:spacing w:before="156" w:beforeLines="50" w:after="156" w:afterLines="50" w:line="360" w:lineRule="auto"/>
        <w:ind w:left="420" w:leftChars="200"/>
        <w:contextualSpacing/>
        <w:jc w:val="left"/>
        <w:textAlignment w:val="auto"/>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lang w:val="en-US" w:eastAsia="zh-CN"/>
        </w:rPr>
        <w:t>三、</w:t>
      </w:r>
      <w:r>
        <w:rPr>
          <w:rFonts w:hint="eastAsia" w:ascii="仿宋_GB2312" w:hAnsi="仿宋_GB2312" w:eastAsia="仿宋_GB2312" w:cs="仿宋_GB2312"/>
          <w:b/>
          <w:color w:val="auto"/>
          <w:sz w:val="24"/>
          <w:szCs w:val="24"/>
          <w:highlight w:val="none"/>
        </w:rPr>
        <w:t>其他</w:t>
      </w:r>
    </w:p>
    <w:p w14:paraId="20B49CF7">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1.本协议是原合同的补充协议，与原合同有同等法律效力。</w:t>
      </w:r>
    </w:p>
    <w:p w14:paraId="12E41755">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2.本协议</w:t>
      </w:r>
      <w:permStart w:id="17" w:edGrp="everyone"/>
      <w:r>
        <w:rPr>
          <w:rFonts w:hint="eastAsia" w:ascii="仿宋_GB2312" w:hAnsi="仿宋_GB2312" w:eastAsia="仿宋_GB2312" w:cs="仿宋_GB2312"/>
          <w:color w:val="auto"/>
          <w:sz w:val="24"/>
          <w:szCs w:val="24"/>
          <w:highlight w:val="none"/>
          <w:u w:val="single"/>
          <w:lang w:val="en-US" w:eastAsia="zh-CN"/>
        </w:rPr>
        <w:fldChar w:fldCharType="begin"/>
      </w:r>
      <w:r>
        <w:rPr>
          <w:rFonts w:hint="eastAsia" w:ascii="仿宋_GB2312" w:hAnsi="仿宋_GB2312" w:eastAsia="仿宋_GB2312" w:cs="仿宋_GB2312"/>
          <w:color w:val="auto"/>
          <w:sz w:val="24"/>
          <w:szCs w:val="24"/>
          <w:highlight w:val="none"/>
          <w:u w:val="single"/>
          <w:lang w:val="en-US" w:eastAsia="zh-CN"/>
        </w:rPr>
        <w:instrText xml:space="preserve"> REF 合同总数 \h </w:instrText>
      </w:r>
      <w:r>
        <w:rPr>
          <w:rFonts w:hint="eastAsia" w:ascii="仿宋_GB2312" w:hAnsi="仿宋_GB2312" w:eastAsia="仿宋_GB2312" w:cs="仿宋_GB2312"/>
          <w:color w:val="auto"/>
          <w:sz w:val="24"/>
          <w:szCs w:val="24"/>
          <w:highlight w:val="none"/>
          <w:u w:val="single"/>
          <w:lang w:val="en-US" w:eastAsia="zh-CN"/>
        </w:rPr>
        <w:fldChar w:fldCharType="separate"/>
      </w:r>
      <w:r>
        <w:rPr>
          <w:rFonts w:hint="eastAsia" w:ascii="仿宋_GB2312" w:eastAsia="仿宋_GB2312"/>
          <w:color w:val="auto"/>
          <w:sz w:val="24"/>
          <w:highlight w:val="none"/>
        </w:rPr>
        <w:t>一式</w:t>
      </w:r>
      <w:r>
        <w:rPr>
          <w:rFonts w:hint="eastAsia" w:ascii="仿宋_GB2312" w:eastAsia="仿宋_GB2312"/>
          <w:color w:val="auto"/>
          <w:sz w:val="24"/>
          <w:highlight w:val="none"/>
          <w:lang w:val="en-US" w:eastAsia="zh-CN"/>
        </w:rPr>
        <w:t>肆</w:t>
      </w:r>
      <w:r>
        <w:rPr>
          <w:rFonts w:hint="eastAsia" w:ascii="仿宋_GB2312" w:eastAsia="仿宋_GB2312"/>
          <w:color w:val="auto"/>
          <w:sz w:val="24"/>
          <w:highlight w:val="none"/>
        </w:rPr>
        <w:t>份</w:t>
      </w:r>
      <w:r>
        <w:rPr>
          <w:rFonts w:hint="eastAsia" w:ascii="仿宋_GB2312" w:hAnsi="仿宋_GB2312" w:eastAsia="仿宋_GB2312" w:cs="仿宋_GB2312"/>
          <w:color w:val="auto"/>
          <w:sz w:val="24"/>
          <w:szCs w:val="24"/>
          <w:highlight w:val="none"/>
          <w:u w:val="single"/>
          <w:lang w:val="en-US" w:eastAsia="zh-CN"/>
        </w:rPr>
        <w:fldChar w:fldCharType="end"/>
      </w:r>
      <w:permEnd w:id="17"/>
      <w:r>
        <w:rPr>
          <w:rFonts w:hint="eastAsia" w:ascii="仿宋_GB2312" w:hAnsi="仿宋_GB2312" w:eastAsia="仿宋_GB2312" w:cs="仿宋_GB2312"/>
          <w:color w:val="auto"/>
          <w:sz w:val="24"/>
          <w:szCs w:val="24"/>
          <w:highlight w:val="none"/>
        </w:rPr>
        <w:t>，甲方执</w:t>
      </w:r>
      <w:r>
        <w:rPr>
          <w:rFonts w:hint="eastAsia" w:ascii="仿宋_GB2312" w:hAnsi="仿宋_GB2312" w:eastAsia="仿宋_GB2312" w:cs="仿宋_GB2312"/>
          <w:color w:val="auto"/>
          <w:sz w:val="24"/>
          <w:szCs w:val="24"/>
          <w:highlight w:val="none"/>
          <w:u w:val="none"/>
          <w:lang w:val="en-US" w:eastAsia="zh-CN"/>
        </w:rPr>
        <w:t>贰</w:t>
      </w:r>
      <w:r>
        <w:rPr>
          <w:rFonts w:hint="eastAsia" w:ascii="仿宋_GB2312" w:hAnsi="仿宋_GB2312" w:eastAsia="仿宋_GB2312" w:cs="仿宋_GB2312"/>
          <w:color w:val="auto"/>
          <w:sz w:val="24"/>
          <w:szCs w:val="24"/>
          <w:highlight w:val="none"/>
        </w:rPr>
        <w:t>份，乙方</w:t>
      </w:r>
      <w:permStart w:id="18" w:edGrp="everyone"/>
      <w:r>
        <w:rPr>
          <w:rFonts w:hint="eastAsia" w:ascii="仿宋_GB2312" w:hAnsi="仿宋_GB2312" w:eastAsia="仿宋_GB2312" w:cs="仿宋_GB2312"/>
          <w:color w:val="auto"/>
          <w:sz w:val="24"/>
          <w:szCs w:val="24"/>
          <w:highlight w:val="none"/>
        </w:rPr>
        <w:fldChar w:fldCharType="begin"/>
      </w:r>
      <w:r>
        <w:rPr>
          <w:rFonts w:hint="eastAsia" w:ascii="仿宋_GB2312" w:hAnsi="仿宋_GB2312" w:eastAsia="仿宋_GB2312" w:cs="仿宋_GB2312"/>
          <w:color w:val="auto"/>
          <w:sz w:val="24"/>
          <w:szCs w:val="24"/>
          <w:highlight w:val="none"/>
        </w:rPr>
        <w:instrText xml:space="preserve"> REF 乙方份数 \h </w:instrText>
      </w:r>
      <w:r>
        <w:rPr>
          <w:rFonts w:hint="eastAsia" w:ascii="仿宋_GB2312" w:hAnsi="仿宋_GB2312" w:eastAsia="仿宋_GB2312" w:cs="仿宋_GB2312"/>
          <w:color w:val="auto"/>
          <w:sz w:val="24"/>
          <w:szCs w:val="24"/>
          <w:highlight w:val="none"/>
        </w:rPr>
        <w:fldChar w:fldCharType="separate"/>
      </w:r>
      <w:r>
        <w:rPr>
          <w:rFonts w:hint="eastAsia" w:ascii="仿宋_GB2312" w:eastAsia="仿宋_GB2312"/>
          <w:color w:val="auto"/>
          <w:sz w:val="24"/>
          <w:highlight w:val="none"/>
        </w:rPr>
        <w:t>执贰份</w:t>
      </w:r>
      <w:r>
        <w:rPr>
          <w:rFonts w:hint="eastAsia" w:ascii="仿宋_GB2312" w:hAnsi="仿宋_GB2312" w:eastAsia="仿宋_GB2312" w:cs="仿宋_GB2312"/>
          <w:color w:val="auto"/>
          <w:sz w:val="24"/>
          <w:szCs w:val="24"/>
          <w:highlight w:val="none"/>
        </w:rPr>
        <w:fldChar w:fldCharType="end"/>
      </w:r>
      <w:permEnd w:id="18"/>
      <w:r>
        <w:rPr>
          <w:rFonts w:hint="eastAsia" w:ascii="仿宋_GB2312" w:hAnsi="仿宋_GB2312" w:eastAsia="仿宋_GB2312" w:cs="仿宋_GB2312"/>
          <w:color w:val="auto"/>
          <w:sz w:val="24"/>
          <w:szCs w:val="24"/>
          <w:highlight w:val="none"/>
        </w:rPr>
        <w:t>,具有同等法律效力。</w:t>
      </w:r>
    </w:p>
    <w:p w14:paraId="1DEFB58F">
      <w:pPr>
        <w:keepNext w:val="0"/>
        <w:keepLines w:val="0"/>
        <w:pageBreakBefore w:val="0"/>
        <w:kinsoku/>
        <w:wordWrap/>
        <w:overflowPunct/>
        <w:topLinePunct w:val="0"/>
        <w:autoSpaceDE/>
        <w:autoSpaceDN/>
        <w:adjustRightInd/>
        <w:snapToGrid/>
        <w:spacing w:before="156" w:beforeLines="50" w:after="156" w:afterLines="50" w:line="360" w:lineRule="auto"/>
        <w:ind w:left="105" w:leftChars="50" w:firstLine="48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3.本协议经双方签署后生效。</w:t>
      </w:r>
    </w:p>
    <w:p w14:paraId="07A66E40">
      <w:pPr>
        <w:pStyle w:val="3"/>
        <w:rPr>
          <w:rFonts w:hint="eastAsia" w:ascii="仿宋_GB2312" w:hAnsi="仿宋_GB2312" w:eastAsia="仿宋_GB2312" w:cs="仿宋_GB2312"/>
          <w:color w:val="auto"/>
          <w:sz w:val="24"/>
          <w:szCs w:val="24"/>
          <w:highlight w:val="none"/>
        </w:rPr>
      </w:pPr>
    </w:p>
    <w:p w14:paraId="6B9FDD18">
      <w:pPr>
        <w:spacing w:before="68" w:line="201" w:lineRule="auto"/>
        <w:rPr>
          <w:rFonts w:hint="default" w:ascii="黑体" w:hAnsi="黑体" w:eastAsia="黑体" w:cs="黑体"/>
          <w:color w:val="auto"/>
          <w:sz w:val="24"/>
          <w:szCs w:val="24"/>
          <w:highlight w:val="none"/>
        </w:rPr>
      </w:pPr>
    </w:p>
    <w:p w14:paraId="68B1D0E4">
      <w:pPr>
        <w:spacing w:line="480" w:lineRule="auto"/>
        <w:ind w:firstLine="480" w:firstLineChars="200"/>
        <w:rPr>
          <w:rFonts w:hint="eastAsia" w:ascii="仿宋_GB2312" w:eastAsia="仿宋_GB2312"/>
          <w:color w:val="auto"/>
          <w:sz w:val="24"/>
          <w:highlight w:val="none"/>
          <w:lang w:eastAsia="zh-CN"/>
        </w:rPr>
      </w:pPr>
      <w:r>
        <w:rPr>
          <w:rFonts w:hint="eastAsia" w:ascii="仿宋_GB2312" w:eastAsia="仿宋_GB2312"/>
          <w:color w:val="auto"/>
          <w:sz w:val="24"/>
          <w:highlight w:val="none"/>
          <w:lang w:val="en-US" w:eastAsia="zh-CN"/>
        </w:rPr>
        <w:t>甲方</w:t>
      </w:r>
      <w:r>
        <w:rPr>
          <w:rFonts w:hint="default" w:ascii="仿宋_GB2312" w:eastAsia="仿宋_GB2312"/>
          <w:color w:val="auto"/>
          <w:sz w:val="24"/>
          <w:highlight w:val="none"/>
        </w:rPr>
        <w:t>：（盖章）</w:t>
      </w:r>
      <w:r>
        <w:rPr>
          <w:rFonts w:hint="eastAsia" w:ascii="仿宋_GB2312" w:eastAsia="仿宋_GB2312"/>
          <w:color w:val="auto"/>
          <w:sz w:val="24"/>
          <w:highlight w:val="none"/>
          <w:u w:val="none"/>
          <w:lang w:eastAsia="zh-CN"/>
        </w:rPr>
        <w:t>东莞市新锋新能源有限公司</w:t>
      </w:r>
    </w:p>
    <w:p w14:paraId="587DC013">
      <w:pPr>
        <w:spacing w:line="480" w:lineRule="auto"/>
        <w:ind w:firstLine="480" w:firstLineChars="200"/>
        <w:rPr>
          <w:rFonts w:hint="default" w:ascii="仿宋_GB2312" w:eastAsia="仿宋_GB2312"/>
          <w:color w:val="auto"/>
          <w:sz w:val="24"/>
          <w:highlight w:val="none"/>
        </w:rPr>
      </w:pPr>
      <w:r>
        <w:rPr>
          <w:rFonts w:hint="default" w:ascii="仿宋_GB2312" w:eastAsia="仿宋_GB2312"/>
          <w:color w:val="auto"/>
          <w:sz w:val="24"/>
          <w:highlight w:val="none"/>
        </w:rPr>
        <w:t xml:space="preserve">法定代表人（或授权代表）签字：             </w:t>
      </w:r>
    </w:p>
    <w:p w14:paraId="60A2232E">
      <w:pPr>
        <w:spacing w:line="480" w:lineRule="auto"/>
        <w:ind w:firstLine="480" w:firstLineChars="200"/>
        <w:rPr>
          <w:rFonts w:hint="default" w:ascii="仿宋_GB2312" w:eastAsia="仿宋_GB2312"/>
          <w:color w:val="auto"/>
          <w:sz w:val="24"/>
          <w:highlight w:val="none"/>
        </w:rPr>
      </w:pPr>
      <w:r>
        <w:rPr>
          <w:rFonts w:hint="default" w:ascii="仿宋_GB2312" w:eastAsia="仿宋_GB2312"/>
          <w:color w:val="auto"/>
          <w:sz w:val="24"/>
          <w:highlight w:val="none"/>
        </w:rPr>
        <w:t>日   期：    年   月   日</w:t>
      </w:r>
    </w:p>
    <w:p w14:paraId="40A45F4A">
      <w:pPr>
        <w:spacing w:line="480" w:lineRule="auto"/>
        <w:ind w:firstLine="480" w:firstLineChars="200"/>
        <w:rPr>
          <w:rFonts w:hint="default" w:ascii="仿宋_GB2312" w:eastAsia="仿宋_GB2312"/>
          <w:color w:val="auto"/>
          <w:sz w:val="24"/>
          <w:highlight w:val="none"/>
        </w:rPr>
      </w:pPr>
    </w:p>
    <w:p w14:paraId="260FF383">
      <w:pPr>
        <w:spacing w:line="480" w:lineRule="auto"/>
        <w:ind w:firstLine="480" w:firstLineChars="200"/>
        <w:rPr>
          <w:rFonts w:hint="default" w:ascii="仿宋_GB2312" w:eastAsia="仿宋_GB2312"/>
          <w:color w:val="auto"/>
          <w:sz w:val="24"/>
          <w:highlight w:val="none"/>
          <w:u w:val="none"/>
        </w:rPr>
      </w:pPr>
      <w:r>
        <w:rPr>
          <w:rFonts w:hint="eastAsia" w:ascii="仿宋_GB2312" w:eastAsia="仿宋_GB2312"/>
          <w:color w:val="auto"/>
          <w:sz w:val="24"/>
          <w:highlight w:val="none"/>
          <w:lang w:val="en-US" w:eastAsia="zh-CN"/>
        </w:rPr>
        <w:t>乙方</w:t>
      </w:r>
      <w:r>
        <w:rPr>
          <w:rFonts w:hint="default" w:ascii="仿宋_GB2312" w:eastAsia="仿宋_GB2312"/>
          <w:color w:val="auto"/>
          <w:sz w:val="24"/>
          <w:highlight w:val="none"/>
        </w:rPr>
        <w:t>：（盖章</w:t>
      </w:r>
      <w:r>
        <w:rPr>
          <w:rFonts w:hint="default" w:ascii="仿宋_GB2312" w:eastAsia="仿宋_GB2312"/>
          <w:color w:val="auto"/>
          <w:sz w:val="24"/>
          <w:highlight w:val="none"/>
          <w:u w:val="none"/>
        </w:rPr>
        <w:t>）</w:t>
      </w:r>
      <w:r>
        <w:rPr>
          <w:rFonts w:hint="eastAsia" w:ascii="仿宋_GB2312" w:eastAsia="仿宋_GB2312"/>
          <w:color w:val="auto"/>
          <w:sz w:val="24"/>
          <w:highlight w:val="none"/>
          <w:u w:val="none"/>
          <w:lang w:eastAsia="zh-CN"/>
        </w:rPr>
        <w:t>XXX有限公司</w:t>
      </w:r>
      <w:r>
        <w:rPr>
          <w:rFonts w:hint="eastAsia" w:ascii="仿宋_GB2312" w:eastAsia="仿宋_GB2312"/>
          <w:color w:val="auto"/>
          <w:sz w:val="24"/>
          <w:highlight w:val="none"/>
          <w:u w:val="none"/>
        </w:rPr>
        <w:t xml:space="preserve">      </w:t>
      </w:r>
    </w:p>
    <w:p w14:paraId="25220AB4">
      <w:pPr>
        <w:spacing w:line="480" w:lineRule="auto"/>
        <w:ind w:firstLine="480" w:firstLineChars="200"/>
        <w:rPr>
          <w:rFonts w:hint="default" w:ascii="仿宋_GB2312" w:eastAsia="仿宋_GB2312"/>
          <w:color w:val="auto"/>
          <w:sz w:val="24"/>
          <w:highlight w:val="none"/>
          <w:u w:val="none"/>
        </w:rPr>
      </w:pPr>
      <w:r>
        <w:rPr>
          <w:rFonts w:hint="default" w:ascii="仿宋_GB2312" w:eastAsia="仿宋_GB2312"/>
          <w:color w:val="auto"/>
          <w:sz w:val="24"/>
          <w:highlight w:val="none"/>
          <w:u w:val="none"/>
        </w:rPr>
        <w:t xml:space="preserve">法定代表人（或授权代表）签字：              </w:t>
      </w:r>
    </w:p>
    <w:p w14:paraId="225FE0DD">
      <w:pPr>
        <w:spacing w:line="480" w:lineRule="auto"/>
        <w:ind w:firstLine="480" w:firstLineChars="200"/>
        <w:rPr>
          <w:rFonts w:hint="default" w:ascii="仿宋_GB2312" w:eastAsia="仿宋_GB2312"/>
          <w:color w:val="auto"/>
          <w:sz w:val="24"/>
          <w:highlight w:val="none"/>
          <w:u w:val="none"/>
        </w:rPr>
      </w:pPr>
      <w:r>
        <w:rPr>
          <w:rFonts w:hint="default" w:ascii="仿宋_GB2312" w:eastAsia="仿宋_GB2312"/>
          <w:color w:val="auto"/>
          <w:sz w:val="24"/>
          <w:highlight w:val="none"/>
          <w:u w:val="none"/>
        </w:rPr>
        <w:t>日    期：    年   月   日</w:t>
      </w:r>
    </w:p>
    <w:p w14:paraId="360334DF">
      <w:pPr>
        <w:spacing w:line="480" w:lineRule="auto"/>
        <w:ind w:firstLine="480" w:firstLineChars="200"/>
        <w:rPr>
          <w:rFonts w:hint="default" w:ascii="仿宋_GB2312" w:eastAsia="仿宋_GB2312"/>
          <w:color w:val="auto"/>
          <w:sz w:val="24"/>
          <w:highlight w:val="none"/>
        </w:rPr>
      </w:pPr>
    </w:p>
    <w:p w14:paraId="415380F3">
      <w:pPr>
        <w:spacing w:line="360" w:lineRule="auto"/>
        <w:ind w:firstLine="643" w:firstLineChars="200"/>
        <w:jc w:val="both"/>
        <w:rPr>
          <w:rFonts w:hint="eastAsia" w:ascii="仿宋_GB2312" w:hAnsi="仿宋_GB2312" w:eastAsia="仿宋_GB2312" w:cs="仿宋_GB2312"/>
          <w:b/>
          <w:color w:val="auto"/>
          <w:sz w:val="32"/>
          <w:szCs w:val="32"/>
          <w:highlight w:val="none"/>
        </w:rPr>
        <w:sectPr>
          <w:pgSz w:w="11906" w:h="16838"/>
          <w:pgMar w:top="1361" w:right="1134" w:bottom="1361" w:left="1134"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480DDB08">
      <w:pPr>
        <w:spacing w:line="360" w:lineRule="auto"/>
        <w:jc w:val="left"/>
        <w:rPr>
          <w:rFonts w:hint="eastAsia" w:ascii="仿宋_GB2312" w:hAnsi="仿宋_GB2312" w:eastAsia="仿宋_GB2312" w:cs="仿宋_GB2312"/>
          <w:b/>
          <w:color w:val="auto"/>
          <w:sz w:val="32"/>
          <w:szCs w:val="32"/>
          <w:highlight w:val="none"/>
          <w:lang w:eastAsia="zh-CN"/>
        </w:rPr>
      </w:pPr>
      <w:r>
        <w:rPr>
          <w:rFonts w:hint="eastAsia" w:ascii="仿宋_GB2312" w:hAnsi="仿宋_GB2312" w:eastAsia="仿宋_GB2312" w:cs="仿宋_GB2312"/>
          <w:b/>
          <w:color w:val="auto"/>
          <w:sz w:val="32"/>
          <w:szCs w:val="32"/>
          <w:highlight w:val="none"/>
        </w:rPr>
        <w:t>附件</w:t>
      </w:r>
      <w:r>
        <w:rPr>
          <w:rFonts w:hint="eastAsia" w:ascii="仿宋_GB2312" w:hAnsi="仿宋_GB2312" w:eastAsia="仿宋_GB2312" w:cs="仿宋_GB2312"/>
          <w:b/>
          <w:color w:val="auto"/>
          <w:sz w:val="32"/>
          <w:szCs w:val="32"/>
          <w:highlight w:val="none"/>
          <w:lang w:val="en-US" w:eastAsia="zh-CN"/>
        </w:rPr>
        <w:t>4</w:t>
      </w:r>
    </w:p>
    <w:p w14:paraId="43F6A3E2">
      <w:pPr>
        <w:spacing w:line="360" w:lineRule="auto"/>
        <w:jc w:val="center"/>
        <w:rPr>
          <w:rFonts w:hint="default" w:ascii="仿宋_GB2312" w:eastAsia="仿宋_GB2312"/>
          <w:color w:val="auto"/>
          <w:sz w:val="24"/>
          <w:highlight w:val="none"/>
        </w:rPr>
      </w:pPr>
      <w:r>
        <w:rPr>
          <w:rFonts w:hint="eastAsia" w:ascii="仿宋_GB2312" w:hAnsi="仿宋_GB2312" w:eastAsia="仿宋_GB2312" w:cs="仿宋_GB2312"/>
          <w:b/>
          <w:color w:val="auto"/>
          <w:sz w:val="32"/>
          <w:szCs w:val="32"/>
          <w:highlight w:val="none"/>
        </w:rPr>
        <w:t>承包商违规行为处罚条例</w:t>
      </w:r>
    </w:p>
    <w:tbl>
      <w:tblPr>
        <w:tblStyle w:val="8"/>
        <w:tblpPr w:leftFromText="180" w:rightFromText="180" w:vertAnchor="text" w:horzAnchor="page" w:tblpX="1203" w:tblpY="659"/>
        <w:tblOverlap w:val="never"/>
        <w:tblW w:w="9870" w:type="dxa"/>
        <w:tblInd w:w="0" w:type="dxa"/>
        <w:tblLayout w:type="autofit"/>
        <w:tblCellMar>
          <w:top w:w="0" w:type="dxa"/>
          <w:left w:w="108" w:type="dxa"/>
          <w:bottom w:w="0" w:type="dxa"/>
          <w:right w:w="108" w:type="dxa"/>
        </w:tblCellMar>
      </w:tblPr>
      <w:tblGrid>
        <w:gridCol w:w="735"/>
        <w:gridCol w:w="1275"/>
        <w:gridCol w:w="2791"/>
        <w:gridCol w:w="1439"/>
        <w:gridCol w:w="1130"/>
        <w:gridCol w:w="1250"/>
        <w:gridCol w:w="1250"/>
      </w:tblGrid>
      <w:tr w14:paraId="1CE59B49">
        <w:tblPrEx>
          <w:tblCellMar>
            <w:top w:w="0" w:type="dxa"/>
            <w:left w:w="108" w:type="dxa"/>
            <w:bottom w:w="0" w:type="dxa"/>
            <w:right w:w="108" w:type="dxa"/>
          </w:tblCellMar>
        </w:tblPrEx>
        <w:trPr>
          <w:trHeight w:val="6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CA736">
            <w:pPr>
              <w:widowControl/>
              <w:jc w:val="center"/>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序号</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9EC53">
            <w:pPr>
              <w:widowControl/>
              <w:jc w:val="center"/>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项目</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B5B3E">
            <w:pPr>
              <w:widowControl/>
              <w:jc w:val="center"/>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内容</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A7DD7">
            <w:pPr>
              <w:widowControl/>
              <w:jc w:val="center"/>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罚款说明</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C9956">
            <w:pPr>
              <w:widowControl/>
              <w:jc w:val="center"/>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第一次违反</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B8613">
            <w:pPr>
              <w:widowControl/>
              <w:jc w:val="center"/>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第二次违反</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497BD">
            <w:pPr>
              <w:widowControl/>
              <w:jc w:val="center"/>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三次以上违反</w:t>
            </w:r>
          </w:p>
        </w:tc>
      </w:tr>
      <w:tr w14:paraId="30952E6A">
        <w:tblPrEx>
          <w:tblCellMar>
            <w:top w:w="0" w:type="dxa"/>
            <w:left w:w="108" w:type="dxa"/>
            <w:bottom w:w="0" w:type="dxa"/>
            <w:right w:w="108" w:type="dxa"/>
          </w:tblCellMar>
        </w:tblPrEx>
        <w:trPr>
          <w:trHeight w:val="454" w:hRule="atLeast"/>
        </w:trPr>
        <w:tc>
          <w:tcPr>
            <w:tcW w:w="735" w:type="dxa"/>
            <w:tcBorders>
              <w:top w:val="nil"/>
              <w:left w:val="single" w:color="000000" w:sz="4" w:space="0"/>
              <w:bottom w:val="single" w:color="000000" w:sz="4" w:space="0"/>
              <w:right w:val="single" w:color="000000" w:sz="4" w:space="0"/>
            </w:tcBorders>
            <w:shd w:val="clear" w:color="auto" w:fill="BFBFBF"/>
            <w:vAlign w:val="center"/>
          </w:tcPr>
          <w:p w14:paraId="57AECB41">
            <w:pPr>
              <w:widowControl/>
              <w:jc w:val="center"/>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一</w:t>
            </w:r>
          </w:p>
        </w:tc>
        <w:tc>
          <w:tcPr>
            <w:tcW w:w="4066" w:type="dxa"/>
            <w:gridSpan w:val="2"/>
            <w:tcBorders>
              <w:top w:val="nil"/>
              <w:left w:val="single" w:color="000000" w:sz="4" w:space="0"/>
              <w:bottom w:val="single" w:color="000000" w:sz="4" w:space="0"/>
              <w:right w:val="single" w:color="000000" w:sz="4" w:space="0"/>
            </w:tcBorders>
            <w:shd w:val="clear" w:color="auto" w:fill="BFBFBF"/>
            <w:vAlign w:val="center"/>
          </w:tcPr>
          <w:p w14:paraId="25B7ACAA">
            <w:pPr>
              <w:widowControl/>
              <w:jc w:val="left"/>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工程前期准备</w:t>
            </w:r>
          </w:p>
        </w:tc>
        <w:tc>
          <w:tcPr>
            <w:tcW w:w="1439" w:type="dxa"/>
            <w:tcBorders>
              <w:top w:val="nil"/>
              <w:left w:val="single" w:color="000000" w:sz="4" w:space="0"/>
              <w:bottom w:val="single" w:color="000000" w:sz="4" w:space="0"/>
              <w:right w:val="single" w:color="000000" w:sz="4" w:space="0"/>
            </w:tcBorders>
            <w:shd w:val="clear" w:color="auto" w:fill="BFBFBF"/>
            <w:vAlign w:val="center"/>
          </w:tcPr>
          <w:p w14:paraId="59891ECC">
            <w:pPr>
              <w:jc w:val="center"/>
              <w:rPr>
                <w:rFonts w:hint="eastAsia" w:ascii="仿宋_GB2312" w:hAnsi="仿宋_GB2312" w:eastAsia="仿宋_GB2312" w:cs="仿宋_GB2312"/>
                <w:b/>
                <w:bCs/>
                <w:color w:val="000000"/>
                <w:sz w:val="20"/>
                <w:szCs w:val="20"/>
                <w:highlight w:val="none"/>
              </w:rPr>
            </w:pPr>
          </w:p>
        </w:tc>
        <w:tc>
          <w:tcPr>
            <w:tcW w:w="3630" w:type="dxa"/>
            <w:gridSpan w:val="3"/>
            <w:tcBorders>
              <w:top w:val="nil"/>
              <w:left w:val="single" w:color="000000" w:sz="4" w:space="0"/>
              <w:bottom w:val="single" w:color="000000" w:sz="4" w:space="0"/>
              <w:right w:val="single" w:color="000000" w:sz="4" w:space="0"/>
            </w:tcBorders>
            <w:shd w:val="clear" w:color="auto" w:fill="BFBFBF"/>
            <w:vAlign w:val="center"/>
          </w:tcPr>
          <w:p w14:paraId="0D630842">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单位：元/次</w:t>
            </w:r>
          </w:p>
        </w:tc>
      </w:tr>
      <w:tr w14:paraId="4816D4C8">
        <w:tblPrEx>
          <w:tblCellMar>
            <w:top w:w="0" w:type="dxa"/>
            <w:left w:w="108" w:type="dxa"/>
            <w:bottom w:w="0" w:type="dxa"/>
            <w:right w:w="108" w:type="dxa"/>
          </w:tblCellMar>
        </w:tblPrEx>
        <w:trPr>
          <w:trHeight w:val="6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85552">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71D92">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持证上岗</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767EA">
            <w:pPr>
              <w:widowControl/>
              <w:jc w:val="left"/>
              <w:textAlignment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0"/>
                <w:sz w:val="20"/>
                <w:szCs w:val="20"/>
                <w:highlight w:val="none"/>
                <w:lang w:bidi="ar"/>
              </w:rPr>
              <w:t>施工劳动力安排合理、充足，具备持证上岗资格。</w:t>
            </w:r>
            <w:r>
              <w:rPr>
                <w:rFonts w:hint="eastAsia" w:ascii="仿宋_GB2312" w:hAnsi="仿宋_GB2312" w:eastAsia="仿宋_GB2312" w:cs="仿宋_GB2312"/>
                <w:color w:val="000000"/>
                <w:kern w:val="0"/>
                <w:sz w:val="20"/>
                <w:szCs w:val="20"/>
                <w:highlight w:val="none"/>
                <w:lang w:val="en-US" w:eastAsia="zh-CN" w:bidi="ar"/>
              </w:rPr>
              <w:t>特种作业人员应具备特种作业人员证件，如电工证、高空作业证、焊接与热切割作业证等。</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32BFB">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不符合上述规定</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F433F">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23B50">
            <w:pPr>
              <w:widowControl/>
              <w:jc w:val="center"/>
              <w:textAlignment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89928">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1B538536">
        <w:tblPrEx>
          <w:tblCellMar>
            <w:top w:w="0" w:type="dxa"/>
            <w:left w:w="108" w:type="dxa"/>
            <w:bottom w:w="0" w:type="dxa"/>
            <w:right w:w="108" w:type="dxa"/>
          </w:tblCellMar>
        </w:tblPrEx>
        <w:trPr>
          <w:trHeight w:val="99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BAED4">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9D4A4">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工器具管理</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B4066">
            <w:pPr>
              <w:widowControl/>
              <w:jc w:val="left"/>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bidi="ar"/>
              </w:rPr>
              <w:t>施工机械、施工机具、工器具、安全工器具</w:t>
            </w:r>
            <w:r>
              <w:rPr>
                <w:rFonts w:hint="eastAsia" w:ascii="仿宋_GB2312" w:hAnsi="仿宋_GB2312" w:eastAsia="仿宋_GB2312" w:cs="仿宋_GB2312"/>
                <w:color w:val="000000"/>
                <w:kern w:val="0"/>
                <w:sz w:val="20"/>
                <w:szCs w:val="20"/>
                <w:highlight w:val="none"/>
                <w:lang w:val="en-US" w:eastAsia="zh-CN" w:bidi="ar"/>
              </w:rPr>
              <w:t>不符合安全规定</w:t>
            </w:r>
            <w:r>
              <w:rPr>
                <w:rFonts w:hint="eastAsia" w:ascii="仿宋_GB2312" w:hAnsi="仿宋_GB2312" w:eastAsia="仿宋_GB2312" w:cs="仿宋_GB2312"/>
                <w:color w:val="000000"/>
                <w:kern w:val="0"/>
                <w:sz w:val="20"/>
                <w:szCs w:val="20"/>
                <w:highlight w:val="none"/>
                <w:lang w:bidi="ar"/>
              </w:rPr>
              <w:t>；</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632E0">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不符合</w:t>
            </w:r>
            <w:r>
              <w:rPr>
                <w:rFonts w:hint="eastAsia" w:ascii="仿宋_GB2312" w:hAnsi="仿宋_GB2312" w:eastAsia="仿宋_GB2312" w:cs="仿宋_GB2312"/>
                <w:color w:val="000000"/>
                <w:kern w:val="0"/>
                <w:sz w:val="20"/>
                <w:szCs w:val="20"/>
                <w:highlight w:val="none"/>
                <w:lang w:val="en-US" w:eastAsia="zh-CN" w:bidi="ar"/>
              </w:rPr>
              <w:t>安全</w:t>
            </w:r>
            <w:r>
              <w:rPr>
                <w:rFonts w:hint="eastAsia" w:ascii="仿宋_GB2312" w:hAnsi="仿宋_GB2312" w:eastAsia="仿宋_GB2312" w:cs="仿宋_GB2312"/>
                <w:color w:val="000000"/>
                <w:kern w:val="0"/>
                <w:sz w:val="20"/>
                <w:szCs w:val="20"/>
                <w:highlight w:val="none"/>
                <w:lang w:bidi="ar"/>
              </w:rPr>
              <w:t>规定</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A3611">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9CDE0">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4D1A4">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1CBBD09D">
        <w:tblPrEx>
          <w:tblCellMar>
            <w:top w:w="0" w:type="dxa"/>
            <w:left w:w="108" w:type="dxa"/>
            <w:bottom w:w="0" w:type="dxa"/>
            <w:right w:w="108" w:type="dxa"/>
          </w:tblCellMar>
        </w:tblPrEx>
        <w:trPr>
          <w:trHeight w:val="116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A25C9">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C9629">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固定场所配置</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9C3E1">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五牌一图按规范挂设，按合同约定设立项目部（如有）</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B61D2">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在材料/施工人员进场前未完成，不符合上述规定</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2A9EA">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D83B4">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65090">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156720C0">
        <w:tblPrEx>
          <w:tblCellMar>
            <w:top w:w="0" w:type="dxa"/>
            <w:left w:w="108" w:type="dxa"/>
            <w:bottom w:w="0" w:type="dxa"/>
            <w:right w:w="108" w:type="dxa"/>
          </w:tblCellMar>
        </w:tblPrEx>
        <w:trPr>
          <w:trHeight w:val="116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72B57">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E6649">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人员准备</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11EE1">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施工现场未准备实名制花名册的，或施工人员意外险保额少于80万/人的。</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C4070">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存在以上问题的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89C32">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5AD89">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73E9C">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罚款500</w:t>
            </w:r>
          </w:p>
        </w:tc>
      </w:tr>
      <w:tr w14:paraId="72FDF61D">
        <w:tblPrEx>
          <w:tblCellMar>
            <w:top w:w="0" w:type="dxa"/>
            <w:left w:w="108" w:type="dxa"/>
            <w:bottom w:w="0" w:type="dxa"/>
            <w:right w:w="108" w:type="dxa"/>
          </w:tblCellMar>
        </w:tblPrEx>
        <w:trPr>
          <w:trHeight w:val="116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6B563">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C8FA0">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人员准备</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7E81B">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施工现场实际施工人员与现场名制花名册对不上的，或现场实际施工人员未购买意外险的；</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95F61">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存在以上问题的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5BECA">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12CB0">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9C81C">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罚款500</w:t>
            </w:r>
          </w:p>
        </w:tc>
      </w:tr>
      <w:tr w14:paraId="30195E48">
        <w:tblPrEx>
          <w:tblCellMar>
            <w:top w:w="0" w:type="dxa"/>
            <w:left w:w="108" w:type="dxa"/>
            <w:bottom w:w="0" w:type="dxa"/>
            <w:right w:w="108" w:type="dxa"/>
          </w:tblCellMar>
        </w:tblPrEx>
        <w:trPr>
          <w:trHeight w:val="116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03806">
            <w:pPr>
              <w:widowControl/>
              <w:jc w:val="center"/>
              <w:textAlignment w:val="center"/>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6</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E711A">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特殊作业许可</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213A6">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施工现场需要特殊作业的，如吊装作业、高空作业、临时用电作业、焊接作业等应取得发包人现场代表的许可单才可作业</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3760A">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未经许可擅自进行特殊作业的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359E8">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CC0B0">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D3A23">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罚款500</w:t>
            </w:r>
          </w:p>
        </w:tc>
      </w:tr>
      <w:tr w14:paraId="319E0900">
        <w:tblPrEx>
          <w:tblCellMar>
            <w:top w:w="0" w:type="dxa"/>
            <w:left w:w="108" w:type="dxa"/>
            <w:bottom w:w="0" w:type="dxa"/>
            <w:right w:w="108" w:type="dxa"/>
          </w:tblCellMar>
        </w:tblPrEx>
        <w:trPr>
          <w:trHeight w:val="116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5C05A">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7</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056B2">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
              </w:rPr>
              <w:t>防疫工作</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08577">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在防疫期间，消极对待防疫工作的，屡劝不改的。</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E1873">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防疫消极的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DD4A9">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A9806">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97E5F">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罚款500</w:t>
            </w:r>
          </w:p>
        </w:tc>
      </w:tr>
      <w:tr w14:paraId="4DE19BDB">
        <w:tblPrEx>
          <w:tblCellMar>
            <w:top w:w="0" w:type="dxa"/>
            <w:left w:w="108" w:type="dxa"/>
            <w:bottom w:w="0" w:type="dxa"/>
            <w:right w:w="108" w:type="dxa"/>
          </w:tblCellMar>
        </w:tblPrEx>
        <w:trPr>
          <w:trHeight w:val="470" w:hRule="atLeast"/>
        </w:trPr>
        <w:tc>
          <w:tcPr>
            <w:tcW w:w="735"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6628962A">
            <w:pPr>
              <w:widowControl/>
              <w:jc w:val="center"/>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二</w:t>
            </w:r>
          </w:p>
        </w:tc>
        <w:tc>
          <w:tcPr>
            <w:tcW w:w="5505" w:type="dxa"/>
            <w:gridSpan w:val="3"/>
            <w:tcBorders>
              <w:top w:val="single" w:color="000000" w:sz="4" w:space="0"/>
              <w:left w:val="single" w:color="000000" w:sz="4" w:space="0"/>
              <w:bottom w:val="single" w:color="000000" w:sz="4" w:space="0"/>
              <w:right w:val="single" w:color="000000" w:sz="4" w:space="0"/>
            </w:tcBorders>
            <w:shd w:val="clear" w:color="auto" w:fill="BFBFBF"/>
            <w:vAlign w:val="center"/>
          </w:tcPr>
          <w:p w14:paraId="227A1332">
            <w:pPr>
              <w:widowControl/>
              <w:jc w:val="left"/>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工程安全管理</w:t>
            </w:r>
          </w:p>
        </w:tc>
        <w:tc>
          <w:tcPr>
            <w:tcW w:w="3630" w:type="dxa"/>
            <w:gridSpan w:val="3"/>
            <w:tcBorders>
              <w:top w:val="single" w:color="000000" w:sz="4" w:space="0"/>
              <w:left w:val="single" w:color="000000" w:sz="4" w:space="0"/>
              <w:bottom w:val="single" w:color="000000" w:sz="4" w:space="0"/>
              <w:right w:val="single" w:color="000000" w:sz="4" w:space="0"/>
            </w:tcBorders>
            <w:shd w:val="clear" w:color="auto" w:fill="BFBFBF"/>
            <w:vAlign w:val="center"/>
          </w:tcPr>
          <w:p w14:paraId="25629FF4">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单位：元</w:t>
            </w:r>
            <w:r>
              <w:rPr>
                <w:rFonts w:hint="eastAsia" w:ascii="仿宋_GB2312" w:hAnsi="仿宋_GB2312" w:eastAsia="仿宋_GB2312" w:cs="仿宋_GB2312"/>
                <w:color w:val="000000"/>
                <w:kern w:val="0"/>
                <w:sz w:val="20"/>
                <w:szCs w:val="20"/>
                <w:highlight w:val="none"/>
                <w:lang w:val="en-US" w:eastAsia="zh-CN" w:bidi="ar"/>
              </w:rPr>
              <w:t>/</w:t>
            </w:r>
            <w:r>
              <w:rPr>
                <w:rFonts w:hint="eastAsia" w:ascii="仿宋_GB2312" w:hAnsi="仿宋_GB2312" w:eastAsia="仿宋_GB2312" w:cs="仿宋_GB2312"/>
                <w:color w:val="000000"/>
                <w:kern w:val="0"/>
                <w:sz w:val="20"/>
                <w:szCs w:val="20"/>
                <w:highlight w:val="none"/>
                <w:lang w:bidi="ar"/>
              </w:rPr>
              <w:t>次</w:t>
            </w:r>
          </w:p>
        </w:tc>
      </w:tr>
      <w:tr w14:paraId="1BC2031A">
        <w:tblPrEx>
          <w:tblCellMar>
            <w:top w:w="0" w:type="dxa"/>
            <w:left w:w="108" w:type="dxa"/>
            <w:bottom w:w="0" w:type="dxa"/>
            <w:right w:w="108" w:type="dxa"/>
          </w:tblCellMar>
        </w:tblPrEx>
        <w:trPr>
          <w:trHeight w:val="122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DDFC7">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2325A">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bidi="ar"/>
              </w:rPr>
              <w:t>劳保用品使用</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7BFCA">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bidi="ar"/>
              </w:rPr>
              <w:t>作业人员按照规定</w:t>
            </w:r>
            <w:r>
              <w:rPr>
                <w:rFonts w:hint="eastAsia" w:ascii="仿宋_GB2312" w:hAnsi="仿宋_GB2312" w:eastAsia="仿宋_GB2312" w:cs="仿宋_GB2312"/>
                <w:color w:val="000000"/>
                <w:kern w:val="0"/>
                <w:sz w:val="20"/>
                <w:szCs w:val="20"/>
                <w:highlight w:val="none"/>
                <w:lang w:val="en-US" w:eastAsia="zh-CN" w:bidi="ar"/>
              </w:rPr>
              <w:t>佩戴安全帽、反光衣/劳动工作服等劳保用具，安全帽应系紧下颚带，且安全帽应在有效期内。</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5CFCD">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bidi="ar"/>
              </w:rPr>
              <w:t>没使用劳务用具、或没正确使用劳务安全用具均属于以上范畴</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AEC3C">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bidi="ar"/>
              </w:rPr>
              <w:t>罚款</w:t>
            </w:r>
            <w:r>
              <w:rPr>
                <w:rFonts w:hint="eastAsia" w:ascii="仿宋_GB2312" w:hAnsi="仿宋_GB2312" w:eastAsia="仿宋_GB2312" w:cs="仿宋_GB2312"/>
                <w:color w:val="000000"/>
                <w:kern w:val="0"/>
                <w:sz w:val="20"/>
                <w:szCs w:val="20"/>
                <w:highlight w:val="none"/>
                <w:lang w:val="en-US" w:eastAsia="zh-CN" w:bidi="ar"/>
              </w:rPr>
              <w:t>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AFA83">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w:t>
            </w:r>
            <w:r>
              <w:rPr>
                <w:rFonts w:hint="eastAsia" w:ascii="仿宋_GB2312" w:hAnsi="仿宋_GB2312" w:eastAsia="仿宋_GB2312" w:cs="仿宋_GB2312"/>
                <w:color w:val="000000"/>
                <w:kern w:val="0"/>
                <w:sz w:val="20"/>
                <w:szCs w:val="20"/>
                <w:highlight w:val="none"/>
                <w:lang w:val="en-US" w:eastAsia="zh-CN" w:bidi="ar"/>
              </w:rPr>
              <w:t>3</w:t>
            </w:r>
            <w:r>
              <w:rPr>
                <w:rFonts w:hint="eastAsia" w:ascii="仿宋_GB2312" w:hAnsi="仿宋_GB2312" w:eastAsia="仿宋_GB2312" w:cs="仿宋_GB2312"/>
                <w:color w:val="000000"/>
                <w:kern w:val="0"/>
                <w:sz w:val="20"/>
                <w:szCs w:val="20"/>
                <w:highlight w:val="none"/>
                <w:lang w:eastAsia="zh-CN" w:bidi="ar"/>
              </w:rPr>
              <w:t>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19FD7">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bidi="ar"/>
              </w:rPr>
              <w:t>罚款</w:t>
            </w:r>
            <w:r>
              <w:rPr>
                <w:rFonts w:hint="eastAsia" w:ascii="仿宋_GB2312" w:hAnsi="仿宋_GB2312" w:eastAsia="仿宋_GB2312" w:cs="仿宋_GB2312"/>
                <w:color w:val="000000"/>
                <w:kern w:val="0"/>
                <w:sz w:val="20"/>
                <w:szCs w:val="20"/>
                <w:highlight w:val="none"/>
                <w:lang w:val="en-US" w:eastAsia="zh-CN" w:bidi="ar"/>
              </w:rPr>
              <w:t>300</w:t>
            </w:r>
          </w:p>
        </w:tc>
      </w:tr>
      <w:tr w14:paraId="39650DCB">
        <w:tblPrEx>
          <w:tblCellMar>
            <w:top w:w="0" w:type="dxa"/>
            <w:left w:w="108" w:type="dxa"/>
            <w:bottom w:w="0" w:type="dxa"/>
            <w:right w:w="108" w:type="dxa"/>
          </w:tblCellMar>
        </w:tblPrEx>
        <w:trPr>
          <w:trHeight w:val="122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B324C">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1B49E">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每日交底</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00239">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
              </w:rPr>
              <w:t>每天施工前应在当天上报站班会，由专职安全员/项目经理对班组进行每日交底。</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E1340">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发现当日擅自施工的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36341">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bidi="ar"/>
              </w:rPr>
              <w:t>罚款</w:t>
            </w:r>
            <w:r>
              <w:rPr>
                <w:rFonts w:hint="eastAsia" w:ascii="仿宋_GB2312" w:hAnsi="仿宋_GB2312" w:eastAsia="仿宋_GB2312" w:cs="仿宋_GB2312"/>
                <w:color w:val="000000"/>
                <w:kern w:val="0"/>
                <w:sz w:val="20"/>
                <w:szCs w:val="20"/>
                <w:highlight w:val="none"/>
                <w:lang w:val="en-US" w:eastAsia="zh-CN" w:bidi="ar"/>
              </w:rPr>
              <w:t>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0F21E">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w:t>
            </w:r>
            <w:r>
              <w:rPr>
                <w:rFonts w:hint="eastAsia" w:ascii="仿宋_GB2312" w:hAnsi="仿宋_GB2312" w:eastAsia="仿宋_GB2312" w:cs="仿宋_GB2312"/>
                <w:color w:val="000000"/>
                <w:kern w:val="0"/>
                <w:sz w:val="20"/>
                <w:szCs w:val="20"/>
                <w:highlight w:val="none"/>
                <w:lang w:val="en-US" w:eastAsia="zh-CN" w:bidi="ar"/>
              </w:rPr>
              <w:t>3</w:t>
            </w:r>
            <w:r>
              <w:rPr>
                <w:rFonts w:hint="eastAsia" w:ascii="仿宋_GB2312" w:hAnsi="仿宋_GB2312" w:eastAsia="仿宋_GB2312" w:cs="仿宋_GB2312"/>
                <w:color w:val="000000"/>
                <w:kern w:val="0"/>
                <w:sz w:val="20"/>
                <w:szCs w:val="20"/>
                <w:highlight w:val="none"/>
                <w:lang w:eastAsia="zh-CN" w:bidi="ar"/>
              </w:rPr>
              <w:t>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AD74F">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bidi="ar"/>
              </w:rPr>
              <w:t>罚款</w:t>
            </w:r>
            <w:r>
              <w:rPr>
                <w:rFonts w:hint="eastAsia" w:ascii="仿宋_GB2312" w:hAnsi="仿宋_GB2312" w:eastAsia="仿宋_GB2312" w:cs="仿宋_GB2312"/>
                <w:color w:val="000000"/>
                <w:kern w:val="0"/>
                <w:sz w:val="20"/>
                <w:szCs w:val="20"/>
                <w:highlight w:val="none"/>
                <w:lang w:val="en-US" w:eastAsia="zh-CN" w:bidi="ar"/>
              </w:rPr>
              <w:t>500</w:t>
            </w:r>
          </w:p>
        </w:tc>
      </w:tr>
      <w:tr w14:paraId="7BF14BA8">
        <w:tblPrEx>
          <w:tblCellMar>
            <w:top w:w="0" w:type="dxa"/>
            <w:left w:w="108" w:type="dxa"/>
            <w:bottom w:w="0" w:type="dxa"/>
            <w:right w:w="108" w:type="dxa"/>
          </w:tblCellMar>
        </w:tblPrEx>
        <w:trPr>
          <w:trHeight w:val="106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376EA">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0EA65">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文明施工</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35044">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遵守施工现场管理要求，做到安全警示标志齐全、安全防护措施有效、施工材料定置摆放、现场道路过道畅通无阻。</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E7CA8">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不符合上述规定</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63343">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025A2">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3D209">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72388B0C">
        <w:tblPrEx>
          <w:tblCellMar>
            <w:top w:w="0" w:type="dxa"/>
            <w:left w:w="108" w:type="dxa"/>
            <w:bottom w:w="0" w:type="dxa"/>
            <w:right w:w="108" w:type="dxa"/>
          </w:tblCellMar>
        </w:tblPrEx>
        <w:trPr>
          <w:trHeight w:val="100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18526">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E68E9">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安全隐患限时整改</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C4011">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规定的期限内，按照业主项目部及监理单位下发的安全隐患整改通知单限时进行隐患原因分析及整改。</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E301B">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限时约定时间按通知单约定，若超过约定整改时间者</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6394E">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B0B6A">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58281">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4DFEAFF8">
        <w:tblPrEx>
          <w:tblCellMar>
            <w:top w:w="0" w:type="dxa"/>
            <w:left w:w="108" w:type="dxa"/>
            <w:bottom w:w="0" w:type="dxa"/>
            <w:right w:w="108" w:type="dxa"/>
          </w:tblCellMar>
        </w:tblPrEx>
        <w:trPr>
          <w:trHeight w:val="144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20EB8">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3BBCB">
            <w:pPr>
              <w:widowControl/>
              <w:jc w:val="center"/>
              <w:textAlignment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0"/>
                <w:sz w:val="20"/>
                <w:szCs w:val="20"/>
                <w:highlight w:val="none"/>
                <w:lang w:bidi="ar"/>
              </w:rPr>
              <w:t>电源箱</w:t>
            </w:r>
            <w:r>
              <w:rPr>
                <w:rFonts w:hint="eastAsia" w:ascii="仿宋_GB2312" w:hAnsi="仿宋_GB2312" w:eastAsia="仿宋_GB2312" w:cs="仿宋_GB2312"/>
                <w:color w:val="000000"/>
                <w:kern w:val="0"/>
                <w:sz w:val="20"/>
                <w:szCs w:val="20"/>
                <w:highlight w:val="none"/>
                <w:lang w:val="en-US" w:eastAsia="zh-CN" w:bidi="ar"/>
              </w:rPr>
              <w:t>/临时用电</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13EF9">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电源箱、柜、板符合作业环境要求，编号、识别标记齐全醒目，箱、柜、板内外整洁、完好，无杂物、无积水，有足够的操作空间，符合安全规程要求，箱、柜、门完好，开关外壳、消弧罩齐全，引入、引出电缆孔洞封堵严密，室外电源箱防雨设施良好。</w:t>
            </w:r>
            <w:r>
              <w:rPr>
                <w:rFonts w:hint="eastAsia" w:ascii="仿宋_GB2312" w:hAnsi="仿宋_GB2312" w:eastAsia="仿宋_GB2312" w:cs="仿宋_GB2312"/>
                <w:color w:val="000000"/>
                <w:kern w:val="0"/>
                <w:sz w:val="20"/>
                <w:szCs w:val="20"/>
                <w:highlight w:val="none"/>
                <w:lang w:bidi="ar"/>
              </w:rPr>
              <w:br w:type="textWrapping"/>
            </w:r>
            <w:r>
              <w:rPr>
                <w:rFonts w:hint="eastAsia" w:ascii="仿宋_GB2312" w:hAnsi="仿宋_GB2312" w:eastAsia="仿宋_GB2312" w:cs="仿宋_GB2312"/>
                <w:color w:val="000000"/>
                <w:kern w:val="0"/>
                <w:sz w:val="20"/>
                <w:szCs w:val="20"/>
                <w:highlight w:val="none"/>
                <w:lang w:bidi="ar"/>
              </w:rPr>
              <w:t>导线敷设符合规定，内部器件安装及配线工艺符合安全要求，漏电保护装置配置合理、动作可靠，各路配线负荷标志清晰，熔丝（片）容量符合规程要求，无铜丝、铝线等其他物质代替熔丝现象。</w:t>
            </w:r>
            <w:r>
              <w:rPr>
                <w:rFonts w:hint="eastAsia" w:ascii="仿宋_GB2312" w:hAnsi="仿宋_GB2312" w:eastAsia="仿宋_GB2312" w:cs="仿宋_GB2312"/>
                <w:color w:val="000000"/>
                <w:kern w:val="0"/>
                <w:sz w:val="20"/>
                <w:szCs w:val="20"/>
                <w:highlight w:val="none"/>
                <w:lang w:bidi="ar"/>
              </w:rPr>
              <w:br w:type="textWrapping"/>
            </w:r>
            <w:r>
              <w:rPr>
                <w:rFonts w:hint="eastAsia" w:ascii="仿宋_GB2312" w:hAnsi="仿宋_GB2312" w:eastAsia="仿宋_GB2312" w:cs="仿宋_GB2312"/>
                <w:color w:val="000000"/>
                <w:kern w:val="0"/>
                <w:sz w:val="20"/>
                <w:szCs w:val="20"/>
                <w:highlight w:val="none"/>
                <w:lang w:bidi="ar"/>
              </w:rPr>
              <w:t>保护接地、接零系统连接正确、牢固可靠，符合安全要求，插座相线、中性线布置符合规定，接线端子标志清楚，保护装置齐全，与负荷匹配合理，外露带电部分屏护完好。</w:t>
            </w:r>
            <w:r>
              <w:rPr>
                <w:rFonts w:hint="eastAsia" w:ascii="仿宋_GB2312" w:hAnsi="仿宋_GB2312" w:eastAsia="仿宋_GB2312" w:cs="仿宋_GB2312"/>
                <w:color w:val="000000"/>
                <w:kern w:val="0"/>
                <w:sz w:val="20"/>
                <w:szCs w:val="20"/>
                <w:highlight w:val="none"/>
                <w:lang w:bidi="ar"/>
              </w:rPr>
              <w:br w:type="textWrapping"/>
            </w:r>
            <w:r>
              <w:rPr>
                <w:rFonts w:hint="eastAsia" w:ascii="仿宋_GB2312" w:hAnsi="仿宋_GB2312" w:eastAsia="仿宋_GB2312" w:cs="仿宋_GB2312"/>
                <w:color w:val="000000"/>
                <w:kern w:val="0"/>
                <w:sz w:val="20"/>
                <w:szCs w:val="20"/>
                <w:highlight w:val="none"/>
                <w:lang w:bidi="ar"/>
              </w:rPr>
              <w:t>临时用电接线应经过允许，使用绝缘良好、并与负荷匹配的护套软管，敷设符合安全要求，装有总开关控制和漏电保护装置，每分路应装设与负荷匹配的熔断器，临时用电设备接地可靠，严禁在有爆炸和火灾危险场所设临时线路，不得在刀闸或开关上口使用插头、开关。</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10655">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不符合上述规定</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CE594">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F08B5">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AE3F1">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501A48BE">
        <w:tblPrEx>
          <w:tblCellMar>
            <w:top w:w="0" w:type="dxa"/>
            <w:left w:w="108" w:type="dxa"/>
            <w:bottom w:w="0" w:type="dxa"/>
            <w:right w:w="108" w:type="dxa"/>
          </w:tblCellMar>
        </w:tblPrEx>
        <w:trPr>
          <w:trHeight w:val="144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DD978">
            <w:pPr>
              <w:widowControl/>
              <w:jc w:val="center"/>
              <w:textAlignment w:val="center"/>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6</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4E332">
            <w:pPr>
              <w:widowControl/>
              <w:jc w:val="center"/>
              <w:textAlignment w:val="center"/>
              <w:rPr>
                <w:rFonts w:hint="eastAsia" w:ascii="仿宋_GB2312" w:hAnsi="仿宋_GB2312" w:eastAsia="仿宋_GB2312" w:cs="仿宋_GB2312"/>
                <w:color w:val="000000"/>
                <w:kern w:val="0"/>
                <w:sz w:val="20"/>
                <w:szCs w:val="20"/>
                <w:highlight w:val="none"/>
                <w:lang w:bidi="ar"/>
              </w:rPr>
            </w:pPr>
            <w:r>
              <w:rPr>
                <w:rFonts w:hint="eastAsia" w:ascii="仿宋_GB2312" w:hAnsi="仿宋_GB2312" w:eastAsia="仿宋_GB2312" w:cs="仿宋_GB2312"/>
                <w:color w:val="000000"/>
                <w:kern w:val="0"/>
                <w:sz w:val="20"/>
                <w:szCs w:val="20"/>
                <w:highlight w:val="none"/>
                <w:lang w:bidi="ar"/>
              </w:rPr>
              <w:t>电源箱</w:t>
            </w:r>
            <w:r>
              <w:rPr>
                <w:rFonts w:hint="eastAsia" w:ascii="仿宋_GB2312" w:hAnsi="仿宋_GB2312" w:eastAsia="仿宋_GB2312" w:cs="仿宋_GB2312"/>
                <w:color w:val="000000"/>
                <w:kern w:val="0"/>
                <w:sz w:val="20"/>
                <w:szCs w:val="20"/>
                <w:highlight w:val="none"/>
                <w:lang w:val="en-US" w:eastAsia="zh-CN" w:bidi="ar"/>
              </w:rPr>
              <w:t>/临时用电</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407C6">
            <w:pPr>
              <w:widowControl/>
              <w:jc w:val="left"/>
              <w:textAlignment w:val="center"/>
              <w:rPr>
                <w:rFonts w:hint="eastAsia" w:ascii="仿宋_GB2312" w:hAnsi="仿宋_GB2312" w:eastAsia="仿宋_GB2312" w:cs="仿宋_GB2312"/>
                <w:color w:val="000000"/>
                <w:kern w:val="0"/>
                <w:sz w:val="20"/>
                <w:szCs w:val="20"/>
                <w:highlight w:val="none"/>
                <w:lang w:bidi="ar"/>
              </w:rPr>
            </w:pPr>
            <w:r>
              <w:rPr>
                <w:rFonts w:hint="eastAsia" w:ascii="仿宋_GB2312" w:hAnsi="仿宋_GB2312" w:eastAsia="仿宋_GB2312" w:cs="仿宋_GB2312"/>
                <w:color w:val="000000"/>
                <w:kern w:val="0"/>
                <w:sz w:val="20"/>
                <w:szCs w:val="20"/>
                <w:highlight w:val="none"/>
                <w:lang w:val="en-US" w:eastAsia="zh-CN" w:bidi="ar"/>
              </w:rPr>
              <w:t>临时用电的</w:t>
            </w:r>
            <w:r>
              <w:rPr>
                <w:rFonts w:hint="eastAsia" w:ascii="仿宋_GB2312" w:hAnsi="仿宋_GB2312" w:eastAsia="仿宋_GB2312" w:cs="仿宋_GB2312"/>
                <w:color w:val="000000"/>
                <w:kern w:val="0"/>
                <w:sz w:val="20"/>
                <w:szCs w:val="20"/>
                <w:highlight w:val="none"/>
                <w:lang w:bidi="ar"/>
              </w:rPr>
              <w:t>电源箱设置不符合“一机、一闸、一保护”要求，临时电源箱无漏电保护装置或漏电装置损坏，或插头、插座、电源箱破损明显，或使用铁线、铜线等代替保险丝。</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5E8CA">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
              </w:rPr>
              <w:t>存在上述违规的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323DF">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FB1E7">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DFBB2">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罚款500</w:t>
            </w:r>
          </w:p>
        </w:tc>
      </w:tr>
      <w:tr w14:paraId="538AB55F">
        <w:tblPrEx>
          <w:tblCellMar>
            <w:top w:w="0" w:type="dxa"/>
            <w:left w:w="108" w:type="dxa"/>
            <w:bottom w:w="0" w:type="dxa"/>
            <w:right w:w="108" w:type="dxa"/>
          </w:tblCellMar>
        </w:tblPrEx>
        <w:trPr>
          <w:trHeight w:val="144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FA1AE">
            <w:pPr>
              <w:widowControl/>
              <w:jc w:val="center"/>
              <w:textAlignment w:val="center"/>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6</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406AB">
            <w:pPr>
              <w:widowControl/>
              <w:jc w:val="center"/>
              <w:textAlignment w:val="center"/>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安全管理</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94B22">
            <w:pPr>
              <w:widowControl/>
              <w:jc w:val="left"/>
              <w:textAlignment w:val="center"/>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项目开工后，施工方应委派专职安全员对项目现场施工作业进行旁站管理，特种作业/危大作业/吊装作业/动火作业必须有效旁站。</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FC0A7">
            <w:pPr>
              <w:widowControl/>
              <w:jc w:val="left"/>
              <w:textAlignment w:val="center"/>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专职安全员/项目经理未到现场旁站的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9E581">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w:t>
            </w:r>
            <w:r>
              <w:rPr>
                <w:rFonts w:hint="eastAsia" w:ascii="仿宋_GB2312" w:hAnsi="仿宋_GB2312" w:eastAsia="仿宋_GB2312" w:cs="仿宋_GB2312"/>
                <w:color w:val="000000"/>
                <w:kern w:val="0"/>
                <w:sz w:val="20"/>
                <w:szCs w:val="20"/>
                <w:highlight w:val="none"/>
                <w:lang w:val="en-US" w:eastAsia="zh-CN" w:bidi="ar"/>
              </w:rPr>
              <w:t>2</w:t>
            </w:r>
            <w:r>
              <w:rPr>
                <w:rFonts w:hint="eastAsia" w:ascii="仿宋_GB2312" w:hAnsi="仿宋_GB2312" w:eastAsia="仿宋_GB2312" w:cs="仿宋_GB2312"/>
                <w:color w:val="000000"/>
                <w:kern w:val="0"/>
                <w:sz w:val="20"/>
                <w:szCs w:val="20"/>
                <w:highlight w:val="none"/>
                <w:lang w:eastAsia="zh-CN" w:bidi="ar"/>
              </w:rPr>
              <w:t>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310A3">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w:t>
            </w:r>
            <w:r>
              <w:rPr>
                <w:rFonts w:hint="eastAsia" w:ascii="仿宋_GB2312" w:hAnsi="仿宋_GB2312" w:eastAsia="仿宋_GB2312" w:cs="仿宋_GB2312"/>
                <w:color w:val="000000"/>
                <w:kern w:val="0"/>
                <w:sz w:val="20"/>
                <w:szCs w:val="20"/>
                <w:highlight w:val="none"/>
                <w:lang w:val="en-US" w:eastAsia="zh-CN" w:bidi="ar"/>
              </w:rPr>
              <w:t>3</w:t>
            </w:r>
            <w:r>
              <w:rPr>
                <w:rFonts w:hint="eastAsia" w:ascii="仿宋_GB2312" w:hAnsi="仿宋_GB2312" w:eastAsia="仿宋_GB2312" w:cs="仿宋_GB2312"/>
                <w:color w:val="000000"/>
                <w:kern w:val="0"/>
                <w:sz w:val="20"/>
                <w:szCs w:val="20"/>
                <w:highlight w:val="none"/>
                <w:lang w:eastAsia="zh-CN" w:bidi="ar"/>
              </w:rPr>
              <w:t>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8CE3C">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bidi="ar"/>
              </w:rPr>
              <w:t>罚款</w:t>
            </w:r>
            <w:r>
              <w:rPr>
                <w:rFonts w:hint="eastAsia" w:ascii="仿宋_GB2312" w:hAnsi="仿宋_GB2312" w:eastAsia="仿宋_GB2312" w:cs="仿宋_GB2312"/>
                <w:color w:val="000000"/>
                <w:kern w:val="0"/>
                <w:sz w:val="20"/>
                <w:szCs w:val="20"/>
                <w:highlight w:val="none"/>
                <w:lang w:val="en-US" w:eastAsia="zh-CN" w:bidi="ar"/>
              </w:rPr>
              <w:t>5</w:t>
            </w:r>
            <w:r>
              <w:rPr>
                <w:rFonts w:hint="eastAsia" w:ascii="仿宋_GB2312" w:hAnsi="仿宋_GB2312" w:eastAsia="仿宋_GB2312" w:cs="仿宋_GB2312"/>
                <w:color w:val="000000"/>
                <w:kern w:val="0"/>
                <w:sz w:val="20"/>
                <w:szCs w:val="20"/>
                <w:highlight w:val="none"/>
                <w:lang w:bidi="ar"/>
              </w:rPr>
              <w:t>00</w:t>
            </w:r>
          </w:p>
        </w:tc>
      </w:tr>
      <w:tr w14:paraId="6592D61D">
        <w:tblPrEx>
          <w:tblCellMar>
            <w:top w:w="0" w:type="dxa"/>
            <w:left w:w="108" w:type="dxa"/>
            <w:bottom w:w="0" w:type="dxa"/>
            <w:right w:w="108" w:type="dxa"/>
          </w:tblCellMar>
        </w:tblPrEx>
        <w:trPr>
          <w:trHeight w:val="218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BAD6B">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val="en-US" w:eastAsia="zh-CN" w:bidi="ar"/>
              </w:rPr>
              <w:t>7</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73241">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电焊作业</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E16B4">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电焊机使用管理、检查试验制度完善，检查维护责任落实，编号统一、清晰。</w:t>
            </w:r>
            <w:r>
              <w:rPr>
                <w:rFonts w:hint="eastAsia" w:ascii="仿宋_GB2312" w:hAnsi="仿宋_GB2312" w:eastAsia="仿宋_GB2312" w:cs="仿宋_GB2312"/>
                <w:color w:val="000000"/>
                <w:kern w:val="0"/>
                <w:sz w:val="20"/>
                <w:szCs w:val="20"/>
                <w:highlight w:val="none"/>
                <w:lang w:bidi="ar"/>
              </w:rPr>
              <w:br w:type="textWrapping"/>
            </w:r>
            <w:r>
              <w:rPr>
                <w:rFonts w:hint="eastAsia" w:ascii="仿宋_GB2312" w:hAnsi="仿宋_GB2312" w:eastAsia="仿宋_GB2312" w:cs="仿宋_GB2312"/>
                <w:color w:val="000000"/>
                <w:kern w:val="0"/>
                <w:sz w:val="20"/>
                <w:szCs w:val="20"/>
                <w:highlight w:val="none"/>
                <w:lang w:bidi="ar"/>
              </w:rPr>
              <w:t>电焊机性能良好，符合安全要求，接线端子屏蔽罩齐全，电焊机接线规范，电源线、焊接电缆与焊机连接处有可靠屏护。金属外壳有可靠的接地（零），一、二次绕组及绕组与外壳间绝缘良好，一次线长度不超过2-3米，且不得拖地或跨越通道使用。二次线接头不超过三个，连接良好。焊钳夹紧力好，绝缘可靠，隔热层完好。</w:t>
            </w:r>
            <w:r>
              <w:rPr>
                <w:rFonts w:hint="eastAsia" w:ascii="仿宋_GB2312" w:hAnsi="仿宋_GB2312" w:eastAsia="仿宋_GB2312" w:cs="仿宋_GB2312"/>
                <w:color w:val="000000"/>
                <w:kern w:val="0"/>
                <w:sz w:val="20"/>
                <w:szCs w:val="20"/>
                <w:highlight w:val="none"/>
                <w:lang w:bidi="ar"/>
              </w:rPr>
              <w:br w:type="textWrapping"/>
            </w:r>
            <w:r>
              <w:rPr>
                <w:rFonts w:hint="eastAsia" w:ascii="仿宋_GB2312" w:hAnsi="仿宋_GB2312" w:eastAsia="仿宋_GB2312" w:cs="仿宋_GB2312"/>
                <w:color w:val="000000"/>
                <w:kern w:val="0"/>
                <w:sz w:val="20"/>
                <w:szCs w:val="20"/>
                <w:highlight w:val="none"/>
                <w:lang w:bidi="ar"/>
              </w:rPr>
              <w:t>焊接作业应使用动火工作票，现场的防火措施足够，作业人员应持证上岗，按规定正确佩戴个人防护用品。在有限空间作业必须设有防止金属熔渣飞溅、掉落引起火灾的措施以及防止烫伤、触电、爆炸等措施。</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2E36C">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不符合上述规定</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33A99">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F8CB2">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A618D">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718EF42A">
        <w:tblPrEx>
          <w:tblCellMar>
            <w:top w:w="0" w:type="dxa"/>
            <w:left w:w="108" w:type="dxa"/>
            <w:bottom w:w="0" w:type="dxa"/>
            <w:right w:w="108" w:type="dxa"/>
          </w:tblCellMar>
        </w:tblPrEx>
        <w:trPr>
          <w:trHeight w:val="218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91316">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
              </w:rPr>
              <w:t>8</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355C5">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bidi="ar"/>
              </w:rPr>
              <w:t>电焊作业</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50E2B">
            <w:pPr>
              <w:widowControl/>
              <w:jc w:val="left"/>
              <w:textAlignment w:val="center"/>
              <w:rPr>
                <w:rFonts w:hint="eastAsia" w:ascii="仿宋_GB2312" w:hAnsi="仿宋_GB2312" w:eastAsia="仿宋_GB2312" w:cs="仿宋_GB2312"/>
                <w:color w:val="000000"/>
                <w:kern w:val="0"/>
                <w:sz w:val="20"/>
                <w:szCs w:val="20"/>
                <w:highlight w:val="none"/>
                <w:lang w:bidi="ar"/>
              </w:rPr>
            </w:pPr>
            <w:r>
              <w:rPr>
                <w:rFonts w:hint="eastAsia" w:ascii="仿宋_GB2312" w:hAnsi="仿宋_GB2312" w:eastAsia="仿宋_GB2312" w:cs="仿宋_GB2312"/>
                <w:color w:val="000000"/>
                <w:kern w:val="0"/>
                <w:sz w:val="20"/>
                <w:szCs w:val="20"/>
                <w:highlight w:val="none"/>
                <w:lang w:val="en-US" w:eastAsia="zh-CN" w:bidi="ar"/>
              </w:rPr>
              <w:t>焊机</w:t>
            </w:r>
            <w:r>
              <w:rPr>
                <w:rFonts w:hint="eastAsia" w:ascii="仿宋_GB2312" w:hAnsi="仿宋_GB2312" w:eastAsia="仿宋_GB2312" w:cs="仿宋_GB2312"/>
                <w:color w:val="000000"/>
                <w:kern w:val="0"/>
                <w:sz w:val="20"/>
                <w:szCs w:val="20"/>
                <w:highlight w:val="none"/>
                <w:lang w:bidi="ar"/>
              </w:rPr>
              <w:t>外壳未接地或接地不规范、无锁、无警示标志等。现场使用的施工机具等应接地未接地或接地不规范。</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8126A">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
              </w:rPr>
              <w:t>存在上述违规的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F81C1">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FC303">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E301A">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罚款500</w:t>
            </w:r>
          </w:p>
        </w:tc>
      </w:tr>
      <w:tr w14:paraId="70A125EC">
        <w:tblPrEx>
          <w:tblCellMar>
            <w:top w:w="0" w:type="dxa"/>
            <w:left w:w="108" w:type="dxa"/>
            <w:bottom w:w="0" w:type="dxa"/>
            <w:right w:w="108" w:type="dxa"/>
          </w:tblCellMar>
        </w:tblPrEx>
        <w:trPr>
          <w:trHeight w:val="455" w:hRule="atLeast"/>
        </w:trPr>
        <w:tc>
          <w:tcPr>
            <w:tcW w:w="735"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79F744D4">
            <w:pPr>
              <w:widowControl/>
              <w:jc w:val="center"/>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三</w:t>
            </w:r>
          </w:p>
        </w:tc>
        <w:tc>
          <w:tcPr>
            <w:tcW w:w="5505" w:type="dxa"/>
            <w:gridSpan w:val="3"/>
            <w:tcBorders>
              <w:top w:val="single" w:color="000000" w:sz="4" w:space="0"/>
              <w:left w:val="single" w:color="000000" w:sz="4" w:space="0"/>
              <w:bottom w:val="single" w:color="000000" w:sz="4" w:space="0"/>
              <w:right w:val="single" w:color="000000" w:sz="4" w:space="0"/>
            </w:tcBorders>
            <w:shd w:val="clear" w:color="auto" w:fill="BFBFBF"/>
            <w:vAlign w:val="center"/>
          </w:tcPr>
          <w:p w14:paraId="4F31E4A6">
            <w:pPr>
              <w:widowControl/>
              <w:jc w:val="left"/>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工程质量管理</w:t>
            </w:r>
          </w:p>
        </w:tc>
        <w:tc>
          <w:tcPr>
            <w:tcW w:w="3630" w:type="dxa"/>
            <w:gridSpan w:val="3"/>
            <w:tcBorders>
              <w:top w:val="single" w:color="000000" w:sz="4" w:space="0"/>
              <w:left w:val="single" w:color="000000" w:sz="4" w:space="0"/>
              <w:bottom w:val="single" w:color="000000" w:sz="4" w:space="0"/>
              <w:right w:val="single" w:color="000000" w:sz="4" w:space="0"/>
            </w:tcBorders>
            <w:shd w:val="clear" w:color="auto" w:fill="BFBFBF"/>
            <w:vAlign w:val="center"/>
          </w:tcPr>
          <w:p w14:paraId="00C655DC">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单位：元/次</w:t>
            </w:r>
          </w:p>
        </w:tc>
      </w:tr>
      <w:tr w14:paraId="7C591E9B">
        <w:tblPrEx>
          <w:tblCellMar>
            <w:top w:w="0" w:type="dxa"/>
            <w:left w:w="108" w:type="dxa"/>
            <w:bottom w:w="0" w:type="dxa"/>
            <w:right w:w="108" w:type="dxa"/>
          </w:tblCellMar>
        </w:tblPrEx>
        <w:trPr>
          <w:trHeight w:val="82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85C3D">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F5CF9">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材料/设备报验</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0DEF5">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材料/设备应在进场前通知监理单位/建设单位验收，未经检验的材料/设备不得使用，检验不合格的材料/设备及时退场</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7C1CF">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不符合上述规定的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E652B">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F20AE">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1FB95">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3FC1292D">
        <w:tblPrEx>
          <w:tblCellMar>
            <w:top w:w="0" w:type="dxa"/>
            <w:left w:w="108" w:type="dxa"/>
            <w:bottom w:w="0" w:type="dxa"/>
            <w:right w:w="108" w:type="dxa"/>
          </w:tblCellMar>
        </w:tblPrEx>
        <w:trPr>
          <w:trHeight w:val="92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67F08">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595F5">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材料/设备检验验收</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7D07F">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工程施工中没有使用国家、地方和行业以及公司明令禁止和限制使用的建筑材料及施工工艺，及不符合国家标准的；且不符合合同或招标文件约定的</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883A7">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优先顺序：设计图纸（已盖章）、行业标准、国家标准</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A7B33">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18176">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2630D">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74FC23CC">
        <w:tblPrEx>
          <w:tblCellMar>
            <w:top w:w="0" w:type="dxa"/>
            <w:left w:w="108" w:type="dxa"/>
            <w:bottom w:w="0" w:type="dxa"/>
            <w:right w:w="108" w:type="dxa"/>
          </w:tblCellMar>
        </w:tblPrEx>
        <w:trPr>
          <w:trHeight w:val="142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C85C8">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BB4E7">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隐蔽工程验收</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1C9EB">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隐蔽工程自检合格后，承包单位在 48 小时前书面通知监理工程师参加隐蔽工程的检查，承包人准备记录表格验收合格监理工程师在验收记录上签字后，承包单位可进行隐蔽和继续施工。验收不合格。承包人在监理工程师限定的时间内整改后重新验收。</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CF872">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未按上述规定执行者</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EAB89">
            <w:pPr>
              <w:widowControl/>
              <w:jc w:val="center"/>
              <w:textAlignment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722F2">
            <w:pPr>
              <w:widowControl/>
              <w:jc w:val="center"/>
              <w:textAlignment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0"/>
                <w:sz w:val="20"/>
                <w:szCs w:val="20"/>
                <w:highlight w:val="none"/>
                <w:lang w:eastAsia="zh-CN" w:bidi="ar"/>
              </w:rPr>
              <w:t>罚款500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74605">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罚款</w:t>
            </w:r>
            <w:r>
              <w:rPr>
                <w:rFonts w:hint="eastAsia" w:ascii="仿宋_GB2312" w:hAnsi="仿宋_GB2312" w:eastAsia="仿宋_GB2312" w:cs="仿宋_GB2312"/>
                <w:color w:val="000000"/>
                <w:kern w:val="0"/>
                <w:sz w:val="20"/>
                <w:szCs w:val="20"/>
                <w:highlight w:val="none"/>
                <w:lang w:val="en-US" w:eastAsia="zh-CN" w:bidi="ar"/>
              </w:rPr>
              <w:t>5</w:t>
            </w:r>
            <w:r>
              <w:rPr>
                <w:rFonts w:hint="eastAsia" w:ascii="仿宋_GB2312" w:hAnsi="仿宋_GB2312" w:eastAsia="仿宋_GB2312" w:cs="仿宋_GB2312"/>
                <w:color w:val="000000"/>
                <w:kern w:val="0"/>
                <w:sz w:val="20"/>
                <w:szCs w:val="20"/>
                <w:highlight w:val="none"/>
                <w:lang w:bidi="ar"/>
              </w:rPr>
              <w:t>00</w:t>
            </w:r>
          </w:p>
        </w:tc>
      </w:tr>
      <w:tr w14:paraId="70B89DDE">
        <w:tblPrEx>
          <w:tblCellMar>
            <w:top w:w="0" w:type="dxa"/>
            <w:left w:w="108" w:type="dxa"/>
            <w:bottom w:w="0" w:type="dxa"/>
            <w:right w:w="108" w:type="dxa"/>
          </w:tblCellMar>
        </w:tblPrEx>
        <w:trPr>
          <w:trHeight w:val="16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ABFCB">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C7C97">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质量缺陷管理</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60CAB">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对施工存在的质量缺陷，认真整改并及时回复整改意见。</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4C22D">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48小时内回复整改意见；并在通知单约定时间内限时整改，不符合上述规定者</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BEDCC">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4B655">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DFE7A">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罚款</w:t>
            </w:r>
            <w:r>
              <w:rPr>
                <w:rFonts w:hint="eastAsia" w:ascii="仿宋_GB2312" w:hAnsi="仿宋_GB2312" w:eastAsia="仿宋_GB2312" w:cs="仿宋_GB2312"/>
                <w:color w:val="000000"/>
                <w:kern w:val="0"/>
                <w:sz w:val="20"/>
                <w:szCs w:val="20"/>
                <w:highlight w:val="none"/>
                <w:lang w:val="en-US" w:eastAsia="zh-CN" w:bidi="ar"/>
              </w:rPr>
              <w:t>5</w:t>
            </w:r>
            <w:r>
              <w:rPr>
                <w:rFonts w:hint="eastAsia" w:ascii="仿宋_GB2312" w:hAnsi="仿宋_GB2312" w:eastAsia="仿宋_GB2312" w:cs="仿宋_GB2312"/>
                <w:color w:val="000000"/>
                <w:kern w:val="0"/>
                <w:sz w:val="20"/>
                <w:szCs w:val="20"/>
                <w:highlight w:val="none"/>
                <w:lang w:bidi="ar"/>
              </w:rPr>
              <w:t>00</w:t>
            </w:r>
          </w:p>
        </w:tc>
      </w:tr>
      <w:tr w14:paraId="136672E6">
        <w:tblPrEx>
          <w:tblCellMar>
            <w:top w:w="0" w:type="dxa"/>
            <w:left w:w="108" w:type="dxa"/>
            <w:bottom w:w="0" w:type="dxa"/>
            <w:right w:w="108" w:type="dxa"/>
          </w:tblCellMar>
        </w:tblPrEx>
        <w:trPr>
          <w:trHeight w:val="6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B2298">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E6C05">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资料与进度同步</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E208C">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工程质保资料、验评记录及签证记录内容真实、数据准确，能与工程保持同步。</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2B8B7">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不符合上述规定</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C5D86">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FC93B">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8870F">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0305F1B2">
        <w:tblPrEx>
          <w:tblCellMar>
            <w:top w:w="0" w:type="dxa"/>
            <w:left w:w="108" w:type="dxa"/>
            <w:bottom w:w="0" w:type="dxa"/>
            <w:right w:w="108" w:type="dxa"/>
          </w:tblCellMar>
        </w:tblPrEx>
        <w:trPr>
          <w:trHeight w:val="147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0C233">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6</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A399A">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材料/设备进场检验</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1F938">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工程施工中没有使用国家、地方和行业以及公司明令禁止和限制使用的建筑材料及施工工艺，及不符合国家标准的；且不符合合同或招标文件约定的</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D18CB">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优先顺序：设计图纸（已盖章）、行业标准、国家标准</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F3428">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A3EE1">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25E1E">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罚款</w:t>
            </w:r>
            <w:r>
              <w:rPr>
                <w:rFonts w:hint="eastAsia" w:ascii="仿宋_GB2312" w:hAnsi="仿宋_GB2312" w:eastAsia="仿宋_GB2312" w:cs="仿宋_GB2312"/>
                <w:color w:val="000000"/>
                <w:kern w:val="0"/>
                <w:sz w:val="20"/>
                <w:szCs w:val="20"/>
                <w:highlight w:val="none"/>
                <w:lang w:val="en-US" w:eastAsia="zh-CN" w:bidi="ar"/>
              </w:rPr>
              <w:t>5</w:t>
            </w:r>
            <w:r>
              <w:rPr>
                <w:rFonts w:hint="eastAsia" w:ascii="仿宋_GB2312" w:hAnsi="仿宋_GB2312" w:eastAsia="仿宋_GB2312" w:cs="仿宋_GB2312"/>
                <w:color w:val="000000"/>
                <w:kern w:val="0"/>
                <w:sz w:val="20"/>
                <w:szCs w:val="20"/>
                <w:highlight w:val="none"/>
                <w:lang w:bidi="ar"/>
              </w:rPr>
              <w:t>00</w:t>
            </w:r>
          </w:p>
        </w:tc>
      </w:tr>
      <w:tr w14:paraId="51BA7577">
        <w:tblPrEx>
          <w:tblCellMar>
            <w:top w:w="0" w:type="dxa"/>
            <w:left w:w="108" w:type="dxa"/>
            <w:bottom w:w="0" w:type="dxa"/>
            <w:right w:w="108" w:type="dxa"/>
          </w:tblCellMar>
        </w:tblPrEx>
        <w:trPr>
          <w:trHeight w:val="485" w:hRule="atLeast"/>
        </w:trPr>
        <w:tc>
          <w:tcPr>
            <w:tcW w:w="735"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64D4A302">
            <w:pPr>
              <w:widowControl/>
              <w:jc w:val="center"/>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四</w:t>
            </w:r>
          </w:p>
        </w:tc>
        <w:tc>
          <w:tcPr>
            <w:tcW w:w="5505" w:type="dxa"/>
            <w:gridSpan w:val="3"/>
            <w:tcBorders>
              <w:top w:val="single" w:color="000000" w:sz="4" w:space="0"/>
              <w:left w:val="single" w:color="000000" w:sz="4" w:space="0"/>
              <w:bottom w:val="single" w:color="000000" w:sz="4" w:space="0"/>
              <w:right w:val="single" w:color="000000" w:sz="4" w:space="0"/>
            </w:tcBorders>
            <w:shd w:val="clear" w:color="auto" w:fill="BFBFBF"/>
            <w:vAlign w:val="center"/>
          </w:tcPr>
          <w:p w14:paraId="18A1ECA1">
            <w:pPr>
              <w:widowControl/>
              <w:jc w:val="left"/>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工程综合管理</w:t>
            </w:r>
          </w:p>
        </w:tc>
        <w:tc>
          <w:tcPr>
            <w:tcW w:w="3630" w:type="dxa"/>
            <w:gridSpan w:val="3"/>
            <w:tcBorders>
              <w:top w:val="single" w:color="000000" w:sz="4" w:space="0"/>
              <w:left w:val="single" w:color="000000" w:sz="4" w:space="0"/>
              <w:bottom w:val="single" w:color="000000" w:sz="4" w:space="0"/>
              <w:right w:val="single" w:color="000000" w:sz="4" w:space="0"/>
            </w:tcBorders>
            <w:shd w:val="clear" w:color="auto" w:fill="BFBFBF"/>
            <w:vAlign w:val="center"/>
          </w:tcPr>
          <w:p w14:paraId="2EDBE65D">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单位：元/次</w:t>
            </w:r>
          </w:p>
        </w:tc>
      </w:tr>
      <w:tr w14:paraId="338732A8">
        <w:tblPrEx>
          <w:tblCellMar>
            <w:top w:w="0" w:type="dxa"/>
            <w:left w:w="108" w:type="dxa"/>
            <w:bottom w:w="0" w:type="dxa"/>
            <w:right w:w="108" w:type="dxa"/>
          </w:tblCellMar>
        </w:tblPrEx>
        <w:trPr>
          <w:trHeight w:val="147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ED2FB">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703B8">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业主单位/客户/监管部门投诉</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4FEF8">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总承包单位在实施过程中，因施工单位原因：不限于安全、质量、进度问题。业主单位/客户/监管部门投诉至新锋光伏总经理的</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0781C">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存在上述问题的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B4184">
            <w:pPr>
              <w:widowControl/>
              <w:jc w:val="center"/>
              <w:textAlignment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0"/>
                <w:sz w:val="20"/>
                <w:szCs w:val="20"/>
                <w:highlight w:val="none"/>
                <w:lang w:eastAsia="zh-CN" w:bidi="ar"/>
              </w:rPr>
              <w:t>罚款</w:t>
            </w:r>
            <w:r>
              <w:rPr>
                <w:rFonts w:hint="eastAsia" w:ascii="仿宋_GB2312" w:hAnsi="仿宋_GB2312" w:eastAsia="仿宋_GB2312" w:cs="仿宋_GB2312"/>
                <w:color w:val="000000"/>
                <w:kern w:val="0"/>
                <w:sz w:val="20"/>
                <w:szCs w:val="20"/>
                <w:highlight w:val="none"/>
                <w:lang w:val="en-US" w:eastAsia="zh-CN" w:bidi="ar"/>
              </w:rPr>
              <w:t>1000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2A855">
            <w:pPr>
              <w:widowControl/>
              <w:jc w:val="center"/>
              <w:textAlignment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0"/>
                <w:sz w:val="20"/>
                <w:szCs w:val="20"/>
                <w:highlight w:val="none"/>
                <w:lang w:eastAsia="zh-CN" w:bidi="ar"/>
              </w:rPr>
              <w:t>罚款</w:t>
            </w:r>
            <w:r>
              <w:rPr>
                <w:rFonts w:hint="eastAsia" w:ascii="仿宋_GB2312" w:hAnsi="仿宋_GB2312" w:eastAsia="仿宋_GB2312" w:cs="仿宋_GB2312"/>
                <w:color w:val="000000"/>
                <w:kern w:val="0"/>
                <w:sz w:val="20"/>
                <w:szCs w:val="20"/>
                <w:highlight w:val="none"/>
                <w:lang w:val="en-US" w:eastAsia="zh-CN" w:bidi="ar"/>
              </w:rPr>
              <w:t>2</w:t>
            </w:r>
            <w:r>
              <w:rPr>
                <w:rFonts w:hint="eastAsia" w:ascii="仿宋_GB2312" w:hAnsi="仿宋_GB2312" w:eastAsia="仿宋_GB2312" w:cs="仿宋_GB2312"/>
                <w:color w:val="000000"/>
                <w:kern w:val="0"/>
                <w:sz w:val="20"/>
                <w:szCs w:val="20"/>
                <w:highlight w:val="none"/>
                <w:lang w:eastAsia="zh-CN" w:bidi="ar"/>
              </w:rPr>
              <w:t>00</w:t>
            </w:r>
            <w:r>
              <w:rPr>
                <w:rFonts w:hint="eastAsia" w:ascii="仿宋_GB2312" w:hAnsi="仿宋_GB2312" w:eastAsia="仿宋_GB2312" w:cs="仿宋_GB2312"/>
                <w:color w:val="000000"/>
                <w:kern w:val="0"/>
                <w:sz w:val="20"/>
                <w:szCs w:val="20"/>
                <w:highlight w:val="none"/>
                <w:lang w:val="en-US" w:eastAsia="zh-CN" w:bidi="ar"/>
              </w:rPr>
              <w:t>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BD6C0">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罚款</w:t>
            </w:r>
            <w:r>
              <w:rPr>
                <w:rFonts w:hint="eastAsia" w:ascii="仿宋_GB2312" w:hAnsi="仿宋_GB2312" w:eastAsia="仿宋_GB2312" w:cs="仿宋_GB2312"/>
                <w:color w:val="000000"/>
                <w:kern w:val="0"/>
                <w:sz w:val="20"/>
                <w:szCs w:val="20"/>
                <w:highlight w:val="none"/>
                <w:lang w:val="en-US" w:eastAsia="zh-CN" w:bidi="ar"/>
              </w:rPr>
              <w:t>3</w:t>
            </w:r>
            <w:r>
              <w:rPr>
                <w:rFonts w:hint="eastAsia" w:ascii="仿宋_GB2312" w:hAnsi="仿宋_GB2312" w:eastAsia="仿宋_GB2312" w:cs="仿宋_GB2312"/>
                <w:color w:val="000000"/>
                <w:kern w:val="0"/>
                <w:sz w:val="20"/>
                <w:szCs w:val="20"/>
                <w:highlight w:val="none"/>
                <w:lang w:bidi="ar"/>
              </w:rPr>
              <w:t>000</w:t>
            </w:r>
          </w:p>
        </w:tc>
      </w:tr>
      <w:tr w14:paraId="5E47BEC4">
        <w:tblPrEx>
          <w:tblCellMar>
            <w:top w:w="0" w:type="dxa"/>
            <w:left w:w="108" w:type="dxa"/>
            <w:bottom w:w="0" w:type="dxa"/>
            <w:right w:w="108" w:type="dxa"/>
          </w:tblCellMar>
        </w:tblPrEx>
        <w:trPr>
          <w:trHeight w:val="583"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ACA3D">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60574">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工完料尽场地清</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3F1B5">
            <w:pPr>
              <w:widowControl/>
              <w:jc w:val="left"/>
              <w:textAlignment w:val="center"/>
              <w:rPr>
                <w:rFonts w:hint="eastAsia"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kern w:val="0"/>
                <w:sz w:val="20"/>
                <w:szCs w:val="20"/>
                <w:highlight w:val="none"/>
                <w:lang w:bidi="ar"/>
              </w:rPr>
              <w:t>施工现场工完</w:t>
            </w:r>
            <w:r>
              <w:rPr>
                <w:rFonts w:hint="eastAsia" w:ascii="仿宋_GB2312" w:hAnsi="仿宋_GB2312" w:eastAsia="仿宋_GB2312" w:cs="仿宋_GB2312"/>
                <w:color w:val="000000"/>
                <w:kern w:val="0"/>
                <w:sz w:val="20"/>
                <w:szCs w:val="20"/>
                <w:highlight w:val="none"/>
                <w:lang w:val="en-US" w:eastAsia="zh-CN" w:bidi="ar"/>
              </w:rPr>
              <w:t>后15天内做到工完料清。</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FA15D">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未按上述规定执行者</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04811">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w:t>
            </w:r>
            <w:r>
              <w:rPr>
                <w:rFonts w:hint="eastAsia" w:ascii="仿宋_GB2312" w:hAnsi="仿宋_GB2312" w:eastAsia="仿宋_GB2312" w:cs="仿宋_GB2312"/>
                <w:color w:val="000000"/>
                <w:kern w:val="0"/>
                <w:sz w:val="20"/>
                <w:szCs w:val="20"/>
                <w:highlight w:val="none"/>
                <w:lang w:val="en-US" w:eastAsia="zh-CN" w:bidi="ar"/>
              </w:rPr>
              <w:t>2</w:t>
            </w:r>
            <w:r>
              <w:rPr>
                <w:rFonts w:hint="eastAsia" w:ascii="仿宋_GB2312" w:hAnsi="仿宋_GB2312" w:eastAsia="仿宋_GB2312" w:cs="仿宋_GB2312"/>
                <w:color w:val="000000"/>
                <w:kern w:val="0"/>
                <w:sz w:val="20"/>
                <w:szCs w:val="20"/>
                <w:highlight w:val="none"/>
                <w:lang w:eastAsia="zh-CN" w:bidi="ar"/>
              </w:rPr>
              <w:t>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4631A">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w:t>
            </w:r>
            <w:r>
              <w:rPr>
                <w:rFonts w:hint="eastAsia" w:ascii="仿宋_GB2312" w:hAnsi="仿宋_GB2312" w:eastAsia="仿宋_GB2312" w:cs="仿宋_GB2312"/>
                <w:color w:val="000000"/>
                <w:kern w:val="0"/>
                <w:sz w:val="20"/>
                <w:szCs w:val="20"/>
                <w:highlight w:val="none"/>
                <w:lang w:val="en-US" w:eastAsia="zh-CN" w:bidi="ar"/>
              </w:rPr>
              <w:t>3</w:t>
            </w:r>
            <w:r>
              <w:rPr>
                <w:rFonts w:hint="eastAsia" w:ascii="仿宋_GB2312" w:hAnsi="仿宋_GB2312" w:eastAsia="仿宋_GB2312" w:cs="仿宋_GB2312"/>
                <w:color w:val="000000"/>
                <w:kern w:val="0"/>
                <w:sz w:val="20"/>
                <w:szCs w:val="20"/>
                <w:highlight w:val="none"/>
                <w:lang w:eastAsia="zh-CN" w:bidi="ar"/>
              </w:rPr>
              <w:t>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27BC1">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罚款500</w:t>
            </w:r>
          </w:p>
        </w:tc>
      </w:tr>
      <w:tr w14:paraId="1A13ED11">
        <w:tblPrEx>
          <w:tblCellMar>
            <w:top w:w="0" w:type="dxa"/>
            <w:left w:w="108" w:type="dxa"/>
            <w:bottom w:w="0" w:type="dxa"/>
            <w:right w:w="108" w:type="dxa"/>
          </w:tblCellMar>
        </w:tblPrEx>
        <w:trPr>
          <w:trHeight w:val="95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00852">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7254C">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施工道路及场地保护</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8E589">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施工道路修筑、维护确保不造成水土流失、破坏周围植被。</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996FB">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未按上述规定执行者</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A0AA8">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C346A">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ECE75">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罚款</w:t>
            </w:r>
            <w:r>
              <w:rPr>
                <w:rFonts w:hint="eastAsia" w:ascii="仿宋_GB2312" w:hAnsi="仿宋_GB2312" w:eastAsia="仿宋_GB2312" w:cs="仿宋_GB2312"/>
                <w:color w:val="000000"/>
                <w:kern w:val="0"/>
                <w:sz w:val="20"/>
                <w:szCs w:val="20"/>
                <w:highlight w:val="none"/>
                <w:lang w:val="en-US" w:eastAsia="zh-CN" w:bidi="ar"/>
              </w:rPr>
              <w:t>1</w:t>
            </w:r>
            <w:r>
              <w:rPr>
                <w:rFonts w:hint="eastAsia" w:ascii="仿宋_GB2312" w:hAnsi="仿宋_GB2312" w:eastAsia="仿宋_GB2312" w:cs="仿宋_GB2312"/>
                <w:color w:val="000000"/>
                <w:kern w:val="0"/>
                <w:sz w:val="20"/>
                <w:szCs w:val="20"/>
                <w:highlight w:val="none"/>
                <w:lang w:bidi="ar"/>
              </w:rPr>
              <w:t>000</w:t>
            </w:r>
          </w:p>
        </w:tc>
      </w:tr>
      <w:tr w14:paraId="270F355D">
        <w:tblPrEx>
          <w:tblCellMar>
            <w:top w:w="0" w:type="dxa"/>
            <w:left w:w="108" w:type="dxa"/>
            <w:bottom w:w="0" w:type="dxa"/>
            <w:right w:w="108" w:type="dxa"/>
          </w:tblCellMar>
        </w:tblPrEx>
        <w:trPr>
          <w:trHeight w:val="170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356C8">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D798F">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监管部门罚单</w:t>
            </w: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0411A">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因施工单位原因，受监管部门开罚单及被扣分者</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D3EDE">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存在上述问题的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977AE">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罚款金额为监管部门开出罚单金额的两倍</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79D62">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罚款金额为监管部门开出罚单金额的两倍</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3FCA3">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罚款金额为监管部门开出罚单金额的两倍，且该分包商年度综合评定为：不合格</w:t>
            </w:r>
          </w:p>
        </w:tc>
      </w:tr>
      <w:tr w14:paraId="2918DA86">
        <w:tblPrEx>
          <w:tblCellMar>
            <w:top w:w="0" w:type="dxa"/>
            <w:left w:w="108" w:type="dxa"/>
            <w:bottom w:w="0" w:type="dxa"/>
            <w:right w:w="108" w:type="dxa"/>
          </w:tblCellMar>
        </w:tblPrEx>
        <w:trPr>
          <w:trHeight w:val="390" w:hRule="atLeast"/>
        </w:trPr>
        <w:tc>
          <w:tcPr>
            <w:tcW w:w="735"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2A84C859">
            <w:pPr>
              <w:widowControl/>
              <w:jc w:val="center"/>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五</w:t>
            </w:r>
          </w:p>
        </w:tc>
        <w:tc>
          <w:tcPr>
            <w:tcW w:w="5505" w:type="dxa"/>
            <w:gridSpan w:val="3"/>
            <w:tcBorders>
              <w:top w:val="single" w:color="000000" w:sz="4" w:space="0"/>
              <w:left w:val="single" w:color="000000" w:sz="4" w:space="0"/>
              <w:bottom w:val="single" w:color="000000" w:sz="4" w:space="0"/>
              <w:right w:val="single" w:color="000000" w:sz="4" w:space="0"/>
            </w:tcBorders>
            <w:shd w:val="clear" w:color="auto" w:fill="BFBFBF"/>
            <w:vAlign w:val="center"/>
          </w:tcPr>
          <w:p w14:paraId="7DD37489">
            <w:pPr>
              <w:widowControl/>
              <w:jc w:val="left"/>
              <w:textAlignment w:val="center"/>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b/>
                <w:bCs/>
                <w:color w:val="000000"/>
                <w:kern w:val="0"/>
                <w:sz w:val="20"/>
                <w:szCs w:val="20"/>
                <w:highlight w:val="none"/>
                <w:lang w:bidi="ar"/>
              </w:rPr>
              <w:t>起重吊装作业</w:t>
            </w:r>
          </w:p>
        </w:tc>
        <w:tc>
          <w:tcPr>
            <w:tcW w:w="3630" w:type="dxa"/>
            <w:gridSpan w:val="3"/>
            <w:tcBorders>
              <w:top w:val="single" w:color="000000" w:sz="4" w:space="0"/>
              <w:left w:val="single" w:color="000000" w:sz="4" w:space="0"/>
              <w:bottom w:val="single" w:color="000000" w:sz="4" w:space="0"/>
              <w:right w:val="single" w:color="000000" w:sz="4" w:space="0"/>
            </w:tcBorders>
            <w:shd w:val="clear" w:color="auto" w:fill="BFBFBF"/>
            <w:vAlign w:val="center"/>
          </w:tcPr>
          <w:p w14:paraId="38D56ADE">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单位：元/次</w:t>
            </w:r>
          </w:p>
        </w:tc>
      </w:tr>
      <w:tr w14:paraId="1A02EE7D">
        <w:tblPrEx>
          <w:tblCellMar>
            <w:top w:w="0" w:type="dxa"/>
            <w:left w:w="108" w:type="dxa"/>
            <w:bottom w:w="0" w:type="dxa"/>
            <w:right w:w="108" w:type="dxa"/>
          </w:tblCellMar>
        </w:tblPrEx>
        <w:trPr>
          <w:trHeight w:val="6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A9917">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B29E3">
            <w:pPr>
              <w:jc w:val="center"/>
              <w:rPr>
                <w:rFonts w:hint="eastAsia" w:ascii="仿宋_GB2312" w:hAnsi="仿宋_GB2312" w:eastAsia="仿宋_GB2312" w:cs="仿宋_GB2312"/>
                <w:color w:val="000000"/>
                <w:sz w:val="20"/>
                <w:szCs w:val="20"/>
                <w:highlight w:val="none"/>
              </w:rPr>
            </w:pP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FF4E5">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起重机的安全保护装置不完好</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0222A">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存在上述问题的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E7113">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33583">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360EE">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51B8542A">
        <w:tblPrEx>
          <w:tblCellMar>
            <w:top w:w="0" w:type="dxa"/>
            <w:left w:w="108" w:type="dxa"/>
            <w:bottom w:w="0" w:type="dxa"/>
            <w:right w:w="108" w:type="dxa"/>
          </w:tblCellMar>
        </w:tblPrEx>
        <w:trPr>
          <w:trHeight w:val="6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CF9AF">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6DCF0">
            <w:pPr>
              <w:jc w:val="center"/>
              <w:rPr>
                <w:rFonts w:hint="eastAsia" w:ascii="仿宋_GB2312" w:hAnsi="仿宋_GB2312" w:eastAsia="仿宋_GB2312" w:cs="仿宋_GB2312"/>
                <w:color w:val="000000"/>
                <w:sz w:val="20"/>
                <w:szCs w:val="20"/>
                <w:highlight w:val="none"/>
              </w:rPr>
            </w:pP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BAEA6">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使用未经许可或未经注册的吊装装置</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69DC1">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存在上述问题的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B4642">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3E5AC">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4D43C">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3C14A025">
        <w:tblPrEx>
          <w:tblCellMar>
            <w:top w:w="0" w:type="dxa"/>
            <w:left w:w="108" w:type="dxa"/>
            <w:bottom w:w="0" w:type="dxa"/>
            <w:right w:w="108" w:type="dxa"/>
          </w:tblCellMar>
        </w:tblPrEx>
        <w:trPr>
          <w:trHeight w:val="6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D3ECC">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8B085">
            <w:pPr>
              <w:jc w:val="center"/>
              <w:rPr>
                <w:rFonts w:hint="eastAsia" w:ascii="仿宋_GB2312" w:hAnsi="仿宋_GB2312" w:eastAsia="仿宋_GB2312" w:cs="仿宋_GB2312"/>
                <w:color w:val="000000"/>
                <w:sz w:val="20"/>
                <w:szCs w:val="20"/>
                <w:highlight w:val="none"/>
              </w:rPr>
            </w:pP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D840D">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使用未经检查合格的索具</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42DCE">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存在上述问题的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DE90C">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CBFD5">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333C5">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5FE55475">
        <w:tblPrEx>
          <w:tblCellMar>
            <w:top w:w="0" w:type="dxa"/>
            <w:left w:w="108" w:type="dxa"/>
            <w:bottom w:w="0" w:type="dxa"/>
            <w:right w:w="108" w:type="dxa"/>
          </w:tblCellMar>
        </w:tblPrEx>
        <w:trPr>
          <w:trHeight w:val="6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E950C">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92F58">
            <w:pPr>
              <w:jc w:val="center"/>
              <w:rPr>
                <w:rFonts w:hint="eastAsia" w:ascii="仿宋_GB2312" w:hAnsi="仿宋_GB2312" w:eastAsia="仿宋_GB2312" w:cs="仿宋_GB2312"/>
                <w:color w:val="000000"/>
                <w:sz w:val="20"/>
                <w:szCs w:val="20"/>
                <w:highlight w:val="none"/>
              </w:rPr>
            </w:pP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D05D3">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非起重工进行起重操作和指挥</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D93C7">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存在上述问题的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80D14">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5A65D">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7F71E">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0DE354C2">
        <w:tblPrEx>
          <w:tblCellMar>
            <w:top w:w="0" w:type="dxa"/>
            <w:left w:w="108" w:type="dxa"/>
            <w:bottom w:w="0" w:type="dxa"/>
            <w:right w:w="108" w:type="dxa"/>
          </w:tblCellMar>
        </w:tblPrEx>
        <w:trPr>
          <w:trHeight w:val="6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88EAD">
            <w:pPr>
              <w:widowControl/>
              <w:jc w:val="center"/>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ABA9F">
            <w:pPr>
              <w:jc w:val="center"/>
              <w:rPr>
                <w:rFonts w:hint="eastAsia" w:ascii="仿宋_GB2312" w:hAnsi="仿宋_GB2312" w:eastAsia="仿宋_GB2312" w:cs="仿宋_GB2312"/>
                <w:color w:val="000000"/>
                <w:sz w:val="20"/>
                <w:szCs w:val="20"/>
                <w:highlight w:val="none"/>
              </w:rPr>
            </w:pP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E792A">
            <w:pPr>
              <w:widowControl/>
              <w:jc w:val="left"/>
              <w:textAlignment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0"/>
                <w:sz w:val="20"/>
                <w:szCs w:val="20"/>
                <w:highlight w:val="none"/>
                <w:lang w:bidi="ar"/>
              </w:rPr>
              <w:t>吊装区域未进行隔离及无人监护</w:t>
            </w:r>
            <w:r>
              <w:rPr>
                <w:rFonts w:hint="eastAsia" w:ascii="仿宋_GB2312" w:hAnsi="仿宋_GB2312" w:eastAsia="仿宋_GB2312" w:cs="仿宋_GB2312"/>
                <w:color w:val="000000"/>
                <w:kern w:val="0"/>
                <w:sz w:val="20"/>
                <w:szCs w:val="20"/>
                <w:highlight w:val="none"/>
                <w:lang w:eastAsia="zh-CN" w:bidi="ar"/>
              </w:rPr>
              <w:t>，</w:t>
            </w:r>
            <w:r>
              <w:rPr>
                <w:rFonts w:hint="eastAsia" w:ascii="仿宋_GB2312" w:hAnsi="仿宋_GB2312" w:eastAsia="仿宋_GB2312" w:cs="仿宋_GB2312"/>
                <w:color w:val="000000"/>
                <w:kern w:val="0"/>
                <w:sz w:val="20"/>
                <w:szCs w:val="20"/>
                <w:highlight w:val="none"/>
                <w:lang w:val="en-US" w:eastAsia="zh-CN" w:bidi="ar"/>
              </w:rPr>
              <w:t>未对吊装范围进行围蔽，未设置警示标志即起吊的。</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9AD26">
            <w:pPr>
              <w:widowControl/>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highlight w:val="none"/>
                <w:lang w:bidi="ar"/>
              </w:rPr>
              <w:t>存在上述问题的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2E757">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05413">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C56CC">
            <w:pPr>
              <w:widowControl/>
              <w:jc w:val="center"/>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highlight w:val="none"/>
                <w:lang w:eastAsia="zh-CN" w:bidi="ar"/>
              </w:rPr>
              <w:t>罚款500</w:t>
            </w:r>
          </w:p>
        </w:tc>
      </w:tr>
      <w:tr w14:paraId="2EF07937">
        <w:tblPrEx>
          <w:tblCellMar>
            <w:top w:w="0" w:type="dxa"/>
            <w:left w:w="108" w:type="dxa"/>
            <w:bottom w:w="0" w:type="dxa"/>
            <w:right w:w="108" w:type="dxa"/>
          </w:tblCellMar>
        </w:tblPrEx>
        <w:trPr>
          <w:trHeight w:val="6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BD090">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
              </w:rPr>
              <w:t>6</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281C0">
            <w:pPr>
              <w:jc w:val="center"/>
              <w:rPr>
                <w:rFonts w:hint="eastAsia" w:ascii="仿宋_GB2312" w:hAnsi="仿宋_GB2312" w:eastAsia="仿宋_GB2312" w:cs="仿宋_GB2312"/>
                <w:color w:val="000000"/>
                <w:kern w:val="2"/>
                <w:sz w:val="20"/>
                <w:szCs w:val="20"/>
                <w:highlight w:val="none"/>
                <w:lang w:val="en-US" w:eastAsia="zh-CN" w:bidi="ar-SA"/>
              </w:rPr>
            </w:pP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8A0D2">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吊车起吊时，被吊物品正下方有人的违规作业，不限于行人、施工人员、管理人员等</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AF2AA">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
              </w:rPr>
              <w:t>存在上述违规的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9481F">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罚款200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8F1E2">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247DD">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罚款500</w:t>
            </w:r>
          </w:p>
        </w:tc>
      </w:tr>
      <w:tr w14:paraId="2EFBFC75">
        <w:tblPrEx>
          <w:tblCellMar>
            <w:top w:w="0" w:type="dxa"/>
            <w:left w:w="108" w:type="dxa"/>
            <w:bottom w:w="0" w:type="dxa"/>
            <w:right w:w="108" w:type="dxa"/>
          </w:tblCellMar>
        </w:tblPrEx>
        <w:trPr>
          <w:trHeight w:val="6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FD78C">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
              </w:rPr>
              <w:t>7</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9F7CD">
            <w:pPr>
              <w:jc w:val="center"/>
              <w:rPr>
                <w:rFonts w:hint="eastAsia" w:ascii="仿宋_GB2312" w:hAnsi="仿宋_GB2312" w:eastAsia="仿宋_GB2312" w:cs="仿宋_GB2312"/>
                <w:color w:val="000000"/>
                <w:kern w:val="2"/>
                <w:sz w:val="20"/>
                <w:szCs w:val="20"/>
                <w:highlight w:val="none"/>
                <w:lang w:val="en-US" w:eastAsia="zh-CN" w:bidi="ar-SA"/>
              </w:rPr>
            </w:pPr>
          </w:p>
        </w:tc>
        <w:tc>
          <w:tcPr>
            <w:tcW w:w="2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0A738">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吊装前应编制专项吊装方案/吊装许可，并提前24小时上报吊装计划。</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E1D11">
            <w:pPr>
              <w:widowControl/>
              <w:jc w:val="left"/>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擅自吊装的</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BF91B">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罚款300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B5F3A">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eastAsia="zh-CN" w:bidi="ar"/>
              </w:rPr>
              <w:t>罚款500</w:t>
            </w:r>
          </w:p>
        </w:tc>
        <w:tc>
          <w:tcPr>
            <w:tcW w:w="1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39AE1">
            <w:pPr>
              <w:widowControl/>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bidi="ar"/>
              </w:rPr>
              <w:t>罚款</w:t>
            </w:r>
            <w:r>
              <w:rPr>
                <w:rFonts w:hint="eastAsia" w:ascii="仿宋_GB2312" w:hAnsi="仿宋_GB2312" w:eastAsia="仿宋_GB2312" w:cs="仿宋_GB2312"/>
                <w:color w:val="000000"/>
                <w:kern w:val="0"/>
                <w:sz w:val="20"/>
                <w:szCs w:val="20"/>
                <w:highlight w:val="none"/>
                <w:lang w:val="en-US" w:eastAsia="zh-CN" w:bidi="ar"/>
              </w:rPr>
              <w:t>1</w:t>
            </w:r>
            <w:r>
              <w:rPr>
                <w:rFonts w:hint="eastAsia" w:ascii="仿宋_GB2312" w:hAnsi="仿宋_GB2312" w:eastAsia="仿宋_GB2312" w:cs="仿宋_GB2312"/>
                <w:color w:val="000000"/>
                <w:kern w:val="0"/>
                <w:sz w:val="20"/>
                <w:szCs w:val="20"/>
                <w:highlight w:val="none"/>
                <w:lang w:bidi="ar"/>
              </w:rPr>
              <w:t>000</w:t>
            </w:r>
          </w:p>
        </w:tc>
      </w:tr>
    </w:tbl>
    <w:p w14:paraId="27B0AE16">
      <w:pPr>
        <w:pStyle w:val="2"/>
        <w:ind w:left="0" w:leftChars="0" w:firstLine="0" w:firstLineChars="0"/>
        <w:rPr>
          <w:rFonts w:hint="default" w:eastAsia="宋体"/>
          <w:color w:val="auto"/>
          <w:highlight w:val="none"/>
          <w:lang w:val="en-US" w:eastAsia="zh-CN"/>
        </w:rPr>
      </w:pPr>
    </w:p>
    <w:p w14:paraId="55EB0E3A">
      <w:pPr>
        <w:rPr>
          <w:rFonts w:hint="default" w:eastAsia="宋体"/>
          <w:color w:val="auto"/>
          <w:highlight w:val="none"/>
          <w:lang w:val="en-US" w:eastAsia="zh-CN"/>
        </w:rPr>
        <w:sectPr>
          <w:pgSz w:w="11906" w:h="16838"/>
          <w:pgMar w:top="1361" w:right="1134" w:bottom="1361" w:left="1134"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1099CF05">
      <w:pPr>
        <w:pStyle w:val="4"/>
        <w:numPr>
          <w:ilvl w:val="-1"/>
          <w:numId w:val="0"/>
        </w:numPr>
        <w:spacing w:after="158"/>
        <w:ind w:left="0" w:firstLine="0" w:firstLineChars="0"/>
        <w:jc w:val="both"/>
        <w:rPr>
          <w:rFonts w:hint="eastAsia" w:ascii="仿宋_GB2312" w:hAnsi="仿宋_GB2312" w:eastAsia="仿宋_GB2312" w:cs="仿宋_GB2312"/>
          <w:b/>
          <w:color w:val="auto"/>
          <w:sz w:val="32"/>
          <w:szCs w:val="32"/>
          <w:highlight w:val="none"/>
          <w:lang w:val="en-US" w:eastAsia="zh-CN"/>
        </w:rPr>
      </w:pPr>
      <w:r>
        <w:rPr>
          <w:rFonts w:hint="default" w:ascii="仿宋_GB2312" w:hAnsi="仿宋_GB2312" w:eastAsia="仿宋_GB2312" w:cs="仿宋_GB2312"/>
          <w:b/>
          <w:color w:val="auto"/>
          <w:sz w:val="32"/>
          <w:szCs w:val="32"/>
          <w:highlight w:val="none"/>
          <w:lang w:val="en-US" w:eastAsia="zh-CN"/>
        </w:rPr>
        <w:t>附件</w:t>
      </w:r>
      <w:r>
        <w:rPr>
          <w:rFonts w:hint="eastAsia" w:ascii="仿宋_GB2312" w:hAnsi="仿宋_GB2312" w:eastAsia="仿宋_GB2312" w:cs="仿宋_GB2312"/>
          <w:b/>
          <w:color w:val="auto"/>
          <w:sz w:val="32"/>
          <w:szCs w:val="32"/>
          <w:highlight w:val="none"/>
          <w:lang w:val="en-US" w:eastAsia="zh-CN"/>
        </w:rPr>
        <w:t>5</w:t>
      </w:r>
      <w:r>
        <w:rPr>
          <w:rFonts w:hint="default" w:ascii="仿宋_GB2312" w:hAnsi="仿宋_GB2312" w:eastAsia="仿宋_GB2312" w:cs="仿宋_GB2312"/>
          <w:b/>
          <w:color w:val="auto"/>
          <w:sz w:val="32"/>
          <w:szCs w:val="32"/>
          <w:highlight w:val="none"/>
          <w:lang w:val="en-US" w:eastAsia="zh-CN"/>
        </w:rPr>
        <w:t xml:space="preserve"> </w:t>
      </w:r>
      <w:bookmarkStart w:id="2" w:name="_Toc15524"/>
      <w:bookmarkStart w:id="3" w:name="_Toc17546"/>
      <w:bookmarkStart w:id="4" w:name="_Toc8267"/>
      <w:bookmarkStart w:id="5" w:name="_Toc24816"/>
      <w:bookmarkStart w:id="6" w:name="_Toc17757"/>
      <w:bookmarkStart w:id="7" w:name="_Toc18103"/>
      <w:bookmarkStart w:id="8" w:name="_Toc27661"/>
      <w:bookmarkStart w:id="9" w:name="_Toc29885"/>
      <w:bookmarkStart w:id="10" w:name="_Toc32160"/>
      <w:bookmarkStart w:id="11" w:name="_Toc15852"/>
      <w:bookmarkStart w:id="12" w:name="_Toc26592"/>
      <w:bookmarkStart w:id="13" w:name="_Toc27663"/>
      <w:r>
        <w:rPr>
          <w:rFonts w:hint="eastAsia" w:ascii="仿宋_GB2312" w:hAnsi="仿宋_GB2312" w:eastAsia="仿宋_GB2312" w:cs="仿宋_GB2312"/>
          <w:b/>
          <w:color w:val="auto"/>
          <w:sz w:val="32"/>
          <w:szCs w:val="32"/>
          <w:highlight w:val="none"/>
          <w:lang w:val="en-US" w:eastAsia="zh-CN"/>
        </w:rPr>
        <w:t xml:space="preserve">           </w:t>
      </w:r>
    </w:p>
    <w:p w14:paraId="3CCB6643">
      <w:pPr>
        <w:pStyle w:val="4"/>
        <w:numPr>
          <w:ilvl w:val="-1"/>
          <w:numId w:val="0"/>
        </w:numPr>
        <w:spacing w:after="158"/>
        <w:ind w:left="0" w:firstLine="0" w:firstLineChars="0"/>
        <w:jc w:val="center"/>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highlight w:val="none"/>
        </w:rPr>
        <w:t>环境保护要求</w:t>
      </w:r>
      <w:bookmarkEnd w:id="2"/>
      <w:bookmarkEnd w:id="3"/>
      <w:bookmarkEnd w:id="4"/>
      <w:bookmarkEnd w:id="5"/>
      <w:bookmarkEnd w:id="6"/>
      <w:bookmarkEnd w:id="7"/>
      <w:bookmarkEnd w:id="8"/>
      <w:bookmarkEnd w:id="9"/>
      <w:bookmarkEnd w:id="10"/>
      <w:bookmarkEnd w:id="11"/>
      <w:bookmarkEnd w:id="12"/>
      <w:bookmarkEnd w:id="13"/>
    </w:p>
    <w:p w14:paraId="57D85E09">
      <w:pPr>
        <w:spacing w:beforeLines="0" w:after="0" w:afterLines="0" w:line="480" w:lineRule="auto"/>
        <w:ind w:firstLine="480" w:firstLineChars="200"/>
        <w:rPr>
          <w:rFonts w:ascii="仿宋_GB2312" w:hAnsi="Times New Roman" w:eastAsia="仿宋_GB2312" w:cs="Times New Roman"/>
          <w:color w:val="auto"/>
          <w:sz w:val="24"/>
          <w:szCs w:val="24"/>
          <w:highlight w:val="none"/>
        </w:rPr>
      </w:pPr>
      <w:r>
        <w:rPr>
          <w:rFonts w:hint="default" w:ascii="仿宋_GB2312" w:hAnsi="Times New Roman" w:eastAsia="仿宋_GB2312" w:cs="Times New Roman"/>
          <w:color w:val="auto"/>
          <w:sz w:val="24"/>
          <w:szCs w:val="24"/>
          <w:highlight w:val="none"/>
        </w:rPr>
        <w:t>在施工过程中施工方应严格按照业主方、发包人及政府部门规划用地范围内施工、物资摆放、取弃土、停车等工作，一旦造成乱碾乱压破坏草场、污染环境等现象，政府部门对此实施的停工、整改、罚款等损失全部由承包人承担并负责协调政府相关部门尽快恢复施工。</w:t>
      </w:r>
    </w:p>
    <w:p w14:paraId="18BB8CE8">
      <w:pPr>
        <w:spacing w:beforeLines="0" w:after="0" w:afterLines="0" w:line="480" w:lineRule="auto"/>
        <w:ind w:firstLine="480" w:firstLineChars="200"/>
        <w:rPr>
          <w:rFonts w:ascii="仿宋_GB2312" w:hAnsi="Times New Roman" w:eastAsia="仿宋_GB2312" w:cs="Times New Roman"/>
          <w:color w:val="auto"/>
          <w:sz w:val="24"/>
          <w:szCs w:val="24"/>
          <w:highlight w:val="none"/>
        </w:rPr>
      </w:pPr>
      <w:r>
        <w:rPr>
          <w:rFonts w:hint="default" w:ascii="仿宋_GB2312" w:hAnsi="Times New Roman" w:eastAsia="仿宋_GB2312" w:cs="Times New Roman"/>
          <w:color w:val="auto"/>
          <w:sz w:val="24"/>
          <w:szCs w:val="24"/>
          <w:highlight w:val="none"/>
        </w:rPr>
        <w:t>若施工方不按照业主方提出的要求进行协调处理，发包人有权从工程总额中扣除承包人所造成的全部损失费用，并扣除施工方五万元违约金。</w:t>
      </w:r>
    </w:p>
    <w:p w14:paraId="085D05BD">
      <w:pPr>
        <w:spacing w:line="480" w:lineRule="auto"/>
        <w:ind w:firstLine="480" w:firstLineChars="200"/>
        <w:rPr>
          <w:rFonts w:hint="eastAsia" w:ascii="仿宋_GB2312" w:eastAsia="仿宋_GB2312"/>
          <w:color w:val="auto"/>
          <w:sz w:val="24"/>
          <w:szCs w:val="24"/>
          <w:highlight w:val="none"/>
        </w:rPr>
      </w:pPr>
    </w:p>
    <w:p w14:paraId="3467B21B">
      <w:pPr>
        <w:spacing w:line="480" w:lineRule="auto"/>
        <w:ind w:firstLine="480" w:firstLineChars="200"/>
        <w:rPr>
          <w:rFonts w:hint="eastAsia" w:ascii="仿宋_GB2312" w:eastAsia="仿宋_GB2312"/>
          <w:color w:val="auto"/>
          <w:sz w:val="24"/>
          <w:szCs w:val="24"/>
          <w:highlight w:val="none"/>
        </w:rPr>
      </w:pPr>
      <w:r>
        <w:rPr>
          <w:rFonts w:hint="eastAsia" w:ascii="仿宋_GB2312" w:eastAsia="仿宋_GB2312"/>
          <w:color w:val="auto"/>
          <w:sz w:val="24"/>
          <w:szCs w:val="24"/>
          <w:highlight w:val="none"/>
        </w:rPr>
        <w:t>承诺方：（盖章）</w:t>
      </w:r>
      <w:r>
        <w:rPr>
          <w:rFonts w:hint="eastAsia" w:ascii="仿宋_GB2312" w:eastAsia="仿宋_GB2312"/>
          <w:color w:val="auto"/>
          <w:sz w:val="24"/>
          <w:szCs w:val="24"/>
          <w:highlight w:val="none"/>
          <w:lang w:eastAsia="zh-CN"/>
        </w:rPr>
        <w:t>XXX有限公司</w:t>
      </w:r>
      <w:r>
        <w:rPr>
          <w:rFonts w:hint="eastAsia" w:ascii="仿宋_GB2312" w:eastAsia="仿宋_GB2312"/>
          <w:color w:val="auto"/>
          <w:sz w:val="24"/>
          <w:szCs w:val="24"/>
          <w:highlight w:val="none"/>
        </w:rPr>
        <w:t xml:space="preserve">        </w:t>
      </w:r>
    </w:p>
    <w:p w14:paraId="6684DB85">
      <w:pPr>
        <w:spacing w:line="480" w:lineRule="auto"/>
        <w:ind w:firstLine="480" w:firstLineChars="200"/>
        <w:rPr>
          <w:rFonts w:hint="eastAsia" w:ascii="仿宋_GB2312" w:eastAsia="仿宋_GB2312"/>
          <w:color w:val="auto"/>
          <w:sz w:val="24"/>
          <w:szCs w:val="24"/>
          <w:highlight w:val="none"/>
        </w:rPr>
      </w:pPr>
      <w:r>
        <w:rPr>
          <w:rFonts w:hint="eastAsia" w:ascii="仿宋_GB2312" w:eastAsia="仿宋_GB2312"/>
          <w:color w:val="auto"/>
          <w:sz w:val="24"/>
          <w:szCs w:val="24"/>
          <w:highlight w:val="none"/>
        </w:rPr>
        <w:t xml:space="preserve">法定代表人（或授权代表）签字：              </w:t>
      </w:r>
    </w:p>
    <w:p w14:paraId="28947C96">
      <w:pPr>
        <w:spacing w:line="480" w:lineRule="auto"/>
        <w:ind w:firstLine="480" w:firstLineChars="200"/>
        <w:rPr>
          <w:rFonts w:hint="eastAsia" w:ascii="仿宋_GB2312" w:eastAsia="仿宋_GB2312"/>
          <w:color w:val="auto"/>
          <w:sz w:val="24"/>
          <w:szCs w:val="24"/>
          <w:highlight w:val="none"/>
        </w:rPr>
      </w:pPr>
      <w:r>
        <w:rPr>
          <w:rFonts w:hint="eastAsia" w:ascii="仿宋_GB2312" w:eastAsia="仿宋_GB2312"/>
          <w:color w:val="auto"/>
          <w:sz w:val="24"/>
          <w:szCs w:val="24"/>
          <w:highlight w:val="none"/>
        </w:rPr>
        <w:t>承诺日期：    年   月   日</w:t>
      </w:r>
    </w:p>
    <w:p w14:paraId="254C5230">
      <w:pPr>
        <w:spacing w:line="480" w:lineRule="auto"/>
        <w:ind w:firstLine="480" w:firstLineChars="200"/>
        <w:rPr>
          <w:rFonts w:hint="eastAsia" w:ascii="仿宋_GB2312" w:eastAsia="仿宋_GB2312"/>
          <w:color w:val="auto"/>
          <w:sz w:val="24"/>
          <w:szCs w:val="24"/>
          <w:highlight w:val="none"/>
        </w:rPr>
      </w:pPr>
    </w:p>
    <w:p w14:paraId="53E29E34">
      <w:pPr>
        <w:spacing w:line="360" w:lineRule="auto"/>
        <w:jc w:val="both"/>
        <w:rPr>
          <w:rFonts w:hint="default" w:ascii="仿宋_GB2312" w:hAnsi="仿宋_GB2312" w:eastAsia="仿宋_GB2312" w:cs="仿宋_GB2312"/>
          <w:b/>
          <w:color w:val="auto"/>
          <w:sz w:val="32"/>
          <w:szCs w:val="32"/>
          <w:highlight w:val="none"/>
          <w:lang w:val="en-US" w:eastAsia="zh-CN"/>
        </w:rPr>
      </w:pPr>
    </w:p>
    <w:p w14:paraId="7614A00D">
      <w:pPr>
        <w:spacing w:line="240" w:lineRule="auto"/>
        <w:jc w:val="left"/>
        <w:rPr>
          <w:rFonts w:hint="eastAsia" w:ascii="仿宋_GB2312" w:hAnsi="仿宋_GB2312" w:eastAsia="仿宋_GB2312" w:cs="仿宋_GB2312"/>
          <w:b/>
          <w:color w:val="auto"/>
          <w:sz w:val="32"/>
          <w:szCs w:val="32"/>
          <w:highlight w:val="none"/>
          <w:lang w:val="en-US" w:eastAsia="zh-CN"/>
        </w:rPr>
      </w:pPr>
      <w:r>
        <w:rPr>
          <w:rFonts w:hint="eastAsia" w:ascii="仿宋_GB2312" w:hAnsi="仿宋_GB2312" w:eastAsia="仿宋_GB2312" w:cs="仿宋_GB2312"/>
          <w:b/>
          <w:color w:val="auto"/>
          <w:sz w:val="32"/>
          <w:szCs w:val="32"/>
          <w:highlight w:val="none"/>
          <w:lang w:val="en-US" w:eastAsia="zh-CN"/>
        </w:rPr>
        <w:br w:type="page"/>
      </w:r>
    </w:p>
    <w:p w14:paraId="5257C1D2">
      <w:pPr>
        <w:spacing w:line="360" w:lineRule="auto"/>
        <w:jc w:val="both"/>
        <w:rPr>
          <w:rFonts w:hint="eastAsia" w:ascii="仿宋_GB2312" w:hAnsi="仿宋_GB2312" w:eastAsia="仿宋_GB2312" w:cs="仿宋_GB2312"/>
          <w:b/>
          <w:color w:val="auto"/>
          <w:sz w:val="32"/>
          <w:szCs w:val="32"/>
          <w:highlight w:val="none"/>
          <w:lang w:val="en-US" w:eastAsia="zh-CN"/>
        </w:rPr>
      </w:pPr>
      <w:r>
        <w:rPr>
          <w:rFonts w:hint="default" w:ascii="仿宋_GB2312" w:hAnsi="仿宋_GB2312" w:eastAsia="仿宋_GB2312" w:cs="仿宋_GB2312"/>
          <w:b/>
          <w:color w:val="auto"/>
          <w:sz w:val="32"/>
          <w:szCs w:val="32"/>
          <w:highlight w:val="none"/>
          <w:lang w:val="en-US" w:eastAsia="zh-CN"/>
        </w:rPr>
        <w:t>附件</w:t>
      </w:r>
      <w:r>
        <w:rPr>
          <w:rFonts w:hint="eastAsia" w:ascii="仿宋_GB2312" w:hAnsi="仿宋_GB2312" w:eastAsia="仿宋_GB2312" w:cs="仿宋_GB2312"/>
          <w:b/>
          <w:color w:val="auto"/>
          <w:sz w:val="32"/>
          <w:szCs w:val="32"/>
          <w:highlight w:val="none"/>
          <w:lang w:val="en-US" w:eastAsia="zh-CN"/>
        </w:rPr>
        <w:t>6</w:t>
      </w:r>
      <w:r>
        <w:rPr>
          <w:rFonts w:hint="default" w:ascii="仿宋_GB2312" w:hAnsi="仿宋_GB2312" w:eastAsia="仿宋_GB2312" w:cs="仿宋_GB2312"/>
          <w:b/>
          <w:color w:val="auto"/>
          <w:sz w:val="32"/>
          <w:szCs w:val="32"/>
          <w:highlight w:val="none"/>
          <w:lang w:val="en-US" w:eastAsia="zh-CN"/>
        </w:rPr>
        <w:t xml:space="preserve"> </w:t>
      </w:r>
    </w:p>
    <w:p w14:paraId="0E6E0CD3">
      <w:pPr>
        <w:spacing w:line="360" w:lineRule="auto"/>
        <w:jc w:val="center"/>
        <w:rPr>
          <w:rFonts w:hint="default" w:ascii="仿宋_GB2312" w:hAnsi="仿宋_GB2312" w:eastAsia="仿宋_GB2312" w:cs="仿宋_GB2312"/>
          <w:b/>
          <w:color w:val="auto"/>
          <w:sz w:val="32"/>
          <w:szCs w:val="32"/>
          <w:highlight w:val="none"/>
          <w:lang w:val="en-US" w:eastAsia="zh-CN"/>
        </w:rPr>
      </w:pPr>
      <w:r>
        <w:rPr>
          <w:rFonts w:hint="eastAsia" w:ascii="仿宋_GB2312" w:hAnsi="仿宋_GB2312" w:eastAsia="仿宋_GB2312" w:cs="仿宋_GB2312"/>
          <w:b/>
          <w:color w:val="auto"/>
          <w:sz w:val="32"/>
          <w:szCs w:val="32"/>
          <w:highlight w:val="none"/>
          <w:lang w:val="en-US" w:eastAsia="zh-CN"/>
        </w:rPr>
        <w:t>关于</w:t>
      </w:r>
      <w:r>
        <w:rPr>
          <w:rFonts w:hint="eastAsia" w:ascii="仿宋_GB2312" w:hAnsi="仿宋_GB2312" w:eastAsia="仿宋_GB2312" w:cs="仿宋_GB2312"/>
          <w:b/>
          <w:color w:val="auto"/>
          <w:sz w:val="30"/>
          <w:szCs w:val="30"/>
          <w:highlight w:val="none"/>
          <w:lang w:val="en-US" w:eastAsia="zh-CN"/>
        </w:rPr>
        <w:t>民工权益保</w:t>
      </w:r>
      <w:r>
        <w:rPr>
          <w:rFonts w:hint="eastAsia" w:ascii="仿宋_GB2312" w:hAnsi="仿宋_GB2312" w:eastAsia="仿宋_GB2312" w:cs="仿宋_GB2312"/>
          <w:b/>
          <w:color w:val="auto"/>
          <w:sz w:val="32"/>
          <w:szCs w:val="32"/>
          <w:highlight w:val="none"/>
          <w:lang w:val="en-US" w:eastAsia="zh-CN"/>
        </w:rPr>
        <w:t>障承诺书</w:t>
      </w:r>
    </w:p>
    <w:p w14:paraId="0E74031A">
      <w:pPr>
        <w:keepNext w:val="0"/>
        <w:keepLines w:val="0"/>
        <w:pageBreakBefore w:val="0"/>
        <w:widowControl w:val="0"/>
        <w:kinsoku/>
        <w:wordWrap/>
        <w:overflowPunct/>
        <w:topLinePunct w:val="0"/>
        <w:autoSpaceDE/>
        <w:autoSpaceDN/>
        <w:bidi w:val="0"/>
        <w:adjustRightInd/>
        <w:snapToGrid/>
        <w:spacing w:beforeLines="0" w:afterLines="0" w:line="480" w:lineRule="auto"/>
        <w:ind w:firstLine="480" w:firstLineChars="200"/>
        <w:jc w:val="both"/>
        <w:textAlignment w:val="auto"/>
        <w:rPr>
          <w:rFonts w:hint="default" w:ascii="仿宋_GB2312" w:hAnsi="Times New Roman" w:eastAsia="仿宋_GB2312" w:cs="Times New Roman"/>
          <w:color w:val="auto"/>
          <w:sz w:val="24"/>
          <w:szCs w:val="24"/>
          <w:highlight w:val="none"/>
          <w:lang w:val="en-US" w:eastAsia="zh-CN"/>
        </w:rPr>
      </w:pPr>
      <w:r>
        <w:rPr>
          <w:rFonts w:hint="default" w:ascii="仿宋_GB2312" w:hAnsi="Times New Roman" w:eastAsia="仿宋_GB2312" w:cs="Times New Roman"/>
          <w:color w:val="auto"/>
          <w:sz w:val="24"/>
          <w:szCs w:val="24"/>
          <w:highlight w:val="none"/>
          <w:lang w:val="en-US" w:eastAsia="zh-CN"/>
        </w:rPr>
        <w:t xml:space="preserve">致 东莞市新锋新能源有限公司： </w:t>
      </w:r>
    </w:p>
    <w:p w14:paraId="4BC7E4B4">
      <w:pPr>
        <w:keepNext w:val="0"/>
        <w:keepLines w:val="0"/>
        <w:pageBreakBefore w:val="0"/>
        <w:widowControl w:val="0"/>
        <w:kinsoku/>
        <w:wordWrap/>
        <w:overflowPunct/>
        <w:topLinePunct w:val="0"/>
        <w:autoSpaceDE/>
        <w:autoSpaceDN/>
        <w:bidi w:val="0"/>
        <w:adjustRightInd/>
        <w:snapToGrid/>
        <w:spacing w:beforeLines="0" w:afterLines="0" w:line="480" w:lineRule="auto"/>
        <w:ind w:firstLine="480" w:firstLineChars="200"/>
        <w:jc w:val="both"/>
        <w:textAlignment w:val="auto"/>
        <w:rPr>
          <w:rFonts w:hint="default" w:ascii="仿宋_GB2312" w:hAnsi="Times New Roman" w:eastAsia="仿宋_GB2312" w:cs="Times New Roman"/>
          <w:color w:val="auto"/>
          <w:sz w:val="24"/>
          <w:szCs w:val="24"/>
          <w:highlight w:val="none"/>
          <w:lang w:val="en-US" w:eastAsia="zh-CN"/>
        </w:rPr>
      </w:pPr>
      <w:r>
        <w:rPr>
          <w:rFonts w:hint="eastAsia" w:ascii="仿宋_GB2312" w:eastAsia="仿宋_GB2312" w:cs="Times New Roman"/>
          <w:color w:val="auto"/>
          <w:sz w:val="24"/>
          <w:szCs w:val="24"/>
          <w:highlight w:val="none"/>
          <w:lang w:val="en-US" w:eastAsia="zh-CN"/>
        </w:rPr>
        <w:t>我</w:t>
      </w:r>
      <w:r>
        <w:rPr>
          <w:rFonts w:hint="default" w:ascii="仿宋_GB2312" w:hAnsi="Times New Roman" w:eastAsia="仿宋_GB2312" w:cs="Times New Roman"/>
          <w:color w:val="auto"/>
          <w:sz w:val="24"/>
          <w:szCs w:val="24"/>
          <w:highlight w:val="none"/>
          <w:lang w:val="en-US" w:eastAsia="zh-CN"/>
        </w:rPr>
        <w:t>司已与贵司签订</w:t>
      </w:r>
      <w:r>
        <w:rPr>
          <w:rFonts w:hint="eastAsia" w:ascii="仿宋_GB2312" w:hAnsi="Times New Roman" w:eastAsia="仿宋_GB2312" w:cs="Times New Roman"/>
          <w:color w:val="auto"/>
          <w:sz w:val="24"/>
          <w:szCs w:val="24"/>
          <w:highlight w:val="none"/>
          <w:lang w:val="en-US" w:eastAsia="zh-CN"/>
        </w:rPr>
        <w:t>东莞市新锋新能源有限公司XXX厂区充电桩及配套设施采购项目</w:t>
      </w:r>
      <w:r>
        <w:rPr>
          <w:rFonts w:hint="eastAsia" w:ascii="仿宋_GB2312" w:eastAsia="仿宋_GB2312" w:cs="Times New Roman"/>
          <w:color w:val="auto"/>
          <w:sz w:val="24"/>
          <w:szCs w:val="24"/>
          <w:highlight w:val="none"/>
          <w:lang w:val="en-US" w:eastAsia="zh-CN"/>
        </w:rPr>
        <w:t>。</w:t>
      </w:r>
      <w:r>
        <w:rPr>
          <w:rFonts w:hint="default" w:ascii="仿宋_GB2312" w:hAnsi="Times New Roman" w:eastAsia="仿宋_GB2312" w:cs="Times New Roman"/>
          <w:color w:val="auto"/>
          <w:sz w:val="24"/>
          <w:szCs w:val="24"/>
          <w:highlight w:val="none"/>
          <w:lang w:val="en-US" w:eastAsia="zh-CN"/>
        </w:rPr>
        <w:t>现就</w:t>
      </w:r>
      <w:r>
        <w:rPr>
          <w:rFonts w:hint="eastAsia" w:ascii="仿宋_GB2312" w:eastAsia="仿宋_GB2312" w:cs="Times New Roman"/>
          <w:color w:val="auto"/>
          <w:sz w:val="24"/>
          <w:szCs w:val="24"/>
          <w:highlight w:val="none"/>
          <w:lang w:val="en-US" w:eastAsia="zh-CN"/>
        </w:rPr>
        <w:t>本项目实施工作，我司郑重承诺如下</w:t>
      </w:r>
      <w:r>
        <w:rPr>
          <w:rFonts w:hint="default" w:ascii="仿宋_GB2312" w:hAnsi="Times New Roman" w:eastAsia="仿宋_GB2312" w:cs="Times New Roman"/>
          <w:color w:val="auto"/>
          <w:sz w:val="24"/>
          <w:szCs w:val="24"/>
          <w:highlight w:val="none"/>
          <w:lang w:val="en-US" w:eastAsia="zh-CN"/>
        </w:rPr>
        <w:t>：</w:t>
      </w:r>
    </w:p>
    <w:p w14:paraId="42B051F8">
      <w:pPr>
        <w:keepNext w:val="0"/>
        <w:keepLines w:val="0"/>
        <w:pageBreakBefore w:val="0"/>
        <w:widowControl w:val="0"/>
        <w:kinsoku/>
        <w:wordWrap/>
        <w:overflowPunct/>
        <w:topLinePunct w:val="0"/>
        <w:autoSpaceDE/>
        <w:autoSpaceDN/>
        <w:bidi w:val="0"/>
        <w:adjustRightInd/>
        <w:snapToGrid/>
        <w:spacing w:beforeLines="0" w:afterLines="0" w:line="480" w:lineRule="auto"/>
        <w:ind w:firstLine="480" w:firstLineChars="200"/>
        <w:jc w:val="both"/>
        <w:textAlignment w:val="auto"/>
        <w:rPr>
          <w:rFonts w:hint="default" w:ascii="仿宋_GB2312" w:hAnsi="Times New Roman" w:eastAsia="仿宋_GB2312" w:cs="Times New Roman"/>
          <w:color w:val="auto"/>
          <w:sz w:val="24"/>
          <w:szCs w:val="24"/>
          <w:highlight w:val="none"/>
          <w:lang w:val="en-US" w:eastAsia="zh-CN"/>
        </w:rPr>
      </w:pPr>
      <w:r>
        <w:rPr>
          <w:rFonts w:hint="default" w:ascii="仿宋_GB2312" w:hAnsi="Times New Roman" w:eastAsia="仿宋_GB2312" w:cs="Times New Roman"/>
          <w:color w:val="auto"/>
          <w:sz w:val="24"/>
          <w:szCs w:val="24"/>
          <w:highlight w:val="none"/>
          <w:lang w:val="en-US" w:eastAsia="zh-CN"/>
        </w:rPr>
        <w:t>1、我司承诺严格按照国家规定及合同要求，足额支付农民工工资，决不拖欠或克扣。若因违反规定导致农民工上访，我司自愿接受人力资源社会保障、建设、公安等部门的处理和处罚。</w:t>
      </w:r>
    </w:p>
    <w:p w14:paraId="56618241">
      <w:pPr>
        <w:keepNext w:val="0"/>
        <w:keepLines w:val="0"/>
        <w:pageBreakBefore w:val="0"/>
        <w:widowControl w:val="0"/>
        <w:kinsoku/>
        <w:wordWrap/>
        <w:overflowPunct/>
        <w:topLinePunct w:val="0"/>
        <w:autoSpaceDE/>
        <w:autoSpaceDN/>
        <w:bidi w:val="0"/>
        <w:adjustRightInd/>
        <w:snapToGrid/>
        <w:spacing w:beforeLines="0" w:afterLines="0" w:line="480" w:lineRule="auto"/>
        <w:ind w:firstLine="480" w:firstLineChars="200"/>
        <w:jc w:val="both"/>
        <w:textAlignment w:val="auto"/>
        <w:rPr>
          <w:rFonts w:hint="default" w:ascii="仿宋_GB2312" w:hAnsi="Times New Roman" w:eastAsia="仿宋_GB2312" w:cs="Times New Roman"/>
          <w:color w:val="auto"/>
          <w:sz w:val="24"/>
          <w:szCs w:val="24"/>
          <w:highlight w:val="none"/>
          <w:lang w:val="en-US" w:eastAsia="zh-CN"/>
        </w:rPr>
      </w:pPr>
      <w:r>
        <w:rPr>
          <w:rFonts w:hint="default" w:ascii="仿宋_GB2312" w:hAnsi="Times New Roman" w:eastAsia="仿宋_GB2312" w:cs="Times New Roman"/>
          <w:color w:val="auto"/>
          <w:sz w:val="24"/>
          <w:szCs w:val="24"/>
          <w:highlight w:val="none"/>
          <w:lang w:val="en-US" w:eastAsia="zh-CN"/>
        </w:rPr>
        <w:t>2、我司将认真履行民工用工管理职责，确保劳务班组工程款足额支付，并监督工资直接发放至农民工本人（国家法定节假日前优先支付工资）；妥善安排民工生活，落实安全教育、劳保及安全用品发放等权益保障工作。</w:t>
      </w:r>
    </w:p>
    <w:p w14:paraId="4C1C9D19">
      <w:pPr>
        <w:keepNext w:val="0"/>
        <w:keepLines w:val="0"/>
        <w:pageBreakBefore w:val="0"/>
        <w:widowControl w:val="0"/>
        <w:kinsoku/>
        <w:wordWrap/>
        <w:overflowPunct/>
        <w:topLinePunct w:val="0"/>
        <w:autoSpaceDE/>
        <w:autoSpaceDN/>
        <w:bidi w:val="0"/>
        <w:adjustRightInd/>
        <w:snapToGrid/>
        <w:spacing w:beforeLines="0" w:afterLines="0" w:line="480" w:lineRule="auto"/>
        <w:ind w:firstLine="480" w:firstLineChars="200"/>
        <w:jc w:val="both"/>
        <w:textAlignment w:val="auto"/>
        <w:rPr>
          <w:rFonts w:hint="default" w:ascii="仿宋_GB2312" w:hAnsi="Times New Roman" w:eastAsia="仿宋_GB2312" w:cs="Times New Roman"/>
          <w:color w:val="auto"/>
          <w:sz w:val="24"/>
          <w:szCs w:val="24"/>
          <w:highlight w:val="none"/>
          <w:lang w:val="en-US" w:eastAsia="zh-CN"/>
        </w:rPr>
      </w:pPr>
      <w:r>
        <w:rPr>
          <w:rFonts w:hint="default" w:ascii="仿宋_GB2312" w:hAnsi="Times New Roman" w:eastAsia="仿宋_GB2312" w:cs="Times New Roman"/>
          <w:color w:val="auto"/>
          <w:sz w:val="24"/>
          <w:szCs w:val="24"/>
          <w:highlight w:val="none"/>
          <w:lang w:val="en-US" w:eastAsia="zh-CN"/>
        </w:rPr>
        <w:t>3、我司已为承接的工程购买工程一切险，并为所有</w:t>
      </w:r>
      <w:r>
        <w:rPr>
          <w:rFonts w:hint="eastAsia" w:ascii="仿宋_GB2312" w:hAnsi="Times New Roman" w:eastAsia="仿宋_GB2312" w:cs="Times New Roman"/>
          <w:color w:val="auto"/>
          <w:sz w:val="24"/>
          <w:szCs w:val="24"/>
          <w:highlight w:val="none"/>
          <w:lang w:val="en-US" w:eastAsia="zh-CN"/>
        </w:rPr>
        <w:t>我</w:t>
      </w:r>
      <w:r>
        <w:rPr>
          <w:rFonts w:hint="default" w:ascii="仿宋_GB2312" w:hAnsi="Times New Roman" w:eastAsia="仿宋_GB2312" w:cs="Times New Roman"/>
          <w:color w:val="auto"/>
          <w:sz w:val="24"/>
          <w:szCs w:val="24"/>
          <w:highlight w:val="none"/>
          <w:lang w:val="en-US" w:eastAsia="zh-CN"/>
        </w:rPr>
        <w:t>司</w:t>
      </w:r>
      <w:r>
        <w:rPr>
          <w:rFonts w:hint="eastAsia" w:ascii="仿宋_GB2312" w:hAnsi="Times New Roman" w:eastAsia="仿宋_GB2312" w:cs="Times New Roman"/>
          <w:color w:val="auto"/>
          <w:sz w:val="24"/>
          <w:szCs w:val="24"/>
          <w:highlight w:val="none"/>
          <w:lang w:val="en-US" w:eastAsia="zh-CN"/>
        </w:rPr>
        <w:t>现场</w:t>
      </w:r>
      <w:r>
        <w:rPr>
          <w:rFonts w:hint="default" w:ascii="仿宋_GB2312" w:hAnsi="Times New Roman" w:eastAsia="仿宋_GB2312" w:cs="Times New Roman"/>
          <w:color w:val="auto"/>
          <w:sz w:val="24"/>
          <w:szCs w:val="24"/>
          <w:highlight w:val="none"/>
          <w:lang w:val="en-US" w:eastAsia="zh-CN"/>
        </w:rPr>
        <w:t>管理人员及施工人员投保工伤保险和意外保险。</w:t>
      </w:r>
    </w:p>
    <w:p w14:paraId="4E4CB9E3">
      <w:pPr>
        <w:keepNext w:val="0"/>
        <w:keepLines w:val="0"/>
        <w:pageBreakBefore w:val="0"/>
        <w:widowControl w:val="0"/>
        <w:kinsoku/>
        <w:wordWrap/>
        <w:overflowPunct/>
        <w:topLinePunct w:val="0"/>
        <w:autoSpaceDE/>
        <w:autoSpaceDN/>
        <w:bidi w:val="0"/>
        <w:adjustRightInd/>
        <w:snapToGrid/>
        <w:spacing w:beforeLines="0" w:afterLines="0" w:line="480" w:lineRule="auto"/>
        <w:ind w:firstLine="480" w:firstLineChars="200"/>
        <w:jc w:val="both"/>
        <w:textAlignment w:val="auto"/>
        <w:rPr>
          <w:rFonts w:hint="default" w:ascii="仿宋_GB2312" w:hAnsi="Times New Roman" w:eastAsia="仿宋_GB2312" w:cs="Times New Roman"/>
          <w:color w:val="auto"/>
          <w:sz w:val="24"/>
          <w:szCs w:val="24"/>
          <w:highlight w:val="none"/>
          <w:lang w:val="en-US" w:eastAsia="zh-CN"/>
        </w:rPr>
      </w:pPr>
      <w:r>
        <w:rPr>
          <w:rFonts w:hint="default" w:ascii="仿宋_GB2312" w:hAnsi="Times New Roman" w:eastAsia="仿宋_GB2312" w:cs="Times New Roman"/>
          <w:color w:val="auto"/>
          <w:sz w:val="24"/>
          <w:szCs w:val="24"/>
          <w:highlight w:val="none"/>
          <w:lang w:val="en-US" w:eastAsia="zh-CN"/>
        </w:rPr>
        <w:t>4、民工权益保障绩效将作为工程款支付依据之一。若我司违反承诺，贵司有权分两步支付进度款：先支付上月（期）民工工资，待我司提供工资发放凭证后再支付余额。</w:t>
      </w:r>
    </w:p>
    <w:p w14:paraId="754F5976">
      <w:pPr>
        <w:keepNext w:val="0"/>
        <w:keepLines w:val="0"/>
        <w:pageBreakBefore w:val="0"/>
        <w:widowControl w:val="0"/>
        <w:kinsoku/>
        <w:wordWrap/>
        <w:overflowPunct/>
        <w:topLinePunct w:val="0"/>
        <w:autoSpaceDE/>
        <w:autoSpaceDN/>
        <w:bidi w:val="0"/>
        <w:adjustRightInd/>
        <w:snapToGrid/>
        <w:spacing w:beforeLines="0" w:afterLines="0" w:line="480" w:lineRule="auto"/>
        <w:ind w:firstLine="480" w:firstLineChars="200"/>
        <w:jc w:val="both"/>
        <w:textAlignment w:val="auto"/>
        <w:rPr>
          <w:rFonts w:hint="default" w:ascii="仿宋_GB2312" w:hAnsi="Times New Roman" w:eastAsia="仿宋_GB2312" w:cs="Times New Roman"/>
          <w:color w:val="auto"/>
          <w:sz w:val="24"/>
          <w:szCs w:val="24"/>
          <w:highlight w:val="none"/>
          <w:lang w:val="en-US" w:eastAsia="zh-CN"/>
        </w:rPr>
      </w:pPr>
      <w:r>
        <w:rPr>
          <w:rFonts w:hint="eastAsia" w:ascii="仿宋_GB2312" w:eastAsia="仿宋_GB2312" w:cs="Times New Roman"/>
          <w:color w:val="auto"/>
          <w:sz w:val="24"/>
          <w:szCs w:val="24"/>
          <w:highlight w:val="none"/>
          <w:lang w:val="en-US" w:eastAsia="zh-CN"/>
        </w:rPr>
        <w:t>5、如因我司民工权益保障不到位引发重大突发事件（如围堵项目或贵司办公场所），我司同意接受每次20万元的处罚；若贵司代为支付相关费用，可直接从进度款或结算款中扣除，并承担由此造成的一切负面影响及赔偿责任。</w:t>
      </w:r>
    </w:p>
    <w:p w14:paraId="4ED0B70D">
      <w:pPr>
        <w:keepNext w:val="0"/>
        <w:keepLines w:val="0"/>
        <w:pageBreakBefore w:val="0"/>
        <w:widowControl w:val="0"/>
        <w:kinsoku/>
        <w:wordWrap/>
        <w:overflowPunct/>
        <w:topLinePunct w:val="0"/>
        <w:autoSpaceDE/>
        <w:autoSpaceDN/>
        <w:bidi w:val="0"/>
        <w:adjustRightInd/>
        <w:snapToGrid/>
        <w:spacing w:beforeLines="0" w:afterLines="0" w:line="480" w:lineRule="auto"/>
        <w:ind w:firstLine="480" w:firstLineChars="200"/>
        <w:jc w:val="both"/>
        <w:textAlignment w:val="auto"/>
        <w:rPr>
          <w:rFonts w:hint="default" w:ascii="仿宋_GB2312" w:hAnsi="Times New Roman" w:eastAsia="仿宋_GB2312" w:cs="Times New Roman"/>
          <w:color w:val="auto"/>
          <w:sz w:val="24"/>
          <w:szCs w:val="24"/>
          <w:highlight w:val="none"/>
          <w:lang w:val="en-US" w:eastAsia="zh-CN"/>
        </w:rPr>
      </w:pPr>
      <w:r>
        <w:rPr>
          <w:rFonts w:hint="default" w:ascii="仿宋_GB2312" w:hAnsi="Times New Roman" w:eastAsia="仿宋_GB2312" w:cs="Times New Roman"/>
          <w:color w:val="auto"/>
          <w:sz w:val="24"/>
          <w:szCs w:val="24"/>
          <w:highlight w:val="none"/>
          <w:lang w:val="en-US" w:eastAsia="zh-CN"/>
        </w:rPr>
        <w:t>特此承诺</w:t>
      </w:r>
    </w:p>
    <w:p w14:paraId="51E6FB1D">
      <w:pPr>
        <w:keepNext w:val="0"/>
        <w:keepLines w:val="0"/>
        <w:pageBreakBefore w:val="0"/>
        <w:widowControl w:val="0"/>
        <w:kinsoku/>
        <w:wordWrap/>
        <w:overflowPunct/>
        <w:topLinePunct w:val="0"/>
        <w:autoSpaceDE/>
        <w:autoSpaceDN/>
        <w:bidi w:val="0"/>
        <w:adjustRightInd/>
        <w:snapToGrid/>
        <w:spacing w:beforeLines="0" w:afterLines="0" w:line="480" w:lineRule="auto"/>
        <w:ind w:firstLine="0" w:firstLineChars="0"/>
        <w:jc w:val="center"/>
        <w:textAlignment w:val="auto"/>
        <w:rPr>
          <w:rFonts w:hint="default" w:ascii="仿宋_GB2312" w:hAnsi="Times New Roman" w:eastAsia="仿宋_GB2312" w:cs="Times New Roman"/>
          <w:color w:val="auto"/>
          <w:sz w:val="24"/>
          <w:szCs w:val="24"/>
          <w:highlight w:val="none"/>
          <w:lang w:val="en-US" w:eastAsia="zh-CN"/>
        </w:rPr>
      </w:pPr>
      <w:r>
        <w:rPr>
          <w:rFonts w:hint="eastAsia" w:ascii="仿宋_GB2312" w:hAnsi="Times New Roman" w:eastAsia="仿宋_GB2312" w:cs="Times New Roman"/>
          <w:color w:val="auto"/>
          <w:sz w:val="24"/>
          <w:szCs w:val="24"/>
          <w:highlight w:val="none"/>
          <w:lang w:val="en-US" w:eastAsia="zh-CN"/>
        </w:rPr>
        <w:t xml:space="preserve">                   </w:t>
      </w:r>
      <w:r>
        <w:rPr>
          <w:rFonts w:hint="default" w:ascii="仿宋_GB2312" w:hAnsi="Times New Roman" w:eastAsia="仿宋_GB2312" w:cs="Times New Roman"/>
          <w:color w:val="auto"/>
          <w:sz w:val="24"/>
          <w:szCs w:val="24"/>
          <w:highlight w:val="none"/>
          <w:lang w:val="en-US" w:eastAsia="zh-CN"/>
        </w:rPr>
        <w:t>承诺方：（盖章）</w:t>
      </w:r>
      <w:r>
        <w:rPr>
          <w:rFonts w:hint="eastAsia" w:ascii="仿宋_GB2312" w:hAnsi="Times New Roman" w:eastAsia="仿宋_GB2312" w:cs="Times New Roman"/>
          <w:color w:val="auto"/>
          <w:sz w:val="24"/>
          <w:szCs w:val="24"/>
          <w:highlight w:val="none"/>
          <w:lang w:val="en-US" w:eastAsia="zh-CN"/>
        </w:rPr>
        <w:t>XXX有限公司</w:t>
      </w:r>
      <w:r>
        <w:rPr>
          <w:rFonts w:hint="default" w:ascii="仿宋_GB2312" w:hAnsi="Times New Roman" w:eastAsia="仿宋_GB2312" w:cs="Times New Roman"/>
          <w:color w:val="auto"/>
          <w:sz w:val="24"/>
          <w:szCs w:val="24"/>
          <w:highlight w:val="none"/>
          <w:lang w:val="en-US" w:eastAsia="zh-CN"/>
        </w:rPr>
        <w:t xml:space="preserve">        </w:t>
      </w:r>
    </w:p>
    <w:p w14:paraId="2957EBB2">
      <w:pPr>
        <w:keepNext w:val="0"/>
        <w:keepLines w:val="0"/>
        <w:pageBreakBefore w:val="0"/>
        <w:widowControl w:val="0"/>
        <w:kinsoku/>
        <w:wordWrap/>
        <w:overflowPunct/>
        <w:topLinePunct w:val="0"/>
        <w:autoSpaceDE/>
        <w:autoSpaceDN/>
        <w:bidi w:val="0"/>
        <w:adjustRightInd/>
        <w:snapToGrid/>
        <w:spacing w:beforeLines="0" w:afterLines="0" w:line="480" w:lineRule="auto"/>
        <w:ind w:firstLine="0" w:firstLineChars="0"/>
        <w:jc w:val="center"/>
        <w:textAlignment w:val="auto"/>
        <w:rPr>
          <w:rFonts w:hint="default" w:ascii="仿宋_GB2312" w:hAnsi="Times New Roman" w:eastAsia="仿宋_GB2312" w:cs="Times New Roman"/>
          <w:color w:val="auto"/>
          <w:sz w:val="24"/>
          <w:szCs w:val="24"/>
          <w:highlight w:val="none"/>
          <w:lang w:val="en-US" w:eastAsia="zh-CN"/>
        </w:rPr>
      </w:pPr>
      <w:r>
        <w:rPr>
          <w:rFonts w:hint="eastAsia" w:ascii="仿宋_GB2312" w:hAnsi="Times New Roman" w:eastAsia="仿宋_GB2312" w:cs="Times New Roman"/>
          <w:color w:val="auto"/>
          <w:sz w:val="24"/>
          <w:szCs w:val="24"/>
          <w:highlight w:val="none"/>
          <w:lang w:val="en-US" w:eastAsia="zh-CN"/>
        </w:rPr>
        <w:t xml:space="preserve">      </w:t>
      </w:r>
      <w:r>
        <w:rPr>
          <w:rFonts w:hint="default" w:ascii="仿宋_GB2312" w:hAnsi="Times New Roman" w:eastAsia="仿宋_GB2312" w:cs="Times New Roman"/>
          <w:color w:val="auto"/>
          <w:sz w:val="24"/>
          <w:szCs w:val="24"/>
          <w:highlight w:val="none"/>
          <w:lang w:val="en-US" w:eastAsia="zh-CN"/>
        </w:rPr>
        <w:t xml:space="preserve">法定代表人（或授权代表）签字：              </w:t>
      </w:r>
    </w:p>
    <w:p w14:paraId="6AC85663">
      <w:pPr>
        <w:rPr>
          <w:rFonts w:hint="default" w:ascii="仿宋_GB2312" w:hAnsi="Times New Roman" w:eastAsia="仿宋_GB2312" w:cs="Times New Roman"/>
          <w:color w:val="auto"/>
          <w:sz w:val="24"/>
          <w:szCs w:val="24"/>
          <w:highlight w:val="none"/>
          <w:lang w:val="en-US" w:eastAsia="zh-CN"/>
        </w:rPr>
      </w:pPr>
      <w:r>
        <w:rPr>
          <w:rFonts w:hint="eastAsia" w:ascii="仿宋_GB2312" w:hAnsi="Times New Roman" w:eastAsia="仿宋_GB2312" w:cs="Times New Roman"/>
          <w:color w:val="auto"/>
          <w:sz w:val="24"/>
          <w:szCs w:val="24"/>
          <w:highlight w:val="none"/>
          <w:lang w:val="en-US" w:eastAsia="zh-CN"/>
        </w:rPr>
        <w:t xml:space="preserve">                                               </w:t>
      </w:r>
      <w:r>
        <w:rPr>
          <w:rFonts w:hint="default" w:ascii="仿宋_GB2312" w:hAnsi="Times New Roman" w:eastAsia="仿宋_GB2312" w:cs="Times New Roman"/>
          <w:color w:val="auto"/>
          <w:sz w:val="24"/>
          <w:szCs w:val="24"/>
          <w:highlight w:val="none"/>
          <w:lang w:val="en-US" w:eastAsia="zh-CN"/>
        </w:rPr>
        <w:t>承诺日期：    年   月   日</w:t>
      </w:r>
    </w:p>
    <w:p w14:paraId="1FA45A42">
      <w:pPr>
        <w:pStyle w:val="2"/>
        <w:ind w:left="0" w:leftChars="0" w:firstLine="0" w:firstLineChars="0"/>
        <w:rPr>
          <w:rFonts w:hint="eastAsia" w:ascii="仿宋_GB2312" w:hAnsi="仿宋_GB2312" w:eastAsia="仿宋_GB2312" w:cs="仿宋_GB2312"/>
          <w:b/>
          <w:color w:val="auto"/>
          <w:sz w:val="32"/>
          <w:szCs w:val="32"/>
          <w:highlight w:val="none"/>
          <w:lang w:val="en-US" w:eastAsia="zh-CN"/>
        </w:rPr>
      </w:pPr>
      <w:r>
        <w:rPr>
          <w:rFonts w:hint="default" w:ascii="仿宋_GB2312" w:hAnsi="仿宋_GB2312" w:eastAsia="仿宋_GB2312" w:cs="仿宋_GB2312"/>
          <w:b/>
          <w:color w:val="auto"/>
          <w:sz w:val="32"/>
          <w:szCs w:val="32"/>
          <w:highlight w:val="none"/>
          <w:lang w:val="en-US" w:eastAsia="zh-CN"/>
        </w:rPr>
        <w:t>附件</w:t>
      </w:r>
      <w:r>
        <w:rPr>
          <w:rFonts w:hint="eastAsia" w:ascii="仿宋_GB2312" w:hAnsi="仿宋_GB2312" w:eastAsia="仿宋_GB2312" w:cs="仿宋_GB2312"/>
          <w:b/>
          <w:color w:val="auto"/>
          <w:sz w:val="32"/>
          <w:szCs w:val="32"/>
          <w:highlight w:val="none"/>
          <w:lang w:val="en-US" w:eastAsia="zh-CN"/>
        </w:rPr>
        <w:t>7</w:t>
      </w:r>
    </w:p>
    <w:p w14:paraId="1D1A323B">
      <w:pPr>
        <w:spacing w:line="360" w:lineRule="auto"/>
        <w:jc w:val="center"/>
        <w:rPr>
          <w:rFonts w:hint="eastAsia" w:ascii="仿宋_GB2312" w:hAnsi="仿宋_GB2312" w:eastAsia="仿宋_GB2312" w:cs="仿宋_GB2312"/>
          <w:b/>
          <w:color w:val="auto"/>
          <w:sz w:val="30"/>
          <w:szCs w:val="30"/>
          <w:highlight w:val="none"/>
          <w:lang w:val="en-US" w:eastAsia="zh-CN"/>
        </w:rPr>
      </w:pPr>
      <w:r>
        <w:rPr>
          <w:rFonts w:hint="eastAsia" w:ascii="仿宋_GB2312" w:hAnsi="仿宋_GB2312" w:eastAsia="仿宋_GB2312" w:cs="仿宋_GB2312"/>
          <w:b/>
          <w:color w:val="auto"/>
          <w:sz w:val="30"/>
          <w:szCs w:val="30"/>
          <w:highlight w:val="none"/>
          <w:lang w:val="en-US" w:eastAsia="zh-CN"/>
        </w:rPr>
        <w:t>投标清单</w:t>
      </w:r>
    </w:p>
    <w:p w14:paraId="52D2FCB9">
      <w:pPr>
        <w:rPr>
          <w:rFonts w:hint="eastAsia" w:ascii="仿宋_GB2312" w:hAnsi="仿宋_GB2312" w:eastAsia="仿宋_GB2312" w:cs="仿宋_GB2312"/>
          <w:b/>
          <w:color w:val="auto"/>
          <w:sz w:val="32"/>
          <w:szCs w:val="32"/>
          <w:highlight w:val="none"/>
          <w:lang w:val="en-US" w:eastAsia="zh-CN"/>
        </w:rPr>
      </w:pPr>
      <w:r>
        <w:rPr>
          <w:rFonts w:hint="eastAsia" w:ascii="仿宋_GB2312" w:hAnsi="仿宋_GB2312" w:eastAsia="仿宋_GB2312" w:cs="仿宋_GB2312"/>
          <w:b/>
          <w:color w:val="auto"/>
          <w:sz w:val="32"/>
          <w:szCs w:val="32"/>
          <w:highlight w:val="none"/>
          <w:lang w:val="en-US" w:eastAsia="zh-CN"/>
        </w:rPr>
        <w:br w:type="page"/>
      </w:r>
    </w:p>
    <w:p w14:paraId="2428B318">
      <w:pPr>
        <w:rPr>
          <w:rFonts w:hint="eastAsia" w:ascii="仿宋_GB2312" w:hAnsi="仿宋_GB2312" w:eastAsia="仿宋_GB2312" w:cs="仿宋_GB2312"/>
          <w:b/>
          <w:color w:val="auto"/>
          <w:sz w:val="32"/>
          <w:szCs w:val="32"/>
          <w:highlight w:val="none"/>
          <w:lang w:val="en-US" w:eastAsia="zh-CN"/>
        </w:rPr>
      </w:pPr>
      <w:r>
        <w:rPr>
          <w:rFonts w:hint="default" w:ascii="仿宋_GB2312" w:hAnsi="仿宋_GB2312" w:eastAsia="仿宋_GB2312" w:cs="仿宋_GB2312"/>
          <w:b/>
          <w:color w:val="auto"/>
          <w:sz w:val="32"/>
          <w:szCs w:val="32"/>
          <w:highlight w:val="none"/>
          <w:lang w:val="en-US" w:eastAsia="zh-CN"/>
        </w:rPr>
        <w:t>附件</w:t>
      </w:r>
      <w:r>
        <w:rPr>
          <w:rFonts w:hint="eastAsia" w:ascii="仿宋_GB2312" w:hAnsi="仿宋_GB2312" w:eastAsia="仿宋_GB2312" w:cs="仿宋_GB2312"/>
          <w:b/>
          <w:color w:val="auto"/>
          <w:sz w:val="32"/>
          <w:szCs w:val="32"/>
          <w:highlight w:val="none"/>
          <w:lang w:val="en-US" w:eastAsia="zh-CN"/>
        </w:rPr>
        <w:t>8</w:t>
      </w:r>
    </w:p>
    <w:p w14:paraId="74E18E22">
      <w:pPr>
        <w:spacing w:line="360" w:lineRule="auto"/>
        <w:jc w:val="center"/>
        <w:rPr>
          <w:rFonts w:hint="default"/>
          <w:lang w:val="en-US"/>
        </w:rPr>
      </w:pPr>
      <w:r>
        <w:rPr>
          <w:rFonts w:hint="eastAsia" w:ascii="仿宋_GB2312" w:hAnsi="仿宋_GB2312" w:eastAsia="仿宋_GB2312" w:cs="仿宋_GB2312"/>
          <w:b/>
          <w:color w:val="auto"/>
          <w:sz w:val="30"/>
          <w:szCs w:val="30"/>
          <w:highlight w:val="none"/>
          <w:lang w:val="en-US" w:eastAsia="zh-CN"/>
        </w:rPr>
        <w:t>实施本项目的有关人员资料表</w:t>
      </w:r>
    </w:p>
    <w:sectPr>
      <w:pgSz w:w="11906" w:h="16838"/>
      <w:pgMar w:top="1361" w:right="1134" w:bottom="1361" w:left="1134" w:header="851" w:footer="992"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简体">
    <w:altName w:val="宋体"/>
    <w:panose1 w:val="02000000000000000000"/>
    <w:charset w:val="86"/>
    <w:family w:val="auto"/>
    <w:pitch w:val="default"/>
    <w:sig w:usb0="00000000" w:usb1="00000000"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E98F8">
    <w:pPr>
      <w:pStyle w:val="6"/>
      <w:tabs>
        <w:tab w:val="center" w:pos="4153"/>
        <w:tab w:val="right" w:pos="8306"/>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3E2F7F">
                          <w:pPr>
                            <w:pStyle w:val="6"/>
                            <w:tabs>
                              <w:tab w:val="center" w:pos="4153"/>
                              <w:tab w:val="right" w:pos="8306"/>
                            </w:tabs>
                            <w:jc w:val="center"/>
                          </w:pPr>
                          <w:r>
                            <w:rPr>
                              <w:rFonts w:hint="eastAsia" w:ascii="Calibri" w:hAnsi="Calibri"/>
                            </w:rPr>
                            <w:t>第 1 页  共 15 页</w:t>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9r1VskBAACZAwAADgAAAGRycy9lMm9Eb2MueG1srVPNjtMwEL4j8Q6W&#10;79Rph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NeUOG5x4Jfv3y4/fl1+fiXL&#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v2vVWyQEAAJkDAAAOAAAAAAAAAAEAIAAAAB4BAABkcnMvZTJvRG9j&#10;LnhtbFBLBQYAAAAABgAGAFkBAABZBQAAAAA=&#10;">
              <v:fill on="f" focussize="0,0"/>
              <v:stroke on="f"/>
              <v:imagedata o:title=""/>
              <o:lock v:ext="edit" aspectratio="f"/>
              <v:textbox inset="0mm,0mm,0mm,0mm" style="mso-fit-shape-to-text:t;">
                <w:txbxContent>
                  <w:p w14:paraId="663E2F7F">
                    <w:pPr>
                      <w:pStyle w:val="6"/>
                      <w:tabs>
                        <w:tab w:val="center" w:pos="4153"/>
                        <w:tab w:val="right" w:pos="8306"/>
                      </w:tabs>
                      <w:jc w:val="center"/>
                    </w:pPr>
                    <w:r>
                      <w:rPr>
                        <w:rFonts w:hint="eastAsia" w:ascii="Calibri" w:hAnsi="Calibri"/>
                      </w:rPr>
                      <w:t>第 1 页  共 15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807FD">
    <w:pPr>
      <w:pStyle w:val="6"/>
      <w:framePr w:wrap="around" w:vAnchor="text" w:hAnchor="text" w:xAlign="center" w:y="2"/>
      <w:tabs>
        <w:tab w:val="center" w:pos="4153"/>
        <w:tab w:val="right" w:pos="8306"/>
      </w:tabs>
      <w:rPr>
        <w:rStyle w:val="12"/>
      </w:rPr>
    </w:pPr>
    <w:r>
      <w:fldChar w:fldCharType="begin"/>
    </w:r>
    <w:r>
      <w:rPr>
        <w:rStyle w:val="12"/>
      </w:rPr>
      <w:instrText xml:space="preserve">PAGE  </w:instrText>
    </w:r>
    <w:r>
      <w:fldChar w:fldCharType="separate"/>
    </w:r>
    <w:r>
      <w:fldChar w:fldCharType="end"/>
    </w:r>
  </w:p>
  <w:p w14:paraId="78D6F368">
    <w:pPr>
      <w:pStyle w:val="6"/>
      <w:tabs>
        <w:tab w:val="center" w:pos="4153"/>
        <w:tab w:val="right"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0CBA8">
    <w:pPr>
      <w:pStyle w:val="6"/>
      <w:tabs>
        <w:tab w:val="center" w:pos="4153"/>
        <w:tab w:val="right" w:pos="8306"/>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213865">
                          <w:pPr>
                            <w:pStyle w:val="6"/>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val="en-US" w:eastAsia="zh-CN"/>
                            </w:rPr>
                            <w:t>18</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05213865">
                    <w:pPr>
                      <w:pStyle w:val="6"/>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val="en-US" w:eastAsia="zh-CN"/>
                      </w:rPr>
                      <w:t>18</w:t>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F5969">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87C679">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18</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3487C679">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18</w:t>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69AFF">
    <w:pPr>
      <w:pStyle w:val="6"/>
      <w:tabs>
        <w:tab w:val="center" w:pos="4153"/>
        <w:tab w:val="right" w:pos="8306"/>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B4400">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51D09">
    <w:pPr>
      <w:pStyle w:val="7"/>
      <w:tabs>
        <w:tab w:val="center" w:pos="4153"/>
        <w:tab w:val="right" w:pos="8306"/>
      </w:tabs>
    </w:pPr>
    <w:r>
      <w:drawing>
        <wp:inline distT="0" distB="0" distL="114300" distR="114300">
          <wp:extent cx="1181100" cy="447675"/>
          <wp:effectExtent l="0" t="0" r="7620" b="1016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
                  <a:srcRect t="-10638" b="10638"/>
                  <a:stretch>
                    <a:fillRect/>
                  </a:stretch>
                </pic:blipFill>
                <pic:spPr>
                  <a:xfrm>
                    <a:off x="0" y="0"/>
                    <a:ext cx="1181100" cy="447675"/>
                  </a:xfrm>
                  <a:prstGeom prst="rect">
                    <a:avLst/>
                  </a:prstGeom>
                  <a:noFill/>
                  <a:ln>
                    <a:noFill/>
                  </a:ln>
                </pic:spPr>
              </pic:pic>
            </a:graphicData>
          </a:graphic>
        </wp:inline>
      </w:drawing>
    </w:r>
    <w:r>
      <w:t xml:space="preserve">             </w:t>
    </w:r>
    <w:r>
      <w:rPr>
        <w:rFonts w:hint="eastAsia"/>
      </w:rPr>
      <w:t xml:space="preserve">                                            </w:t>
    </w:r>
    <w:r>
      <w:rPr>
        <w:rFonts w:hint="eastAsia"/>
        <w:lang w:eastAsia="zh-CN"/>
      </w:rPr>
      <w:t>东莞市新锋新能源有限公司</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19555">
    <w:pPr>
      <w:pStyle w:val="7"/>
      <w:pBdr>
        <w:top w:val="none" w:color="auto" w:sz="0" w:space="0"/>
        <w:left w:val="none" w:color="auto" w:sz="0" w:space="0"/>
        <w:bottom w:val="none" w:color="auto" w:sz="0" w:space="0"/>
        <w:right w:val="none" w:color="auto" w:sz="0" w:space="0"/>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DE574">
    <w:pPr>
      <w:pStyle w:val="7"/>
      <w:tabs>
        <w:tab w:val="center" w:pos="4153"/>
        <w:tab w:val="right" w:pos="8306"/>
      </w:tabs>
      <w:jc w:val="left"/>
      <w:rPr>
        <w:rFonts w:hint="default" w:eastAsiaTheme="minorEastAsia"/>
        <w:lang w:val="en-US" w:eastAsia="zh-CN"/>
      </w:rPr>
    </w:pPr>
    <w:r>
      <w:drawing>
        <wp:inline distT="0" distB="0" distL="114300" distR="114300">
          <wp:extent cx="1181100" cy="447675"/>
          <wp:effectExtent l="0" t="0" r="0" b="8890"/>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1"/>
                  <a:srcRect t="-10638" b="10638"/>
                  <a:stretch>
                    <a:fillRect/>
                  </a:stretch>
                </pic:blipFill>
                <pic:spPr>
                  <a:xfrm>
                    <a:off x="0" y="0"/>
                    <a:ext cx="1181100" cy="447675"/>
                  </a:xfrm>
                  <a:prstGeom prst="rect">
                    <a:avLst/>
                  </a:prstGeom>
                  <a:noFill/>
                  <a:ln>
                    <a:noFill/>
                  </a:ln>
                </pic:spPr>
              </pic:pic>
            </a:graphicData>
          </a:graphic>
        </wp:inline>
      </w:drawing>
    </w:r>
    <w:r>
      <w:t xml:space="preserve">             </w:t>
    </w:r>
    <w:r>
      <w:rPr>
        <w:rFonts w:hint="eastAsia"/>
      </w:rPr>
      <w:t xml:space="preserve">                                      </w:t>
    </w:r>
    <w:r>
      <w:rPr>
        <w:rFonts w:hint="eastAsia"/>
        <w:lang w:val="en-US" w:eastAsia="zh-CN"/>
      </w:rPr>
      <w:t xml:space="preserve">           </w:t>
    </w:r>
    <w:r>
      <w:rPr>
        <w:rFonts w:hint="eastAsia"/>
        <w:lang w:eastAsia="zh-CN"/>
      </w:rPr>
      <w:t>东莞市新锋新能源有限公司</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FAE68">
    <w:pPr>
      <w:pStyle w:val="7"/>
      <w:jc w:val="both"/>
      <w:rPr>
        <w:rFonts w:hint="eastAsia" w:eastAsia="宋体"/>
        <w:lang w:eastAsia="zh-CN"/>
      </w:rPr>
    </w:pPr>
    <w:r>
      <w:t xml:space="preserve"> </w:t>
    </w:r>
    <w:r>
      <w:drawing>
        <wp:inline distT="0" distB="0" distL="114300" distR="114300">
          <wp:extent cx="1181100" cy="447675"/>
          <wp:effectExtent l="0" t="0" r="0" b="889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
                  <a:srcRect t="-10638" b="10638"/>
                  <a:stretch>
                    <a:fillRect/>
                  </a:stretch>
                </pic:blipFill>
                <pic:spPr>
                  <a:xfrm>
                    <a:off x="0" y="0"/>
                    <a:ext cx="1181100" cy="447675"/>
                  </a:xfrm>
                  <a:prstGeom prst="rect">
                    <a:avLst/>
                  </a:prstGeom>
                  <a:noFill/>
                  <a:ln>
                    <a:noFill/>
                  </a:ln>
                </pic:spPr>
              </pic:pic>
            </a:graphicData>
          </a:graphic>
        </wp:inline>
      </w:drawing>
    </w:r>
    <w:r>
      <w:t xml:space="preserve">        </w:t>
    </w:r>
    <w:r>
      <w:rPr>
        <w:rFonts w:hint="eastAsia"/>
      </w:rPr>
      <w:t xml:space="preserve">                                            </w:t>
    </w:r>
    <w:r>
      <w:rPr>
        <w:rFonts w:hint="eastAsia"/>
        <w:lang w:val="en-US" w:eastAsia="zh-CN"/>
      </w:rPr>
      <w:t xml:space="preserve">         </w:t>
    </w:r>
    <w:r>
      <w:rPr>
        <w:rFonts w:hint="eastAsia"/>
        <w:lang w:eastAsia="zh-CN"/>
      </w:rPr>
      <w:t>东莞市新锋新能源有限公司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C6BDC8"/>
    <w:multiLevelType w:val="singleLevel"/>
    <w:tmpl w:val="88C6BDC8"/>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62398F"/>
    <w:rsid w:val="00493747"/>
    <w:rsid w:val="01200031"/>
    <w:rsid w:val="02405F8A"/>
    <w:rsid w:val="02F66055"/>
    <w:rsid w:val="03413025"/>
    <w:rsid w:val="067F52D3"/>
    <w:rsid w:val="08F94F0D"/>
    <w:rsid w:val="097C031F"/>
    <w:rsid w:val="0A522CFE"/>
    <w:rsid w:val="0A851C86"/>
    <w:rsid w:val="10283198"/>
    <w:rsid w:val="11C72224"/>
    <w:rsid w:val="11ED1C8A"/>
    <w:rsid w:val="12331667"/>
    <w:rsid w:val="123A29F6"/>
    <w:rsid w:val="148052C9"/>
    <w:rsid w:val="14A30D26"/>
    <w:rsid w:val="14AD5701"/>
    <w:rsid w:val="1800196C"/>
    <w:rsid w:val="182E4DAB"/>
    <w:rsid w:val="194F7996"/>
    <w:rsid w:val="1A974E89"/>
    <w:rsid w:val="1C672639"/>
    <w:rsid w:val="1D053620"/>
    <w:rsid w:val="1E3225C6"/>
    <w:rsid w:val="1E5D1F46"/>
    <w:rsid w:val="1F170346"/>
    <w:rsid w:val="1F3E6C9D"/>
    <w:rsid w:val="1F792DAF"/>
    <w:rsid w:val="20120B0E"/>
    <w:rsid w:val="22925F36"/>
    <w:rsid w:val="229B20FD"/>
    <w:rsid w:val="23C84ED6"/>
    <w:rsid w:val="23DE44B3"/>
    <w:rsid w:val="245A04CE"/>
    <w:rsid w:val="2758774E"/>
    <w:rsid w:val="2776357A"/>
    <w:rsid w:val="281F026C"/>
    <w:rsid w:val="289A347E"/>
    <w:rsid w:val="28BC6FBB"/>
    <w:rsid w:val="2ABC535A"/>
    <w:rsid w:val="2CB13555"/>
    <w:rsid w:val="2CCD64E8"/>
    <w:rsid w:val="2CED26E7"/>
    <w:rsid w:val="2D545E22"/>
    <w:rsid w:val="2E6F71BF"/>
    <w:rsid w:val="2E913546"/>
    <w:rsid w:val="2E9C7667"/>
    <w:rsid w:val="2F0D4A3E"/>
    <w:rsid w:val="2F3F63D2"/>
    <w:rsid w:val="2FA07EE4"/>
    <w:rsid w:val="2FE20FF4"/>
    <w:rsid w:val="30275F10"/>
    <w:rsid w:val="31605B7D"/>
    <w:rsid w:val="324D1679"/>
    <w:rsid w:val="328136F5"/>
    <w:rsid w:val="32E60304"/>
    <w:rsid w:val="35576397"/>
    <w:rsid w:val="3662398F"/>
    <w:rsid w:val="371D006C"/>
    <w:rsid w:val="376509F8"/>
    <w:rsid w:val="37D44BCF"/>
    <w:rsid w:val="3A0456AC"/>
    <w:rsid w:val="3AD83D20"/>
    <w:rsid w:val="3CFB7418"/>
    <w:rsid w:val="3D4019EB"/>
    <w:rsid w:val="3D566086"/>
    <w:rsid w:val="3D7C2E95"/>
    <w:rsid w:val="3DBD20B8"/>
    <w:rsid w:val="3E102777"/>
    <w:rsid w:val="3ED37706"/>
    <w:rsid w:val="3ED41429"/>
    <w:rsid w:val="3F535775"/>
    <w:rsid w:val="3F7A6ADE"/>
    <w:rsid w:val="3FDE76ED"/>
    <w:rsid w:val="400E0E9A"/>
    <w:rsid w:val="409F131A"/>
    <w:rsid w:val="40B732E0"/>
    <w:rsid w:val="40B77275"/>
    <w:rsid w:val="417633B7"/>
    <w:rsid w:val="42772D26"/>
    <w:rsid w:val="43443AED"/>
    <w:rsid w:val="43DD12AF"/>
    <w:rsid w:val="43FB1735"/>
    <w:rsid w:val="45DD7344"/>
    <w:rsid w:val="46D544C0"/>
    <w:rsid w:val="475A1511"/>
    <w:rsid w:val="477358DF"/>
    <w:rsid w:val="479D2EE3"/>
    <w:rsid w:val="47A20D4D"/>
    <w:rsid w:val="4812529F"/>
    <w:rsid w:val="48E2538E"/>
    <w:rsid w:val="48E76008"/>
    <w:rsid w:val="49247038"/>
    <w:rsid w:val="49E617C3"/>
    <w:rsid w:val="4A994069"/>
    <w:rsid w:val="4C36602C"/>
    <w:rsid w:val="4C465518"/>
    <w:rsid w:val="4C982217"/>
    <w:rsid w:val="4D293B05"/>
    <w:rsid w:val="4DF256D6"/>
    <w:rsid w:val="5108053D"/>
    <w:rsid w:val="51552AB5"/>
    <w:rsid w:val="5388511F"/>
    <w:rsid w:val="546E2BEB"/>
    <w:rsid w:val="55863D40"/>
    <w:rsid w:val="563722EF"/>
    <w:rsid w:val="57C55E8A"/>
    <w:rsid w:val="59A73A9A"/>
    <w:rsid w:val="5A56101C"/>
    <w:rsid w:val="5B082795"/>
    <w:rsid w:val="5B0E7B48"/>
    <w:rsid w:val="5BD42B40"/>
    <w:rsid w:val="5C0F45B7"/>
    <w:rsid w:val="5C5A1297"/>
    <w:rsid w:val="5C7918DE"/>
    <w:rsid w:val="5C9F4EFC"/>
    <w:rsid w:val="5CF3349A"/>
    <w:rsid w:val="5D084B88"/>
    <w:rsid w:val="5DB26EB1"/>
    <w:rsid w:val="5F8D3732"/>
    <w:rsid w:val="5FD6641E"/>
    <w:rsid w:val="60F23AE1"/>
    <w:rsid w:val="62BF6D03"/>
    <w:rsid w:val="63304B00"/>
    <w:rsid w:val="63D12DB1"/>
    <w:rsid w:val="649A0FD6"/>
    <w:rsid w:val="64FA24BE"/>
    <w:rsid w:val="65A6554D"/>
    <w:rsid w:val="69FF522C"/>
    <w:rsid w:val="6A9736B6"/>
    <w:rsid w:val="6B6B029E"/>
    <w:rsid w:val="6B6C68F1"/>
    <w:rsid w:val="6D055ADB"/>
    <w:rsid w:val="6DBE71AC"/>
    <w:rsid w:val="6F1E6154"/>
    <w:rsid w:val="6F3C482C"/>
    <w:rsid w:val="6FA955E2"/>
    <w:rsid w:val="6FB40867"/>
    <w:rsid w:val="735A7977"/>
    <w:rsid w:val="74656ED0"/>
    <w:rsid w:val="750060C0"/>
    <w:rsid w:val="76D637B8"/>
    <w:rsid w:val="77E90D03"/>
    <w:rsid w:val="7A9849DD"/>
    <w:rsid w:val="7C2E374F"/>
    <w:rsid w:val="7E0F3616"/>
    <w:rsid w:val="7E2E08D3"/>
    <w:rsid w:val="7F98785D"/>
    <w:rsid w:val="7FB7C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Body Text First Indent1"/>
    <w:basedOn w:val="3"/>
    <w:next w:val="1"/>
    <w:qFormat/>
    <w:uiPriority w:val="0"/>
    <w:pPr>
      <w:widowControl w:val="0"/>
      <w:spacing w:beforeLines="50" w:line="360" w:lineRule="auto"/>
      <w:ind w:firstLine="200" w:firstLineChars="200"/>
      <w:jc w:val="both"/>
    </w:pPr>
    <w:rPr>
      <w:rFonts w:hint="default" w:ascii="Times New Roman" w:hAnsi="Times New Roman" w:eastAsia="宋体" w:cs="Times New Roman"/>
      <w:kern w:val="2"/>
      <w:sz w:val="24"/>
      <w:szCs w:val="24"/>
      <w:lang w:val="en-US" w:eastAsia="zh-CN" w:bidi="ar-SA"/>
    </w:rPr>
  </w:style>
  <w:style w:type="paragraph" w:styleId="3">
    <w:name w:val="Body Text"/>
    <w:basedOn w:val="1"/>
    <w:next w:val="1"/>
    <w:qFormat/>
    <w:uiPriority w:val="0"/>
    <w:pPr>
      <w:autoSpaceDE w:val="0"/>
      <w:autoSpaceDN w:val="0"/>
      <w:adjustRightInd w:val="0"/>
      <w:jc w:val="left"/>
    </w:pPr>
    <w:rPr>
      <w:rFonts w:ascii="宋体"/>
      <w:kern w:val="0"/>
      <w:sz w:val="28"/>
      <w:szCs w:val="20"/>
    </w:rPr>
  </w:style>
  <w:style w:type="paragraph" w:styleId="5">
    <w:name w:val="annotation text"/>
    <w:basedOn w:val="1"/>
    <w:qFormat/>
    <w:uiPriority w:val="0"/>
    <w:pPr>
      <w:jc w:val="left"/>
    </w:pPr>
  </w:style>
  <w:style w:type="paragraph" w:styleId="6">
    <w:name w:val="footer"/>
    <w:basedOn w:val="1"/>
    <w:qFormat/>
    <w:uiPriority w:val="0"/>
    <w:pPr>
      <w:snapToGrid w:val="0"/>
      <w:jc w:val="left"/>
    </w:pPr>
    <w:rPr>
      <w:sz w:val="18"/>
      <w:szCs w:val="18"/>
    </w:rPr>
  </w:style>
  <w:style w:type="paragraph" w:styleId="7">
    <w:name w:val="header"/>
    <w:basedOn w:val="1"/>
    <w:qFormat/>
    <w:uiPriority w:val="0"/>
    <w:pPr>
      <w:pBdr>
        <w:bottom w:val="single" w:color="auto" w:sz="6" w:space="1"/>
      </w:pBdr>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page number"/>
    <w:basedOn w:val="10"/>
    <w:qFormat/>
    <w:uiPriority w:val="0"/>
  </w:style>
  <w:style w:type="paragraph" w:customStyle="1" w:styleId="13">
    <w:name w:val="首行缩进"/>
    <w:basedOn w:val="1"/>
    <w:qFormat/>
    <w:uiPriority w:val="0"/>
    <w:pPr>
      <w:adjustRightInd/>
      <w:spacing w:line="300" w:lineRule="auto"/>
      <w:ind w:firstLine="420" w:firstLineChars="200"/>
      <w:jc w:val="both"/>
    </w:pPr>
    <w:rPr>
      <w:rFonts w:ascii="Calibri" w:hAnsi="Calibri" w:eastAsia="方正书宋简体" w:cs="Times New Roman"/>
      <w:sz w:val="20"/>
    </w:rPr>
  </w:style>
  <w:style w:type="paragraph" w:customStyle="1" w:styleId="14">
    <w:name w:val="table"/>
    <w:qFormat/>
    <w:uiPriority w:val="0"/>
    <w:pPr>
      <w:adjustRightInd w:val="0"/>
      <w:snapToGrid w:val="0"/>
    </w:pPr>
    <w:rPr>
      <w:rFonts w:hint="default" w:ascii="宋体"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21170</Words>
  <Characters>21838</Characters>
  <Lines>0</Lines>
  <Paragraphs>0</Paragraphs>
  <TotalTime>66</TotalTime>
  <ScaleCrop>false</ScaleCrop>
  <LinksUpToDate>false</LinksUpToDate>
  <CharactersWithSpaces>22353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2026-02-09T18:39:00Z</dcterms:created>
  <dc:creator>Wolverine</dc:creator>
  <cp:lastModifiedBy>zyl</cp:lastModifiedBy>
  <dcterms:modified xsi:type="dcterms:W3CDTF">2026-08-24T02:52:53Z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6994049EDAC34570A6D541D311AADAC6_13</vt:lpwstr>
  </property>
  <property fmtid="{D5CDD505-2E9C-101B-9397-08002B2CF9AE}" pid="4" name="KSOTemplateDocerSaveRecord">
    <vt:lpwstr>eyJoZGlkIjoiNjYxYmM1NmU3MWY5YmUwYmM3YTU3MWZlNDgzNGVmNmQiLCJ1c2VySWQiOiIyNTIxODU1NzkifQ==</vt:lpwstr>
  </property>
</Properties>
</file>