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54D264">
      <w:pPr>
        <w:pStyle w:val="36"/>
        <w:spacing w:line="360" w:lineRule="auto"/>
        <w:rPr>
          <w:rFonts w:ascii="宋体" w:hAnsi="宋体" w:eastAsia="宋体"/>
          <w:color w:val="auto"/>
          <w:sz w:val="52"/>
          <w:szCs w:val="52"/>
          <w:lang w:val="en-GB"/>
        </w:rPr>
      </w:pPr>
    </w:p>
    <w:p w14:paraId="15A16EFF">
      <w:pPr>
        <w:pStyle w:val="36"/>
        <w:spacing w:line="360" w:lineRule="auto"/>
        <w:rPr>
          <w:rFonts w:ascii="宋体" w:hAnsi="宋体" w:eastAsia="宋体"/>
          <w:color w:val="auto"/>
          <w:sz w:val="52"/>
          <w:szCs w:val="52"/>
          <w:lang w:val="en-GB"/>
        </w:rPr>
      </w:pPr>
    </w:p>
    <w:p w14:paraId="4666B33F">
      <w:pPr>
        <w:pStyle w:val="36"/>
        <w:spacing w:line="360" w:lineRule="auto"/>
        <w:rPr>
          <w:rFonts w:ascii="宋体" w:hAnsi="宋体" w:eastAsia="宋体"/>
          <w:color w:val="auto"/>
          <w:sz w:val="52"/>
          <w:szCs w:val="52"/>
          <w:lang w:val="en-GB"/>
        </w:rPr>
      </w:pPr>
      <w:r>
        <w:rPr>
          <w:rFonts w:hint="eastAsia" w:ascii="宋体" w:hAnsi="宋体" w:eastAsia="宋体" w:cs="Arial"/>
          <w:color w:val="auto"/>
          <w:sz w:val="53"/>
          <w:szCs w:val="53"/>
        </w:rPr>
        <w:t>东莞能投特来电充电站检测服务</w:t>
      </w:r>
      <w:r>
        <w:rPr>
          <w:rFonts w:hint="eastAsia" w:ascii="宋体" w:hAnsi="宋体" w:eastAsia="宋体"/>
          <w:color w:val="auto"/>
          <w:sz w:val="52"/>
          <w:szCs w:val="52"/>
          <w:lang w:val="en-GB"/>
        </w:rPr>
        <w:t>合同</w:t>
      </w:r>
    </w:p>
    <w:p w14:paraId="109A984E">
      <w:pPr>
        <w:pStyle w:val="36"/>
        <w:spacing w:line="360" w:lineRule="auto"/>
        <w:rPr>
          <w:rFonts w:ascii="宋体" w:hAnsi="宋体" w:eastAsia="宋体"/>
          <w:color w:val="auto"/>
          <w:sz w:val="52"/>
          <w:szCs w:val="52"/>
          <w:lang w:val="en-GB"/>
        </w:rPr>
      </w:pPr>
      <w:r>
        <w:rPr>
          <w:rFonts w:hint="eastAsia" w:ascii="宋体" w:hAnsi="宋体" w:eastAsia="宋体"/>
          <w:color w:val="auto"/>
          <w:sz w:val="52"/>
          <w:szCs w:val="52"/>
          <w:lang w:val="en-GB"/>
        </w:rPr>
        <w:t>（固定总价）</w:t>
      </w:r>
    </w:p>
    <w:p w14:paraId="616BD0D0">
      <w:pPr>
        <w:pStyle w:val="36"/>
        <w:spacing w:line="360" w:lineRule="auto"/>
        <w:rPr>
          <w:rFonts w:ascii="宋体" w:hAnsi="宋体" w:eastAsia="宋体"/>
          <w:color w:val="auto"/>
          <w:sz w:val="52"/>
          <w:szCs w:val="52"/>
          <w:lang w:val="en-GB"/>
        </w:rPr>
      </w:pPr>
      <w:r>
        <w:rPr>
          <w:rFonts w:hint="eastAsia" w:ascii="宋体" w:hAnsi="宋体" w:eastAsia="宋体"/>
          <w:color w:val="auto"/>
          <w:sz w:val="52"/>
          <w:szCs w:val="52"/>
          <w:lang w:val="en-GB"/>
        </w:rPr>
        <w:t>合同编号：</w:t>
      </w:r>
    </w:p>
    <w:p w14:paraId="26F3F6C7">
      <w:pPr>
        <w:rPr>
          <w:rFonts w:ascii="宋体" w:hAnsi="宋体"/>
        </w:rPr>
      </w:pPr>
    </w:p>
    <w:p w14:paraId="2B4E6D76">
      <w:pPr>
        <w:rPr>
          <w:rFonts w:ascii="宋体" w:hAnsi="宋体"/>
        </w:rPr>
      </w:pPr>
    </w:p>
    <w:p w14:paraId="0796E204">
      <w:pPr>
        <w:rPr>
          <w:rFonts w:ascii="宋体" w:hAnsi="宋体"/>
        </w:rPr>
      </w:pPr>
    </w:p>
    <w:p w14:paraId="2684F4EB">
      <w:pPr>
        <w:rPr>
          <w:rFonts w:ascii="宋体" w:hAnsi="宋体"/>
        </w:rPr>
      </w:pPr>
    </w:p>
    <w:p w14:paraId="34EE315E">
      <w:pPr>
        <w:rPr>
          <w:rFonts w:ascii="宋体" w:hAnsi="宋体"/>
        </w:rPr>
      </w:pPr>
    </w:p>
    <w:p w14:paraId="7B644FBA">
      <w:pPr>
        <w:rPr>
          <w:rFonts w:ascii="宋体" w:hAnsi="宋体"/>
        </w:rPr>
      </w:pPr>
    </w:p>
    <w:p w14:paraId="23597DDB">
      <w:pPr>
        <w:rPr>
          <w:rFonts w:ascii="宋体" w:hAnsi="宋体"/>
        </w:rPr>
      </w:pPr>
    </w:p>
    <w:p w14:paraId="2A397AF1">
      <w:pPr>
        <w:rPr>
          <w:rFonts w:ascii="宋体" w:hAnsi="宋体"/>
        </w:rPr>
      </w:pPr>
    </w:p>
    <w:p w14:paraId="19B442F3">
      <w:pPr>
        <w:rPr>
          <w:rFonts w:ascii="宋体" w:hAnsi="宋体"/>
        </w:rPr>
      </w:pPr>
    </w:p>
    <w:p w14:paraId="50CED597">
      <w:pPr>
        <w:rPr>
          <w:rFonts w:ascii="宋体" w:hAnsi="宋体"/>
        </w:rPr>
      </w:pPr>
    </w:p>
    <w:p w14:paraId="250B7192">
      <w:pPr>
        <w:widowControl/>
        <w:snapToGrid w:val="0"/>
        <w:spacing w:line="360" w:lineRule="auto"/>
        <w:ind w:firstLine="1124" w:firstLineChars="350"/>
        <w:rPr>
          <w:rFonts w:ascii="宋体" w:hAnsi="宋体"/>
          <w:b/>
          <w:sz w:val="32"/>
          <w:szCs w:val="32"/>
        </w:rPr>
      </w:pPr>
      <w:r>
        <w:rPr>
          <w:rFonts w:hint="eastAsia" w:ascii="宋体" w:hAnsi="宋体"/>
          <w:b/>
          <w:sz w:val="32"/>
          <w:szCs w:val="32"/>
        </w:rPr>
        <w:t>甲    方：东莞能投特来电充电网运营有限公司</w:t>
      </w:r>
    </w:p>
    <w:p w14:paraId="58A3D93A">
      <w:pPr>
        <w:widowControl/>
        <w:snapToGrid w:val="0"/>
        <w:spacing w:line="360" w:lineRule="auto"/>
        <w:ind w:firstLine="1124" w:firstLineChars="350"/>
        <w:rPr>
          <w:rFonts w:ascii="宋体" w:hAnsi="宋体"/>
          <w:b/>
          <w:sz w:val="32"/>
          <w:szCs w:val="32"/>
        </w:rPr>
      </w:pPr>
      <w:r>
        <w:rPr>
          <w:rFonts w:hint="eastAsia" w:ascii="宋体" w:hAnsi="宋体"/>
          <w:b/>
          <w:sz w:val="32"/>
          <w:szCs w:val="32"/>
        </w:rPr>
        <w:t>乙    方：</w:t>
      </w:r>
    </w:p>
    <w:p w14:paraId="58EDF5B9">
      <w:pPr>
        <w:widowControl/>
        <w:snapToGrid w:val="0"/>
        <w:spacing w:line="360" w:lineRule="auto"/>
        <w:ind w:firstLine="1124" w:firstLineChars="350"/>
        <w:rPr>
          <w:rFonts w:ascii="宋体" w:hAnsi="宋体"/>
          <w:b/>
          <w:sz w:val="32"/>
          <w:szCs w:val="32"/>
        </w:rPr>
      </w:pPr>
      <w:r>
        <w:rPr>
          <w:rFonts w:hint="eastAsia" w:ascii="宋体" w:hAnsi="宋体"/>
          <w:b/>
          <w:sz w:val="32"/>
          <w:szCs w:val="32"/>
        </w:rPr>
        <w:t>签订日期：</w:t>
      </w:r>
    </w:p>
    <w:p w14:paraId="264ABE8B">
      <w:pPr>
        <w:widowControl/>
        <w:snapToGrid w:val="0"/>
        <w:spacing w:line="360" w:lineRule="auto"/>
        <w:ind w:firstLine="1124" w:firstLineChars="350"/>
        <w:rPr>
          <w:rFonts w:ascii="宋体" w:hAnsi="宋体"/>
          <w:b/>
          <w:sz w:val="32"/>
          <w:szCs w:val="32"/>
        </w:rPr>
      </w:pPr>
      <w:r>
        <w:rPr>
          <w:rFonts w:hint="eastAsia" w:ascii="宋体" w:hAnsi="宋体"/>
          <w:b/>
          <w:sz w:val="32"/>
          <w:szCs w:val="32"/>
        </w:rPr>
        <w:t>签订地点：东莞特来电办公室</w:t>
      </w:r>
    </w:p>
    <w:p w14:paraId="582D22CD">
      <w:pPr>
        <w:widowControl/>
        <w:snapToGrid w:val="0"/>
        <w:spacing w:line="360" w:lineRule="auto"/>
        <w:ind w:firstLine="1124" w:firstLineChars="350"/>
        <w:rPr>
          <w:rFonts w:ascii="宋体" w:hAnsi="宋体"/>
          <w:b/>
          <w:sz w:val="32"/>
          <w:szCs w:val="32"/>
        </w:rPr>
      </w:pPr>
    </w:p>
    <w:p w14:paraId="35EBE7C4">
      <w:pPr>
        <w:widowControl/>
        <w:rPr>
          <w:rFonts w:ascii="宋体" w:hAnsi="宋体"/>
          <w:b/>
          <w:sz w:val="32"/>
          <w:szCs w:val="32"/>
        </w:rPr>
        <w:sectPr>
          <w:headerReference r:id="rId6" w:type="first"/>
          <w:footerReference r:id="rId8" w:type="first"/>
          <w:headerReference r:id="rId5" w:type="default"/>
          <w:footerReference r:id="rId7" w:type="default"/>
          <w:pgSz w:w="11906" w:h="16838"/>
          <w:pgMar w:top="1418" w:right="991" w:bottom="1418" w:left="1134" w:header="851" w:footer="680" w:gutter="284"/>
          <w:pgNumType w:fmt="numberInDash" w:chapSep="hyphen"/>
          <w:cols w:space="720" w:num="1"/>
          <w:titlePg/>
          <w:docGrid w:type="lines" w:linePitch="326" w:charSpace="0"/>
        </w:sectPr>
      </w:pPr>
    </w:p>
    <w:p w14:paraId="5922BFAF">
      <w:pPr>
        <w:widowControl/>
        <w:spacing w:line="360" w:lineRule="auto"/>
        <w:jc w:val="center"/>
        <w:rPr>
          <w:rFonts w:ascii="宋体" w:hAnsi="宋体"/>
          <w:sz w:val="32"/>
          <w:szCs w:val="32"/>
        </w:rPr>
      </w:pPr>
      <w:r>
        <w:rPr>
          <w:rFonts w:hint="eastAsia" w:ascii="宋体" w:hAnsi="宋体"/>
          <w:b/>
          <w:sz w:val="32"/>
          <w:szCs w:val="32"/>
        </w:rPr>
        <w:t>使用说明</w:t>
      </w:r>
    </w:p>
    <w:p w14:paraId="3EE742DC">
      <w:pPr>
        <w:numPr>
          <w:ilvl w:val="0"/>
          <w:numId w:val="3"/>
        </w:numPr>
        <w:snapToGrid w:val="0"/>
        <w:spacing w:line="360" w:lineRule="auto"/>
        <w:ind w:firstLine="420" w:firstLineChars="200"/>
        <w:rPr>
          <w:rFonts w:hint="eastAsia" w:ascii="宋体" w:hAnsi="宋体"/>
          <w:sz w:val="21"/>
          <w:szCs w:val="21"/>
        </w:rPr>
      </w:pPr>
      <w:r>
        <w:rPr>
          <w:rFonts w:hint="eastAsia" w:ascii="宋体" w:hAnsi="宋体"/>
          <w:sz w:val="21"/>
          <w:szCs w:val="21"/>
        </w:rPr>
        <w:t>本统一合同文本适用于东莞能投特来电充电站检测服务合同。</w:t>
      </w:r>
    </w:p>
    <w:p w14:paraId="244A0A5C">
      <w:pPr>
        <w:numPr>
          <w:ilvl w:val="0"/>
          <w:numId w:val="3"/>
        </w:numPr>
        <w:snapToGrid w:val="0"/>
        <w:spacing w:line="360" w:lineRule="auto"/>
        <w:ind w:firstLine="420" w:firstLineChars="200"/>
        <w:rPr>
          <w:rFonts w:ascii="宋体" w:hAnsi="宋体"/>
          <w:sz w:val="21"/>
          <w:szCs w:val="21"/>
        </w:rPr>
      </w:pPr>
      <w:r>
        <w:rPr>
          <w:rFonts w:hint="eastAsia" w:ascii="宋体" w:hAnsi="宋体"/>
          <w:sz w:val="21"/>
          <w:szCs w:val="21"/>
        </w:rPr>
        <w:t>在合作项目的实施过程中，均需遵守合同的约定，且每个订单的接单、验收、结算均作为本合同的附件具备同等法律效力，订单形式不限于特来电APP线上操作或线下纸质资料操作。同时，甲方为乙方提供线上订单操作系统，用于接收订单及查看往来订单明细。乙方须在订单、验收单据、结算单据等文件在系统内更新之日起的3个工作日内对相应文件进行确认，逾期视为乙方认可。</w:t>
      </w:r>
    </w:p>
    <w:p w14:paraId="034340A9">
      <w:pPr>
        <w:numPr>
          <w:ilvl w:val="0"/>
          <w:numId w:val="3"/>
        </w:numPr>
        <w:snapToGrid w:val="0"/>
        <w:spacing w:line="360" w:lineRule="auto"/>
        <w:ind w:firstLine="420" w:firstLineChars="200"/>
        <w:rPr>
          <w:rFonts w:ascii="宋体" w:hAnsi="宋体"/>
          <w:sz w:val="21"/>
          <w:szCs w:val="21"/>
        </w:rPr>
      </w:pPr>
      <w:r>
        <w:rPr>
          <w:rFonts w:hint="eastAsia" w:ascii="宋体" w:hAnsi="宋体"/>
          <w:sz w:val="21"/>
          <w:szCs w:val="21"/>
        </w:rPr>
        <w:t>对本统一合同文本中需当事人填写之处，如当事人约定无需填写的，则应注明“无”或划“/”。</w:t>
      </w:r>
    </w:p>
    <w:p w14:paraId="11655AC4">
      <w:pPr>
        <w:snapToGrid w:val="0"/>
        <w:spacing w:line="360" w:lineRule="auto"/>
        <w:ind w:firstLine="420" w:firstLineChars="200"/>
        <w:rPr>
          <w:rFonts w:ascii="宋体" w:hAnsi="宋体"/>
          <w:sz w:val="21"/>
          <w:szCs w:val="21"/>
        </w:rPr>
      </w:pPr>
      <w:r>
        <w:rPr>
          <w:rFonts w:hint="eastAsia" w:ascii="宋体" w:hAnsi="宋体"/>
          <w:sz w:val="21"/>
          <w:szCs w:val="21"/>
        </w:rPr>
        <w:t>4.对本统一合同文本的任何修改或补充，当事人均应在合同“特别约定”条款中可填写处进行约定，不得直接对合同条款进行改动。</w:t>
      </w:r>
    </w:p>
    <w:p w14:paraId="429CFFF5">
      <w:pPr>
        <w:snapToGrid w:val="0"/>
        <w:spacing w:line="360" w:lineRule="auto"/>
        <w:ind w:firstLine="420" w:firstLineChars="200"/>
        <w:rPr>
          <w:rFonts w:ascii="宋体" w:hAnsi="宋体"/>
          <w:sz w:val="21"/>
          <w:szCs w:val="21"/>
        </w:rPr>
      </w:pPr>
      <w:r>
        <w:rPr>
          <w:rFonts w:hint="eastAsia" w:ascii="宋体" w:hAnsi="宋体"/>
          <w:sz w:val="21"/>
          <w:szCs w:val="21"/>
        </w:rPr>
        <w:t>5</w:t>
      </w:r>
      <w:r>
        <w:rPr>
          <w:rFonts w:ascii="宋体" w:hAnsi="宋体"/>
          <w:sz w:val="21"/>
          <w:szCs w:val="21"/>
        </w:rPr>
        <w:t>.</w:t>
      </w:r>
      <w:r>
        <w:rPr>
          <w:rFonts w:hint="eastAsia" w:ascii="宋体" w:hAnsi="宋体"/>
          <w:sz w:val="21"/>
          <w:szCs w:val="21"/>
        </w:rPr>
        <w:t>代表甲方签订合同的人，必须是甲方法定代表人或持有甲方合法有效授权委托书的授权代表，授权代表在授权范围内进行合同签订。</w:t>
      </w:r>
    </w:p>
    <w:p w14:paraId="1598D962">
      <w:pPr>
        <w:snapToGrid w:val="0"/>
        <w:spacing w:line="360" w:lineRule="auto"/>
        <w:ind w:firstLine="420" w:firstLineChars="200"/>
        <w:rPr>
          <w:rFonts w:ascii="宋体" w:hAnsi="宋体"/>
          <w:sz w:val="21"/>
          <w:szCs w:val="21"/>
        </w:rPr>
      </w:pPr>
      <w:r>
        <w:rPr>
          <w:rFonts w:hint="eastAsia" w:ascii="宋体" w:hAnsi="宋体"/>
          <w:sz w:val="21"/>
          <w:szCs w:val="21"/>
        </w:rPr>
        <w:t>6</w:t>
      </w:r>
      <w:r>
        <w:rPr>
          <w:rFonts w:ascii="宋体" w:hAnsi="宋体"/>
          <w:sz w:val="21"/>
          <w:szCs w:val="21"/>
        </w:rPr>
        <w:t>.甲方员工</w:t>
      </w:r>
      <w:r>
        <w:rPr>
          <w:rFonts w:hint="eastAsia" w:ascii="宋体" w:hAnsi="宋体"/>
          <w:sz w:val="21"/>
          <w:szCs w:val="21"/>
        </w:rPr>
        <w:t>在履行职责时，签署的具有证明性质的书面材料，须经甲方法定代表人或持有甲方合法有效授权委托书的授权代表书面确认。未经甲方法定代表人或者授权代表书面确认的，均为个人行为，不能作为甲乙双方结算或者承担责任的凭据。</w:t>
      </w:r>
    </w:p>
    <w:p w14:paraId="55C79D64">
      <w:pPr>
        <w:snapToGrid w:val="0"/>
        <w:spacing w:line="360" w:lineRule="auto"/>
        <w:ind w:firstLine="420" w:firstLineChars="200"/>
        <w:rPr>
          <w:rFonts w:ascii="宋体" w:hAnsi="宋体"/>
          <w:sz w:val="21"/>
          <w:szCs w:val="21"/>
        </w:rPr>
      </w:pPr>
      <w:r>
        <w:rPr>
          <w:rFonts w:hint="eastAsia" w:ascii="宋体" w:hAnsi="宋体"/>
          <w:sz w:val="21"/>
          <w:szCs w:val="21"/>
        </w:rPr>
        <w:t>7</w:t>
      </w:r>
      <w:r>
        <w:rPr>
          <w:rFonts w:ascii="宋体" w:hAnsi="宋体"/>
          <w:sz w:val="21"/>
          <w:szCs w:val="21"/>
        </w:rPr>
        <w:t>.本合同的签订</w:t>
      </w:r>
      <w:r>
        <w:rPr>
          <w:rFonts w:hint="eastAsia" w:ascii="宋体" w:hAnsi="宋体"/>
          <w:sz w:val="21"/>
          <w:szCs w:val="21"/>
        </w:rPr>
        <w:t>，</w:t>
      </w:r>
      <w:r>
        <w:rPr>
          <w:rFonts w:ascii="宋体" w:hAnsi="宋体"/>
          <w:sz w:val="21"/>
          <w:szCs w:val="21"/>
        </w:rPr>
        <w:t>乙方签字人必须是乙方企业法定代表人或</w:t>
      </w:r>
      <w:r>
        <w:rPr>
          <w:rFonts w:hint="eastAsia" w:ascii="宋体" w:hAnsi="宋体"/>
          <w:sz w:val="21"/>
          <w:szCs w:val="21"/>
        </w:rPr>
        <w:t>经乙方</w:t>
      </w:r>
      <w:r>
        <w:rPr>
          <w:rFonts w:ascii="宋体" w:hAnsi="宋体"/>
          <w:sz w:val="21"/>
          <w:szCs w:val="21"/>
        </w:rPr>
        <w:t>授权委托的</w:t>
      </w:r>
      <w:r>
        <w:rPr>
          <w:rFonts w:hint="eastAsia" w:ascii="宋体" w:hAnsi="宋体"/>
          <w:sz w:val="21"/>
          <w:szCs w:val="21"/>
        </w:rPr>
        <w:t>授权代表。乙方的授权委托书（签字盖章原件）必须交由甲方，与合同原件共同存档。</w:t>
      </w:r>
    </w:p>
    <w:p w14:paraId="5130069B">
      <w:pPr>
        <w:snapToGrid w:val="0"/>
        <w:spacing w:line="360" w:lineRule="auto"/>
        <w:ind w:firstLine="420" w:firstLineChars="200"/>
        <w:rPr>
          <w:rFonts w:ascii="宋体" w:hAnsi="宋体"/>
          <w:sz w:val="21"/>
          <w:szCs w:val="21"/>
        </w:rPr>
      </w:pPr>
      <w:r>
        <w:rPr>
          <w:rFonts w:hint="eastAsia" w:ascii="宋体" w:hAnsi="宋体"/>
          <w:sz w:val="21"/>
          <w:szCs w:val="21"/>
        </w:rPr>
        <w:t>8.有关本统一合同文本的其他使用说明见合同文本脚注。</w:t>
      </w:r>
    </w:p>
    <w:p w14:paraId="009BE2E6">
      <w:pPr>
        <w:snapToGrid w:val="0"/>
        <w:spacing w:line="360" w:lineRule="auto"/>
        <w:ind w:firstLine="420" w:firstLineChars="200"/>
        <w:rPr>
          <w:rFonts w:ascii="宋体" w:hAnsi="宋体" w:cs="宋体"/>
          <w:sz w:val="21"/>
          <w:szCs w:val="21"/>
        </w:rPr>
      </w:pPr>
      <w:r>
        <w:rPr>
          <w:rFonts w:hint="eastAsia" w:ascii="宋体" w:hAnsi="宋体" w:cs="宋体"/>
          <w:sz w:val="21"/>
          <w:szCs w:val="21"/>
        </w:rPr>
        <w:t>9.</w:t>
      </w:r>
      <w:r>
        <w:rPr>
          <w:rFonts w:ascii="宋体" w:hAnsi="宋体" w:cs="宋体"/>
          <w:sz w:val="21"/>
          <w:szCs w:val="21"/>
        </w:rPr>
        <w:t>本合同各方一致确认并同意，本合同可以书面纸质文件或数据电文为载体约定合同各方的权利义务内容，各方可协商采用线下签署或线上签署的方式签署本合同。根据本合同的约定方式签署的合同对各方具有法律约束力，且线下签署或线上签署方式签署的合同具有同等法律效力。本合同中“线上签署”是指以数据电文为载体，以电子形式所含、所附用于识别签约人身份并表明签约人认可其中内容的数据完成具有法律效力的文件签署，“线下签署”是指以书面纸质文件为载体，并通过盖章完成具有法律效力的文件签署。各方承诺妥善保管账号及密码，对账号密码保管不当所造成的法律后果由各方各自承担。以各方注册的账号线上签署本合同的视为各方的真实意思表示，各方均不得以账号密码丢失或失窃等理由否认线上签约的有效性。</w:t>
      </w:r>
    </w:p>
    <w:p w14:paraId="2EBB9CE4">
      <w:pPr>
        <w:snapToGrid w:val="0"/>
        <w:spacing w:line="360" w:lineRule="auto"/>
        <w:ind w:firstLine="420" w:firstLineChars="200"/>
        <w:rPr>
          <w:rFonts w:ascii="宋体" w:hAnsi="宋体"/>
          <w:sz w:val="21"/>
          <w:szCs w:val="21"/>
        </w:rPr>
      </w:pPr>
      <w:r>
        <w:rPr>
          <w:rFonts w:hint="eastAsia" w:ascii="宋体" w:hAnsi="宋体" w:cs="宋体"/>
          <w:sz w:val="21"/>
          <w:szCs w:val="21"/>
        </w:rPr>
        <w:t>10.若以线上形式签署本合同，本合同经各方加盖时间戳或数字证书验证后生效，各方均认可时间戳及数字证书验证的证据有效性。若以线下形式签署本合同，经双方签章后生效，一式四份，甲乙双方各执两份，具有同等法律效力。</w:t>
      </w:r>
    </w:p>
    <w:p w14:paraId="5CA95261">
      <w:pPr>
        <w:snapToGrid w:val="0"/>
        <w:spacing w:line="360" w:lineRule="auto"/>
        <w:ind w:firstLine="480" w:firstLineChars="200"/>
        <w:jc w:val="center"/>
        <w:textAlignment w:val="auto"/>
        <w:rPr>
          <w:rFonts w:hint="eastAsia" w:ascii="宋体" w:hAnsi="宋体"/>
          <w:snapToGrid w:val="0"/>
          <w:szCs w:val="24"/>
        </w:rPr>
      </w:pPr>
      <w:r>
        <w:rPr>
          <w:rFonts w:hint="eastAsia" w:ascii="宋体" w:hAnsi="宋体"/>
          <w:szCs w:val="24"/>
        </w:rPr>
        <w:br w:type="page" w:clear="none"/>
      </w:r>
      <w:r>
        <w:rPr>
          <w:rFonts w:hint="eastAsia" w:ascii="宋体" w:hAnsi="宋体"/>
          <w:snapToGrid w:val="0"/>
          <w:szCs w:val="24"/>
          <w:lang w:val="en-GB"/>
        </w:rPr>
        <w:t>充电项目</w:t>
      </w:r>
      <w:r>
        <w:rPr>
          <w:rFonts w:hint="eastAsia" w:ascii="宋体" w:hAnsi="宋体"/>
          <w:snapToGrid w:val="0"/>
          <w:szCs w:val="24"/>
        </w:rPr>
        <w:t>咨询服务合同</w:t>
      </w:r>
    </w:p>
    <w:p w14:paraId="5969C613">
      <w:pPr>
        <w:pStyle w:val="37"/>
        <w:ind w:firstLine="424" w:firstLineChars="177"/>
        <w:rPr>
          <w:snapToGrid w:val="0"/>
          <w:color w:val="auto"/>
        </w:rPr>
      </w:pPr>
      <w:r>
        <w:rPr>
          <w:rFonts w:hint="eastAsia"/>
          <w:snapToGrid w:val="0"/>
          <w:color w:val="auto"/>
        </w:rPr>
        <w:t>甲方：</w:t>
      </w:r>
      <w:r>
        <w:rPr>
          <w:rFonts w:hint="eastAsia"/>
          <w:snapToGrid w:val="0"/>
          <w:color w:val="auto"/>
          <w:u w:val="single"/>
        </w:rPr>
        <w:t>东莞能投特来电充电网运营有限公司</w:t>
      </w:r>
      <w:r>
        <w:rPr>
          <w:snapToGrid w:val="0"/>
          <w:color w:val="auto"/>
        </w:rPr>
        <w:t xml:space="preserve"> </w:t>
      </w:r>
    </w:p>
    <w:p w14:paraId="4EB79B6D">
      <w:pPr>
        <w:pStyle w:val="37"/>
        <w:ind w:firstLine="424" w:firstLineChars="177"/>
        <w:rPr>
          <w:rFonts w:hint="default" w:eastAsia="宋体"/>
          <w:snapToGrid w:val="0"/>
          <w:color w:val="auto"/>
          <w:lang w:val="en-US" w:eastAsia="zh-CN"/>
        </w:rPr>
      </w:pPr>
      <w:r>
        <w:rPr>
          <w:rFonts w:hint="eastAsia"/>
          <w:snapToGrid w:val="0"/>
          <w:color w:val="auto"/>
        </w:rPr>
        <w:t>乙方：</w:t>
      </w:r>
      <w:r>
        <w:rPr>
          <w:rFonts w:hint="eastAsia"/>
          <w:snapToGrid w:val="0"/>
          <w:color w:val="auto"/>
          <w:u w:val="single"/>
          <w:lang w:val="en-US" w:eastAsia="zh-CN"/>
        </w:rPr>
        <w:t xml:space="preserve">                         </w:t>
      </w:r>
    </w:p>
    <w:p w14:paraId="4A1CD0D3">
      <w:pPr>
        <w:pStyle w:val="37"/>
        <w:snapToGrid w:val="0"/>
        <w:ind w:firstLine="480"/>
        <w:rPr>
          <w:rFonts w:hint="default" w:eastAsia="宋体"/>
          <w:snapToGrid w:val="0"/>
          <w:color w:val="auto"/>
          <w:lang w:val="en-US" w:eastAsia="zh-CN"/>
        </w:rPr>
      </w:pPr>
      <w:r>
        <w:rPr>
          <w:rFonts w:hint="eastAsia"/>
          <w:color w:val="auto"/>
          <w:kern w:val="2"/>
        </w:rPr>
        <w:t>鉴于甲方拟委托</w:t>
      </w:r>
      <w:r>
        <w:rPr>
          <w:rFonts w:hint="eastAsia"/>
          <w:snapToGrid w:val="0"/>
          <w:color w:val="auto"/>
        </w:rPr>
        <w:t>乙方为其提供</w:t>
      </w:r>
      <w:r>
        <w:rPr>
          <w:rFonts w:hint="eastAsia"/>
          <w:snapToGrid w:val="0"/>
          <w:color w:val="auto"/>
          <w:u w:val="single"/>
        </w:rPr>
        <w:t>检测</w:t>
      </w:r>
      <w:r>
        <w:rPr>
          <w:rFonts w:hint="eastAsia"/>
          <w:snapToGrid w:val="0"/>
          <w:color w:val="auto"/>
        </w:rPr>
        <w:t>咨询服务，且乙方同意接受该咨询委托。根据根据《中华人民共和国民法典》及相关法律规定，甲乙双方在平等自愿、诚实守信的基础上，经充分协商，达成一致，订立以下合同条款，甲乙双方共同遵守。</w:t>
      </w:r>
      <w:r>
        <w:rPr>
          <w:rFonts w:hint="eastAsia"/>
          <w:snapToGrid w:val="0"/>
          <w:color w:val="auto"/>
          <w:lang w:val="en-US" w:eastAsia="zh-CN"/>
        </w:rPr>
        <w:t>双方明确，甲方的企业类型为中小微企业。</w:t>
      </w:r>
    </w:p>
    <w:p w14:paraId="7787F11C">
      <w:pPr>
        <w:pStyle w:val="41"/>
        <w:rPr>
          <w:color w:val="auto"/>
          <w:sz w:val="24"/>
          <w:szCs w:val="24"/>
        </w:rPr>
      </w:pPr>
      <w:r>
        <w:rPr>
          <w:color w:val="auto"/>
          <w:sz w:val="24"/>
          <w:szCs w:val="24"/>
        </w:rPr>
        <w:t>第一条</w:t>
      </w:r>
      <w:r>
        <w:rPr>
          <w:rFonts w:hint="eastAsia"/>
          <w:color w:val="auto"/>
          <w:sz w:val="24"/>
          <w:szCs w:val="24"/>
        </w:rPr>
        <w:t xml:space="preserve"> </w:t>
      </w:r>
      <w:r>
        <w:rPr>
          <w:color w:val="auto"/>
          <w:sz w:val="24"/>
          <w:szCs w:val="24"/>
        </w:rPr>
        <w:t xml:space="preserve"> 咨询服务内容</w:t>
      </w:r>
    </w:p>
    <w:p w14:paraId="56D132CC">
      <w:pPr>
        <w:pStyle w:val="5"/>
        <w:rPr>
          <w:rFonts w:hint="eastAsia"/>
        </w:rPr>
      </w:pPr>
      <w:r>
        <w:t>甲方委托乙方利用其在客户网络、信息渠道、市场操作、专业人员的知识、经验及能力等方面，根据甲方需求，为甲方</w:t>
      </w:r>
      <w:r>
        <w:rPr>
          <w:rFonts w:hint="eastAsia" w:ascii="宋体" w:hAnsi="宋体" w:cs="Times New Roman"/>
          <w:snapToGrid w:val="0"/>
          <w:color w:val="auto"/>
          <w:sz w:val="24"/>
          <w:szCs w:val="24"/>
          <w:u w:val="single"/>
          <w:lang w:val="en-US" w:eastAsia="zh-CN" w:bidi="ar-SA"/>
        </w:rPr>
        <w:t>东莞能投特来电充电站</w:t>
      </w:r>
      <w:r>
        <w:rPr>
          <w:snapToGrid w:val="0"/>
        </w:rPr>
        <w:t>提供</w:t>
      </w:r>
      <w:r>
        <w:rPr>
          <w:rFonts w:hint="eastAsia" w:ascii="宋体" w:hAnsi="宋体" w:eastAsia="宋体" w:cs="Times New Roman"/>
          <w:snapToGrid w:val="0"/>
          <w:color w:val="auto"/>
          <w:sz w:val="24"/>
          <w:szCs w:val="24"/>
          <w:u w:val="single"/>
          <w:lang w:val="en-US" w:eastAsia="zh-CN" w:bidi="ar-SA"/>
        </w:rPr>
        <w:t>检测</w:t>
      </w:r>
      <w:r>
        <w:rPr>
          <w:rFonts w:hint="eastAsia"/>
          <w:snapToGrid w:val="0"/>
        </w:rPr>
        <w:t>咨询服务，具体服务内部包含并不仅限于</w:t>
      </w:r>
      <w:r>
        <w:rPr>
          <w:rFonts w:hint="eastAsia" w:ascii="宋体" w:hAnsi="宋体" w:cs="Times New Roman"/>
          <w:snapToGrid w:val="0"/>
          <w:color w:val="auto"/>
          <w:sz w:val="24"/>
          <w:szCs w:val="24"/>
          <w:u w:val="single"/>
          <w:lang w:val="en-US" w:eastAsia="zh-CN" w:bidi="ar-SA"/>
        </w:rPr>
        <w:t>东莞能投特来电充电站检测服务</w:t>
      </w:r>
      <w:r>
        <w:rPr>
          <w:rFonts w:hint="eastAsia" w:ascii="宋体" w:hAnsi="宋体" w:eastAsia="宋体" w:cs="Times New Roman"/>
          <w:snapToGrid w:val="0"/>
          <w:color w:val="auto"/>
          <w:sz w:val="24"/>
          <w:szCs w:val="24"/>
          <w:u w:val="single"/>
          <w:lang w:val="en-US" w:eastAsia="zh-CN" w:bidi="ar-SA"/>
        </w:rPr>
        <w:t>并出具报告</w:t>
      </w:r>
      <w:r>
        <w:rPr>
          <w:rFonts w:hint="eastAsia"/>
          <w:snapToGrid w:val="0"/>
        </w:rPr>
        <w:t>。</w:t>
      </w:r>
    </w:p>
    <w:p w14:paraId="3B66A3AE">
      <w:pPr>
        <w:pStyle w:val="41"/>
        <w:rPr>
          <w:color w:val="auto"/>
          <w:sz w:val="24"/>
          <w:szCs w:val="24"/>
        </w:rPr>
      </w:pPr>
      <w:r>
        <w:rPr>
          <w:color w:val="auto"/>
          <w:sz w:val="24"/>
          <w:szCs w:val="24"/>
        </w:rPr>
        <w:t>第二条</w:t>
      </w:r>
      <w:r>
        <w:rPr>
          <w:rFonts w:hint="eastAsia"/>
          <w:color w:val="auto"/>
          <w:sz w:val="24"/>
          <w:szCs w:val="24"/>
        </w:rPr>
        <w:t xml:space="preserve"> </w:t>
      </w:r>
      <w:r>
        <w:rPr>
          <w:color w:val="auto"/>
          <w:sz w:val="24"/>
          <w:szCs w:val="24"/>
        </w:rPr>
        <w:t xml:space="preserve"> 服务期限</w:t>
      </w:r>
    </w:p>
    <w:p w14:paraId="1C70084D">
      <w:pPr>
        <w:pStyle w:val="37"/>
        <w:ind w:firstLine="424" w:firstLineChars="177"/>
        <w:rPr>
          <w:rFonts w:hint="default" w:eastAsia="宋体"/>
          <w:snapToGrid w:val="0"/>
          <w:color w:val="FF0000"/>
          <w:lang w:val="en-US" w:eastAsia="zh-CN"/>
        </w:rPr>
      </w:pPr>
      <w:r>
        <w:rPr>
          <w:rFonts w:hint="eastAsia"/>
          <w:snapToGrid w:val="0"/>
          <w:color w:val="auto"/>
        </w:rPr>
        <w:t>乙方向甲方提供本合同第一条约定的服务期限为：</w:t>
      </w:r>
      <w:r>
        <w:rPr>
          <w:rFonts w:hint="eastAsia"/>
          <w:snapToGrid w:val="0"/>
          <w:color w:val="auto"/>
          <w:u w:val="single"/>
          <w:lang w:val="en-US" w:eastAsia="zh-CN"/>
        </w:rPr>
        <w:t xml:space="preserve">                       </w:t>
      </w:r>
    </w:p>
    <w:p w14:paraId="474411CD">
      <w:pPr>
        <w:pStyle w:val="41"/>
        <w:rPr>
          <w:color w:val="auto"/>
          <w:sz w:val="24"/>
          <w:szCs w:val="24"/>
        </w:rPr>
      </w:pPr>
      <w:r>
        <w:rPr>
          <w:rFonts w:hint="eastAsia"/>
          <w:color w:val="auto"/>
          <w:sz w:val="24"/>
          <w:szCs w:val="24"/>
        </w:rPr>
        <w:t xml:space="preserve">第三条 </w:t>
      </w:r>
      <w:r>
        <w:rPr>
          <w:color w:val="auto"/>
          <w:sz w:val="24"/>
          <w:szCs w:val="24"/>
        </w:rPr>
        <w:t xml:space="preserve"> </w:t>
      </w:r>
      <w:r>
        <w:rPr>
          <w:rFonts w:hint="eastAsia"/>
          <w:color w:val="auto"/>
          <w:sz w:val="24"/>
          <w:szCs w:val="24"/>
        </w:rPr>
        <w:t>合同价款</w:t>
      </w:r>
    </w:p>
    <w:p w14:paraId="6DD8B21A">
      <w:pPr>
        <w:numPr>
          <w:ilvl w:val="0"/>
          <w:numId w:val="4"/>
        </w:numPr>
        <w:spacing w:line="360" w:lineRule="auto"/>
        <w:ind w:left="0" w:firstLine="420"/>
      </w:pPr>
      <w:r>
        <w:rPr>
          <w:rFonts w:hint="eastAsia"/>
        </w:rPr>
        <w:t>本合同为固定总价合同，合同金额人民币（大写）</w:t>
      </w:r>
      <w:r>
        <w:rPr>
          <w:rFonts w:hint="eastAsia"/>
          <w:u w:val="single"/>
          <w:lang w:val="en-US" w:eastAsia="zh-CN"/>
        </w:rPr>
        <w:t xml:space="preserve">    </w:t>
      </w:r>
      <w:r>
        <w:rPr>
          <w:rFonts w:hint="eastAsia"/>
          <w:u w:val="single"/>
        </w:rPr>
        <w:t>元</w:t>
      </w:r>
      <w:r>
        <w:rPr>
          <w:rFonts w:hint="eastAsia"/>
        </w:rPr>
        <w:t>（¥</w:t>
      </w:r>
      <w:r>
        <w:rPr>
          <w:rFonts w:hint="eastAsia"/>
          <w:u w:val="single"/>
        </w:rPr>
        <w:t xml:space="preserve"> </w:t>
      </w:r>
      <w:r>
        <w:rPr>
          <w:rFonts w:hint="eastAsia" w:ascii="宋体" w:hAnsi="宋体" w:cs="Times New Roman"/>
          <w:snapToGrid w:val="0"/>
          <w:color w:val="auto"/>
          <w:sz w:val="24"/>
          <w:szCs w:val="24"/>
          <w:u w:val="single"/>
          <w:lang w:val="en-US" w:eastAsia="zh-CN" w:bidi="ar-SA"/>
        </w:rPr>
        <w:t xml:space="preserve">   </w:t>
      </w:r>
      <w:r>
        <w:rPr>
          <w:rFonts w:hint="eastAsia"/>
        </w:rPr>
        <w:t xml:space="preserve">元）（含税 </w:t>
      </w:r>
      <w:r>
        <w:rPr>
          <w:rFonts w:hint="eastAsia" w:ascii="宋体" w:hAnsi="宋体" w:eastAsia="宋体" w:cs="Times New Roman"/>
          <w:snapToGrid w:val="0"/>
          <w:color w:val="auto"/>
          <w:sz w:val="24"/>
          <w:szCs w:val="24"/>
          <w:u w:val="single"/>
          <w:lang w:val="en-US" w:eastAsia="zh-CN" w:bidi="ar-SA"/>
        </w:rPr>
        <w:t>6</w:t>
      </w:r>
      <w:r>
        <w:rPr>
          <w:rFonts w:hint="eastAsia"/>
          <w:u w:val="none"/>
        </w:rPr>
        <w:t>%</w:t>
      </w:r>
      <w:r>
        <w:rPr>
          <w:rFonts w:hint="eastAsia"/>
        </w:rPr>
        <w:t>）。</w:t>
      </w:r>
    </w:p>
    <w:p w14:paraId="3060E01F">
      <w:pPr>
        <w:numPr>
          <w:ilvl w:val="0"/>
          <w:numId w:val="4"/>
        </w:numPr>
        <w:spacing w:line="360" w:lineRule="auto"/>
        <w:ind w:left="0" w:firstLine="420"/>
      </w:pPr>
      <w:r>
        <w:rPr>
          <w:rFonts w:hint="eastAsia"/>
        </w:rPr>
        <w:t>固定总价</w:t>
      </w:r>
    </w:p>
    <w:p w14:paraId="0F495338">
      <w:pPr>
        <w:spacing w:line="360" w:lineRule="auto"/>
        <w:ind w:firstLine="480" w:firstLineChars="200"/>
        <w:rPr>
          <w:rFonts w:hint="eastAsia"/>
        </w:rPr>
      </w:pPr>
      <w:r>
        <w:rPr>
          <w:rFonts w:hint="eastAsia"/>
        </w:rPr>
        <w:t>2.1固定总价咨询服务价款在合同有效期内保持不变，不因市场变化、政策调整、不可抗力事件或其他任何因素而调整。</w:t>
      </w:r>
    </w:p>
    <w:p w14:paraId="6BCE8EF6">
      <w:pPr>
        <w:spacing w:line="360" w:lineRule="auto"/>
        <w:ind w:firstLine="480" w:firstLineChars="200"/>
        <w:rPr>
          <w:rFonts w:hint="eastAsia"/>
        </w:rPr>
      </w:pPr>
      <w:r>
        <w:rPr>
          <w:rFonts w:hint="eastAsia"/>
        </w:rPr>
        <w:t>2.2对于未能实施的或甲方决定取消的咨询服务项目，按照相应单价和包干费用从合同价格中扣除相应价款。</w:t>
      </w:r>
    </w:p>
    <w:p w14:paraId="0E17799B">
      <w:pPr>
        <w:spacing w:line="360" w:lineRule="auto"/>
        <w:ind w:firstLine="480" w:firstLineChars="200"/>
        <w:rPr>
          <w:rFonts w:hint="eastAsia"/>
        </w:rPr>
      </w:pPr>
      <w:r>
        <w:rPr>
          <w:rFonts w:hint="eastAsia"/>
        </w:rPr>
        <w:t>2.3上述咨询服务费已包含但不限于乙方人工费用、咨询服务成果制作费用、办公通讯费、乙方赴项目当地工作的差旅费和利润。</w:t>
      </w:r>
    </w:p>
    <w:p w14:paraId="79A59DB9">
      <w:pPr>
        <w:pStyle w:val="41"/>
        <w:rPr>
          <w:color w:val="auto"/>
          <w:sz w:val="24"/>
          <w:szCs w:val="24"/>
        </w:rPr>
      </w:pPr>
      <w:r>
        <w:rPr>
          <w:rFonts w:hint="eastAsia"/>
          <w:color w:val="auto"/>
          <w:sz w:val="24"/>
          <w:szCs w:val="24"/>
        </w:rPr>
        <w:t xml:space="preserve">第四条 </w:t>
      </w:r>
      <w:r>
        <w:rPr>
          <w:color w:val="auto"/>
          <w:sz w:val="24"/>
          <w:szCs w:val="24"/>
        </w:rPr>
        <w:t xml:space="preserve"> </w:t>
      </w:r>
      <w:r>
        <w:rPr>
          <w:rFonts w:hint="eastAsia"/>
          <w:color w:val="auto"/>
          <w:sz w:val="24"/>
          <w:szCs w:val="24"/>
        </w:rPr>
        <w:t>支付方式</w:t>
      </w:r>
    </w:p>
    <w:p w14:paraId="3474AB30">
      <w:pPr>
        <w:numPr>
          <w:ilvl w:val="0"/>
          <w:numId w:val="5"/>
        </w:numPr>
        <w:spacing w:line="360" w:lineRule="auto"/>
        <w:ind w:left="0" w:firstLine="420"/>
      </w:pPr>
      <w:r>
        <w:rPr>
          <w:rFonts w:hint="eastAsia"/>
        </w:rPr>
        <w:t>本</w:t>
      </w:r>
      <w:r>
        <w:rPr>
          <w:rFonts w:hint="eastAsia" w:cs="宋体"/>
          <w:color w:val="000000"/>
          <w:kern w:val="2"/>
          <w:szCs w:val="24"/>
        </w:rPr>
        <w:t>合同正式生效后，甲方收乙方开具的对应的</w:t>
      </w:r>
      <w:r>
        <w:rPr>
          <w:rFonts w:hint="eastAsia" w:ascii="宋体" w:hAnsi="宋体" w:eastAsia="宋体" w:cs="Times New Roman"/>
          <w:snapToGrid w:val="0"/>
          <w:color w:val="auto"/>
          <w:sz w:val="24"/>
          <w:szCs w:val="24"/>
          <w:u w:val="single"/>
          <w:lang w:val="en-US" w:eastAsia="zh-CN" w:bidi="ar-SA"/>
        </w:rPr>
        <w:t>增值税专用发票0</w:t>
      </w:r>
      <w:r>
        <w:rPr>
          <w:rFonts w:hint="eastAsia" w:cs="宋体"/>
          <w:color w:val="000000"/>
          <w:kern w:val="2"/>
          <w:szCs w:val="24"/>
        </w:rPr>
        <w:t>日按签约合同价格的</w:t>
      </w:r>
      <w:r>
        <w:rPr>
          <w:rFonts w:hint="eastAsia" w:ascii="宋体" w:hAnsi="宋体" w:eastAsia="宋体" w:cs="Times New Roman"/>
          <w:snapToGrid w:val="0"/>
          <w:color w:val="auto"/>
          <w:sz w:val="24"/>
          <w:szCs w:val="24"/>
          <w:u w:val="single"/>
          <w:lang w:val="en-US" w:eastAsia="zh-CN" w:bidi="ar-SA"/>
        </w:rPr>
        <w:t>0</w:t>
      </w:r>
      <w:r>
        <w:rPr>
          <w:rFonts w:hint="eastAsia" w:cs="宋体"/>
          <w:color w:val="000000"/>
          <w:kern w:val="2"/>
          <w:szCs w:val="24"/>
        </w:rPr>
        <w:t xml:space="preserve"> %向乙方支付预付款</w:t>
      </w:r>
      <w:r>
        <w:rPr>
          <w:rFonts w:hint="eastAsia" w:ascii="宋体" w:hAnsi="宋体" w:cs="宋体"/>
          <w:kern w:val="2"/>
          <w:szCs w:val="24"/>
        </w:rPr>
        <w:t>。</w:t>
      </w:r>
    </w:p>
    <w:p w14:paraId="4CD32EB5">
      <w:pPr>
        <w:numPr>
          <w:ilvl w:val="0"/>
          <w:numId w:val="5"/>
        </w:numPr>
        <w:spacing w:line="360" w:lineRule="auto"/>
        <w:ind w:left="0" w:firstLine="420"/>
        <w:rPr>
          <w:color w:val="000000"/>
        </w:rPr>
      </w:pPr>
      <w:r>
        <w:rPr>
          <w:rFonts w:hint="eastAsia"/>
          <w:color w:val="000000"/>
        </w:rPr>
        <w:t>乙方完成所有咨询服务内容且咨询服务成果经甲方确认后，收到乙</w:t>
      </w:r>
      <w:r>
        <w:rPr>
          <w:rFonts w:hint="eastAsia" w:ascii="宋体" w:hAnsi="宋体"/>
          <w:color w:val="000000"/>
          <w:kern w:val="2"/>
          <w:szCs w:val="24"/>
        </w:rPr>
        <w:t>方累计</w:t>
      </w:r>
      <w:r>
        <w:rPr>
          <w:rFonts w:hint="eastAsia"/>
          <w:color w:val="000000"/>
        </w:rPr>
        <w:t>开具的金额为最终结算价格的合格</w:t>
      </w:r>
      <w:r>
        <w:rPr>
          <w:rFonts w:hint="eastAsia" w:ascii="宋体" w:hAnsi="宋体" w:eastAsia="宋体" w:cs="Times New Roman"/>
          <w:snapToGrid w:val="0"/>
          <w:color w:val="auto"/>
          <w:sz w:val="24"/>
          <w:szCs w:val="24"/>
          <w:u w:val="single"/>
          <w:lang w:val="en-US" w:eastAsia="zh-CN" w:bidi="ar-SA"/>
        </w:rPr>
        <w:t>增值税专用发票 60</w:t>
      </w:r>
      <w:r>
        <w:rPr>
          <w:rFonts w:hint="eastAsia"/>
          <w:color w:val="000000"/>
        </w:rPr>
        <w:t>日（含本数），甲方向乙方支付全部咨询服务费，</w:t>
      </w:r>
      <w:r>
        <w:rPr>
          <w:color w:val="000000"/>
        </w:rPr>
        <w:t>支付方式为</w:t>
      </w:r>
      <w:r>
        <w:rPr>
          <w:rFonts w:hint="eastAsia" w:ascii="宋体" w:hAnsi="宋体" w:eastAsia="宋体" w:cs="Times New Roman"/>
          <w:snapToGrid w:val="0"/>
          <w:color w:val="auto"/>
          <w:sz w:val="24"/>
          <w:szCs w:val="24"/>
          <w:u w:val="single"/>
          <w:lang w:val="en-US" w:eastAsia="zh-CN" w:bidi="ar-SA"/>
        </w:rPr>
        <w:t>电汇</w:t>
      </w:r>
      <w:r>
        <w:rPr>
          <w:rFonts w:hint="eastAsia"/>
          <w:color w:val="000000"/>
        </w:rPr>
        <w:t>。</w:t>
      </w:r>
    </w:p>
    <w:p w14:paraId="0A098709">
      <w:pPr>
        <w:spacing w:line="360" w:lineRule="auto"/>
        <w:ind w:left="420"/>
        <w:rPr>
          <w:rFonts w:hint="eastAsia"/>
          <w:color w:val="000000"/>
        </w:rPr>
      </w:pPr>
    </w:p>
    <w:p w14:paraId="21D02FDC">
      <w:pPr>
        <w:pStyle w:val="38"/>
        <w:numPr>
          <w:ilvl w:val="0"/>
          <w:numId w:val="0"/>
        </w:numPr>
        <w:ind w:firstLine="480" w:firstLineChars="200"/>
        <w:rPr>
          <w:rFonts w:hint="eastAsia"/>
          <w:b w:val="0"/>
          <w:color w:val="auto"/>
        </w:rPr>
      </w:pPr>
      <w:r>
        <w:rPr>
          <w:rFonts w:hint="eastAsia"/>
          <w:b w:val="0"/>
          <w:color w:val="auto"/>
        </w:rPr>
        <w:t>尽管有上述规定，甲方有权从任何一笔应向乙方支付的合同价款中扣除乙方按合同约定应向甲方支付的违约金、赔偿金或其他费用。</w:t>
      </w:r>
    </w:p>
    <w:p w14:paraId="78D8AFA3">
      <w:pPr>
        <w:pStyle w:val="41"/>
        <w:rPr>
          <w:color w:val="auto"/>
          <w:sz w:val="24"/>
          <w:szCs w:val="24"/>
        </w:rPr>
      </w:pPr>
      <w:r>
        <w:rPr>
          <w:rFonts w:hint="eastAsia"/>
          <w:color w:val="auto"/>
          <w:sz w:val="24"/>
          <w:szCs w:val="24"/>
        </w:rPr>
        <w:t xml:space="preserve">第五条 </w:t>
      </w:r>
      <w:r>
        <w:rPr>
          <w:color w:val="auto"/>
          <w:sz w:val="24"/>
          <w:szCs w:val="24"/>
        </w:rPr>
        <w:t xml:space="preserve"> </w:t>
      </w:r>
      <w:r>
        <w:rPr>
          <w:rFonts w:hint="eastAsia"/>
          <w:color w:val="auto"/>
          <w:sz w:val="24"/>
          <w:szCs w:val="24"/>
        </w:rPr>
        <w:t>结算方式</w:t>
      </w:r>
    </w:p>
    <w:p w14:paraId="12BFA40C">
      <w:pPr>
        <w:pStyle w:val="38"/>
        <w:numPr>
          <w:ilvl w:val="0"/>
          <w:numId w:val="0"/>
        </w:numPr>
        <w:ind w:firstLine="480" w:firstLineChars="200"/>
        <w:rPr>
          <w:b w:val="0"/>
          <w:snapToGrid w:val="0"/>
          <w:color w:val="auto"/>
        </w:rPr>
      </w:pPr>
      <w:r>
        <w:rPr>
          <w:rFonts w:hint="eastAsia"/>
          <w:b w:val="0"/>
          <w:snapToGrid w:val="0"/>
          <w:color w:val="auto"/>
        </w:rPr>
        <w:t>1. 成果验收合格后,由乙方提出资料验收结算申请，申请采用附件2《充电项目咨询服务资料验收表》，由</w:t>
      </w:r>
      <w:r>
        <w:rPr>
          <w:rFonts w:cs="宋体"/>
          <w:b w:val="0"/>
          <w:color w:val="auto"/>
          <w:szCs w:val="24"/>
        </w:rPr>
        <w:t>甲乙双方共同签认的实际完成的合格</w:t>
      </w:r>
      <w:r>
        <w:rPr>
          <w:rFonts w:hint="eastAsia" w:cs="宋体"/>
          <w:b w:val="0"/>
          <w:color w:val="auto"/>
          <w:szCs w:val="24"/>
        </w:rPr>
        <w:t>咨询成果作为结算依据。对</w:t>
      </w:r>
      <w:r>
        <w:rPr>
          <w:rFonts w:hint="eastAsia" w:cs="宋体"/>
          <w:b w:val="0"/>
          <w:snapToGrid w:val="0"/>
          <w:color w:val="auto"/>
          <w:szCs w:val="24"/>
        </w:rPr>
        <w:t>未能实施的或甲方决定取消的项目，按照相应单价和包干费用从结算款中扣除相应价款，对经双方确认的变更签证款项进行合并结算，核算出最终合同结算总价。</w:t>
      </w:r>
    </w:p>
    <w:p w14:paraId="2DC2EAFE">
      <w:pPr>
        <w:pStyle w:val="38"/>
        <w:numPr>
          <w:ilvl w:val="0"/>
          <w:numId w:val="0"/>
        </w:numPr>
        <w:ind w:firstLine="480" w:firstLineChars="200"/>
        <w:rPr>
          <w:rFonts w:hint="eastAsia"/>
          <w:b w:val="0"/>
          <w:color w:val="auto"/>
          <w:kern w:val="2"/>
          <w:szCs w:val="24"/>
        </w:rPr>
      </w:pPr>
      <w:r>
        <w:rPr>
          <w:rFonts w:hint="eastAsia"/>
          <w:b w:val="0"/>
          <w:color w:val="auto"/>
          <w:kern w:val="2"/>
          <w:szCs w:val="24"/>
        </w:rPr>
        <w:t>2. 发生新增项目变更，变更估价约定：甲乙双方另行协商定价。</w:t>
      </w:r>
    </w:p>
    <w:p w14:paraId="393B1253">
      <w:pPr>
        <w:pStyle w:val="38"/>
        <w:numPr>
          <w:ilvl w:val="0"/>
          <w:numId w:val="0"/>
        </w:numPr>
        <w:ind w:firstLine="480" w:firstLineChars="200"/>
        <w:rPr>
          <w:rFonts w:hint="eastAsia"/>
          <w:b w:val="0"/>
          <w:bCs/>
          <w:color w:val="auto"/>
          <w:kern w:val="2"/>
          <w:szCs w:val="24"/>
        </w:rPr>
      </w:pPr>
      <w:r>
        <w:rPr>
          <w:rFonts w:hint="eastAsia"/>
          <w:b w:val="0"/>
          <w:color w:val="auto"/>
          <w:kern w:val="2"/>
          <w:szCs w:val="24"/>
        </w:rPr>
        <w:t>3.合同范围内包含两个及以上场站的，甲乙双方可以就已完工场站分别办理场站验收、结算，</w:t>
      </w:r>
      <w:r>
        <w:rPr>
          <w:rFonts w:hint="eastAsia" w:cs="宋体"/>
          <w:b w:val="0"/>
          <w:bCs/>
          <w:color w:val="auto"/>
          <w:szCs w:val="24"/>
        </w:rPr>
        <w:t>合同范围内所有场站办理完成结算视为合同结算完成</w:t>
      </w:r>
      <w:r>
        <w:rPr>
          <w:rFonts w:hint="eastAsia"/>
          <w:b w:val="0"/>
          <w:bCs/>
          <w:color w:val="auto"/>
          <w:kern w:val="2"/>
          <w:szCs w:val="24"/>
        </w:rPr>
        <w:t>。</w:t>
      </w:r>
    </w:p>
    <w:p w14:paraId="5FF870DF">
      <w:pPr>
        <w:pStyle w:val="41"/>
        <w:rPr>
          <w:color w:val="auto"/>
          <w:sz w:val="24"/>
          <w:szCs w:val="24"/>
        </w:rPr>
      </w:pPr>
      <w:r>
        <w:rPr>
          <w:rFonts w:hint="eastAsia"/>
          <w:color w:val="auto"/>
          <w:sz w:val="24"/>
          <w:szCs w:val="24"/>
        </w:rPr>
        <w:t xml:space="preserve">第六条 </w:t>
      </w:r>
      <w:r>
        <w:rPr>
          <w:color w:val="auto"/>
          <w:sz w:val="24"/>
          <w:szCs w:val="24"/>
        </w:rPr>
        <w:t xml:space="preserve"> </w:t>
      </w:r>
      <w:r>
        <w:rPr>
          <w:rFonts w:hint="eastAsia"/>
          <w:color w:val="auto"/>
          <w:sz w:val="24"/>
          <w:szCs w:val="24"/>
        </w:rPr>
        <w:t>双方派驻本工程项目的代表</w:t>
      </w:r>
    </w:p>
    <w:p w14:paraId="70E6D711">
      <w:pPr>
        <w:numPr>
          <w:ilvl w:val="0"/>
          <w:numId w:val="6"/>
        </w:numPr>
        <w:spacing w:line="360" w:lineRule="auto"/>
        <w:ind w:left="0" w:firstLine="420"/>
      </w:pPr>
      <w:r>
        <w:rPr>
          <w:rFonts w:hint="eastAsia"/>
        </w:rPr>
        <w:t>甲方负责本项目的代表为：</w:t>
      </w:r>
      <w:r>
        <w:rPr>
          <w:rFonts w:hint="eastAsia"/>
          <w:u w:val="single"/>
        </w:rPr>
        <w:t>李昌达</w:t>
      </w:r>
      <w:r>
        <w:rPr>
          <w:rFonts w:hint="eastAsia"/>
        </w:rPr>
        <w:t>。</w:t>
      </w:r>
    </w:p>
    <w:p w14:paraId="71054CC8">
      <w:pPr>
        <w:numPr>
          <w:ilvl w:val="0"/>
          <w:numId w:val="6"/>
        </w:numPr>
        <w:spacing w:line="360" w:lineRule="auto"/>
        <w:ind w:left="0" w:firstLine="420"/>
        <w:rPr>
          <w:rFonts w:hint="eastAsia"/>
        </w:rPr>
      </w:pPr>
      <w:r>
        <w:rPr>
          <w:rFonts w:hint="eastAsia"/>
        </w:rPr>
        <w:t>乙方负责本项目的代表为：</w:t>
      </w:r>
      <w:r>
        <w:rPr>
          <w:rFonts w:hint="eastAsia"/>
          <w:u w:val="single"/>
          <w:lang w:val="en-US" w:eastAsia="zh-CN"/>
        </w:rPr>
        <w:t xml:space="preserve">      </w:t>
      </w:r>
      <w:r>
        <w:rPr>
          <w:rFonts w:hint="eastAsia"/>
        </w:rPr>
        <w:t>。</w:t>
      </w:r>
    </w:p>
    <w:p w14:paraId="3BABFB34">
      <w:pPr>
        <w:pStyle w:val="41"/>
        <w:rPr>
          <w:color w:val="auto"/>
          <w:sz w:val="24"/>
          <w:szCs w:val="24"/>
        </w:rPr>
      </w:pPr>
      <w:r>
        <w:rPr>
          <w:color w:val="auto"/>
          <w:sz w:val="24"/>
          <w:szCs w:val="24"/>
        </w:rPr>
        <w:t>第</w:t>
      </w:r>
      <w:r>
        <w:rPr>
          <w:rFonts w:hint="eastAsia"/>
          <w:color w:val="auto"/>
          <w:sz w:val="24"/>
          <w:szCs w:val="24"/>
        </w:rPr>
        <w:t>七</w:t>
      </w:r>
      <w:r>
        <w:rPr>
          <w:color w:val="auto"/>
          <w:sz w:val="24"/>
          <w:szCs w:val="24"/>
        </w:rPr>
        <w:t>条</w:t>
      </w:r>
      <w:r>
        <w:rPr>
          <w:rFonts w:hint="eastAsia"/>
          <w:color w:val="auto"/>
          <w:sz w:val="24"/>
          <w:szCs w:val="24"/>
        </w:rPr>
        <w:t xml:space="preserve"> </w:t>
      </w:r>
      <w:r>
        <w:rPr>
          <w:color w:val="auto"/>
          <w:sz w:val="24"/>
          <w:szCs w:val="24"/>
        </w:rPr>
        <w:t xml:space="preserve"> </w:t>
      </w:r>
      <w:r>
        <w:rPr>
          <w:rFonts w:hint="eastAsia"/>
          <w:color w:val="auto"/>
          <w:sz w:val="24"/>
          <w:szCs w:val="24"/>
        </w:rPr>
        <w:t>甲方</w:t>
      </w:r>
      <w:r>
        <w:rPr>
          <w:color w:val="auto"/>
          <w:sz w:val="24"/>
          <w:szCs w:val="24"/>
        </w:rPr>
        <w:t>的权利</w:t>
      </w:r>
      <w:r>
        <w:rPr>
          <w:rFonts w:hint="eastAsia"/>
          <w:color w:val="auto"/>
          <w:sz w:val="24"/>
          <w:szCs w:val="24"/>
        </w:rPr>
        <w:t>、</w:t>
      </w:r>
      <w:r>
        <w:rPr>
          <w:color w:val="auto"/>
          <w:sz w:val="24"/>
          <w:szCs w:val="24"/>
        </w:rPr>
        <w:t>义务及责任</w:t>
      </w:r>
    </w:p>
    <w:p w14:paraId="430D1CB6">
      <w:pPr>
        <w:numPr>
          <w:ilvl w:val="0"/>
          <w:numId w:val="7"/>
        </w:numPr>
        <w:spacing w:line="360" w:lineRule="auto"/>
        <w:ind w:left="0" w:firstLine="420"/>
        <w:rPr>
          <w:rFonts w:hint="eastAsia"/>
        </w:rPr>
      </w:pPr>
      <w:r>
        <w:rPr>
          <w:rFonts w:hint="eastAsia"/>
        </w:rPr>
        <w:t>甲方有权向乙方询问工作进展情况及相关的内容。</w:t>
      </w:r>
    </w:p>
    <w:p w14:paraId="42AFF581">
      <w:pPr>
        <w:numPr>
          <w:ilvl w:val="0"/>
          <w:numId w:val="7"/>
        </w:numPr>
        <w:spacing w:line="360" w:lineRule="auto"/>
        <w:ind w:left="0" w:firstLine="420"/>
      </w:pPr>
      <w:r>
        <w:rPr>
          <w:rFonts w:hint="eastAsia"/>
        </w:rPr>
        <w:t>甲方有权对乙方提交的咨询服务建议或报告有阐述意见、建议和进行审议、修改及最终决策的权利。</w:t>
      </w:r>
    </w:p>
    <w:p w14:paraId="177A0063">
      <w:pPr>
        <w:pStyle w:val="37"/>
        <w:numPr>
          <w:ilvl w:val="0"/>
          <w:numId w:val="7"/>
        </w:numPr>
        <w:ind w:left="0" w:firstLine="420" w:firstLineChars="0"/>
        <w:rPr>
          <w:color w:val="auto"/>
        </w:rPr>
      </w:pPr>
      <w:r>
        <w:rPr>
          <w:rFonts w:hint="eastAsia"/>
          <w:color w:val="auto"/>
        </w:rPr>
        <w:t>当甲方认定咨询专业人员不按咨询合同履行其职责，或与第三人串通给甲方造成经济损失的，甲方有权要求更换咨询专业人员，直至终止合同并要求乙方承担相应的赔偿责任。</w:t>
      </w:r>
    </w:p>
    <w:p w14:paraId="6999476B">
      <w:pPr>
        <w:pStyle w:val="37"/>
        <w:numPr>
          <w:ilvl w:val="0"/>
          <w:numId w:val="7"/>
        </w:numPr>
        <w:ind w:left="0" w:firstLine="420" w:firstLineChars="0"/>
        <w:rPr>
          <w:color w:val="auto"/>
        </w:rPr>
      </w:pPr>
      <w:r>
        <w:rPr>
          <w:color w:val="auto"/>
        </w:rPr>
        <w:t>甲方应配合乙方工作，负责协调合同履行过程中乙方与有关单位的配合事宜，向乙方提供相关资料，并保证其所提供资料真实、准确、完整、有效</w:t>
      </w:r>
      <w:r>
        <w:rPr>
          <w:rFonts w:hint="eastAsia"/>
          <w:color w:val="auto"/>
        </w:rPr>
        <w:t>。</w:t>
      </w:r>
    </w:p>
    <w:p w14:paraId="1D5D7DCF">
      <w:pPr>
        <w:pStyle w:val="37"/>
        <w:numPr>
          <w:ilvl w:val="0"/>
          <w:numId w:val="7"/>
        </w:numPr>
        <w:ind w:left="0" w:firstLine="420" w:firstLineChars="0"/>
        <w:rPr>
          <w:color w:val="auto"/>
        </w:rPr>
      </w:pPr>
      <w:r>
        <w:rPr>
          <w:color w:val="auto"/>
        </w:rPr>
        <w:t>甲方向乙方提供资料超过约定期限的，乙方按照本合同约定交付</w:t>
      </w:r>
      <w:r>
        <w:rPr>
          <w:rFonts w:hint="eastAsia"/>
          <w:snapToGrid w:val="0"/>
          <w:color w:val="auto"/>
        </w:rPr>
        <w:t>咨</w:t>
      </w:r>
      <w:r>
        <w:rPr>
          <w:color w:val="auto"/>
        </w:rPr>
        <w:t>询服务成果时间顺延，超过约定期限</w:t>
      </w:r>
      <w:r>
        <w:rPr>
          <w:rFonts w:hint="eastAsia"/>
          <w:color w:val="auto"/>
        </w:rPr>
        <w:t>7天以上时，双方应友好协商乙方交付咨询服务成果的时间</w:t>
      </w:r>
      <w:r>
        <w:rPr>
          <w:color w:val="auto"/>
        </w:rPr>
        <w:t>。</w:t>
      </w:r>
    </w:p>
    <w:p w14:paraId="18045BBD">
      <w:pPr>
        <w:pStyle w:val="37"/>
        <w:numPr>
          <w:ilvl w:val="0"/>
          <w:numId w:val="7"/>
        </w:numPr>
        <w:ind w:left="0" w:firstLine="420" w:firstLineChars="0"/>
        <w:rPr>
          <w:color w:val="auto"/>
        </w:rPr>
      </w:pPr>
      <w:r>
        <w:rPr>
          <w:rFonts w:hint="eastAsia"/>
          <w:snapToGrid w:val="0"/>
          <w:color w:val="auto"/>
        </w:rPr>
        <w:t>在合同履行期间，甲方要求终止或解除合同，乙方未开始咨询服务工作的，应退还甲方已支付的预付款，已开咨询服务工作，甲方应根据乙方已进行的实际工作量支付咨询服务费。</w:t>
      </w:r>
    </w:p>
    <w:p w14:paraId="67738E90">
      <w:pPr>
        <w:pStyle w:val="37"/>
        <w:numPr>
          <w:ilvl w:val="0"/>
          <w:numId w:val="7"/>
        </w:numPr>
        <w:ind w:left="0" w:firstLine="420" w:firstLineChars="0"/>
        <w:rPr>
          <w:color w:val="auto"/>
        </w:rPr>
      </w:pPr>
      <w:r>
        <w:rPr>
          <w:rFonts w:hint="eastAsia"/>
          <w:snapToGrid w:val="0"/>
          <w:color w:val="auto"/>
        </w:rPr>
        <w:t>甲方要求乙方提前交付咨询服务成果时，必须征得乙方同意，甲方不得严重背离合理咨询服务周期，且甲方应支付一定的赶工费。</w:t>
      </w:r>
    </w:p>
    <w:p w14:paraId="30506B48">
      <w:pPr>
        <w:pStyle w:val="37"/>
        <w:numPr>
          <w:ilvl w:val="0"/>
          <w:numId w:val="7"/>
        </w:numPr>
        <w:ind w:left="0" w:firstLine="420" w:firstLineChars="0"/>
        <w:rPr>
          <w:rFonts w:hint="eastAsia"/>
          <w:color w:val="auto"/>
        </w:rPr>
      </w:pPr>
      <w:r>
        <w:rPr>
          <w:rFonts w:hint="eastAsia"/>
          <w:snapToGrid w:val="0"/>
          <w:color w:val="auto"/>
        </w:rPr>
        <w:t>甲方委托乙方承担本合同内容之外的工作服务，另行支付费用。</w:t>
      </w:r>
    </w:p>
    <w:p w14:paraId="21CED3B6">
      <w:pPr>
        <w:pStyle w:val="37"/>
        <w:numPr>
          <w:ilvl w:val="0"/>
          <w:numId w:val="0"/>
        </w:numPr>
        <w:ind w:firstLine="480" w:firstLineChars="200"/>
        <w:rPr>
          <w:rFonts w:hint="eastAsia"/>
          <w:color w:val="auto"/>
        </w:rPr>
      </w:pPr>
    </w:p>
    <w:p w14:paraId="4F2CEBDF">
      <w:pPr>
        <w:pStyle w:val="41"/>
        <w:rPr>
          <w:color w:val="auto"/>
          <w:sz w:val="24"/>
          <w:szCs w:val="24"/>
        </w:rPr>
      </w:pPr>
      <w:r>
        <w:rPr>
          <w:color w:val="auto"/>
          <w:sz w:val="24"/>
          <w:szCs w:val="24"/>
        </w:rPr>
        <w:t>第</w:t>
      </w:r>
      <w:r>
        <w:rPr>
          <w:rFonts w:hint="eastAsia"/>
          <w:color w:val="auto"/>
          <w:sz w:val="24"/>
          <w:szCs w:val="24"/>
        </w:rPr>
        <w:t>八</w:t>
      </w:r>
      <w:r>
        <w:rPr>
          <w:color w:val="auto"/>
          <w:sz w:val="24"/>
          <w:szCs w:val="24"/>
        </w:rPr>
        <w:t>条</w:t>
      </w:r>
      <w:r>
        <w:rPr>
          <w:rFonts w:hint="eastAsia"/>
          <w:color w:val="auto"/>
          <w:sz w:val="24"/>
          <w:szCs w:val="24"/>
        </w:rPr>
        <w:t xml:space="preserve"> </w:t>
      </w:r>
      <w:r>
        <w:rPr>
          <w:color w:val="auto"/>
          <w:sz w:val="24"/>
          <w:szCs w:val="24"/>
        </w:rPr>
        <w:t xml:space="preserve"> 乙方的权利</w:t>
      </w:r>
      <w:r>
        <w:rPr>
          <w:rFonts w:hint="eastAsia"/>
          <w:color w:val="auto"/>
          <w:sz w:val="24"/>
          <w:szCs w:val="24"/>
        </w:rPr>
        <w:t>、</w:t>
      </w:r>
      <w:r>
        <w:rPr>
          <w:color w:val="auto"/>
          <w:sz w:val="24"/>
          <w:szCs w:val="24"/>
        </w:rPr>
        <w:t>义务及责任</w:t>
      </w:r>
    </w:p>
    <w:p w14:paraId="44B84BBE">
      <w:pPr>
        <w:numPr>
          <w:ilvl w:val="0"/>
          <w:numId w:val="8"/>
        </w:numPr>
        <w:spacing w:line="360" w:lineRule="auto"/>
        <w:ind w:left="0" w:firstLine="420"/>
      </w:pPr>
      <w:r>
        <w:rPr>
          <w:rFonts w:hint="eastAsia"/>
          <w:snapToGrid w:val="0"/>
          <w:szCs w:val="24"/>
        </w:rPr>
        <w:t>乙方保证：具备签订和履行本合同所需的资质能力和经验。</w:t>
      </w:r>
    </w:p>
    <w:p w14:paraId="63E16E27">
      <w:pPr>
        <w:numPr>
          <w:ilvl w:val="0"/>
          <w:numId w:val="8"/>
        </w:numPr>
        <w:spacing w:line="360" w:lineRule="auto"/>
        <w:ind w:left="0" w:firstLine="420"/>
      </w:pPr>
      <w:r>
        <w:rPr>
          <w:rFonts w:hint="eastAsia"/>
          <w:snapToGrid w:val="0"/>
          <w:szCs w:val="24"/>
        </w:rPr>
        <w:t>乙方应按国家规定和合同约定的技术规范、标准，遵循</w:t>
      </w:r>
      <w:r>
        <w:t>诚实、勤勉、尽职的原则，</w:t>
      </w:r>
      <w:r>
        <w:rPr>
          <w:rFonts w:hint="eastAsia"/>
          <w:snapToGrid w:val="0"/>
          <w:szCs w:val="24"/>
        </w:rPr>
        <w:t>为甲方提供咨询服务，并对其提供的咨询服务成果文件的完整性和准确性负责，因咨询服务成果不合理不合规造成的一切损失由乙方承担。</w:t>
      </w:r>
    </w:p>
    <w:p w14:paraId="29AAA3DC">
      <w:pPr>
        <w:numPr>
          <w:ilvl w:val="0"/>
          <w:numId w:val="8"/>
        </w:numPr>
        <w:spacing w:line="360" w:lineRule="auto"/>
        <w:ind w:left="0" w:firstLine="420"/>
      </w:pPr>
      <w:r>
        <w:rPr>
          <w:rFonts w:hint="eastAsia"/>
        </w:rPr>
        <w:t>乙方在提供咨询服务过程中有权要求甲方提供所需的资料，并</w:t>
      </w:r>
      <w:r>
        <w:rPr>
          <w:rFonts w:hint="eastAsia"/>
          <w:snapToGrid w:val="0"/>
          <w:szCs w:val="24"/>
        </w:rPr>
        <w:t>按行业规定和合同要求做好项目的咨询服务工作。</w:t>
      </w:r>
    </w:p>
    <w:p w14:paraId="4DB0B0AA">
      <w:pPr>
        <w:numPr>
          <w:ilvl w:val="0"/>
          <w:numId w:val="8"/>
        </w:numPr>
        <w:spacing w:line="360" w:lineRule="auto"/>
        <w:ind w:left="0" w:firstLine="420"/>
      </w:pPr>
      <w:r>
        <w:rPr>
          <w:rFonts w:hint="eastAsia"/>
          <w:snapToGrid w:val="0"/>
          <w:szCs w:val="24"/>
        </w:rPr>
        <w:t>乙方对咨询服务成果出现的遗漏或错误负责修改或补充。</w:t>
      </w:r>
    </w:p>
    <w:p w14:paraId="5FEE05EE">
      <w:pPr>
        <w:numPr>
          <w:ilvl w:val="0"/>
          <w:numId w:val="8"/>
        </w:numPr>
        <w:spacing w:line="360" w:lineRule="auto"/>
        <w:ind w:left="0" w:firstLine="420"/>
      </w:pPr>
      <w:r>
        <w:t>服务形式根据甲方需要而定，乙方可以为甲方提供书面的咨询服务方案、建议、报告、信息服务等，也可以为甲方提供现场咨询服务等形式的咨询服务。</w:t>
      </w:r>
    </w:p>
    <w:p w14:paraId="72B17E9D">
      <w:pPr>
        <w:numPr>
          <w:ilvl w:val="0"/>
          <w:numId w:val="8"/>
        </w:numPr>
        <w:spacing w:line="360" w:lineRule="auto"/>
        <w:ind w:left="0" w:firstLine="420"/>
        <w:rPr>
          <w:rFonts w:hint="eastAsia"/>
        </w:rPr>
      </w:pPr>
      <w:r>
        <w:rPr>
          <w:rFonts w:hint="eastAsia"/>
        </w:rPr>
        <w:t>乙方应对除甲方以外，与本咨询业务有关的当事人提出的与本咨询业务有关的问题进行核对或查问。</w:t>
      </w:r>
    </w:p>
    <w:p w14:paraId="3A6CADD8">
      <w:pPr>
        <w:pStyle w:val="41"/>
        <w:numPr>
          <w:ilvl w:val="0"/>
          <w:numId w:val="8"/>
        </w:numPr>
        <w:ind w:left="0" w:firstLine="420"/>
        <w:rPr>
          <w:b w:val="0"/>
          <w:snapToGrid w:val="0"/>
          <w:color w:val="auto"/>
          <w:sz w:val="24"/>
          <w:szCs w:val="24"/>
        </w:rPr>
      </w:pPr>
      <w:r>
        <w:rPr>
          <w:rFonts w:hint="eastAsia"/>
          <w:b w:val="0"/>
          <w:snapToGrid w:val="0"/>
          <w:color w:val="auto"/>
          <w:sz w:val="24"/>
          <w:szCs w:val="24"/>
        </w:rPr>
        <w:t>乙方负责向甲方及相关第三方（包含不仅限于甲方的承包商及客户等）进行咨询服务陈国交底及现场咨询服务、处理有关咨询服务问题。</w:t>
      </w:r>
    </w:p>
    <w:p w14:paraId="2372BDCE">
      <w:pPr>
        <w:pStyle w:val="41"/>
        <w:numPr>
          <w:ilvl w:val="0"/>
          <w:numId w:val="8"/>
        </w:numPr>
        <w:ind w:left="0" w:firstLine="420"/>
        <w:rPr>
          <w:b w:val="0"/>
          <w:snapToGrid w:val="0"/>
          <w:color w:val="auto"/>
          <w:sz w:val="24"/>
          <w:szCs w:val="24"/>
        </w:rPr>
      </w:pPr>
      <w:r>
        <w:rPr>
          <w:rFonts w:hint="eastAsia"/>
          <w:b w:val="0"/>
          <w:snapToGrid w:val="0"/>
          <w:color w:val="auto"/>
          <w:sz w:val="24"/>
          <w:szCs w:val="24"/>
        </w:rPr>
        <w:t>乙方未经甲方书面同意不得向第三方扩散、转让甲方提供的图纸、文件等资料。</w:t>
      </w:r>
    </w:p>
    <w:p w14:paraId="31D8459C">
      <w:pPr>
        <w:pStyle w:val="41"/>
        <w:numPr>
          <w:ilvl w:val="0"/>
          <w:numId w:val="8"/>
        </w:numPr>
        <w:ind w:left="0" w:firstLine="420"/>
        <w:rPr>
          <w:rFonts w:hint="eastAsia"/>
          <w:b w:val="0"/>
          <w:snapToGrid w:val="0"/>
          <w:color w:val="auto"/>
          <w:sz w:val="24"/>
          <w:szCs w:val="24"/>
        </w:rPr>
      </w:pPr>
      <w:r>
        <w:rPr>
          <w:rFonts w:hint="eastAsia"/>
          <w:b w:val="0"/>
          <w:snapToGrid w:val="0"/>
          <w:color w:val="auto"/>
          <w:sz w:val="24"/>
          <w:szCs w:val="24"/>
        </w:rPr>
        <w:t>乙方保证其提交的咨询服务成果的全部及任何部分均未侵犯任何第三方的合法权益。</w:t>
      </w:r>
    </w:p>
    <w:p w14:paraId="2A713B7B">
      <w:pPr>
        <w:pStyle w:val="41"/>
        <w:numPr>
          <w:ilvl w:val="0"/>
          <w:numId w:val="8"/>
        </w:numPr>
        <w:ind w:left="0" w:firstLine="420"/>
        <w:rPr>
          <w:rFonts w:hint="eastAsia"/>
          <w:b w:val="0"/>
          <w:snapToGrid w:val="0"/>
          <w:color w:val="auto"/>
          <w:sz w:val="24"/>
          <w:szCs w:val="24"/>
        </w:rPr>
      </w:pPr>
      <w:r>
        <w:rPr>
          <w:rFonts w:hint="eastAsia"/>
          <w:b w:val="0"/>
          <w:snapToGrid w:val="0"/>
          <w:color w:val="auto"/>
          <w:sz w:val="24"/>
          <w:szCs w:val="24"/>
        </w:rPr>
        <w:t>本合同生效后，如乙方无正当理由要求终止或解除合同，乙方应交付已完成咨询服务材料和成果，返还甲方所有已支付款项，同时向甲方支付未完部分合同额的10%作为违约金。</w:t>
      </w:r>
    </w:p>
    <w:p w14:paraId="6069CA96">
      <w:pPr>
        <w:pStyle w:val="41"/>
        <w:numPr>
          <w:ilvl w:val="0"/>
          <w:numId w:val="8"/>
        </w:numPr>
        <w:ind w:left="0" w:firstLine="420"/>
        <w:rPr>
          <w:rFonts w:hint="eastAsia"/>
          <w:b w:val="0"/>
          <w:snapToGrid w:val="0"/>
          <w:color w:val="auto"/>
          <w:sz w:val="24"/>
          <w:szCs w:val="24"/>
        </w:rPr>
      </w:pPr>
      <w:r>
        <w:rPr>
          <w:rFonts w:hint="eastAsia"/>
          <w:b w:val="0"/>
          <w:snapToGrid w:val="0"/>
          <w:color w:val="auto"/>
          <w:sz w:val="24"/>
          <w:szCs w:val="24"/>
        </w:rPr>
        <w:t xml:space="preserve">各方在合同履行过程中应严格遵守国家及地方安全生产、环境保护相关法律法规、行业标准及合同约定的安全、环保管理要求。 </w:t>
      </w:r>
    </w:p>
    <w:p w14:paraId="1670DCFB">
      <w:pPr>
        <w:pStyle w:val="41"/>
        <w:numPr>
          <w:ilvl w:val="0"/>
          <w:numId w:val="8"/>
        </w:numPr>
        <w:ind w:left="0" w:firstLine="420"/>
        <w:rPr>
          <w:rFonts w:hint="eastAsia"/>
          <w:b w:val="0"/>
          <w:snapToGrid w:val="0"/>
          <w:color w:val="auto"/>
          <w:sz w:val="24"/>
          <w:szCs w:val="24"/>
        </w:rPr>
      </w:pPr>
      <w:r>
        <w:rPr>
          <w:rFonts w:hint="eastAsia"/>
          <w:b w:val="0"/>
          <w:snapToGrid w:val="0"/>
          <w:color w:val="auto"/>
          <w:sz w:val="24"/>
          <w:szCs w:val="24"/>
        </w:rPr>
        <w:t>若发生安全生产或环境污染事故，各方应立即采取应急处置措施，并按照法律法规规定结合事故责任归属认定进行调查处理与责任承担。</w:t>
      </w:r>
    </w:p>
    <w:p w14:paraId="1C56064F">
      <w:pPr>
        <w:pStyle w:val="41"/>
        <w:rPr>
          <w:color w:val="auto"/>
          <w:sz w:val="24"/>
          <w:szCs w:val="24"/>
        </w:rPr>
      </w:pPr>
      <w:r>
        <w:rPr>
          <w:rFonts w:hint="eastAsia"/>
          <w:color w:val="auto"/>
          <w:sz w:val="24"/>
          <w:szCs w:val="24"/>
        </w:rPr>
        <w:t xml:space="preserve">第九条 </w:t>
      </w:r>
      <w:r>
        <w:rPr>
          <w:color w:val="auto"/>
          <w:sz w:val="24"/>
          <w:szCs w:val="24"/>
        </w:rPr>
        <w:t xml:space="preserve"> </w:t>
      </w:r>
      <w:r>
        <w:rPr>
          <w:rFonts w:hint="eastAsia"/>
          <w:color w:val="auto"/>
          <w:sz w:val="24"/>
          <w:szCs w:val="24"/>
        </w:rPr>
        <w:t>知识产权</w:t>
      </w:r>
    </w:p>
    <w:p w14:paraId="62A04C59">
      <w:pPr>
        <w:pStyle w:val="38"/>
        <w:numPr>
          <w:ilvl w:val="0"/>
          <w:numId w:val="0"/>
        </w:numPr>
        <w:ind w:firstLine="424" w:firstLineChars="177"/>
        <w:rPr>
          <w:b w:val="0"/>
          <w:snapToGrid w:val="0"/>
          <w:color w:val="auto"/>
          <w:szCs w:val="24"/>
        </w:rPr>
      </w:pPr>
      <w:r>
        <w:rPr>
          <w:rFonts w:hint="eastAsia"/>
          <w:b w:val="0"/>
          <w:snapToGrid w:val="0"/>
          <w:color w:val="auto"/>
          <w:szCs w:val="24"/>
        </w:rPr>
        <w:t>除乙方的专利技术外，所有有关本项目的照片、录像、图纸、技术资料的所有权及涉及的知识产权均为甲方所有，乙方可以为实现合同目的而复制、使用此类文件，但不能用于与合同无关的其他事项。不论本次合作因何种原因终止，在合作终止之日起30日内，乙方应按照甲方要求归还上述文件。无论该等文件存在何种载体之上，未经甲方同意，乙方不得用于广告、宣传等本合同目的以外的任何其他目的。</w:t>
      </w:r>
    </w:p>
    <w:p w14:paraId="20BA00A6">
      <w:pPr>
        <w:pStyle w:val="41"/>
        <w:rPr>
          <w:color w:val="auto"/>
          <w:sz w:val="24"/>
          <w:szCs w:val="24"/>
        </w:rPr>
      </w:pPr>
      <w:r>
        <w:rPr>
          <w:rFonts w:hint="eastAsia"/>
          <w:color w:val="auto"/>
          <w:sz w:val="24"/>
          <w:szCs w:val="24"/>
        </w:rPr>
        <w:t xml:space="preserve">第十条 </w:t>
      </w:r>
      <w:r>
        <w:rPr>
          <w:color w:val="auto"/>
          <w:sz w:val="24"/>
          <w:szCs w:val="24"/>
        </w:rPr>
        <w:t xml:space="preserve"> </w:t>
      </w:r>
      <w:r>
        <w:rPr>
          <w:rFonts w:hint="eastAsia"/>
          <w:color w:val="auto"/>
          <w:sz w:val="24"/>
          <w:szCs w:val="24"/>
        </w:rPr>
        <w:t>保密义务</w:t>
      </w:r>
    </w:p>
    <w:p w14:paraId="4BFE8E35">
      <w:pPr>
        <w:pStyle w:val="38"/>
        <w:numPr>
          <w:ilvl w:val="0"/>
          <w:numId w:val="0"/>
        </w:numPr>
        <w:ind w:firstLine="424" w:firstLineChars="177"/>
        <w:rPr>
          <w:b w:val="0"/>
          <w:snapToGrid w:val="0"/>
          <w:color w:val="auto"/>
          <w:szCs w:val="24"/>
        </w:rPr>
      </w:pPr>
      <w:r>
        <w:rPr>
          <w:rFonts w:hint="eastAsia"/>
          <w:b w:val="0"/>
          <w:snapToGrid w:val="0"/>
          <w:color w:val="auto"/>
          <w:szCs w:val="24"/>
        </w:rPr>
        <w:t>乙方及其项目参加人员应对在合同履行过程中了解到的涉及到甲方技术信息、经验信息、商业秘密以及其他尚未公开的有关信息、资料负有保密义务，并采取相应的保密措施。乙方应承担的保密义务包括但不限于：</w:t>
      </w:r>
    </w:p>
    <w:p w14:paraId="5C6C614B">
      <w:pPr>
        <w:pStyle w:val="38"/>
        <w:numPr>
          <w:ilvl w:val="0"/>
          <w:numId w:val="0"/>
        </w:numPr>
        <w:ind w:firstLine="424" w:firstLineChars="177"/>
        <w:rPr>
          <w:b w:val="0"/>
          <w:snapToGrid w:val="0"/>
          <w:color w:val="auto"/>
          <w:szCs w:val="24"/>
        </w:rPr>
      </w:pPr>
      <w:r>
        <w:rPr>
          <w:rFonts w:hint="eastAsia"/>
          <w:b w:val="0"/>
          <w:snapToGrid w:val="0"/>
          <w:color w:val="auto"/>
          <w:szCs w:val="24"/>
        </w:rPr>
        <w:t>1.未经甲方书面同意，不得将上述信息、资料披露给任何第三人。</w:t>
      </w:r>
    </w:p>
    <w:p w14:paraId="0341B553">
      <w:pPr>
        <w:pStyle w:val="38"/>
        <w:numPr>
          <w:ilvl w:val="0"/>
          <w:numId w:val="0"/>
        </w:numPr>
        <w:ind w:firstLine="424" w:firstLineChars="177"/>
        <w:rPr>
          <w:rFonts w:hint="eastAsia"/>
          <w:b w:val="0"/>
          <w:snapToGrid w:val="0"/>
          <w:color w:val="auto"/>
          <w:szCs w:val="24"/>
        </w:rPr>
      </w:pPr>
      <w:r>
        <w:rPr>
          <w:rFonts w:hint="eastAsia"/>
          <w:b w:val="0"/>
          <w:snapToGrid w:val="0"/>
          <w:color w:val="auto"/>
          <w:szCs w:val="24"/>
        </w:rPr>
        <w:t>2.不得将上述信息、资料用于本合同以外的其他目的。</w:t>
      </w:r>
    </w:p>
    <w:p w14:paraId="0E5282B5">
      <w:pPr>
        <w:pStyle w:val="38"/>
        <w:numPr>
          <w:ilvl w:val="0"/>
          <w:numId w:val="0"/>
        </w:numPr>
        <w:ind w:firstLine="424" w:firstLineChars="177"/>
        <w:rPr>
          <w:rFonts w:hint="eastAsia"/>
          <w:b w:val="0"/>
          <w:snapToGrid w:val="0"/>
          <w:color w:val="auto"/>
          <w:szCs w:val="24"/>
        </w:rPr>
      </w:pPr>
      <w:r>
        <w:rPr>
          <w:rFonts w:hint="eastAsia"/>
          <w:b w:val="0"/>
          <w:snapToGrid w:val="0"/>
          <w:color w:val="auto"/>
          <w:szCs w:val="24"/>
        </w:rPr>
        <w:t>乙方保密义务的期限自披露作出之日起至保密信息被依法公开披露或成为公开信息之日止。</w:t>
      </w:r>
    </w:p>
    <w:p w14:paraId="178C8F3E">
      <w:pPr>
        <w:pStyle w:val="41"/>
        <w:rPr>
          <w:color w:val="auto"/>
          <w:sz w:val="24"/>
          <w:szCs w:val="24"/>
        </w:rPr>
      </w:pPr>
      <w:bookmarkStart w:id="0" w:name="_Toc8903"/>
      <w:bookmarkStart w:id="1" w:name="_Toc1999"/>
      <w:bookmarkStart w:id="2" w:name="_Toc370634210"/>
      <w:bookmarkStart w:id="3" w:name="_Toc27635"/>
      <w:r>
        <w:rPr>
          <w:color w:val="auto"/>
          <w:sz w:val="24"/>
          <w:szCs w:val="24"/>
        </w:rPr>
        <w:t>第</w:t>
      </w:r>
      <w:r>
        <w:rPr>
          <w:rFonts w:hint="eastAsia"/>
          <w:color w:val="auto"/>
          <w:sz w:val="24"/>
          <w:szCs w:val="24"/>
        </w:rPr>
        <w:t>十一</w:t>
      </w:r>
      <w:r>
        <w:rPr>
          <w:color w:val="auto"/>
          <w:sz w:val="24"/>
          <w:szCs w:val="24"/>
        </w:rPr>
        <w:t>条</w:t>
      </w:r>
      <w:r>
        <w:rPr>
          <w:rFonts w:hint="eastAsia"/>
          <w:color w:val="auto"/>
          <w:sz w:val="24"/>
          <w:szCs w:val="24"/>
        </w:rPr>
        <w:t xml:space="preserve"> </w:t>
      </w:r>
      <w:r>
        <w:rPr>
          <w:color w:val="auto"/>
          <w:sz w:val="24"/>
          <w:szCs w:val="24"/>
        </w:rPr>
        <w:t xml:space="preserve"> 合同变更和解除</w:t>
      </w:r>
      <w:bookmarkEnd w:id="0"/>
      <w:bookmarkEnd w:id="1"/>
      <w:bookmarkEnd w:id="2"/>
      <w:bookmarkEnd w:id="3"/>
    </w:p>
    <w:p w14:paraId="38463E44">
      <w:pPr>
        <w:pStyle w:val="38"/>
        <w:numPr>
          <w:ilvl w:val="0"/>
          <w:numId w:val="0"/>
        </w:numPr>
        <w:ind w:firstLine="424" w:firstLineChars="177"/>
        <w:rPr>
          <w:b w:val="0"/>
          <w:snapToGrid w:val="0"/>
          <w:color w:val="auto"/>
        </w:rPr>
      </w:pPr>
      <w:r>
        <w:rPr>
          <w:rFonts w:hint="eastAsia"/>
          <w:b w:val="0"/>
          <w:snapToGrid w:val="0"/>
          <w:color w:val="auto"/>
        </w:rPr>
        <w:t>除本合同已有约定外，任何一方都不得擅自变更或解除本合同。如确需变更或解除本合同，应经双方另行协商，并达成书面协议。</w:t>
      </w:r>
    </w:p>
    <w:p w14:paraId="2299F977">
      <w:pPr>
        <w:pStyle w:val="41"/>
        <w:rPr>
          <w:color w:val="auto"/>
          <w:sz w:val="24"/>
          <w:szCs w:val="24"/>
        </w:rPr>
      </w:pPr>
      <w:r>
        <w:rPr>
          <w:rFonts w:hint="eastAsia"/>
          <w:color w:val="auto"/>
          <w:sz w:val="24"/>
          <w:szCs w:val="24"/>
        </w:rPr>
        <w:t>第十二条  廉政责任</w:t>
      </w:r>
    </w:p>
    <w:p w14:paraId="7639A133">
      <w:pPr>
        <w:pStyle w:val="38"/>
        <w:numPr>
          <w:ilvl w:val="0"/>
          <w:numId w:val="0"/>
        </w:numPr>
        <w:ind w:left="897" w:leftChars="200" w:hanging="417" w:hangingChars="174"/>
        <w:rPr>
          <w:b w:val="0"/>
          <w:snapToGrid w:val="0"/>
          <w:color w:val="auto"/>
        </w:rPr>
      </w:pPr>
      <w:r>
        <w:rPr>
          <w:rFonts w:hint="eastAsia"/>
          <w:b w:val="0"/>
          <w:snapToGrid w:val="0"/>
          <w:color w:val="auto"/>
        </w:rPr>
        <w:t xml:space="preserve">一 </w:t>
      </w:r>
      <w:r>
        <w:rPr>
          <w:b w:val="0"/>
          <w:snapToGrid w:val="0"/>
          <w:color w:val="auto"/>
        </w:rPr>
        <w:t xml:space="preserve"> </w:t>
      </w:r>
      <w:r>
        <w:rPr>
          <w:rFonts w:hint="eastAsia"/>
          <w:b w:val="0"/>
          <w:snapToGrid w:val="0"/>
          <w:color w:val="auto"/>
        </w:rPr>
        <w:t>甲方义务</w:t>
      </w:r>
    </w:p>
    <w:p w14:paraId="7254A63C">
      <w:pPr>
        <w:pStyle w:val="38"/>
        <w:numPr>
          <w:ilvl w:val="2"/>
          <w:numId w:val="9"/>
        </w:numPr>
        <w:ind w:left="0" w:firstLine="420"/>
        <w:rPr>
          <w:b w:val="0"/>
          <w:bCs/>
          <w:snapToGrid w:val="0"/>
          <w:color w:val="auto"/>
        </w:rPr>
      </w:pPr>
      <w:r>
        <w:rPr>
          <w:rFonts w:hint="eastAsia"/>
          <w:b w:val="0"/>
          <w:bCs/>
          <w:snapToGrid w:val="0"/>
          <w:color w:val="auto"/>
        </w:rPr>
        <w:t>甲方人员不得向乙方索取或接受乙方任何形式的现金、银行卡、有价证券、支付凭证和贵重礼品等。</w:t>
      </w:r>
    </w:p>
    <w:p w14:paraId="5FD85CBA">
      <w:pPr>
        <w:pStyle w:val="38"/>
        <w:numPr>
          <w:ilvl w:val="2"/>
          <w:numId w:val="9"/>
        </w:numPr>
        <w:ind w:left="0" w:firstLine="420"/>
        <w:rPr>
          <w:b w:val="0"/>
          <w:bCs/>
          <w:snapToGrid w:val="0"/>
          <w:color w:val="auto"/>
        </w:rPr>
      </w:pPr>
      <w:r>
        <w:rPr>
          <w:rFonts w:hint="eastAsia"/>
          <w:b w:val="0"/>
          <w:bCs/>
          <w:snapToGrid w:val="0"/>
          <w:color w:val="auto"/>
        </w:rPr>
        <w:t>甲方人员不得以咨询费、劳务费等名义向乙方索要合同以外的各种费用，不在乙方报销应由本单位或个人承担的费用。</w:t>
      </w:r>
    </w:p>
    <w:p w14:paraId="57808C48">
      <w:pPr>
        <w:pStyle w:val="38"/>
        <w:numPr>
          <w:ilvl w:val="2"/>
          <w:numId w:val="9"/>
        </w:numPr>
        <w:ind w:left="0" w:firstLine="420"/>
        <w:rPr>
          <w:b w:val="0"/>
          <w:bCs/>
          <w:snapToGrid w:val="0"/>
          <w:color w:val="auto"/>
        </w:rPr>
      </w:pPr>
      <w:r>
        <w:rPr>
          <w:rFonts w:hint="eastAsia"/>
          <w:b w:val="0"/>
          <w:bCs/>
          <w:snapToGrid w:val="0"/>
          <w:color w:val="auto"/>
        </w:rPr>
        <w:t>甲方人员不得接受乙方提供的旅游、疗养、健身、娱乐等活动。</w:t>
      </w:r>
    </w:p>
    <w:p w14:paraId="347AFBC7">
      <w:pPr>
        <w:pStyle w:val="38"/>
        <w:numPr>
          <w:ilvl w:val="2"/>
          <w:numId w:val="9"/>
        </w:numPr>
        <w:ind w:left="0" w:firstLine="420"/>
        <w:rPr>
          <w:b w:val="0"/>
          <w:bCs/>
          <w:snapToGrid w:val="0"/>
          <w:color w:val="auto"/>
        </w:rPr>
      </w:pPr>
      <w:r>
        <w:rPr>
          <w:rFonts w:hint="eastAsia"/>
          <w:b w:val="0"/>
          <w:bCs/>
          <w:snapToGrid w:val="0"/>
          <w:color w:val="auto"/>
        </w:rPr>
        <w:t>甲方人员不得参加乙方组织的有可能影响公正履行合同的宴请等活动。</w:t>
      </w:r>
    </w:p>
    <w:p w14:paraId="58994D6E">
      <w:pPr>
        <w:pStyle w:val="38"/>
        <w:numPr>
          <w:ilvl w:val="2"/>
          <w:numId w:val="9"/>
        </w:numPr>
        <w:ind w:left="0" w:firstLine="420"/>
        <w:rPr>
          <w:b w:val="0"/>
          <w:bCs/>
          <w:snapToGrid w:val="0"/>
          <w:color w:val="auto"/>
        </w:rPr>
      </w:pPr>
      <w:r>
        <w:rPr>
          <w:rFonts w:hint="eastAsia"/>
          <w:b w:val="0"/>
          <w:bCs/>
          <w:snapToGrid w:val="0"/>
          <w:color w:val="auto"/>
        </w:rPr>
        <w:t>甲方人员不得要求乙方为自己亲友的经营活动提供便利条件。</w:t>
      </w:r>
    </w:p>
    <w:p w14:paraId="53E11502">
      <w:pPr>
        <w:pStyle w:val="38"/>
        <w:numPr>
          <w:ilvl w:val="2"/>
          <w:numId w:val="9"/>
        </w:numPr>
        <w:ind w:left="0" w:firstLine="420"/>
        <w:rPr>
          <w:b w:val="0"/>
          <w:bCs/>
          <w:snapToGrid w:val="0"/>
          <w:color w:val="auto"/>
        </w:rPr>
      </w:pPr>
      <w:r>
        <w:rPr>
          <w:rFonts w:hint="eastAsia"/>
          <w:b w:val="0"/>
          <w:bCs/>
          <w:snapToGrid w:val="0"/>
          <w:color w:val="auto"/>
        </w:rPr>
        <w:t>甲方人员不得在乙方合同签订、验收、付款等正常按约履行时为索取合同约定以外的费用而推诿扯皮、借故刁难。</w:t>
      </w:r>
    </w:p>
    <w:p w14:paraId="044EA13D">
      <w:pPr>
        <w:pStyle w:val="38"/>
        <w:numPr>
          <w:ilvl w:val="2"/>
          <w:numId w:val="9"/>
        </w:numPr>
        <w:ind w:left="0" w:firstLine="420"/>
        <w:rPr>
          <w:b w:val="0"/>
          <w:bCs/>
          <w:snapToGrid w:val="0"/>
          <w:color w:val="auto"/>
        </w:rPr>
      </w:pPr>
      <w:r>
        <w:rPr>
          <w:rFonts w:hint="eastAsia"/>
          <w:b w:val="0"/>
          <w:bCs/>
          <w:color w:val="auto"/>
          <w:szCs w:val="24"/>
        </w:rPr>
        <w:t>其他：甲方人员不得以任何方式、形式收受或索取乙方利益，如有违反，按违约条款中廉政违约责任进行处罚。</w:t>
      </w:r>
    </w:p>
    <w:p w14:paraId="35C2FF88">
      <w:pPr>
        <w:pStyle w:val="38"/>
        <w:numPr>
          <w:ilvl w:val="0"/>
          <w:numId w:val="0"/>
        </w:numPr>
        <w:ind w:left="897" w:leftChars="200" w:hanging="417" w:hangingChars="174"/>
        <w:rPr>
          <w:b w:val="0"/>
          <w:snapToGrid w:val="0"/>
          <w:color w:val="auto"/>
        </w:rPr>
      </w:pPr>
      <w:r>
        <w:rPr>
          <w:rFonts w:hint="eastAsia"/>
          <w:b w:val="0"/>
          <w:snapToGrid w:val="0"/>
          <w:color w:val="auto"/>
        </w:rPr>
        <w:t xml:space="preserve">二 </w:t>
      </w:r>
      <w:r>
        <w:rPr>
          <w:b w:val="0"/>
          <w:snapToGrid w:val="0"/>
          <w:color w:val="auto"/>
        </w:rPr>
        <w:t xml:space="preserve"> </w:t>
      </w:r>
      <w:r>
        <w:rPr>
          <w:rFonts w:hint="eastAsia"/>
          <w:b w:val="0"/>
          <w:snapToGrid w:val="0"/>
          <w:color w:val="auto"/>
        </w:rPr>
        <w:t>乙方义务</w:t>
      </w:r>
    </w:p>
    <w:p w14:paraId="71DFBA79">
      <w:pPr>
        <w:pStyle w:val="42"/>
        <w:spacing w:line="360" w:lineRule="auto"/>
        <w:ind w:firstLine="422"/>
        <w:rPr>
          <w:rFonts w:hint="eastAsia" w:ascii="宋体" w:hAnsi="宋体" w:eastAsia="宋体" w:cs="Times New Roman"/>
          <w:b w:val="0"/>
          <w:snapToGrid w:val="0"/>
          <w:color w:val="auto"/>
          <w:kern w:val="0"/>
          <w:sz w:val="24"/>
          <w:szCs w:val="24"/>
          <w:u w:val="none"/>
          <w:lang w:val="en-US" w:eastAsia="zh-CN" w:bidi="ar-SA"/>
        </w:rPr>
      </w:pPr>
      <w:r>
        <w:rPr>
          <w:rFonts w:hint="eastAsia" w:ascii="宋体" w:hAnsi="宋体" w:eastAsia="宋体" w:cs="Times New Roman"/>
          <w:b w:val="0"/>
          <w:snapToGrid w:val="0"/>
          <w:color w:val="auto"/>
          <w:kern w:val="0"/>
          <w:sz w:val="24"/>
          <w:szCs w:val="24"/>
          <w:u w:val="none"/>
          <w:lang w:val="en-US" w:eastAsia="zh-CN" w:bidi="ar-SA"/>
        </w:rPr>
        <w:t>1.以任何形式向甲方员工进行商业贿赂，包括但不限于下列行为：</w:t>
      </w:r>
    </w:p>
    <w:p w14:paraId="56309FDD">
      <w:pPr>
        <w:pStyle w:val="42"/>
        <w:spacing w:line="360" w:lineRule="auto"/>
        <w:ind w:firstLine="422"/>
        <w:rPr>
          <w:rFonts w:hint="eastAsia" w:ascii="宋体" w:hAnsi="宋体" w:eastAsia="宋体" w:cs="Times New Roman"/>
          <w:b w:val="0"/>
          <w:snapToGrid w:val="0"/>
          <w:color w:val="auto"/>
          <w:kern w:val="0"/>
          <w:sz w:val="24"/>
          <w:szCs w:val="24"/>
          <w:u w:val="none"/>
          <w:lang w:val="en-US" w:eastAsia="zh-CN" w:bidi="ar-SA"/>
        </w:rPr>
      </w:pPr>
      <w:r>
        <w:rPr>
          <w:rFonts w:hint="eastAsia" w:ascii="宋体" w:hAnsi="宋体" w:eastAsia="宋体" w:cs="Times New Roman"/>
          <w:b w:val="0"/>
          <w:snapToGrid w:val="0"/>
          <w:color w:val="auto"/>
          <w:kern w:val="0"/>
          <w:sz w:val="24"/>
          <w:szCs w:val="24"/>
          <w:u w:val="none"/>
          <w:lang w:val="en-US" w:eastAsia="zh-CN" w:bidi="ar-SA"/>
        </w:rPr>
        <w:t>1.1以任何形式给予甲方员工明扣或暗扣，包括但不限于：回扣、佣金、信息费、劳务费、手续费等；</w:t>
      </w:r>
    </w:p>
    <w:p w14:paraId="02669D34">
      <w:pPr>
        <w:pStyle w:val="42"/>
        <w:spacing w:line="360" w:lineRule="auto"/>
        <w:ind w:firstLine="422"/>
        <w:rPr>
          <w:rFonts w:hint="eastAsia" w:ascii="宋体" w:hAnsi="宋体" w:eastAsia="宋体" w:cs="Times New Roman"/>
          <w:b w:val="0"/>
          <w:snapToGrid w:val="0"/>
          <w:color w:val="auto"/>
          <w:kern w:val="0"/>
          <w:sz w:val="24"/>
          <w:szCs w:val="24"/>
          <w:u w:val="none"/>
          <w:lang w:val="en-US" w:eastAsia="zh-CN" w:bidi="ar-SA"/>
        </w:rPr>
      </w:pPr>
      <w:r>
        <w:rPr>
          <w:rFonts w:hint="eastAsia" w:ascii="宋体" w:hAnsi="宋体" w:eastAsia="宋体" w:cs="Times New Roman"/>
          <w:b w:val="0"/>
          <w:snapToGrid w:val="0"/>
          <w:color w:val="auto"/>
          <w:kern w:val="0"/>
          <w:sz w:val="24"/>
          <w:szCs w:val="24"/>
          <w:u w:val="none"/>
          <w:lang w:val="en-US" w:eastAsia="zh-CN" w:bidi="ar-SA"/>
        </w:rPr>
        <w:t>1.2向甲方员工赠送任何合作业务衍生利益或其他物质利益和非物质性利益，包括但不限于：奖金、购物卡、实物、有价证券、股份、红利、礼金、礼品、旅游、疗养、健身、娱乐活动票券，特别折扣或样品、商品抵用券等；</w:t>
      </w:r>
    </w:p>
    <w:p w14:paraId="6FF60632">
      <w:pPr>
        <w:pStyle w:val="42"/>
        <w:spacing w:line="360" w:lineRule="auto"/>
        <w:ind w:firstLine="422"/>
        <w:rPr>
          <w:rFonts w:hint="eastAsia" w:ascii="宋体" w:hAnsi="宋体" w:eastAsia="宋体" w:cs="Times New Roman"/>
          <w:b w:val="0"/>
          <w:snapToGrid w:val="0"/>
          <w:color w:val="auto"/>
          <w:kern w:val="0"/>
          <w:sz w:val="24"/>
          <w:szCs w:val="24"/>
          <w:u w:val="none"/>
          <w:lang w:val="en-US" w:eastAsia="zh-CN" w:bidi="ar-SA"/>
        </w:rPr>
      </w:pPr>
      <w:r>
        <w:rPr>
          <w:rFonts w:hint="eastAsia" w:ascii="宋体" w:hAnsi="宋体" w:eastAsia="宋体" w:cs="Times New Roman"/>
          <w:b w:val="0"/>
          <w:snapToGrid w:val="0"/>
          <w:color w:val="auto"/>
          <w:kern w:val="0"/>
          <w:sz w:val="24"/>
          <w:szCs w:val="24"/>
          <w:u w:val="none"/>
          <w:lang w:val="en-US" w:eastAsia="zh-CN" w:bidi="ar-SA"/>
        </w:rPr>
        <w:t>1.3未经甲方副总经理及同级别领导同意而宴请甲方员工；</w:t>
      </w:r>
    </w:p>
    <w:p w14:paraId="3C2DF0D8">
      <w:pPr>
        <w:pStyle w:val="42"/>
        <w:spacing w:line="360" w:lineRule="auto"/>
        <w:ind w:firstLine="422"/>
        <w:rPr>
          <w:rFonts w:hint="eastAsia" w:ascii="宋体" w:hAnsi="宋体" w:eastAsia="宋体" w:cs="Times New Roman"/>
          <w:b w:val="0"/>
          <w:snapToGrid w:val="0"/>
          <w:color w:val="auto"/>
          <w:kern w:val="0"/>
          <w:sz w:val="24"/>
          <w:szCs w:val="24"/>
          <w:u w:val="none"/>
          <w:lang w:val="en-US" w:eastAsia="zh-CN" w:bidi="ar-SA"/>
        </w:rPr>
      </w:pPr>
      <w:r>
        <w:rPr>
          <w:rFonts w:hint="eastAsia" w:ascii="宋体" w:hAnsi="宋体" w:eastAsia="宋体" w:cs="Times New Roman"/>
          <w:b w:val="0"/>
          <w:snapToGrid w:val="0"/>
          <w:color w:val="auto"/>
          <w:kern w:val="0"/>
          <w:sz w:val="24"/>
          <w:szCs w:val="24"/>
          <w:u w:val="none"/>
          <w:lang w:val="en-US" w:eastAsia="zh-CN" w:bidi="ar-SA"/>
        </w:rPr>
        <w:t>1.4未经甲方副总经理及同级别领导同意与甲方员工进行非公务性质的交际活动（非公务性质的交际活动包括但不限于：乙方人员与甲方员工约定在非公司办公场所会面、约定非工作时间会面等）；</w:t>
      </w:r>
    </w:p>
    <w:p w14:paraId="04AF2B70">
      <w:pPr>
        <w:pStyle w:val="42"/>
        <w:spacing w:line="360" w:lineRule="auto"/>
        <w:ind w:firstLine="422"/>
        <w:rPr>
          <w:rFonts w:hint="eastAsia" w:ascii="宋体" w:hAnsi="宋体" w:eastAsia="宋体" w:cs="Times New Roman"/>
          <w:b w:val="0"/>
          <w:snapToGrid w:val="0"/>
          <w:color w:val="auto"/>
          <w:kern w:val="0"/>
          <w:sz w:val="24"/>
          <w:szCs w:val="24"/>
          <w:u w:val="none"/>
          <w:lang w:val="en-US" w:eastAsia="zh-CN" w:bidi="ar-SA"/>
        </w:rPr>
      </w:pPr>
      <w:r>
        <w:rPr>
          <w:rFonts w:hint="eastAsia" w:ascii="宋体" w:hAnsi="宋体" w:eastAsia="宋体" w:cs="Times New Roman"/>
          <w:b w:val="0"/>
          <w:snapToGrid w:val="0"/>
          <w:color w:val="auto"/>
          <w:kern w:val="0"/>
          <w:sz w:val="24"/>
          <w:szCs w:val="24"/>
          <w:u w:val="none"/>
          <w:lang w:val="en-US" w:eastAsia="zh-CN" w:bidi="ar-SA"/>
        </w:rPr>
        <w:t>1.5同甲方员工或其实际控制的市场主体从事物资买卖、施工、服务及中介活动；出现下列情况的，乙方按照本合同第十二条约定的违约金标准的二倍向甲方支付违约金；</w:t>
      </w:r>
    </w:p>
    <w:p w14:paraId="3A2E858C">
      <w:pPr>
        <w:pStyle w:val="42"/>
        <w:spacing w:line="360" w:lineRule="auto"/>
        <w:ind w:firstLine="422"/>
        <w:rPr>
          <w:rFonts w:hint="eastAsia" w:ascii="宋体" w:hAnsi="宋体" w:eastAsia="宋体" w:cs="Times New Roman"/>
          <w:b w:val="0"/>
          <w:snapToGrid w:val="0"/>
          <w:color w:val="auto"/>
          <w:kern w:val="0"/>
          <w:sz w:val="24"/>
          <w:szCs w:val="24"/>
          <w:u w:val="none"/>
          <w:lang w:val="en-US" w:eastAsia="zh-CN" w:bidi="ar-SA"/>
        </w:rPr>
      </w:pPr>
      <w:r>
        <w:rPr>
          <w:rFonts w:hint="eastAsia" w:ascii="宋体" w:hAnsi="宋体" w:eastAsia="宋体" w:cs="Times New Roman"/>
          <w:b w:val="0"/>
          <w:snapToGrid w:val="0"/>
          <w:color w:val="auto"/>
          <w:kern w:val="0"/>
          <w:sz w:val="24"/>
          <w:szCs w:val="24"/>
          <w:u w:val="none"/>
          <w:lang w:val="en-US" w:eastAsia="zh-CN" w:bidi="ar-SA"/>
        </w:rPr>
        <w:t>（1）乙方将自己的盈利业务交由甲方员工亲友进行经营的，或乙方以明显高于市场价格从甲方员工的亲友处采购商品、接受服务或者以明显低于市场的价格向甲方员工的亲友销售商品、提供服务的，或从甲方员工的亲友处采购、接受不合格商品或服务的；</w:t>
      </w:r>
    </w:p>
    <w:p w14:paraId="2FC39089">
      <w:pPr>
        <w:pStyle w:val="42"/>
        <w:spacing w:line="360" w:lineRule="auto"/>
        <w:ind w:firstLine="422"/>
        <w:rPr>
          <w:rFonts w:hint="eastAsia" w:ascii="宋体" w:hAnsi="宋体" w:eastAsia="宋体" w:cs="Times New Roman"/>
          <w:b w:val="0"/>
          <w:snapToGrid w:val="0"/>
          <w:color w:val="auto"/>
          <w:kern w:val="0"/>
          <w:sz w:val="24"/>
          <w:szCs w:val="24"/>
          <w:u w:val="none"/>
          <w:lang w:val="en-US" w:eastAsia="zh-CN" w:bidi="ar-SA"/>
        </w:rPr>
      </w:pPr>
      <w:r>
        <w:rPr>
          <w:rFonts w:hint="eastAsia" w:ascii="宋体" w:hAnsi="宋体" w:eastAsia="宋体" w:cs="Times New Roman"/>
          <w:b w:val="0"/>
          <w:snapToGrid w:val="0"/>
          <w:color w:val="auto"/>
          <w:kern w:val="0"/>
          <w:sz w:val="24"/>
          <w:szCs w:val="24"/>
          <w:u w:val="none"/>
          <w:lang w:val="en-US" w:eastAsia="zh-CN" w:bidi="ar-SA"/>
        </w:rPr>
        <w:t>（2）与甲方员工串通将甲方资产低价折股或者低价出售的。</w:t>
      </w:r>
    </w:p>
    <w:p w14:paraId="0E385C2E">
      <w:pPr>
        <w:pStyle w:val="42"/>
        <w:spacing w:line="360" w:lineRule="auto"/>
        <w:ind w:firstLine="422"/>
        <w:rPr>
          <w:rFonts w:hint="eastAsia" w:ascii="宋体" w:hAnsi="宋体" w:eastAsia="宋体" w:cs="Times New Roman"/>
          <w:b w:val="0"/>
          <w:snapToGrid w:val="0"/>
          <w:color w:val="auto"/>
          <w:kern w:val="0"/>
          <w:sz w:val="24"/>
          <w:szCs w:val="24"/>
          <w:u w:val="none"/>
          <w:lang w:val="en-US" w:eastAsia="zh-CN" w:bidi="ar-SA"/>
        </w:rPr>
      </w:pPr>
      <w:r>
        <w:rPr>
          <w:rFonts w:hint="eastAsia" w:ascii="宋体" w:hAnsi="宋体" w:eastAsia="宋体" w:cs="Times New Roman"/>
          <w:b w:val="0"/>
          <w:snapToGrid w:val="0"/>
          <w:color w:val="auto"/>
          <w:kern w:val="0"/>
          <w:sz w:val="24"/>
          <w:szCs w:val="24"/>
          <w:u w:val="none"/>
          <w:lang w:val="en-US" w:eastAsia="zh-CN" w:bidi="ar-SA"/>
        </w:rPr>
        <w:t>1.6为甲方员工提供住房装修、婚丧嫁娶、亲属就业以及出国等便利；</w:t>
      </w:r>
    </w:p>
    <w:p w14:paraId="1D420381">
      <w:pPr>
        <w:pStyle w:val="42"/>
        <w:spacing w:line="360" w:lineRule="auto"/>
        <w:ind w:firstLine="422"/>
        <w:rPr>
          <w:rFonts w:hint="eastAsia" w:ascii="宋体" w:hAnsi="宋体" w:eastAsia="宋体" w:cs="Times New Roman"/>
          <w:b w:val="0"/>
          <w:snapToGrid w:val="0"/>
          <w:color w:val="auto"/>
          <w:kern w:val="0"/>
          <w:sz w:val="24"/>
          <w:szCs w:val="24"/>
          <w:u w:val="none"/>
          <w:lang w:val="en-US" w:eastAsia="zh-CN" w:bidi="ar-SA"/>
        </w:rPr>
      </w:pPr>
      <w:r>
        <w:rPr>
          <w:rFonts w:hint="eastAsia" w:ascii="宋体" w:hAnsi="宋体" w:eastAsia="宋体" w:cs="Times New Roman"/>
          <w:b w:val="0"/>
          <w:snapToGrid w:val="0"/>
          <w:color w:val="auto"/>
          <w:kern w:val="0"/>
          <w:sz w:val="24"/>
          <w:szCs w:val="24"/>
          <w:u w:val="none"/>
          <w:lang w:val="en-US" w:eastAsia="zh-CN" w:bidi="ar-SA"/>
        </w:rPr>
        <w:t>1.7向甲方员工提供私人便利、贿赂或资金往来的，包括但不限于借钱、借物给甲方员工等经济往来；</w:t>
      </w:r>
    </w:p>
    <w:p w14:paraId="561E37D1">
      <w:pPr>
        <w:spacing w:line="360" w:lineRule="auto"/>
        <w:ind w:firstLine="480" w:firstLineChars="200"/>
        <w:rPr>
          <w:rFonts w:hint="eastAsia" w:ascii="宋体" w:hAnsi="宋体" w:eastAsia="宋体" w:cs="Times New Roman"/>
          <w:b w:val="0"/>
          <w:snapToGrid w:val="0"/>
          <w:color w:val="auto"/>
          <w:kern w:val="0"/>
          <w:sz w:val="24"/>
          <w:szCs w:val="24"/>
          <w:u w:val="none"/>
          <w:lang w:val="en-US" w:eastAsia="zh-CN" w:bidi="ar-SA"/>
        </w:rPr>
      </w:pPr>
      <w:r>
        <w:rPr>
          <w:rFonts w:hint="eastAsia" w:ascii="宋体" w:hAnsi="宋体" w:eastAsia="宋体" w:cs="Times New Roman"/>
          <w:b w:val="0"/>
          <w:snapToGrid w:val="0"/>
          <w:color w:val="auto"/>
          <w:kern w:val="0"/>
          <w:sz w:val="24"/>
          <w:szCs w:val="24"/>
          <w:u w:val="none"/>
          <w:lang w:val="en-US" w:eastAsia="zh-CN" w:bidi="ar-SA"/>
        </w:rPr>
        <w:t>1.8与甲方员工及亲友共同进行营利活动；乙方与甲方员工共同经营与甲方同类业务的，乙方按照本合同第十二条约定的违约金标准的二倍向甲方支付违约金。</w:t>
      </w:r>
    </w:p>
    <w:p w14:paraId="46E2CA78">
      <w:pPr>
        <w:pStyle w:val="42"/>
        <w:spacing w:line="360" w:lineRule="auto"/>
        <w:ind w:left="480" w:leftChars="200" w:firstLine="0" w:firstLineChars="0"/>
        <w:rPr>
          <w:rFonts w:hint="eastAsia" w:ascii="宋体" w:hAnsi="宋体" w:eastAsia="宋体" w:cs="Times New Roman"/>
          <w:b w:val="0"/>
          <w:snapToGrid w:val="0"/>
          <w:color w:val="auto"/>
          <w:kern w:val="0"/>
          <w:sz w:val="24"/>
          <w:szCs w:val="24"/>
          <w:u w:val="none"/>
          <w:lang w:val="en-US" w:eastAsia="zh-CN" w:bidi="ar-SA"/>
        </w:rPr>
      </w:pPr>
      <w:r>
        <w:rPr>
          <w:rFonts w:hint="eastAsia" w:ascii="宋体" w:hAnsi="宋体" w:eastAsia="宋体" w:cs="Times New Roman"/>
          <w:b w:val="0"/>
          <w:snapToGrid w:val="0"/>
          <w:color w:val="auto"/>
          <w:kern w:val="0"/>
          <w:sz w:val="24"/>
          <w:szCs w:val="24"/>
          <w:u w:val="none"/>
          <w:lang w:val="en-US" w:eastAsia="zh-CN" w:bidi="ar-SA"/>
        </w:rPr>
        <w:t>2.乙方违反招投标法及相关法律规定向甲方进行投标；乙方在向甲方投标过程中，与甲方员工进行串通或实施其他不正当行为，如：探听招投标消息、打探报价和底价等。</w:t>
      </w:r>
    </w:p>
    <w:p w14:paraId="49DC6C3F">
      <w:pPr>
        <w:pStyle w:val="42"/>
        <w:spacing w:line="360" w:lineRule="auto"/>
        <w:ind w:firstLine="422"/>
        <w:rPr>
          <w:rFonts w:hint="eastAsia" w:ascii="宋体" w:hAnsi="宋体" w:eastAsia="宋体" w:cs="Times New Roman"/>
          <w:b w:val="0"/>
          <w:snapToGrid w:val="0"/>
          <w:color w:val="auto"/>
          <w:kern w:val="0"/>
          <w:sz w:val="24"/>
          <w:szCs w:val="24"/>
          <w:u w:val="none"/>
          <w:lang w:val="en-US" w:eastAsia="zh-CN" w:bidi="ar-SA"/>
        </w:rPr>
      </w:pPr>
      <w:r>
        <w:rPr>
          <w:rFonts w:hint="eastAsia" w:ascii="宋体" w:hAnsi="宋体" w:eastAsia="宋体" w:cs="Times New Roman"/>
          <w:b w:val="0"/>
          <w:snapToGrid w:val="0"/>
          <w:color w:val="auto"/>
          <w:kern w:val="0"/>
          <w:sz w:val="24"/>
          <w:szCs w:val="24"/>
          <w:u w:val="none"/>
          <w:lang w:val="en-US" w:eastAsia="zh-CN" w:bidi="ar-SA"/>
        </w:rPr>
        <w:t>3.乙方配合、帮助甲方员工从甲方处或其他主体获得财物、利益、服务等行为，如：配合帮助甲方员工走账、转款、签合同、其他虚假行为。</w:t>
      </w:r>
    </w:p>
    <w:p w14:paraId="17713BB1">
      <w:pPr>
        <w:pStyle w:val="42"/>
        <w:spacing w:line="360" w:lineRule="auto"/>
        <w:ind w:firstLine="422"/>
        <w:rPr>
          <w:rFonts w:hint="eastAsia" w:ascii="宋体" w:hAnsi="宋体" w:eastAsia="宋体" w:cs="Times New Roman"/>
          <w:b w:val="0"/>
          <w:snapToGrid w:val="0"/>
          <w:color w:val="auto"/>
          <w:kern w:val="0"/>
          <w:sz w:val="24"/>
          <w:szCs w:val="24"/>
          <w:u w:val="none"/>
          <w:lang w:val="en-US" w:eastAsia="zh-CN" w:bidi="ar-SA"/>
        </w:rPr>
      </w:pPr>
      <w:r>
        <w:rPr>
          <w:rFonts w:hint="eastAsia" w:ascii="宋体" w:hAnsi="宋体" w:eastAsia="宋体" w:cs="Times New Roman"/>
          <w:b w:val="0"/>
          <w:snapToGrid w:val="0"/>
          <w:color w:val="auto"/>
          <w:kern w:val="0"/>
          <w:sz w:val="24"/>
          <w:szCs w:val="24"/>
          <w:u w:val="none"/>
          <w:lang w:val="en-US" w:eastAsia="zh-CN" w:bidi="ar-SA"/>
        </w:rPr>
        <w:t>4.乙方知悉了解甲方的营业范围和产品的常规价格，乙方与甲方员工串通获取属于甲方的商业机会，乙方与甲方员工串通将甲方的产品或服务低价出售给乙方或高价从乙方采购商品或服务。</w:t>
      </w:r>
    </w:p>
    <w:p w14:paraId="3B4C519B">
      <w:pPr>
        <w:pStyle w:val="42"/>
        <w:spacing w:line="360" w:lineRule="auto"/>
        <w:ind w:firstLine="422"/>
        <w:rPr>
          <w:rFonts w:hint="eastAsia" w:ascii="宋体" w:hAnsi="宋体" w:eastAsia="宋体" w:cs="Times New Roman"/>
          <w:b w:val="0"/>
          <w:snapToGrid w:val="0"/>
          <w:color w:val="auto"/>
          <w:kern w:val="0"/>
          <w:sz w:val="24"/>
          <w:szCs w:val="24"/>
          <w:u w:val="none"/>
          <w:lang w:val="en-US" w:eastAsia="zh-CN" w:bidi="ar-SA"/>
        </w:rPr>
      </w:pPr>
      <w:r>
        <w:rPr>
          <w:rFonts w:hint="eastAsia" w:ascii="宋体" w:hAnsi="宋体" w:eastAsia="宋体" w:cs="Times New Roman"/>
          <w:b w:val="0"/>
          <w:snapToGrid w:val="0"/>
          <w:color w:val="auto"/>
          <w:kern w:val="0"/>
          <w:sz w:val="24"/>
          <w:szCs w:val="24"/>
          <w:u w:val="none"/>
          <w:lang w:val="en-US" w:eastAsia="zh-CN" w:bidi="ar-SA"/>
        </w:rPr>
        <w:t>5.乙方与甲方员工实施违法犯罪行为。</w:t>
      </w:r>
    </w:p>
    <w:p w14:paraId="45BD3501">
      <w:pPr>
        <w:pStyle w:val="42"/>
        <w:spacing w:line="360" w:lineRule="auto"/>
        <w:ind w:firstLine="422"/>
        <w:rPr>
          <w:rFonts w:hint="eastAsia" w:ascii="宋体" w:hAnsi="宋体" w:eastAsia="宋体" w:cs="Times New Roman"/>
          <w:b w:val="0"/>
          <w:snapToGrid w:val="0"/>
          <w:color w:val="auto"/>
          <w:kern w:val="0"/>
          <w:sz w:val="24"/>
          <w:szCs w:val="24"/>
          <w:u w:val="none"/>
          <w:lang w:val="en-US" w:eastAsia="zh-CN" w:bidi="ar-SA"/>
        </w:rPr>
      </w:pPr>
      <w:r>
        <w:rPr>
          <w:rFonts w:hint="eastAsia" w:ascii="宋体" w:hAnsi="宋体" w:eastAsia="宋体" w:cs="Times New Roman"/>
          <w:b w:val="0"/>
          <w:snapToGrid w:val="0"/>
          <w:color w:val="auto"/>
          <w:kern w:val="0"/>
          <w:sz w:val="24"/>
          <w:szCs w:val="24"/>
          <w:u w:val="none"/>
          <w:lang w:val="en-US" w:eastAsia="zh-CN" w:bidi="ar-SA"/>
        </w:rPr>
        <w:t>6.若乙方的股东、管理人员、实际控制人、实际接洽人员与甲方员工有亲属关系、朋友关系等利害关系的，或与甲方员工、亲属及其设立的市场主体有资金、商业、经济等往来的，乙方应在与甲方合作前或相关事项发生前及时书面告知甲方而未告知的（书面告知甲方的方式详见本合同第十二条）。</w:t>
      </w:r>
    </w:p>
    <w:p w14:paraId="61050599">
      <w:pPr>
        <w:pStyle w:val="42"/>
        <w:spacing w:line="360" w:lineRule="auto"/>
        <w:ind w:firstLine="422"/>
        <w:rPr>
          <w:rFonts w:hint="eastAsia" w:ascii="宋体" w:hAnsi="宋体" w:eastAsia="宋体" w:cs="Times New Roman"/>
          <w:b w:val="0"/>
          <w:snapToGrid w:val="0"/>
          <w:color w:val="auto"/>
          <w:kern w:val="0"/>
          <w:sz w:val="24"/>
          <w:szCs w:val="24"/>
          <w:u w:val="none"/>
          <w:lang w:val="en-US" w:eastAsia="zh-CN" w:bidi="ar-SA"/>
        </w:rPr>
      </w:pPr>
      <w:r>
        <w:rPr>
          <w:rFonts w:hint="eastAsia" w:ascii="宋体" w:hAnsi="宋体" w:eastAsia="宋体" w:cs="Times New Roman"/>
          <w:b w:val="0"/>
          <w:snapToGrid w:val="0"/>
          <w:color w:val="auto"/>
          <w:kern w:val="0"/>
          <w:sz w:val="24"/>
          <w:szCs w:val="24"/>
          <w:u w:val="none"/>
          <w:lang w:val="en-US" w:eastAsia="zh-CN" w:bidi="ar-SA"/>
        </w:rPr>
        <w:t>本合同签订时，前述乙方与甲方合作已经发生的，应于本</w:t>
      </w:r>
      <w:r>
        <w:rPr>
          <w:rFonts w:hint="eastAsia" w:ascii="宋体" w:hAnsi="宋体" w:cs="Times New Roman"/>
          <w:b w:val="0"/>
          <w:snapToGrid w:val="0"/>
          <w:color w:val="auto"/>
          <w:kern w:val="0"/>
          <w:sz w:val="24"/>
          <w:szCs w:val="24"/>
          <w:u w:val="none"/>
          <w:lang w:val="en-US" w:eastAsia="zh-CN" w:bidi="ar-SA"/>
        </w:rPr>
        <w:t>合同</w:t>
      </w:r>
      <w:r>
        <w:rPr>
          <w:rFonts w:hint="eastAsia" w:ascii="宋体" w:hAnsi="宋体" w:eastAsia="宋体" w:cs="Times New Roman"/>
          <w:b w:val="0"/>
          <w:snapToGrid w:val="0"/>
          <w:color w:val="auto"/>
          <w:kern w:val="0"/>
          <w:sz w:val="24"/>
          <w:szCs w:val="24"/>
          <w:u w:val="none"/>
          <w:lang w:val="en-US" w:eastAsia="zh-CN" w:bidi="ar-SA"/>
        </w:rPr>
        <w:t>签订后5日内按照本合同第十二条约定的联系方式和地址告知甲方。</w:t>
      </w:r>
    </w:p>
    <w:p w14:paraId="5C13AAAC">
      <w:pPr>
        <w:pStyle w:val="42"/>
        <w:spacing w:line="360" w:lineRule="auto"/>
        <w:ind w:firstLine="422"/>
        <w:rPr>
          <w:rFonts w:hint="eastAsia" w:ascii="宋体" w:hAnsi="宋体" w:eastAsia="宋体" w:cs="Times New Roman"/>
          <w:b w:val="0"/>
          <w:snapToGrid w:val="0"/>
          <w:color w:val="auto"/>
          <w:kern w:val="0"/>
          <w:sz w:val="24"/>
          <w:szCs w:val="24"/>
          <w:u w:val="none"/>
          <w:lang w:val="en-US" w:eastAsia="zh-CN" w:bidi="ar-SA"/>
        </w:rPr>
      </w:pPr>
      <w:r>
        <w:rPr>
          <w:rFonts w:hint="eastAsia" w:ascii="宋体" w:hAnsi="宋体" w:eastAsia="宋体" w:cs="Times New Roman"/>
          <w:b w:val="0"/>
          <w:snapToGrid w:val="0"/>
          <w:color w:val="auto"/>
          <w:kern w:val="0"/>
          <w:sz w:val="24"/>
          <w:szCs w:val="24"/>
          <w:u w:val="none"/>
          <w:lang w:val="en-US" w:eastAsia="zh-CN" w:bidi="ar-SA"/>
        </w:rPr>
        <w:t>注：“甲方员工”包括甲方员工及其亲属、朋友。</w:t>
      </w:r>
    </w:p>
    <w:p w14:paraId="41F05637">
      <w:pPr>
        <w:pStyle w:val="42"/>
        <w:spacing w:line="360" w:lineRule="auto"/>
        <w:ind w:firstLine="422"/>
        <w:rPr>
          <w:rFonts w:hint="eastAsia" w:ascii="宋体" w:hAnsi="宋体" w:eastAsia="宋体" w:cs="Times New Roman"/>
          <w:b w:val="0"/>
          <w:snapToGrid w:val="0"/>
          <w:color w:val="auto"/>
          <w:kern w:val="0"/>
          <w:sz w:val="24"/>
          <w:szCs w:val="24"/>
          <w:u w:val="none"/>
          <w:lang w:val="en-US" w:eastAsia="zh-CN" w:bidi="ar-SA"/>
        </w:rPr>
      </w:pPr>
      <w:r>
        <w:rPr>
          <w:rFonts w:hint="eastAsia" w:ascii="宋体" w:hAnsi="宋体" w:eastAsia="宋体" w:cs="Times New Roman"/>
          <w:b w:val="0"/>
          <w:snapToGrid w:val="0"/>
          <w:color w:val="auto"/>
          <w:kern w:val="0"/>
          <w:sz w:val="24"/>
          <w:szCs w:val="24"/>
          <w:u w:val="none"/>
          <w:lang w:val="en-US" w:eastAsia="zh-CN" w:bidi="ar-SA"/>
        </w:rPr>
        <w:t>“乙方人员”包括代表乙方与甲方接洽业务的所有人员，不局限于劳动关系隶属于乙方的情形。</w:t>
      </w:r>
    </w:p>
    <w:p w14:paraId="067A66ED">
      <w:pPr>
        <w:pStyle w:val="42"/>
        <w:spacing w:line="360" w:lineRule="auto"/>
        <w:ind w:firstLine="422"/>
        <w:rPr>
          <w:rFonts w:hint="eastAsia" w:ascii="宋体" w:hAnsi="宋体" w:eastAsia="宋体" w:cs="Times New Roman"/>
          <w:b w:val="0"/>
          <w:snapToGrid w:val="0"/>
          <w:color w:val="auto"/>
          <w:kern w:val="0"/>
          <w:sz w:val="24"/>
          <w:szCs w:val="24"/>
          <w:u w:val="none"/>
          <w:lang w:val="en-US" w:eastAsia="zh-CN" w:bidi="ar-SA"/>
        </w:rPr>
      </w:pPr>
      <w:r>
        <w:rPr>
          <w:rFonts w:hint="eastAsia" w:ascii="宋体" w:hAnsi="宋体" w:eastAsia="宋体" w:cs="Times New Roman"/>
          <w:b w:val="0"/>
          <w:snapToGrid w:val="0"/>
          <w:color w:val="auto"/>
          <w:kern w:val="0"/>
          <w:sz w:val="24"/>
          <w:szCs w:val="24"/>
          <w:u w:val="none"/>
          <w:lang w:val="en-US" w:eastAsia="zh-CN" w:bidi="ar-SA"/>
        </w:rPr>
        <w:t>7.甲方员工的亲属、朋友，及前述人员实际控制的市场主体、市场主体内的员工与乙方发生本</w:t>
      </w:r>
      <w:r>
        <w:rPr>
          <w:rFonts w:hint="eastAsia" w:ascii="宋体" w:hAnsi="宋体" w:cs="Times New Roman"/>
          <w:b w:val="0"/>
          <w:snapToGrid w:val="0"/>
          <w:color w:val="auto"/>
          <w:kern w:val="0"/>
          <w:sz w:val="24"/>
          <w:szCs w:val="24"/>
          <w:u w:val="none"/>
          <w:lang w:val="en-US" w:eastAsia="zh-CN" w:bidi="ar-SA"/>
        </w:rPr>
        <w:t>合同</w:t>
      </w:r>
      <w:r>
        <w:rPr>
          <w:rFonts w:hint="eastAsia" w:ascii="宋体" w:hAnsi="宋体" w:eastAsia="宋体" w:cs="Times New Roman"/>
          <w:b w:val="0"/>
          <w:snapToGrid w:val="0"/>
          <w:color w:val="auto"/>
          <w:kern w:val="0"/>
          <w:sz w:val="24"/>
          <w:szCs w:val="24"/>
          <w:u w:val="none"/>
          <w:lang w:val="en-US" w:eastAsia="zh-CN" w:bidi="ar-SA"/>
        </w:rPr>
        <w:t>约定的情形的，按照本合同约定处理。</w:t>
      </w:r>
    </w:p>
    <w:p w14:paraId="628651CB">
      <w:pPr>
        <w:pStyle w:val="42"/>
        <w:spacing w:line="360" w:lineRule="auto"/>
        <w:ind w:firstLine="422"/>
        <w:rPr>
          <w:rFonts w:hint="eastAsia" w:ascii="宋体" w:hAnsi="宋体" w:eastAsia="宋体" w:cs="Times New Roman"/>
          <w:b w:val="0"/>
          <w:snapToGrid w:val="0"/>
          <w:color w:val="auto"/>
          <w:kern w:val="0"/>
          <w:sz w:val="24"/>
          <w:szCs w:val="24"/>
          <w:u w:val="none"/>
          <w:lang w:val="en-US" w:eastAsia="zh-CN" w:bidi="ar-SA"/>
        </w:rPr>
      </w:pPr>
      <w:r>
        <w:rPr>
          <w:rFonts w:hint="eastAsia" w:ascii="宋体" w:hAnsi="宋体" w:eastAsia="宋体" w:cs="Times New Roman"/>
          <w:b w:val="0"/>
          <w:snapToGrid w:val="0"/>
          <w:color w:val="auto"/>
          <w:kern w:val="0"/>
          <w:sz w:val="24"/>
          <w:szCs w:val="24"/>
          <w:u w:val="none"/>
          <w:lang w:val="en-US" w:eastAsia="zh-CN" w:bidi="ar-SA"/>
        </w:rPr>
        <w:t>乙方的股东、董事、监事、高管、员工、受托人、实际接洽人员及其亲属、朋友，以及前述人员实际控制的市场主体、市场主体内的员工与甲方员工发生本</w:t>
      </w:r>
      <w:r>
        <w:rPr>
          <w:rFonts w:hint="eastAsia" w:ascii="宋体" w:hAnsi="宋体" w:cs="Times New Roman"/>
          <w:b w:val="0"/>
          <w:snapToGrid w:val="0"/>
          <w:color w:val="auto"/>
          <w:kern w:val="0"/>
          <w:sz w:val="24"/>
          <w:szCs w:val="24"/>
          <w:u w:val="none"/>
          <w:lang w:val="en-US" w:eastAsia="zh-CN" w:bidi="ar-SA"/>
        </w:rPr>
        <w:t>合同</w:t>
      </w:r>
      <w:r>
        <w:rPr>
          <w:rFonts w:hint="eastAsia" w:ascii="宋体" w:hAnsi="宋体" w:eastAsia="宋体" w:cs="Times New Roman"/>
          <w:b w:val="0"/>
          <w:snapToGrid w:val="0"/>
          <w:color w:val="auto"/>
          <w:kern w:val="0"/>
          <w:sz w:val="24"/>
          <w:szCs w:val="24"/>
          <w:u w:val="none"/>
          <w:lang w:val="en-US" w:eastAsia="zh-CN" w:bidi="ar-SA"/>
        </w:rPr>
        <w:t>约定的情形的，按照本合同约定处理。</w:t>
      </w:r>
    </w:p>
    <w:p w14:paraId="61397941">
      <w:pPr>
        <w:pStyle w:val="42"/>
        <w:spacing w:line="360" w:lineRule="auto"/>
        <w:ind w:firstLine="422"/>
        <w:rPr>
          <w:rFonts w:hint="eastAsia" w:ascii="宋体" w:hAnsi="宋体" w:eastAsia="宋体" w:cs="Times New Roman"/>
          <w:b w:val="0"/>
          <w:snapToGrid w:val="0"/>
          <w:color w:val="auto"/>
          <w:kern w:val="0"/>
          <w:sz w:val="24"/>
          <w:szCs w:val="24"/>
          <w:u w:val="none"/>
          <w:lang w:val="en-US" w:eastAsia="zh-CN" w:bidi="ar-SA"/>
        </w:rPr>
      </w:pPr>
      <w:r>
        <w:rPr>
          <w:rFonts w:hint="eastAsia" w:ascii="宋体" w:hAnsi="宋体" w:eastAsia="宋体" w:cs="Times New Roman"/>
          <w:b w:val="0"/>
          <w:snapToGrid w:val="0"/>
          <w:color w:val="auto"/>
          <w:kern w:val="0"/>
          <w:sz w:val="24"/>
          <w:szCs w:val="24"/>
          <w:u w:val="none"/>
          <w:lang w:val="en-US" w:eastAsia="zh-CN" w:bidi="ar-SA"/>
        </w:rPr>
        <w:t>乙方控股或参股子公司及前述人员范围发生本</w:t>
      </w:r>
      <w:r>
        <w:rPr>
          <w:rFonts w:hint="eastAsia" w:ascii="宋体" w:hAnsi="宋体" w:cs="Times New Roman"/>
          <w:b w:val="0"/>
          <w:snapToGrid w:val="0"/>
          <w:color w:val="auto"/>
          <w:kern w:val="0"/>
          <w:sz w:val="24"/>
          <w:szCs w:val="24"/>
          <w:u w:val="none"/>
          <w:lang w:val="en-US" w:eastAsia="zh-CN" w:bidi="ar-SA"/>
        </w:rPr>
        <w:t>合同</w:t>
      </w:r>
      <w:r>
        <w:rPr>
          <w:rFonts w:hint="eastAsia" w:ascii="宋体" w:hAnsi="宋体" w:eastAsia="宋体" w:cs="Times New Roman"/>
          <w:b w:val="0"/>
          <w:snapToGrid w:val="0"/>
          <w:color w:val="auto"/>
          <w:kern w:val="0"/>
          <w:sz w:val="24"/>
          <w:szCs w:val="24"/>
          <w:u w:val="none"/>
          <w:lang w:val="en-US" w:eastAsia="zh-CN" w:bidi="ar-SA"/>
        </w:rPr>
        <w:t>约定的情形的，按照本合同约定处理。</w:t>
      </w:r>
    </w:p>
    <w:p w14:paraId="21206737">
      <w:pPr>
        <w:pStyle w:val="42"/>
        <w:spacing w:line="360" w:lineRule="auto"/>
        <w:ind w:firstLine="422"/>
        <w:rPr>
          <w:rFonts w:hint="eastAsia" w:ascii="宋体" w:hAnsi="宋体" w:eastAsia="宋体" w:cs="Times New Roman"/>
          <w:b w:val="0"/>
          <w:snapToGrid w:val="0"/>
          <w:color w:val="auto"/>
          <w:kern w:val="0"/>
          <w:sz w:val="24"/>
          <w:szCs w:val="24"/>
          <w:u w:val="none"/>
          <w:lang w:val="en-US" w:eastAsia="zh-CN" w:bidi="ar-SA"/>
        </w:rPr>
      </w:pPr>
      <w:r>
        <w:rPr>
          <w:rFonts w:hint="eastAsia" w:ascii="宋体" w:hAnsi="宋体" w:eastAsia="宋体" w:cs="Times New Roman"/>
          <w:b w:val="0"/>
          <w:snapToGrid w:val="0"/>
          <w:color w:val="auto"/>
          <w:kern w:val="0"/>
          <w:sz w:val="24"/>
          <w:szCs w:val="24"/>
          <w:u w:val="none"/>
          <w:lang w:val="en-US" w:eastAsia="zh-CN" w:bidi="ar-SA"/>
        </w:rPr>
        <w:t>8.乙方在实施上述行为时，不论是否存在行贿行为或其他利益交换行为，均属于实施了不廉洁行为；前述不廉洁行为未能实施完成的，按照已实施完成承担责任。</w:t>
      </w:r>
    </w:p>
    <w:p w14:paraId="04F11B01">
      <w:pPr>
        <w:pStyle w:val="42"/>
        <w:spacing w:line="360" w:lineRule="auto"/>
        <w:ind w:firstLine="422"/>
        <w:rPr>
          <w:rFonts w:hint="eastAsia" w:ascii="宋体" w:hAnsi="宋体" w:eastAsia="宋体" w:cs="Times New Roman"/>
          <w:b w:val="0"/>
          <w:snapToGrid w:val="0"/>
          <w:color w:val="auto"/>
          <w:kern w:val="0"/>
          <w:sz w:val="24"/>
          <w:szCs w:val="24"/>
          <w:u w:val="none"/>
          <w:lang w:val="en-US" w:eastAsia="zh-CN" w:bidi="ar-SA"/>
        </w:rPr>
      </w:pPr>
      <w:r>
        <w:rPr>
          <w:rFonts w:hint="eastAsia" w:ascii="宋体" w:hAnsi="宋体" w:eastAsia="宋体" w:cs="Times New Roman"/>
          <w:b w:val="0"/>
          <w:snapToGrid w:val="0"/>
          <w:color w:val="auto"/>
          <w:kern w:val="0"/>
          <w:sz w:val="24"/>
          <w:szCs w:val="24"/>
          <w:u w:val="none"/>
          <w:lang w:val="en-US" w:eastAsia="zh-CN" w:bidi="ar-SA"/>
        </w:rPr>
        <w:t>9.前述不廉洁行为的禁止期限涵盖供应商合作前、合作后，贯穿整个业务合作期间。</w:t>
      </w:r>
    </w:p>
    <w:p w14:paraId="48896C65">
      <w:pPr>
        <w:pStyle w:val="38"/>
        <w:numPr>
          <w:ilvl w:val="0"/>
          <w:numId w:val="0"/>
        </w:numPr>
        <w:ind w:left="897" w:leftChars="200" w:hanging="417" w:hangingChars="174"/>
        <w:rPr>
          <w:b w:val="0"/>
          <w:snapToGrid w:val="0"/>
          <w:color w:val="auto"/>
          <w:u w:val="none"/>
        </w:rPr>
      </w:pPr>
      <w:r>
        <w:rPr>
          <w:rFonts w:hint="eastAsia"/>
          <w:b w:val="0"/>
          <w:snapToGrid w:val="0"/>
          <w:color w:val="auto"/>
          <w:u w:val="none"/>
        </w:rPr>
        <w:t xml:space="preserve">三 </w:t>
      </w:r>
      <w:r>
        <w:rPr>
          <w:b w:val="0"/>
          <w:snapToGrid w:val="0"/>
          <w:color w:val="auto"/>
          <w:u w:val="none"/>
        </w:rPr>
        <w:t xml:space="preserve"> </w:t>
      </w:r>
      <w:r>
        <w:rPr>
          <w:rFonts w:hint="eastAsia"/>
          <w:b w:val="0"/>
          <w:snapToGrid w:val="0"/>
          <w:color w:val="auto"/>
          <w:u w:val="none"/>
        </w:rPr>
        <w:t>廉政违约责任</w:t>
      </w:r>
    </w:p>
    <w:p w14:paraId="55E0303B">
      <w:pPr>
        <w:pStyle w:val="42"/>
        <w:spacing w:line="360" w:lineRule="auto"/>
        <w:rPr>
          <w:rFonts w:hint="eastAsia" w:ascii="宋体" w:hAnsi="宋体" w:eastAsia="宋体" w:cs="Times New Roman"/>
          <w:snapToGrid w:val="0"/>
          <w:color w:val="auto"/>
          <w:kern w:val="0"/>
          <w:sz w:val="24"/>
          <w:szCs w:val="24"/>
          <w:u w:val="none"/>
          <w:lang w:val="en-US" w:eastAsia="zh-CN" w:bidi="ar-SA"/>
        </w:rPr>
      </w:pPr>
      <w:r>
        <w:rPr>
          <w:rFonts w:hint="eastAsia" w:ascii="宋体" w:hAnsi="宋体" w:eastAsia="宋体" w:cs="Times New Roman"/>
          <w:snapToGrid w:val="0"/>
          <w:color w:val="auto"/>
          <w:kern w:val="0"/>
          <w:sz w:val="24"/>
          <w:szCs w:val="24"/>
          <w:u w:val="none"/>
          <w:lang w:val="en-US" w:eastAsia="zh-CN" w:bidi="ar-SA"/>
        </w:rPr>
        <w:t>1.甲方有权立即取消乙方的供应商资格；</w:t>
      </w:r>
    </w:p>
    <w:p w14:paraId="1AD59F24">
      <w:pPr>
        <w:pStyle w:val="42"/>
        <w:spacing w:line="360" w:lineRule="auto"/>
        <w:rPr>
          <w:rFonts w:hint="eastAsia" w:ascii="宋体" w:hAnsi="宋体" w:eastAsia="宋体" w:cs="Times New Roman"/>
          <w:snapToGrid w:val="0"/>
          <w:color w:val="auto"/>
          <w:kern w:val="0"/>
          <w:sz w:val="24"/>
          <w:szCs w:val="24"/>
          <w:u w:val="none"/>
          <w:lang w:val="en-US" w:eastAsia="zh-CN" w:bidi="ar-SA"/>
        </w:rPr>
      </w:pPr>
      <w:r>
        <w:rPr>
          <w:rFonts w:hint="eastAsia" w:ascii="宋体" w:hAnsi="宋体" w:eastAsia="宋体" w:cs="Times New Roman"/>
          <w:snapToGrid w:val="0"/>
          <w:color w:val="auto"/>
          <w:kern w:val="0"/>
          <w:sz w:val="24"/>
          <w:szCs w:val="24"/>
          <w:u w:val="none"/>
          <w:lang w:val="en-US" w:eastAsia="zh-CN" w:bidi="ar-SA"/>
        </w:rPr>
        <w:t>2.乙方在3年内不得被纳入甲方的合格供应商名录；</w:t>
      </w:r>
    </w:p>
    <w:p w14:paraId="0FB31690">
      <w:pPr>
        <w:pStyle w:val="42"/>
        <w:spacing w:line="360" w:lineRule="auto"/>
        <w:rPr>
          <w:rFonts w:hint="eastAsia" w:ascii="宋体" w:hAnsi="宋体" w:eastAsia="宋体" w:cs="Times New Roman"/>
          <w:snapToGrid w:val="0"/>
          <w:color w:val="auto"/>
          <w:kern w:val="0"/>
          <w:sz w:val="24"/>
          <w:szCs w:val="24"/>
          <w:u w:val="none"/>
          <w:lang w:val="en-US" w:eastAsia="zh-CN" w:bidi="ar-SA"/>
        </w:rPr>
      </w:pPr>
      <w:r>
        <w:rPr>
          <w:rFonts w:hint="eastAsia" w:ascii="宋体" w:hAnsi="宋体" w:eastAsia="宋体" w:cs="Times New Roman"/>
          <w:snapToGrid w:val="0"/>
          <w:color w:val="auto"/>
          <w:kern w:val="0"/>
          <w:sz w:val="24"/>
          <w:szCs w:val="24"/>
          <w:u w:val="none"/>
          <w:lang w:val="en-US" w:eastAsia="zh-CN" w:bidi="ar-SA"/>
        </w:rPr>
        <w:t>3.甲方多结算或少收取乙方的款项以及乙方（联合甲方员工）已得不当利益的金额，乙方应予以返还或由甲方从到期应付乙方的款项中扣除，此外，乙方还应赔偿甲方的损失；</w:t>
      </w:r>
    </w:p>
    <w:p w14:paraId="370C0F69">
      <w:pPr>
        <w:pStyle w:val="42"/>
        <w:tabs>
          <w:tab w:val="left" w:pos="5317"/>
        </w:tabs>
        <w:spacing w:line="360" w:lineRule="auto"/>
        <w:rPr>
          <w:rFonts w:hint="eastAsia" w:ascii="宋体" w:hAnsi="宋体" w:eastAsia="宋体" w:cs="Times New Roman"/>
          <w:snapToGrid w:val="0"/>
          <w:color w:val="auto"/>
          <w:kern w:val="0"/>
          <w:sz w:val="24"/>
          <w:szCs w:val="24"/>
          <w:u w:val="none"/>
          <w:lang w:val="en-US" w:eastAsia="zh-CN" w:bidi="ar-SA"/>
        </w:rPr>
      </w:pPr>
      <w:r>
        <w:rPr>
          <w:rFonts w:hint="eastAsia" w:ascii="宋体" w:hAnsi="宋体" w:eastAsia="宋体" w:cs="Times New Roman"/>
          <w:snapToGrid w:val="0"/>
          <w:color w:val="auto"/>
          <w:kern w:val="0"/>
          <w:sz w:val="24"/>
          <w:szCs w:val="24"/>
          <w:u w:val="none"/>
          <w:lang w:val="en-US" w:eastAsia="zh-CN" w:bidi="ar-SA"/>
        </w:rPr>
        <w:t>4.乙方承诺向甲方支付从不廉洁行为发生之日起到双方合作终止之日止发生的全部合同金额的30%作为违约金，或者向甲方支付双方上一年度合同总金额的20%作为违约金，两者以高者计。甲乙双方尚未签订合同或违约金金额过低的，双方一致同意，违约金金额不低于5万元；</w:t>
      </w:r>
    </w:p>
    <w:p w14:paraId="6E8CA1DC">
      <w:pPr>
        <w:pStyle w:val="42"/>
        <w:spacing w:line="360" w:lineRule="auto"/>
        <w:rPr>
          <w:rFonts w:hint="eastAsia" w:ascii="宋体" w:hAnsi="宋体" w:eastAsia="宋体" w:cs="Times New Roman"/>
          <w:snapToGrid w:val="0"/>
          <w:color w:val="auto"/>
          <w:kern w:val="0"/>
          <w:sz w:val="24"/>
          <w:szCs w:val="24"/>
          <w:u w:val="none"/>
          <w:lang w:val="en-US" w:eastAsia="zh-CN" w:bidi="ar-SA"/>
        </w:rPr>
      </w:pPr>
      <w:r>
        <w:rPr>
          <w:rFonts w:hint="eastAsia" w:ascii="宋体" w:hAnsi="宋体" w:eastAsia="宋体" w:cs="Times New Roman"/>
          <w:snapToGrid w:val="0"/>
          <w:color w:val="auto"/>
          <w:kern w:val="0"/>
          <w:sz w:val="24"/>
          <w:szCs w:val="24"/>
          <w:u w:val="none"/>
          <w:lang w:val="en-US" w:eastAsia="zh-CN" w:bidi="ar-SA"/>
        </w:rPr>
        <w:t>5.甲方有权从乙方保证金中直接扣除违约金和损失，不足部分从甲方对乙方的应付款项中扣除。扣除行为自甲方按照本</w:t>
      </w:r>
      <w:r>
        <w:rPr>
          <w:rFonts w:hint="eastAsia" w:ascii="宋体" w:hAnsi="宋体" w:cs="Times New Roman"/>
          <w:snapToGrid w:val="0"/>
          <w:color w:val="auto"/>
          <w:kern w:val="0"/>
          <w:sz w:val="24"/>
          <w:szCs w:val="24"/>
          <w:u w:val="none"/>
          <w:lang w:val="en-US" w:eastAsia="zh-CN" w:bidi="ar-SA"/>
        </w:rPr>
        <w:t>合同</w:t>
      </w:r>
      <w:r>
        <w:rPr>
          <w:rFonts w:hint="eastAsia" w:ascii="宋体" w:hAnsi="宋体" w:eastAsia="宋体" w:cs="Times New Roman"/>
          <w:snapToGrid w:val="0"/>
          <w:color w:val="auto"/>
          <w:kern w:val="0"/>
          <w:sz w:val="24"/>
          <w:szCs w:val="24"/>
          <w:u w:val="none"/>
          <w:lang w:val="en-US" w:eastAsia="zh-CN" w:bidi="ar-SA"/>
        </w:rPr>
        <w:t>约定通知乙方时发生法律效力；</w:t>
      </w:r>
    </w:p>
    <w:p w14:paraId="7E53808D">
      <w:pPr>
        <w:pStyle w:val="42"/>
        <w:spacing w:line="360" w:lineRule="auto"/>
        <w:rPr>
          <w:rFonts w:hint="eastAsia" w:ascii="宋体" w:hAnsi="宋体" w:eastAsia="宋体" w:cs="Times New Roman"/>
          <w:snapToGrid w:val="0"/>
          <w:color w:val="auto"/>
          <w:kern w:val="0"/>
          <w:sz w:val="24"/>
          <w:szCs w:val="24"/>
          <w:u w:val="none"/>
          <w:lang w:val="en-US" w:eastAsia="zh-CN" w:bidi="ar-SA"/>
        </w:rPr>
      </w:pPr>
      <w:r>
        <w:rPr>
          <w:rFonts w:hint="eastAsia" w:ascii="宋体" w:hAnsi="宋体" w:eastAsia="宋体" w:cs="Times New Roman"/>
          <w:snapToGrid w:val="0"/>
          <w:color w:val="auto"/>
          <w:kern w:val="0"/>
          <w:sz w:val="24"/>
          <w:szCs w:val="24"/>
          <w:u w:val="none"/>
          <w:lang w:val="en-US" w:eastAsia="zh-CN" w:bidi="ar-SA"/>
        </w:rPr>
        <w:t>6.如乙方为了与甲方的合作，利用与乙方利益相关的第三方实施违反本</w:t>
      </w:r>
      <w:r>
        <w:rPr>
          <w:rFonts w:hint="eastAsia" w:ascii="宋体" w:hAnsi="宋体" w:cs="Times New Roman"/>
          <w:snapToGrid w:val="0"/>
          <w:color w:val="auto"/>
          <w:kern w:val="0"/>
          <w:sz w:val="24"/>
          <w:szCs w:val="24"/>
          <w:u w:val="none"/>
          <w:lang w:val="en-US" w:eastAsia="zh-CN" w:bidi="ar-SA"/>
        </w:rPr>
        <w:t>合同</w:t>
      </w:r>
      <w:r>
        <w:rPr>
          <w:rFonts w:hint="eastAsia" w:ascii="宋体" w:hAnsi="宋体" w:eastAsia="宋体" w:cs="Times New Roman"/>
          <w:snapToGrid w:val="0"/>
          <w:color w:val="auto"/>
          <w:kern w:val="0"/>
          <w:sz w:val="24"/>
          <w:szCs w:val="24"/>
          <w:u w:val="none"/>
          <w:lang w:val="en-US" w:eastAsia="zh-CN" w:bidi="ar-SA"/>
        </w:rPr>
        <w:t>行为的，无论第三方是否与甲方签订《廉洁诚信协议书》，甲方有权要求乙方以乙方、第三方与甲方的合同总额为基数按照本</w:t>
      </w:r>
      <w:r>
        <w:rPr>
          <w:rFonts w:hint="eastAsia" w:ascii="宋体" w:hAnsi="宋体" w:cs="Times New Roman"/>
          <w:snapToGrid w:val="0"/>
          <w:color w:val="auto"/>
          <w:kern w:val="0"/>
          <w:sz w:val="24"/>
          <w:szCs w:val="24"/>
          <w:u w:val="none"/>
          <w:lang w:val="en-US" w:eastAsia="zh-CN" w:bidi="ar-SA"/>
        </w:rPr>
        <w:t>合同</w:t>
      </w:r>
      <w:r>
        <w:rPr>
          <w:rFonts w:hint="eastAsia" w:ascii="宋体" w:hAnsi="宋体" w:eastAsia="宋体" w:cs="Times New Roman"/>
          <w:snapToGrid w:val="0"/>
          <w:color w:val="auto"/>
          <w:kern w:val="0"/>
          <w:sz w:val="24"/>
          <w:szCs w:val="24"/>
          <w:u w:val="none"/>
          <w:lang w:val="en-US" w:eastAsia="zh-CN" w:bidi="ar-SA"/>
        </w:rPr>
        <w:t>约定承担责任，且第三方对此承担连带责任。</w:t>
      </w:r>
    </w:p>
    <w:p w14:paraId="5B174D7D">
      <w:pPr>
        <w:pStyle w:val="30"/>
        <w:numPr>
          <w:ilvl w:val="0"/>
          <w:numId w:val="0"/>
        </w:numPr>
        <w:adjustRightInd w:val="0"/>
        <w:snapToGrid w:val="0"/>
        <w:ind w:firstLine="480" w:firstLineChars="200"/>
        <w:rPr>
          <w:snapToGrid w:val="0"/>
          <w:color w:val="auto"/>
          <w:szCs w:val="24"/>
          <w:u w:val="none"/>
        </w:rPr>
      </w:pPr>
      <w:r>
        <w:rPr>
          <w:rFonts w:hint="eastAsia"/>
          <w:snapToGrid w:val="0"/>
          <w:color w:val="auto"/>
          <w:szCs w:val="24"/>
          <w:u w:val="none"/>
          <w:lang w:val="en-US" w:eastAsia="zh-CN"/>
        </w:rPr>
        <w:t>7.</w:t>
      </w:r>
      <w:r>
        <w:rPr>
          <w:rFonts w:hint="eastAsia"/>
          <w:snapToGrid w:val="0"/>
          <w:color w:val="auto"/>
          <w:szCs w:val="24"/>
          <w:u w:val="none"/>
        </w:rPr>
        <w:t>甲方人员如违反本</w:t>
      </w:r>
      <w:r>
        <w:rPr>
          <w:rFonts w:hint="eastAsia"/>
          <w:snapToGrid w:val="0"/>
          <w:color w:val="auto"/>
          <w:szCs w:val="24"/>
          <w:u w:val="none"/>
          <w:lang w:val="en-US" w:eastAsia="zh-CN"/>
        </w:rPr>
        <w:t>合同</w:t>
      </w:r>
      <w:r>
        <w:rPr>
          <w:rFonts w:hint="eastAsia"/>
          <w:snapToGrid w:val="0"/>
          <w:color w:val="auto"/>
          <w:szCs w:val="24"/>
          <w:u w:val="none"/>
        </w:rPr>
        <w:t>有关条款，甲方将依据公司制度给予违纪人员经济处罚和解除劳动合同（经济处罚标准为违纪金额的5倍）。情节严重，触犯法律的移交司法机关处理。</w:t>
      </w:r>
    </w:p>
    <w:p w14:paraId="12252292">
      <w:pPr>
        <w:pStyle w:val="30"/>
        <w:numPr>
          <w:ilvl w:val="0"/>
          <w:numId w:val="0"/>
        </w:numPr>
        <w:adjustRightInd w:val="0"/>
        <w:snapToGrid w:val="0"/>
        <w:ind w:firstLine="480" w:firstLineChars="200"/>
        <w:rPr>
          <w:snapToGrid w:val="0"/>
          <w:color w:val="auto"/>
          <w:szCs w:val="24"/>
          <w:u w:val="none"/>
        </w:rPr>
      </w:pPr>
      <w:r>
        <w:rPr>
          <w:rFonts w:hint="eastAsia"/>
          <w:snapToGrid w:val="0"/>
          <w:color w:val="auto"/>
          <w:szCs w:val="24"/>
          <w:u w:val="none"/>
          <w:lang w:val="en-US" w:eastAsia="zh-CN"/>
        </w:rPr>
        <w:t>8.</w:t>
      </w:r>
      <w:r>
        <w:rPr>
          <w:rFonts w:hint="eastAsia"/>
          <w:snapToGrid w:val="0"/>
          <w:color w:val="auto"/>
          <w:szCs w:val="24"/>
          <w:u w:val="none"/>
        </w:rPr>
        <w:t>双方不履行上述各自义务，构成违法违纪的，由司法机关和有关执纪部门按管辖权依法依纪处理，所认定的事实和处理结果作为承担约定违约责任的依据。</w:t>
      </w:r>
    </w:p>
    <w:p w14:paraId="7B0EE148">
      <w:pPr>
        <w:pStyle w:val="42"/>
        <w:spacing w:line="360" w:lineRule="auto"/>
        <w:rPr>
          <w:rFonts w:hint="eastAsia" w:ascii="宋体" w:hAnsi="宋体" w:eastAsia="宋体" w:cs="Times New Roman"/>
          <w:snapToGrid w:val="0"/>
          <w:color w:val="auto"/>
          <w:kern w:val="0"/>
          <w:sz w:val="24"/>
          <w:szCs w:val="24"/>
          <w:u w:val="none"/>
          <w:lang w:val="en-US" w:eastAsia="zh-CN" w:bidi="ar-SA"/>
        </w:rPr>
      </w:pPr>
      <w:r>
        <w:rPr>
          <w:rFonts w:hint="eastAsia" w:ascii="宋体" w:hAnsi="宋体" w:eastAsia="宋体" w:cs="Times New Roman"/>
          <w:snapToGrid w:val="0"/>
          <w:color w:val="auto"/>
          <w:kern w:val="0"/>
          <w:sz w:val="24"/>
          <w:szCs w:val="24"/>
          <w:u w:val="none"/>
          <w:lang w:val="en-US" w:eastAsia="zh-CN" w:bidi="ar-SA"/>
        </w:rPr>
        <w:fldChar w:fldCharType="begin"/>
      </w:r>
      <w:r>
        <w:rPr>
          <w:rFonts w:hint="eastAsia" w:ascii="宋体" w:hAnsi="宋体" w:eastAsia="宋体" w:cs="Times New Roman"/>
          <w:snapToGrid w:val="0"/>
          <w:color w:val="auto"/>
          <w:kern w:val="0"/>
          <w:sz w:val="24"/>
          <w:szCs w:val="24"/>
          <w:u w:val="none"/>
          <w:lang w:val="en-US" w:eastAsia="zh-CN" w:bidi="ar-SA"/>
        </w:rPr>
        <w:instrText xml:space="preserve"> HYPERLINK "mailto:（四）乙方承诺积极配合甲方的廉政调查工作，及时提供相关资料和客观信息，若发现甲方员工提出违纪要求或有其他违法、违纪问题，及时向甲方的审计部门举报，举报邮箱shenji@teld.cn。如乙方不配合甲方上述调查工作、提供虚假信息或者不主动举报的，甲方可以按照第三条追究乙方廉洁违约责任。" </w:instrText>
      </w:r>
      <w:r>
        <w:rPr>
          <w:rFonts w:hint="eastAsia" w:ascii="宋体" w:hAnsi="宋体" w:eastAsia="宋体" w:cs="Times New Roman"/>
          <w:snapToGrid w:val="0"/>
          <w:color w:val="auto"/>
          <w:kern w:val="0"/>
          <w:sz w:val="24"/>
          <w:szCs w:val="24"/>
          <w:u w:val="none"/>
          <w:lang w:val="en-US" w:eastAsia="zh-CN" w:bidi="ar-SA"/>
        </w:rPr>
        <w:fldChar w:fldCharType="separate"/>
      </w:r>
      <w:r>
        <w:rPr>
          <w:rFonts w:hint="eastAsia" w:ascii="宋体" w:hAnsi="宋体" w:eastAsia="宋体" w:cs="Times New Roman"/>
          <w:snapToGrid w:val="0"/>
          <w:color w:val="auto"/>
          <w:kern w:val="0"/>
          <w:sz w:val="24"/>
          <w:szCs w:val="24"/>
          <w:u w:val="none"/>
          <w:lang w:val="en-US" w:eastAsia="zh-CN" w:bidi="ar-SA"/>
        </w:rPr>
        <w:t>四  乙方承诺积极配合甲方的廉政调查工作，及时提供相关资料和客观信息，若发现甲方员工提出违纪要求或有其他违法、违纪问题，及时向甲方的审计部门举报。如乙方不配合甲方上述调查工作、提供虚假信息或者不主动举报的，甲方可以按照第</w:t>
      </w:r>
      <w:r>
        <w:rPr>
          <w:rFonts w:hint="eastAsia" w:ascii="宋体" w:hAnsi="宋体" w:eastAsia="宋体" w:cs="Times New Roman"/>
          <w:b w:val="0"/>
          <w:snapToGrid w:val="0"/>
          <w:color w:val="auto"/>
          <w:kern w:val="0"/>
          <w:sz w:val="24"/>
          <w:szCs w:val="24"/>
          <w:u w:val="none"/>
          <w:lang w:val="en-US" w:eastAsia="zh-CN" w:bidi="ar-SA"/>
        </w:rPr>
        <w:t>十二</w:t>
      </w:r>
      <w:r>
        <w:rPr>
          <w:rFonts w:hint="eastAsia" w:ascii="宋体" w:hAnsi="宋体" w:eastAsia="宋体" w:cs="Times New Roman"/>
          <w:snapToGrid w:val="0"/>
          <w:color w:val="auto"/>
          <w:kern w:val="0"/>
          <w:sz w:val="24"/>
          <w:szCs w:val="24"/>
          <w:u w:val="none"/>
          <w:lang w:val="en-US" w:eastAsia="zh-CN" w:bidi="ar-SA"/>
        </w:rPr>
        <w:t>条追究乙方廉洁违约责任。</w:t>
      </w:r>
      <w:r>
        <w:rPr>
          <w:rFonts w:hint="eastAsia" w:ascii="宋体" w:hAnsi="宋体" w:eastAsia="宋体" w:cs="Times New Roman"/>
          <w:snapToGrid w:val="0"/>
          <w:color w:val="auto"/>
          <w:kern w:val="0"/>
          <w:sz w:val="24"/>
          <w:szCs w:val="24"/>
          <w:u w:val="none"/>
          <w:lang w:val="en-US" w:eastAsia="zh-CN" w:bidi="ar-SA"/>
        </w:rPr>
        <w:fldChar w:fldCharType="end"/>
      </w:r>
    </w:p>
    <w:p w14:paraId="59E6BA96">
      <w:pPr>
        <w:spacing w:line="360" w:lineRule="auto"/>
        <w:ind w:firstLine="567"/>
        <w:rPr>
          <w:rFonts w:hint="eastAsia" w:ascii="宋体" w:hAnsi="宋体" w:eastAsia="宋体" w:cs="Times New Roman"/>
          <w:snapToGrid w:val="0"/>
          <w:color w:val="auto"/>
          <w:kern w:val="0"/>
          <w:sz w:val="24"/>
          <w:szCs w:val="24"/>
          <w:u w:val="none"/>
          <w:lang w:val="en-US" w:eastAsia="zh-CN" w:bidi="ar-SA"/>
        </w:rPr>
      </w:pPr>
    </w:p>
    <w:p w14:paraId="5C932D3B">
      <w:pPr>
        <w:spacing w:line="360" w:lineRule="auto"/>
        <w:rPr>
          <w:rFonts w:hint="eastAsia" w:ascii="宋体" w:hAnsi="宋体" w:eastAsia="宋体" w:cs="Times New Roman"/>
          <w:snapToGrid w:val="0"/>
          <w:color w:val="auto"/>
          <w:kern w:val="0"/>
          <w:sz w:val="24"/>
          <w:szCs w:val="24"/>
          <w:u w:val="none"/>
          <w:lang w:val="en-US" w:eastAsia="zh-CN" w:bidi="ar-SA"/>
        </w:rPr>
      </w:pPr>
    </w:p>
    <w:p w14:paraId="7FBBBE20">
      <w:pPr>
        <w:pStyle w:val="41"/>
        <w:rPr>
          <w:color w:val="auto"/>
          <w:sz w:val="24"/>
          <w:szCs w:val="24"/>
        </w:rPr>
      </w:pPr>
      <w:r>
        <w:rPr>
          <w:rFonts w:hint="eastAsia"/>
          <w:color w:val="auto"/>
          <w:sz w:val="24"/>
          <w:szCs w:val="24"/>
        </w:rPr>
        <w:t>第十三条  争议解决</w:t>
      </w:r>
    </w:p>
    <w:p w14:paraId="07F80C54">
      <w:pPr>
        <w:pStyle w:val="38"/>
        <w:numPr>
          <w:ilvl w:val="0"/>
          <w:numId w:val="0"/>
        </w:numPr>
        <w:ind w:firstLine="420"/>
        <w:rPr>
          <w:b w:val="0"/>
          <w:bCs/>
          <w:snapToGrid w:val="0"/>
          <w:color w:val="auto"/>
        </w:rPr>
      </w:pPr>
      <w:r>
        <w:rPr>
          <w:b w:val="0"/>
          <w:bCs/>
          <w:snapToGrid w:val="0"/>
          <w:color w:val="auto"/>
        </w:rPr>
        <w:t>因合同及合同有关事项发生的争议，双方应本着诚实信用原则，通过友好协商解决。经协商仍无法达成一致的，按以下方式处理：</w:t>
      </w:r>
    </w:p>
    <w:p w14:paraId="774FA833">
      <w:pPr>
        <w:pStyle w:val="38"/>
        <w:numPr>
          <w:ilvl w:val="0"/>
          <w:numId w:val="0"/>
        </w:numPr>
        <w:ind w:firstLine="420" w:firstLineChars="175"/>
        <w:rPr>
          <w:b w:val="0"/>
          <w:bCs/>
          <w:snapToGrid w:val="0"/>
          <w:color w:val="auto"/>
        </w:rPr>
      </w:pPr>
      <w:r>
        <w:rPr>
          <w:b w:val="0"/>
          <w:bCs/>
          <w:snapToGrid w:val="0"/>
          <w:color w:val="auto"/>
        </w:rPr>
        <w:t xml:space="preserve">诉讼：向  </w:t>
      </w:r>
      <w:r>
        <w:rPr>
          <w:b w:val="0"/>
          <w:bCs/>
          <w:snapToGrid w:val="0"/>
          <w:color w:val="auto"/>
          <w:u w:val="single"/>
        </w:rPr>
        <w:t xml:space="preserve">  甲方  </w:t>
      </w:r>
      <w:r>
        <w:rPr>
          <w:b w:val="0"/>
          <w:bCs/>
          <w:snapToGrid w:val="0"/>
          <w:color w:val="auto"/>
        </w:rPr>
        <w:t xml:space="preserve">  所在地人民法院提起诉讼。</w:t>
      </w:r>
    </w:p>
    <w:p w14:paraId="6F43B9DD">
      <w:pPr>
        <w:pStyle w:val="38"/>
        <w:numPr>
          <w:ilvl w:val="0"/>
          <w:numId w:val="0"/>
        </w:numPr>
        <w:ind w:firstLine="420" w:firstLineChars="175"/>
        <w:rPr>
          <w:b w:val="0"/>
          <w:bCs/>
          <w:snapToGrid w:val="0"/>
          <w:color w:val="auto"/>
        </w:rPr>
      </w:pPr>
      <w:r>
        <w:rPr>
          <w:rFonts w:hint="eastAsia"/>
          <w:b w:val="0"/>
          <w:bCs/>
          <w:snapToGrid w:val="0"/>
          <w:color w:val="auto"/>
        </w:rPr>
        <w:t>在争议解决期间，合同中未涉及争议部分的条款仍须履行。</w:t>
      </w:r>
    </w:p>
    <w:p w14:paraId="62A798B3">
      <w:pPr>
        <w:pStyle w:val="41"/>
        <w:rPr>
          <w:color w:val="auto"/>
          <w:sz w:val="24"/>
          <w:szCs w:val="24"/>
        </w:rPr>
      </w:pPr>
      <w:r>
        <w:rPr>
          <w:rFonts w:hint="eastAsia"/>
          <w:color w:val="auto"/>
          <w:sz w:val="24"/>
          <w:szCs w:val="24"/>
        </w:rPr>
        <w:t xml:space="preserve">第十四条 </w:t>
      </w:r>
      <w:r>
        <w:rPr>
          <w:color w:val="auto"/>
          <w:sz w:val="24"/>
          <w:szCs w:val="24"/>
        </w:rPr>
        <w:t xml:space="preserve"> </w:t>
      </w:r>
      <w:r>
        <w:rPr>
          <w:rFonts w:hint="eastAsia"/>
          <w:color w:val="auto"/>
          <w:sz w:val="24"/>
          <w:szCs w:val="24"/>
        </w:rPr>
        <w:t>适用法律</w:t>
      </w:r>
    </w:p>
    <w:p w14:paraId="3C7425FC">
      <w:pPr>
        <w:widowControl/>
        <w:spacing w:line="360" w:lineRule="auto"/>
        <w:ind w:firstLine="424" w:firstLineChars="177"/>
        <w:rPr>
          <w:rFonts w:ascii="宋体" w:hAnsi="宋体"/>
          <w:szCs w:val="24"/>
        </w:rPr>
      </w:pPr>
      <w:r>
        <w:rPr>
          <w:rFonts w:hint="eastAsia" w:ascii="宋体" w:hAnsi="宋体"/>
          <w:szCs w:val="24"/>
        </w:rPr>
        <w:t>本合同的订立、解释、履行及争议解决，均适用中华人民共和国法律。</w:t>
      </w:r>
    </w:p>
    <w:p w14:paraId="4001ABE9">
      <w:pPr>
        <w:pStyle w:val="41"/>
        <w:rPr>
          <w:color w:val="auto"/>
          <w:sz w:val="24"/>
          <w:szCs w:val="24"/>
        </w:rPr>
      </w:pPr>
      <w:r>
        <w:rPr>
          <w:rFonts w:hint="eastAsia"/>
          <w:color w:val="auto"/>
          <w:sz w:val="24"/>
          <w:szCs w:val="24"/>
        </w:rPr>
        <w:t xml:space="preserve">第十五条 </w:t>
      </w:r>
      <w:r>
        <w:rPr>
          <w:color w:val="auto"/>
          <w:sz w:val="24"/>
          <w:szCs w:val="24"/>
        </w:rPr>
        <w:t xml:space="preserve"> </w:t>
      </w:r>
      <w:r>
        <w:rPr>
          <w:rFonts w:hint="eastAsia"/>
          <w:color w:val="auto"/>
          <w:sz w:val="24"/>
          <w:szCs w:val="24"/>
        </w:rPr>
        <w:t>合同生效</w:t>
      </w:r>
    </w:p>
    <w:p w14:paraId="47278AFB">
      <w:pPr>
        <w:snapToGrid w:val="0"/>
        <w:spacing w:line="360" w:lineRule="auto"/>
        <w:ind w:firstLine="424" w:firstLineChars="177"/>
        <w:rPr>
          <w:rFonts w:ascii="宋体" w:hAnsi="宋体"/>
          <w:szCs w:val="24"/>
        </w:rPr>
      </w:pPr>
      <w:r>
        <w:rPr>
          <w:rFonts w:hint="eastAsia" w:ascii="宋体" w:hAnsi="宋体"/>
          <w:szCs w:val="24"/>
        </w:rPr>
        <w:t>本合同经双方法定代表人（负责人）或其授权代表签字并加盖双方公章或合同专用章之日起生效。合同签订日期以双方中最后一方签字并加盖公章或合同专用章的日期为准。</w:t>
      </w:r>
    </w:p>
    <w:p w14:paraId="496A5CA6">
      <w:pPr>
        <w:pStyle w:val="41"/>
        <w:rPr>
          <w:color w:val="auto"/>
          <w:sz w:val="24"/>
          <w:szCs w:val="24"/>
        </w:rPr>
      </w:pPr>
      <w:r>
        <w:rPr>
          <w:rFonts w:hint="eastAsia"/>
          <w:color w:val="auto"/>
          <w:sz w:val="24"/>
          <w:szCs w:val="24"/>
        </w:rPr>
        <w:t>第十六条  其他事项</w:t>
      </w:r>
    </w:p>
    <w:p w14:paraId="1C8D33B8">
      <w:pPr>
        <w:pStyle w:val="38"/>
        <w:numPr>
          <w:ilvl w:val="0"/>
          <w:numId w:val="10"/>
        </w:numPr>
        <w:ind w:left="0" w:firstLine="480" w:firstLineChars="200"/>
        <w:rPr>
          <w:b w:val="0"/>
          <w:bCs/>
          <w:snapToGrid w:val="0"/>
          <w:color w:val="auto"/>
        </w:rPr>
      </w:pPr>
      <w:r>
        <w:rPr>
          <w:rFonts w:hint="eastAsia"/>
          <w:b w:val="0"/>
          <w:bCs/>
          <w:snapToGrid w:val="0"/>
          <w:color w:val="auto"/>
        </w:rPr>
        <w:t xml:space="preserve">本合同一式 </w:t>
      </w:r>
      <w:r>
        <w:rPr>
          <w:rFonts w:hint="eastAsia"/>
          <w:b w:val="0"/>
          <w:bCs/>
          <w:snapToGrid w:val="0"/>
          <w:color w:val="auto"/>
          <w:u w:val="single"/>
        </w:rPr>
        <w:t xml:space="preserve"> 4 </w:t>
      </w:r>
      <w:r>
        <w:rPr>
          <w:rFonts w:hint="eastAsia"/>
          <w:b w:val="0"/>
          <w:bCs/>
          <w:snapToGrid w:val="0"/>
          <w:color w:val="auto"/>
        </w:rPr>
        <w:t xml:space="preserve"> 份，甲方执</w:t>
      </w:r>
      <w:r>
        <w:rPr>
          <w:rFonts w:hint="eastAsia"/>
          <w:b w:val="0"/>
          <w:bCs/>
          <w:snapToGrid w:val="0"/>
          <w:color w:val="auto"/>
          <w:u w:val="single"/>
        </w:rPr>
        <w:t xml:space="preserve">  2  </w:t>
      </w:r>
      <w:r>
        <w:rPr>
          <w:rFonts w:hint="eastAsia"/>
          <w:b w:val="0"/>
          <w:bCs/>
          <w:snapToGrid w:val="0"/>
          <w:color w:val="auto"/>
        </w:rPr>
        <w:t xml:space="preserve">份，乙方执 </w:t>
      </w:r>
      <w:r>
        <w:rPr>
          <w:rFonts w:hint="eastAsia"/>
          <w:b w:val="0"/>
          <w:bCs/>
          <w:snapToGrid w:val="0"/>
          <w:color w:val="auto"/>
          <w:u w:val="single"/>
        </w:rPr>
        <w:t xml:space="preserve"> 2 </w:t>
      </w:r>
      <w:r>
        <w:rPr>
          <w:rFonts w:hint="eastAsia"/>
          <w:b w:val="0"/>
          <w:bCs/>
          <w:snapToGrid w:val="0"/>
          <w:color w:val="auto"/>
        </w:rPr>
        <w:t>份，具有同等法律效力。</w:t>
      </w:r>
    </w:p>
    <w:p w14:paraId="6D251D2D">
      <w:pPr>
        <w:pStyle w:val="38"/>
        <w:numPr>
          <w:ilvl w:val="0"/>
          <w:numId w:val="10"/>
        </w:numPr>
        <w:ind w:left="0" w:firstLine="420"/>
        <w:rPr>
          <w:b w:val="0"/>
          <w:bCs/>
          <w:snapToGrid w:val="0"/>
          <w:color w:val="auto"/>
        </w:rPr>
      </w:pPr>
      <w:r>
        <w:rPr>
          <w:rFonts w:hint="eastAsia"/>
          <w:b w:val="0"/>
          <w:bCs/>
          <w:snapToGrid w:val="0"/>
          <w:color w:val="auto"/>
        </w:rPr>
        <w:t>如有未尽事项，双方可另签订补充协议。</w:t>
      </w:r>
    </w:p>
    <w:p w14:paraId="5A0BA306">
      <w:pPr>
        <w:pStyle w:val="38"/>
        <w:numPr>
          <w:ilvl w:val="0"/>
          <w:numId w:val="10"/>
        </w:numPr>
        <w:ind w:left="0" w:firstLine="420"/>
        <w:rPr>
          <w:b w:val="0"/>
          <w:bCs/>
          <w:snapToGrid w:val="0"/>
          <w:color w:val="auto"/>
        </w:rPr>
      </w:pPr>
      <w:r>
        <w:rPr>
          <w:rFonts w:hint="eastAsia"/>
          <w:b w:val="0"/>
          <w:bCs/>
          <w:snapToGrid w:val="0"/>
          <w:color w:val="auto"/>
        </w:rPr>
        <w:t>本合同附件包含但不仅限于《充电项目咨询服务费用明细表》、《充电项目咨询服务资料验收表》是本合同不可分割的组成部分，与本合同正文具有同等法律效力。</w:t>
      </w:r>
    </w:p>
    <w:p w14:paraId="181C1F1F">
      <w:pPr>
        <w:pStyle w:val="38"/>
        <w:numPr>
          <w:ilvl w:val="0"/>
          <w:numId w:val="10"/>
        </w:numPr>
        <w:ind w:left="0" w:firstLine="420"/>
        <w:rPr>
          <w:b w:val="0"/>
          <w:bCs/>
          <w:snapToGrid w:val="0"/>
          <w:color w:val="auto"/>
        </w:rPr>
      </w:pPr>
      <w:r>
        <w:rPr>
          <w:rFonts w:hint="eastAsia"/>
          <w:b w:val="0"/>
          <w:bCs/>
          <w:snapToGrid w:val="0"/>
          <w:color w:val="auto"/>
        </w:rPr>
        <w:t>本咨询服务变更外的所有费用视为已包含在合同总价内内,结算时不再单列项进行其他费用的追加。</w:t>
      </w:r>
    </w:p>
    <w:p w14:paraId="0D7A6A0D">
      <w:pPr>
        <w:pStyle w:val="38"/>
        <w:numPr>
          <w:ilvl w:val="0"/>
          <w:numId w:val="0"/>
        </w:numPr>
        <w:ind w:left="567"/>
        <w:rPr>
          <w:b w:val="0"/>
          <w:snapToGrid w:val="0"/>
          <w:color w:val="auto"/>
        </w:rPr>
      </w:pPr>
      <w:r>
        <w:rPr>
          <w:rFonts w:hint="eastAsia"/>
          <w:color w:val="auto"/>
          <w:sz w:val="28"/>
        </w:rPr>
        <w:t>（以下无正文）</w:t>
      </w:r>
    </w:p>
    <w:p w14:paraId="4CD86B7F">
      <w:pPr>
        <w:autoSpaceDE w:val="0"/>
        <w:autoSpaceDN w:val="0"/>
        <w:snapToGrid w:val="0"/>
        <w:spacing w:line="360" w:lineRule="auto"/>
        <w:ind w:right="-17"/>
        <w:jc w:val="center"/>
        <w:rPr>
          <w:rFonts w:hint="eastAsia" w:ascii="华文中宋" w:hAnsi="华文中宋" w:eastAsia="华文中宋"/>
          <w:b/>
          <w:sz w:val="32"/>
          <w:szCs w:val="32"/>
        </w:rPr>
      </w:pPr>
    </w:p>
    <w:p w14:paraId="40FF857B">
      <w:pPr>
        <w:autoSpaceDE w:val="0"/>
        <w:autoSpaceDN w:val="0"/>
        <w:snapToGrid w:val="0"/>
        <w:spacing w:line="360" w:lineRule="auto"/>
        <w:ind w:right="-17"/>
        <w:jc w:val="center"/>
        <w:rPr>
          <w:rFonts w:hint="eastAsia" w:ascii="华文中宋" w:hAnsi="华文中宋" w:eastAsia="华文中宋"/>
          <w:b/>
          <w:sz w:val="32"/>
          <w:szCs w:val="32"/>
        </w:rPr>
      </w:pPr>
    </w:p>
    <w:p w14:paraId="15296AE1">
      <w:pPr>
        <w:autoSpaceDE w:val="0"/>
        <w:autoSpaceDN w:val="0"/>
        <w:snapToGrid w:val="0"/>
        <w:spacing w:line="360" w:lineRule="auto"/>
        <w:ind w:right="-17"/>
        <w:jc w:val="center"/>
        <w:rPr>
          <w:rFonts w:hint="eastAsia" w:ascii="华文中宋" w:hAnsi="华文中宋" w:eastAsia="华文中宋"/>
          <w:b/>
          <w:sz w:val="32"/>
          <w:szCs w:val="32"/>
        </w:rPr>
      </w:pPr>
    </w:p>
    <w:p w14:paraId="3EF41ABF">
      <w:pPr>
        <w:autoSpaceDE w:val="0"/>
        <w:autoSpaceDN w:val="0"/>
        <w:snapToGrid w:val="0"/>
        <w:spacing w:line="360" w:lineRule="auto"/>
        <w:ind w:right="-17"/>
        <w:jc w:val="center"/>
        <w:rPr>
          <w:rFonts w:hint="eastAsia" w:ascii="华文中宋" w:hAnsi="华文中宋" w:eastAsia="华文中宋"/>
          <w:b/>
          <w:sz w:val="32"/>
          <w:szCs w:val="32"/>
        </w:rPr>
      </w:pPr>
    </w:p>
    <w:p w14:paraId="56C1E997">
      <w:pPr>
        <w:autoSpaceDE w:val="0"/>
        <w:autoSpaceDN w:val="0"/>
        <w:snapToGrid w:val="0"/>
        <w:spacing w:line="360" w:lineRule="auto"/>
        <w:ind w:right="-17"/>
        <w:jc w:val="center"/>
        <w:rPr>
          <w:rFonts w:hint="eastAsia" w:ascii="华文中宋" w:hAnsi="华文中宋" w:eastAsia="华文中宋"/>
          <w:b/>
          <w:sz w:val="32"/>
          <w:szCs w:val="32"/>
        </w:rPr>
      </w:pPr>
    </w:p>
    <w:p w14:paraId="2A882335">
      <w:pPr>
        <w:autoSpaceDE w:val="0"/>
        <w:autoSpaceDN w:val="0"/>
        <w:snapToGrid w:val="0"/>
        <w:spacing w:line="360" w:lineRule="auto"/>
        <w:ind w:right="-17"/>
        <w:jc w:val="center"/>
        <w:rPr>
          <w:rFonts w:hint="eastAsia" w:ascii="华文中宋" w:hAnsi="华文中宋" w:eastAsia="华文中宋"/>
          <w:b/>
          <w:sz w:val="32"/>
          <w:szCs w:val="32"/>
        </w:rPr>
      </w:pPr>
    </w:p>
    <w:p w14:paraId="72F64964">
      <w:pPr>
        <w:autoSpaceDE w:val="0"/>
        <w:autoSpaceDN w:val="0"/>
        <w:snapToGrid w:val="0"/>
        <w:spacing w:line="360" w:lineRule="auto"/>
        <w:ind w:right="-17"/>
        <w:jc w:val="center"/>
        <w:rPr>
          <w:rFonts w:hint="eastAsia" w:ascii="华文中宋" w:hAnsi="华文中宋" w:eastAsia="华文中宋"/>
          <w:b/>
          <w:sz w:val="32"/>
          <w:szCs w:val="32"/>
        </w:rPr>
      </w:pPr>
    </w:p>
    <w:p w14:paraId="3F4A5FB8">
      <w:pPr>
        <w:autoSpaceDE w:val="0"/>
        <w:autoSpaceDN w:val="0"/>
        <w:snapToGrid w:val="0"/>
        <w:spacing w:line="360" w:lineRule="auto"/>
        <w:ind w:right="-17"/>
        <w:jc w:val="center"/>
        <w:rPr>
          <w:rFonts w:hint="eastAsia" w:ascii="华文中宋" w:hAnsi="华文中宋" w:eastAsia="华文中宋"/>
          <w:b/>
          <w:sz w:val="32"/>
          <w:szCs w:val="32"/>
        </w:rPr>
      </w:pPr>
    </w:p>
    <w:p w14:paraId="24F11399">
      <w:pPr>
        <w:autoSpaceDE w:val="0"/>
        <w:autoSpaceDN w:val="0"/>
        <w:snapToGrid w:val="0"/>
        <w:spacing w:line="360" w:lineRule="auto"/>
        <w:ind w:right="-17"/>
        <w:jc w:val="center"/>
        <w:rPr>
          <w:rFonts w:hint="eastAsia" w:ascii="华文中宋" w:hAnsi="华文中宋" w:eastAsia="华文中宋"/>
          <w:b/>
          <w:sz w:val="32"/>
          <w:szCs w:val="32"/>
        </w:rPr>
      </w:pPr>
    </w:p>
    <w:p w14:paraId="46FA03F3">
      <w:pPr>
        <w:autoSpaceDE w:val="0"/>
        <w:autoSpaceDN w:val="0"/>
        <w:snapToGrid w:val="0"/>
        <w:spacing w:line="360" w:lineRule="auto"/>
        <w:ind w:right="-17"/>
        <w:jc w:val="center"/>
        <w:rPr>
          <w:rFonts w:hint="eastAsia" w:ascii="华文中宋" w:hAnsi="华文中宋" w:eastAsia="华文中宋"/>
          <w:b/>
          <w:sz w:val="32"/>
          <w:szCs w:val="32"/>
        </w:rPr>
      </w:pPr>
    </w:p>
    <w:p w14:paraId="5B2CF00F">
      <w:pPr>
        <w:autoSpaceDE w:val="0"/>
        <w:autoSpaceDN w:val="0"/>
        <w:snapToGrid w:val="0"/>
        <w:spacing w:line="360" w:lineRule="auto"/>
        <w:ind w:right="-17"/>
        <w:jc w:val="center"/>
        <w:rPr>
          <w:rFonts w:hint="eastAsia" w:ascii="华文中宋" w:hAnsi="华文中宋" w:eastAsia="华文中宋"/>
          <w:b/>
          <w:sz w:val="32"/>
          <w:szCs w:val="32"/>
        </w:rPr>
      </w:pPr>
    </w:p>
    <w:p w14:paraId="7DEC3F1D">
      <w:pPr>
        <w:autoSpaceDE w:val="0"/>
        <w:autoSpaceDN w:val="0"/>
        <w:snapToGrid w:val="0"/>
        <w:spacing w:line="360" w:lineRule="auto"/>
        <w:ind w:right="-17"/>
        <w:jc w:val="center"/>
        <w:rPr>
          <w:rFonts w:hint="eastAsia" w:ascii="华文中宋" w:hAnsi="华文中宋" w:eastAsia="华文中宋"/>
          <w:b/>
          <w:sz w:val="32"/>
          <w:szCs w:val="32"/>
        </w:rPr>
      </w:pPr>
    </w:p>
    <w:p w14:paraId="1EA46267">
      <w:pPr>
        <w:autoSpaceDE w:val="0"/>
        <w:autoSpaceDN w:val="0"/>
        <w:snapToGrid w:val="0"/>
        <w:spacing w:line="360" w:lineRule="auto"/>
        <w:ind w:right="-17"/>
        <w:jc w:val="center"/>
        <w:rPr>
          <w:rFonts w:hint="eastAsia" w:ascii="华文中宋" w:hAnsi="华文中宋" w:eastAsia="华文中宋"/>
          <w:b/>
          <w:sz w:val="32"/>
          <w:szCs w:val="32"/>
        </w:rPr>
      </w:pPr>
    </w:p>
    <w:p w14:paraId="383BF5E9">
      <w:pPr>
        <w:autoSpaceDE w:val="0"/>
        <w:autoSpaceDN w:val="0"/>
        <w:snapToGrid w:val="0"/>
        <w:spacing w:line="360" w:lineRule="auto"/>
        <w:ind w:right="-17"/>
        <w:jc w:val="center"/>
        <w:rPr>
          <w:rFonts w:ascii="华文中宋" w:hAnsi="华文中宋" w:eastAsia="华文中宋"/>
          <w:b/>
          <w:color w:val="000000"/>
          <w:sz w:val="32"/>
          <w:szCs w:val="32"/>
        </w:rPr>
      </w:pPr>
      <w:r>
        <w:rPr>
          <w:rFonts w:hint="eastAsia" w:ascii="华文中宋" w:hAnsi="华文中宋" w:eastAsia="华文中宋"/>
          <w:b/>
          <w:color w:val="000000"/>
          <w:sz w:val="32"/>
          <w:szCs w:val="32"/>
        </w:rPr>
        <w:t>签 署 页</w:t>
      </w:r>
    </w:p>
    <w:p w14:paraId="2987DF4C">
      <w:pPr>
        <w:spacing w:line="360" w:lineRule="auto"/>
        <w:jc w:val="center"/>
        <w:rPr>
          <w:rFonts w:ascii="仿宋" w:hAnsi="仿宋" w:eastAsia="仿宋"/>
          <w:b/>
          <w:color w:val="000000"/>
          <w:sz w:val="28"/>
          <w:szCs w:val="28"/>
        </w:rPr>
      </w:pPr>
    </w:p>
    <w:tbl>
      <w:tblPr>
        <w:tblStyle w:val="14"/>
        <w:tblW w:w="9990" w:type="dxa"/>
        <w:jc w:val="center"/>
        <w:tblLayout w:type="fixed"/>
        <w:tblCellMar>
          <w:top w:w="0" w:type="dxa"/>
          <w:left w:w="108" w:type="dxa"/>
          <w:bottom w:w="0" w:type="dxa"/>
          <w:right w:w="108" w:type="dxa"/>
        </w:tblCellMar>
      </w:tblPr>
      <w:tblGrid>
        <w:gridCol w:w="4946"/>
        <w:gridCol w:w="5044"/>
      </w:tblGrid>
      <w:tr w14:paraId="6CF9FF48">
        <w:tblPrEx>
          <w:tblCellMar>
            <w:top w:w="0" w:type="dxa"/>
            <w:left w:w="108" w:type="dxa"/>
            <w:bottom w:w="0" w:type="dxa"/>
            <w:right w:w="108" w:type="dxa"/>
          </w:tblCellMar>
        </w:tblPrEx>
        <w:trPr>
          <w:cantSplit/>
          <w:trHeight w:val="1682" w:hRule="exact"/>
          <w:jc w:val="center"/>
        </w:trPr>
        <w:tc>
          <w:tcPr>
            <w:tcW w:w="4946" w:type="dxa"/>
            <w:vAlign w:val="center"/>
          </w:tcPr>
          <w:p w14:paraId="172B4CF8">
            <w:pPr>
              <w:autoSpaceDE w:val="0"/>
              <w:autoSpaceDN w:val="0"/>
              <w:snapToGrid w:val="0"/>
              <w:spacing w:line="360" w:lineRule="auto"/>
              <w:ind w:right="-16"/>
              <w:rPr>
                <w:rFonts w:ascii="宋体" w:hAnsi="宋体"/>
                <w:snapToGrid w:val="0"/>
                <w:color w:val="000000"/>
                <w:szCs w:val="24"/>
              </w:rPr>
            </w:pPr>
            <w:r>
              <w:rPr>
                <w:rFonts w:hint="eastAsia" w:ascii="宋体" w:hAnsi="宋体"/>
                <w:snapToGrid w:val="0"/>
                <w:color w:val="000000"/>
                <w:szCs w:val="24"/>
              </w:rPr>
              <w:t>甲方：东莞能投特来电充电网运营有限公司</w:t>
            </w:r>
          </w:p>
          <w:p w14:paraId="5410737B">
            <w:pPr>
              <w:autoSpaceDE w:val="0"/>
              <w:autoSpaceDN w:val="0"/>
              <w:snapToGrid w:val="0"/>
              <w:spacing w:line="360" w:lineRule="auto"/>
              <w:ind w:right="-16"/>
              <w:rPr>
                <w:rFonts w:ascii="宋体" w:hAnsi="宋体"/>
                <w:snapToGrid w:val="0"/>
                <w:color w:val="000000"/>
                <w:szCs w:val="24"/>
              </w:rPr>
            </w:pPr>
            <w:r>
              <w:rPr>
                <w:rFonts w:hint="eastAsia" w:ascii="宋体" w:hAnsi="宋体"/>
                <w:snapToGrid w:val="0"/>
                <w:color w:val="000000"/>
                <w:szCs w:val="24"/>
              </w:rPr>
              <w:t xml:space="preserve">（盖章）     </w:t>
            </w:r>
          </w:p>
        </w:tc>
        <w:tc>
          <w:tcPr>
            <w:tcW w:w="5044" w:type="dxa"/>
            <w:vAlign w:val="center"/>
          </w:tcPr>
          <w:p w14:paraId="0928FAEA">
            <w:pPr>
              <w:autoSpaceDE w:val="0"/>
              <w:autoSpaceDN w:val="0"/>
              <w:snapToGrid w:val="0"/>
              <w:spacing w:line="360" w:lineRule="auto"/>
              <w:ind w:right="-16"/>
              <w:rPr>
                <w:rFonts w:hint="eastAsia" w:ascii="宋体" w:hAnsi="宋体" w:eastAsia="宋体"/>
                <w:snapToGrid w:val="0"/>
                <w:color w:val="auto"/>
                <w:szCs w:val="24"/>
                <w:lang w:eastAsia="zh-CN"/>
              </w:rPr>
            </w:pPr>
            <w:r>
              <w:rPr>
                <w:rFonts w:hint="eastAsia" w:ascii="宋体" w:hAnsi="宋体"/>
                <w:snapToGrid w:val="0"/>
                <w:color w:val="auto"/>
                <w:szCs w:val="24"/>
              </w:rPr>
              <w:t>乙方：</w:t>
            </w:r>
            <w:r>
              <w:rPr>
                <w:rFonts w:hint="eastAsia" w:ascii="宋体" w:hAnsi="宋体"/>
                <w:snapToGrid w:val="0"/>
                <w:color w:val="auto"/>
                <w:szCs w:val="24"/>
                <w:lang w:eastAsia="zh-CN"/>
              </w:rPr>
              <w:t xml:space="preserve">  </w:t>
            </w:r>
          </w:p>
          <w:p w14:paraId="7206D732">
            <w:pPr>
              <w:autoSpaceDE w:val="0"/>
              <w:autoSpaceDN w:val="0"/>
              <w:snapToGrid w:val="0"/>
              <w:spacing w:line="360" w:lineRule="auto"/>
              <w:ind w:right="-16" w:rightChars="0"/>
              <w:rPr>
                <w:rFonts w:ascii="宋体" w:hAnsi="宋体"/>
                <w:snapToGrid w:val="0"/>
                <w:color w:val="000000"/>
                <w:szCs w:val="24"/>
              </w:rPr>
            </w:pPr>
            <w:r>
              <w:rPr>
                <w:rFonts w:hint="eastAsia" w:ascii="宋体" w:hAnsi="宋体"/>
                <w:snapToGrid w:val="0"/>
                <w:color w:val="auto"/>
                <w:szCs w:val="24"/>
              </w:rPr>
              <w:t>（盖章）</w:t>
            </w:r>
          </w:p>
        </w:tc>
      </w:tr>
      <w:tr w14:paraId="6A64997B">
        <w:tblPrEx>
          <w:tblCellMar>
            <w:top w:w="0" w:type="dxa"/>
            <w:left w:w="108" w:type="dxa"/>
            <w:bottom w:w="0" w:type="dxa"/>
            <w:right w:w="108" w:type="dxa"/>
          </w:tblCellMar>
        </w:tblPrEx>
        <w:trPr>
          <w:cantSplit/>
          <w:trHeight w:val="1273" w:hRule="exact"/>
          <w:jc w:val="center"/>
        </w:trPr>
        <w:tc>
          <w:tcPr>
            <w:tcW w:w="4946" w:type="dxa"/>
            <w:vAlign w:val="center"/>
          </w:tcPr>
          <w:p w14:paraId="46F0A8F2">
            <w:pPr>
              <w:autoSpaceDE w:val="0"/>
              <w:autoSpaceDN w:val="0"/>
              <w:snapToGrid w:val="0"/>
              <w:spacing w:line="360" w:lineRule="auto"/>
              <w:ind w:right="-16"/>
              <w:rPr>
                <w:rFonts w:ascii="宋体" w:hAnsi="宋体"/>
                <w:snapToGrid w:val="0"/>
                <w:color w:val="000000"/>
                <w:szCs w:val="24"/>
              </w:rPr>
            </w:pPr>
            <w:r>
              <w:rPr>
                <w:rFonts w:hint="eastAsia" w:ascii="宋体" w:hAnsi="宋体"/>
                <w:snapToGrid w:val="0"/>
                <w:color w:val="000000"/>
                <w:szCs w:val="24"/>
              </w:rPr>
              <w:t>法定代表人（负责人）或</w:t>
            </w:r>
          </w:p>
          <w:p w14:paraId="67B0CBED">
            <w:pPr>
              <w:autoSpaceDE w:val="0"/>
              <w:autoSpaceDN w:val="0"/>
              <w:snapToGrid w:val="0"/>
              <w:spacing w:line="360" w:lineRule="auto"/>
              <w:ind w:right="-16"/>
              <w:rPr>
                <w:rFonts w:ascii="宋体" w:hAnsi="宋体"/>
                <w:snapToGrid w:val="0"/>
                <w:color w:val="000000"/>
                <w:szCs w:val="24"/>
              </w:rPr>
            </w:pPr>
            <w:r>
              <w:rPr>
                <w:rFonts w:hint="eastAsia" w:ascii="宋体" w:hAnsi="宋体"/>
                <w:snapToGrid w:val="0"/>
                <w:color w:val="000000"/>
                <w:szCs w:val="24"/>
              </w:rPr>
              <w:t>授权代表（签字）：</w:t>
            </w:r>
          </w:p>
        </w:tc>
        <w:tc>
          <w:tcPr>
            <w:tcW w:w="5044" w:type="dxa"/>
            <w:vAlign w:val="center"/>
          </w:tcPr>
          <w:p w14:paraId="17B10C50">
            <w:pPr>
              <w:autoSpaceDE w:val="0"/>
              <w:autoSpaceDN w:val="0"/>
              <w:snapToGrid w:val="0"/>
              <w:spacing w:line="360" w:lineRule="auto"/>
              <w:ind w:right="-16"/>
              <w:rPr>
                <w:rFonts w:hint="eastAsia" w:ascii="宋体" w:hAnsi="宋体"/>
                <w:snapToGrid w:val="0"/>
                <w:color w:val="auto"/>
                <w:szCs w:val="24"/>
              </w:rPr>
            </w:pPr>
            <w:r>
              <w:rPr>
                <w:rFonts w:hint="eastAsia" w:ascii="宋体" w:hAnsi="宋体"/>
                <w:snapToGrid w:val="0"/>
                <w:color w:val="auto"/>
                <w:szCs w:val="24"/>
              </w:rPr>
              <w:t>法定代表人（负责人）或</w:t>
            </w:r>
          </w:p>
          <w:p w14:paraId="1FEC16F1">
            <w:pPr>
              <w:autoSpaceDE w:val="0"/>
              <w:autoSpaceDN w:val="0"/>
              <w:snapToGrid w:val="0"/>
              <w:spacing w:line="360" w:lineRule="auto"/>
              <w:ind w:right="-16" w:rightChars="0"/>
              <w:rPr>
                <w:rFonts w:ascii="宋体" w:hAnsi="宋体"/>
                <w:snapToGrid w:val="0"/>
                <w:color w:val="000000"/>
                <w:szCs w:val="24"/>
              </w:rPr>
            </w:pPr>
            <w:r>
              <w:rPr>
                <w:rFonts w:hint="eastAsia" w:ascii="宋体" w:hAnsi="宋体"/>
                <w:snapToGrid w:val="0"/>
                <w:color w:val="auto"/>
                <w:szCs w:val="24"/>
              </w:rPr>
              <w:t>授权代表（签字）：</w:t>
            </w:r>
          </w:p>
        </w:tc>
      </w:tr>
      <w:tr w14:paraId="1E997E23">
        <w:tblPrEx>
          <w:tblCellMar>
            <w:top w:w="0" w:type="dxa"/>
            <w:left w:w="108" w:type="dxa"/>
            <w:bottom w:w="0" w:type="dxa"/>
            <w:right w:w="108" w:type="dxa"/>
          </w:tblCellMar>
        </w:tblPrEx>
        <w:trPr>
          <w:cantSplit/>
          <w:trHeight w:val="439" w:hRule="exact"/>
          <w:jc w:val="center"/>
        </w:trPr>
        <w:tc>
          <w:tcPr>
            <w:tcW w:w="4946" w:type="dxa"/>
            <w:vAlign w:val="center"/>
          </w:tcPr>
          <w:p w14:paraId="7A4B7E70">
            <w:pPr>
              <w:autoSpaceDE w:val="0"/>
              <w:autoSpaceDN w:val="0"/>
              <w:snapToGrid w:val="0"/>
              <w:spacing w:line="360" w:lineRule="auto"/>
              <w:ind w:right="-16"/>
              <w:rPr>
                <w:rFonts w:ascii="宋体" w:hAnsi="宋体"/>
                <w:snapToGrid w:val="0"/>
                <w:color w:val="000000"/>
                <w:szCs w:val="24"/>
              </w:rPr>
            </w:pPr>
            <w:r>
              <w:rPr>
                <w:rFonts w:hint="eastAsia" w:ascii="宋体" w:hAnsi="宋体"/>
                <w:snapToGrid w:val="0"/>
                <w:color w:val="000000"/>
                <w:szCs w:val="24"/>
              </w:rPr>
              <w:t>签订日期：  2026年</w:t>
            </w:r>
            <w:r>
              <w:rPr>
                <w:rFonts w:hint="eastAsia" w:ascii="宋体" w:hAnsi="宋体"/>
                <w:snapToGrid w:val="0"/>
                <w:color w:val="000000"/>
                <w:szCs w:val="24"/>
                <w:lang w:val="en-US" w:eastAsia="zh-CN"/>
              </w:rPr>
              <w:t>10</w:t>
            </w:r>
            <w:r>
              <w:rPr>
                <w:rFonts w:hint="eastAsia" w:ascii="宋体" w:hAnsi="宋体"/>
                <w:snapToGrid w:val="0"/>
                <w:color w:val="000000"/>
                <w:szCs w:val="24"/>
              </w:rPr>
              <w:t>月</w:t>
            </w:r>
            <w:r>
              <w:rPr>
                <w:rFonts w:hint="eastAsia" w:ascii="宋体" w:hAnsi="宋体"/>
                <w:snapToGrid w:val="0"/>
                <w:color w:val="000000"/>
                <w:szCs w:val="24"/>
                <w:lang w:val="en-US" w:eastAsia="zh-CN"/>
              </w:rPr>
              <w:t>09</w:t>
            </w:r>
            <w:r>
              <w:rPr>
                <w:rFonts w:hint="eastAsia" w:ascii="宋体" w:hAnsi="宋体"/>
                <w:snapToGrid w:val="0"/>
                <w:color w:val="000000"/>
                <w:szCs w:val="24"/>
              </w:rPr>
              <w:t xml:space="preserve">日  </w:t>
            </w:r>
          </w:p>
        </w:tc>
        <w:tc>
          <w:tcPr>
            <w:tcW w:w="5044" w:type="dxa"/>
            <w:vAlign w:val="center"/>
          </w:tcPr>
          <w:p w14:paraId="662BCF61">
            <w:pPr>
              <w:autoSpaceDE w:val="0"/>
              <w:autoSpaceDN w:val="0"/>
              <w:snapToGrid w:val="0"/>
              <w:spacing w:line="360" w:lineRule="auto"/>
              <w:ind w:right="-16" w:rightChars="0"/>
              <w:rPr>
                <w:rFonts w:ascii="宋体" w:hAnsi="宋体"/>
                <w:snapToGrid w:val="0"/>
                <w:color w:val="000000"/>
                <w:szCs w:val="24"/>
              </w:rPr>
            </w:pPr>
            <w:r>
              <w:rPr>
                <w:rFonts w:hint="eastAsia" w:ascii="宋体" w:hAnsi="宋体"/>
                <w:snapToGrid w:val="0"/>
                <w:color w:val="auto"/>
                <w:szCs w:val="24"/>
              </w:rPr>
              <w:t>签订日期：</w:t>
            </w:r>
            <w:r>
              <w:rPr>
                <w:rFonts w:hint="eastAsia"/>
                <w:color w:val="auto"/>
              </w:rPr>
              <w:t xml:space="preserve">  </w:t>
            </w:r>
            <w:r>
              <w:rPr>
                <w:rFonts w:hint="eastAsia" w:ascii="宋体" w:hAnsi="宋体"/>
                <w:snapToGrid w:val="0"/>
                <w:color w:val="auto"/>
                <w:szCs w:val="24"/>
              </w:rPr>
              <w:t xml:space="preserve"> </w:t>
            </w:r>
          </w:p>
        </w:tc>
      </w:tr>
      <w:tr w14:paraId="7255DD87">
        <w:tblPrEx>
          <w:tblCellMar>
            <w:top w:w="0" w:type="dxa"/>
            <w:left w:w="108" w:type="dxa"/>
            <w:bottom w:w="0" w:type="dxa"/>
            <w:right w:w="108" w:type="dxa"/>
          </w:tblCellMar>
        </w:tblPrEx>
        <w:trPr>
          <w:cantSplit/>
          <w:trHeight w:val="944" w:hRule="atLeast"/>
          <w:jc w:val="center"/>
        </w:trPr>
        <w:tc>
          <w:tcPr>
            <w:tcW w:w="4946" w:type="dxa"/>
            <w:vAlign w:val="center"/>
          </w:tcPr>
          <w:p w14:paraId="1A9587B6">
            <w:pPr>
              <w:autoSpaceDE w:val="0"/>
              <w:autoSpaceDN w:val="0"/>
              <w:snapToGrid w:val="0"/>
              <w:spacing w:line="360" w:lineRule="auto"/>
              <w:ind w:right="-16"/>
              <w:rPr>
                <w:rFonts w:ascii="宋体" w:hAnsi="宋体"/>
                <w:snapToGrid w:val="0"/>
                <w:color w:val="000000"/>
                <w:szCs w:val="24"/>
              </w:rPr>
            </w:pPr>
            <w:r>
              <w:rPr>
                <w:rFonts w:hint="eastAsia" w:ascii="宋体" w:hAnsi="宋体"/>
                <w:snapToGrid w:val="0"/>
                <w:color w:val="000000"/>
                <w:szCs w:val="24"/>
              </w:rPr>
              <w:t xml:space="preserve">地址：广东省东莞市市辖区广东省东莞市松山湖园区研发五路1号5栋1706室                               </w:t>
            </w:r>
          </w:p>
        </w:tc>
        <w:tc>
          <w:tcPr>
            <w:tcW w:w="5044" w:type="dxa"/>
            <w:vAlign w:val="center"/>
          </w:tcPr>
          <w:p w14:paraId="7FE486E2">
            <w:pPr>
              <w:autoSpaceDE w:val="0"/>
              <w:autoSpaceDN w:val="0"/>
              <w:snapToGrid w:val="0"/>
              <w:spacing w:line="360" w:lineRule="auto"/>
              <w:ind w:right="-16" w:rightChars="0"/>
              <w:rPr>
                <w:rFonts w:ascii="宋体" w:hAnsi="宋体"/>
                <w:snapToGrid w:val="0"/>
                <w:color w:val="000000"/>
                <w:szCs w:val="24"/>
              </w:rPr>
            </w:pPr>
            <w:r>
              <w:rPr>
                <w:rFonts w:hint="eastAsia" w:ascii="宋体" w:hAnsi="宋体"/>
                <w:snapToGrid w:val="0"/>
                <w:color w:val="auto"/>
                <w:szCs w:val="24"/>
              </w:rPr>
              <w:t>地址：</w:t>
            </w:r>
          </w:p>
        </w:tc>
      </w:tr>
      <w:tr w14:paraId="6B614CE5">
        <w:tblPrEx>
          <w:tblCellMar>
            <w:top w:w="0" w:type="dxa"/>
            <w:left w:w="108" w:type="dxa"/>
            <w:bottom w:w="0" w:type="dxa"/>
            <w:right w:w="108" w:type="dxa"/>
          </w:tblCellMar>
        </w:tblPrEx>
        <w:trPr>
          <w:cantSplit/>
          <w:trHeight w:val="475" w:hRule="exact"/>
          <w:jc w:val="center"/>
        </w:trPr>
        <w:tc>
          <w:tcPr>
            <w:tcW w:w="4946" w:type="dxa"/>
            <w:vAlign w:val="center"/>
          </w:tcPr>
          <w:p w14:paraId="07AFC628">
            <w:pPr>
              <w:autoSpaceDE w:val="0"/>
              <w:autoSpaceDN w:val="0"/>
              <w:snapToGrid w:val="0"/>
              <w:spacing w:line="360" w:lineRule="auto"/>
              <w:ind w:right="-16"/>
              <w:rPr>
                <w:rFonts w:ascii="宋体" w:hAnsi="宋体"/>
                <w:snapToGrid w:val="0"/>
                <w:color w:val="000000"/>
                <w:szCs w:val="24"/>
              </w:rPr>
            </w:pPr>
            <w:r>
              <w:rPr>
                <w:rFonts w:hint="eastAsia" w:ascii="宋体" w:hAnsi="宋体"/>
                <w:snapToGrid w:val="0"/>
                <w:color w:val="000000"/>
                <w:szCs w:val="24"/>
              </w:rPr>
              <w:t>邮编：</w:t>
            </w:r>
          </w:p>
        </w:tc>
        <w:tc>
          <w:tcPr>
            <w:tcW w:w="5044" w:type="dxa"/>
            <w:vAlign w:val="center"/>
          </w:tcPr>
          <w:p w14:paraId="7EAEEE5B">
            <w:pPr>
              <w:autoSpaceDE w:val="0"/>
              <w:autoSpaceDN w:val="0"/>
              <w:snapToGrid w:val="0"/>
              <w:spacing w:line="360" w:lineRule="auto"/>
              <w:ind w:right="-16" w:rightChars="0"/>
              <w:rPr>
                <w:rFonts w:ascii="宋体" w:hAnsi="宋体"/>
                <w:snapToGrid w:val="0"/>
                <w:color w:val="000000"/>
                <w:szCs w:val="24"/>
              </w:rPr>
            </w:pPr>
            <w:r>
              <w:rPr>
                <w:rFonts w:hint="eastAsia" w:ascii="宋体" w:hAnsi="宋体"/>
                <w:snapToGrid w:val="0"/>
                <w:color w:val="auto"/>
                <w:szCs w:val="24"/>
              </w:rPr>
              <w:t>邮编：</w:t>
            </w:r>
          </w:p>
        </w:tc>
      </w:tr>
      <w:tr w14:paraId="3DEEAF44">
        <w:tblPrEx>
          <w:tblCellMar>
            <w:top w:w="0" w:type="dxa"/>
            <w:left w:w="108" w:type="dxa"/>
            <w:bottom w:w="0" w:type="dxa"/>
            <w:right w:w="108" w:type="dxa"/>
          </w:tblCellMar>
        </w:tblPrEx>
        <w:trPr>
          <w:cantSplit/>
          <w:trHeight w:val="437" w:hRule="exact"/>
          <w:jc w:val="center"/>
        </w:trPr>
        <w:tc>
          <w:tcPr>
            <w:tcW w:w="4946" w:type="dxa"/>
            <w:vAlign w:val="center"/>
          </w:tcPr>
          <w:p w14:paraId="5C35B994">
            <w:pPr>
              <w:autoSpaceDE w:val="0"/>
              <w:autoSpaceDN w:val="0"/>
              <w:snapToGrid w:val="0"/>
              <w:spacing w:line="360" w:lineRule="auto"/>
              <w:ind w:right="-16"/>
              <w:rPr>
                <w:rFonts w:ascii="宋体" w:hAnsi="宋体"/>
                <w:snapToGrid w:val="0"/>
                <w:color w:val="000000"/>
                <w:szCs w:val="24"/>
              </w:rPr>
            </w:pPr>
            <w:r>
              <w:rPr>
                <w:rFonts w:hint="eastAsia" w:ascii="宋体" w:hAnsi="宋体"/>
                <w:snapToGrid w:val="0"/>
                <w:color w:val="000000"/>
                <w:szCs w:val="24"/>
              </w:rPr>
              <w:t>联系人：李昌达</w:t>
            </w:r>
          </w:p>
        </w:tc>
        <w:tc>
          <w:tcPr>
            <w:tcW w:w="5044" w:type="dxa"/>
            <w:vAlign w:val="center"/>
          </w:tcPr>
          <w:p w14:paraId="39A44358">
            <w:pPr>
              <w:autoSpaceDE w:val="0"/>
              <w:autoSpaceDN w:val="0"/>
              <w:snapToGrid w:val="0"/>
              <w:spacing w:line="360" w:lineRule="auto"/>
              <w:ind w:right="-16" w:rightChars="0"/>
              <w:rPr>
                <w:rFonts w:ascii="宋体" w:hAnsi="宋体"/>
                <w:snapToGrid w:val="0"/>
                <w:color w:val="000000"/>
                <w:szCs w:val="24"/>
              </w:rPr>
            </w:pPr>
            <w:r>
              <w:rPr>
                <w:rFonts w:hint="eastAsia" w:ascii="宋体" w:hAnsi="宋体"/>
                <w:snapToGrid w:val="0"/>
                <w:color w:val="auto"/>
                <w:szCs w:val="24"/>
              </w:rPr>
              <w:t>联系人：</w:t>
            </w:r>
          </w:p>
        </w:tc>
      </w:tr>
      <w:tr w14:paraId="486F06A4">
        <w:tblPrEx>
          <w:tblCellMar>
            <w:top w:w="0" w:type="dxa"/>
            <w:left w:w="108" w:type="dxa"/>
            <w:bottom w:w="0" w:type="dxa"/>
            <w:right w:w="108" w:type="dxa"/>
          </w:tblCellMar>
        </w:tblPrEx>
        <w:trPr>
          <w:cantSplit/>
          <w:trHeight w:val="429" w:hRule="exact"/>
          <w:jc w:val="center"/>
        </w:trPr>
        <w:tc>
          <w:tcPr>
            <w:tcW w:w="4946" w:type="dxa"/>
            <w:vAlign w:val="center"/>
          </w:tcPr>
          <w:p w14:paraId="5FEAC72B">
            <w:pPr>
              <w:autoSpaceDE w:val="0"/>
              <w:autoSpaceDN w:val="0"/>
              <w:snapToGrid w:val="0"/>
              <w:spacing w:line="360" w:lineRule="auto"/>
              <w:ind w:right="-16"/>
              <w:rPr>
                <w:rFonts w:ascii="宋体" w:hAnsi="宋体"/>
                <w:snapToGrid w:val="0"/>
                <w:color w:val="000000"/>
                <w:szCs w:val="24"/>
              </w:rPr>
            </w:pPr>
            <w:r>
              <w:rPr>
                <w:rFonts w:hint="eastAsia" w:ascii="宋体" w:hAnsi="宋体"/>
                <w:snapToGrid w:val="0"/>
                <w:color w:val="000000"/>
                <w:szCs w:val="24"/>
              </w:rPr>
              <w:t>电话：18688668393</w:t>
            </w:r>
          </w:p>
        </w:tc>
        <w:tc>
          <w:tcPr>
            <w:tcW w:w="5044" w:type="dxa"/>
            <w:vAlign w:val="center"/>
          </w:tcPr>
          <w:p w14:paraId="2BF3EADB">
            <w:pPr>
              <w:autoSpaceDE w:val="0"/>
              <w:autoSpaceDN w:val="0"/>
              <w:snapToGrid w:val="0"/>
              <w:spacing w:line="360" w:lineRule="auto"/>
              <w:ind w:right="-16" w:rightChars="0"/>
              <w:rPr>
                <w:rFonts w:ascii="宋体" w:hAnsi="宋体"/>
                <w:snapToGrid w:val="0"/>
                <w:color w:val="000000"/>
                <w:szCs w:val="24"/>
              </w:rPr>
            </w:pPr>
            <w:r>
              <w:rPr>
                <w:rFonts w:hint="eastAsia" w:ascii="宋体" w:hAnsi="宋体"/>
                <w:snapToGrid w:val="0"/>
                <w:color w:val="auto"/>
                <w:szCs w:val="24"/>
              </w:rPr>
              <w:t>电话：</w:t>
            </w:r>
          </w:p>
        </w:tc>
      </w:tr>
      <w:tr w14:paraId="73193FA6">
        <w:tblPrEx>
          <w:tblCellMar>
            <w:top w:w="0" w:type="dxa"/>
            <w:left w:w="108" w:type="dxa"/>
            <w:bottom w:w="0" w:type="dxa"/>
            <w:right w:w="108" w:type="dxa"/>
          </w:tblCellMar>
        </w:tblPrEx>
        <w:trPr>
          <w:cantSplit/>
          <w:trHeight w:val="434" w:hRule="exact"/>
          <w:jc w:val="center"/>
        </w:trPr>
        <w:tc>
          <w:tcPr>
            <w:tcW w:w="4946" w:type="dxa"/>
            <w:vAlign w:val="center"/>
          </w:tcPr>
          <w:p w14:paraId="25B72177">
            <w:pPr>
              <w:autoSpaceDE w:val="0"/>
              <w:autoSpaceDN w:val="0"/>
              <w:snapToGrid w:val="0"/>
              <w:spacing w:line="360" w:lineRule="auto"/>
              <w:ind w:right="-16"/>
              <w:rPr>
                <w:rFonts w:ascii="宋体" w:hAnsi="宋体"/>
                <w:snapToGrid w:val="0"/>
                <w:color w:val="000000"/>
                <w:szCs w:val="24"/>
              </w:rPr>
            </w:pPr>
            <w:r>
              <w:rPr>
                <w:rFonts w:hint="eastAsia" w:ascii="宋体" w:hAnsi="宋体"/>
                <w:snapToGrid w:val="0"/>
                <w:color w:val="000000"/>
                <w:szCs w:val="24"/>
              </w:rPr>
              <w:t xml:space="preserve">传真： </w:t>
            </w:r>
            <w:r>
              <w:rPr>
                <w:rFonts w:ascii="宋体" w:hAnsi="宋体"/>
                <w:snapToGrid w:val="0"/>
                <w:color w:val="000000"/>
                <w:szCs w:val="24"/>
              </w:rPr>
              <w:t xml:space="preserve"> </w:t>
            </w:r>
          </w:p>
        </w:tc>
        <w:tc>
          <w:tcPr>
            <w:tcW w:w="5044" w:type="dxa"/>
            <w:vAlign w:val="center"/>
          </w:tcPr>
          <w:p w14:paraId="78624C37">
            <w:pPr>
              <w:autoSpaceDE w:val="0"/>
              <w:autoSpaceDN w:val="0"/>
              <w:snapToGrid w:val="0"/>
              <w:spacing w:line="360" w:lineRule="auto"/>
              <w:ind w:right="-16" w:rightChars="0"/>
              <w:rPr>
                <w:rFonts w:ascii="宋体" w:hAnsi="宋体"/>
                <w:snapToGrid w:val="0"/>
                <w:color w:val="000000"/>
                <w:szCs w:val="24"/>
              </w:rPr>
            </w:pPr>
            <w:r>
              <w:rPr>
                <w:rFonts w:hint="eastAsia" w:ascii="宋体" w:hAnsi="宋体"/>
                <w:snapToGrid w:val="0"/>
                <w:color w:val="auto"/>
                <w:szCs w:val="24"/>
              </w:rPr>
              <w:t xml:space="preserve">传真： </w:t>
            </w:r>
            <w:r>
              <w:rPr>
                <w:rFonts w:ascii="宋体" w:hAnsi="宋体"/>
                <w:snapToGrid w:val="0"/>
                <w:color w:val="auto"/>
                <w:szCs w:val="24"/>
              </w:rPr>
              <w:t xml:space="preserve"> </w:t>
            </w:r>
          </w:p>
        </w:tc>
      </w:tr>
      <w:tr w14:paraId="4482C203">
        <w:tblPrEx>
          <w:tblCellMar>
            <w:top w:w="0" w:type="dxa"/>
            <w:left w:w="108" w:type="dxa"/>
            <w:bottom w:w="0" w:type="dxa"/>
            <w:right w:w="108" w:type="dxa"/>
          </w:tblCellMar>
        </w:tblPrEx>
        <w:trPr>
          <w:cantSplit/>
          <w:trHeight w:val="412" w:hRule="exact"/>
          <w:jc w:val="center"/>
        </w:trPr>
        <w:tc>
          <w:tcPr>
            <w:tcW w:w="4946" w:type="dxa"/>
            <w:vAlign w:val="center"/>
          </w:tcPr>
          <w:p w14:paraId="6D503F49">
            <w:pPr>
              <w:autoSpaceDE w:val="0"/>
              <w:autoSpaceDN w:val="0"/>
              <w:snapToGrid w:val="0"/>
              <w:spacing w:line="360" w:lineRule="auto"/>
              <w:ind w:right="-16"/>
              <w:rPr>
                <w:rFonts w:ascii="宋体" w:hAnsi="宋体"/>
                <w:snapToGrid w:val="0"/>
                <w:color w:val="000000"/>
                <w:szCs w:val="24"/>
              </w:rPr>
            </w:pPr>
            <w:r>
              <w:rPr>
                <w:rFonts w:hint="eastAsia" w:ascii="宋体" w:hAnsi="宋体"/>
                <w:snapToGrid w:val="0"/>
                <w:color w:val="000000"/>
                <w:szCs w:val="24"/>
              </w:rPr>
              <w:t xml:space="preserve">Email：   </w:t>
            </w:r>
            <w:r>
              <w:rPr>
                <w:rFonts w:ascii="宋体" w:hAnsi="宋体"/>
                <w:snapToGrid w:val="0"/>
                <w:color w:val="000000"/>
                <w:szCs w:val="24"/>
              </w:rPr>
              <w:t xml:space="preserve"> </w:t>
            </w:r>
          </w:p>
        </w:tc>
        <w:tc>
          <w:tcPr>
            <w:tcW w:w="5044" w:type="dxa"/>
            <w:vAlign w:val="center"/>
          </w:tcPr>
          <w:p w14:paraId="1F8622BC">
            <w:pPr>
              <w:autoSpaceDE w:val="0"/>
              <w:autoSpaceDN w:val="0"/>
              <w:snapToGrid w:val="0"/>
              <w:spacing w:line="360" w:lineRule="auto"/>
              <w:ind w:right="-16" w:rightChars="0"/>
              <w:rPr>
                <w:rFonts w:ascii="宋体" w:hAnsi="宋体"/>
                <w:snapToGrid w:val="0"/>
                <w:color w:val="000000"/>
                <w:szCs w:val="24"/>
              </w:rPr>
            </w:pPr>
            <w:r>
              <w:rPr>
                <w:rFonts w:hint="eastAsia" w:ascii="宋体" w:hAnsi="宋体"/>
                <w:snapToGrid w:val="0"/>
                <w:color w:val="auto"/>
                <w:szCs w:val="24"/>
              </w:rPr>
              <w:t xml:space="preserve">Email：       </w:t>
            </w:r>
          </w:p>
        </w:tc>
      </w:tr>
      <w:tr w14:paraId="1701952C">
        <w:tblPrEx>
          <w:tblCellMar>
            <w:top w:w="0" w:type="dxa"/>
            <w:left w:w="108" w:type="dxa"/>
            <w:bottom w:w="0" w:type="dxa"/>
            <w:right w:w="108" w:type="dxa"/>
          </w:tblCellMar>
        </w:tblPrEx>
        <w:trPr>
          <w:cantSplit/>
          <w:trHeight w:val="710" w:hRule="atLeast"/>
          <w:jc w:val="center"/>
        </w:trPr>
        <w:tc>
          <w:tcPr>
            <w:tcW w:w="4946" w:type="dxa"/>
            <w:vAlign w:val="center"/>
          </w:tcPr>
          <w:p w14:paraId="35CDA834">
            <w:pPr>
              <w:autoSpaceDE w:val="0"/>
              <w:autoSpaceDN w:val="0"/>
              <w:snapToGrid w:val="0"/>
              <w:spacing w:line="360" w:lineRule="auto"/>
              <w:ind w:right="-16"/>
              <w:rPr>
                <w:rFonts w:ascii="宋体" w:hAnsi="宋体"/>
                <w:snapToGrid w:val="0"/>
                <w:color w:val="000000"/>
                <w:szCs w:val="24"/>
              </w:rPr>
            </w:pPr>
            <w:r>
              <w:rPr>
                <w:rFonts w:hint="eastAsia" w:ascii="宋体" w:hAnsi="宋体"/>
                <w:snapToGrid w:val="0"/>
                <w:color w:val="000000"/>
                <w:szCs w:val="24"/>
              </w:rPr>
              <w:t xml:space="preserve">开户行：招商银行股份有限公司东莞分行营业部            </w:t>
            </w:r>
          </w:p>
        </w:tc>
        <w:tc>
          <w:tcPr>
            <w:tcW w:w="5044" w:type="dxa"/>
            <w:vAlign w:val="center"/>
          </w:tcPr>
          <w:p w14:paraId="01851A27">
            <w:pPr>
              <w:autoSpaceDE w:val="0"/>
              <w:autoSpaceDN w:val="0"/>
              <w:snapToGrid w:val="0"/>
              <w:spacing w:line="360" w:lineRule="auto"/>
              <w:ind w:right="-16" w:rightChars="0"/>
              <w:rPr>
                <w:rFonts w:ascii="宋体" w:hAnsi="宋体"/>
                <w:snapToGrid w:val="0"/>
                <w:color w:val="000000"/>
                <w:szCs w:val="24"/>
              </w:rPr>
            </w:pPr>
            <w:r>
              <w:rPr>
                <w:rFonts w:hint="eastAsia" w:ascii="宋体" w:hAnsi="宋体"/>
                <w:snapToGrid w:val="0"/>
                <w:color w:val="auto"/>
                <w:szCs w:val="24"/>
              </w:rPr>
              <w:t xml:space="preserve">开户行：   </w:t>
            </w:r>
          </w:p>
        </w:tc>
      </w:tr>
      <w:tr w14:paraId="3FF19E10">
        <w:tblPrEx>
          <w:tblCellMar>
            <w:top w:w="0" w:type="dxa"/>
            <w:left w:w="108" w:type="dxa"/>
            <w:bottom w:w="0" w:type="dxa"/>
            <w:right w:w="108" w:type="dxa"/>
          </w:tblCellMar>
        </w:tblPrEx>
        <w:trPr>
          <w:cantSplit/>
          <w:trHeight w:val="429" w:hRule="exact"/>
          <w:jc w:val="center"/>
        </w:trPr>
        <w:tc>
          <w:tcPr>
            <w:tcW w:w="4946" w:type="dxa"/>
            <w:vAlign w:val="center"/>
          </w:tcPr>
          <w:p w14:paraId="4E490ED7">
            <w:pPr>
              <w:autoSpaceDE w:val="0"/>
              <w:autoSpaceDN w:val="0"/>
              <w:snapToGrid w:val="0"/>
              <w:spacing w:line="360" w:lineRule="auto"/>
              <w:ind w:right="-16"/>
              <w:rPr>
                <w:rFonts w:ascii="宋体" w:hAnsi="宋体"/>
                <w:snapToGrid w:val="0"/>
                <w:color w:val="000000"/>
                <w:szCs w:val="24"/>
              </w:rPr>
            </w:pPr>
            <w:r>
              <w:rPr>
                <w:rFonts w:hint="eastAsia" w:ascii="宋体" w:hAnsi="宋体"/>
                <w:snapToGrid w:val="0"/>
                <w:color w:val="000000"/>
                <w:szCs w:val="24"/>
              </w:rPr>
              <w:t>账号：769911311010888</w:t>
            </w:r>
          </w:p>
        </w:tc>
        <w:tc>
          <w:tcPr>
            <w:tcW w:w="5044" w:type="dxa"/>
            <w:vAlign w:val="center"/>
          </w:tcPr>
          <w:p w14:paraId="681F741A">
            <w:pPr>
              <w:autoSpaceDE w:val="0"/>
              <w:autoSpaceDN w:val="0"/>
              <w:snapToGrid w:val="0"/>
              <w:spacing w:line="360" w:lineRule="auto"/>
              <w:ind w:right="-16" w:rightChars="0"/>
              <w:rPr>
                <w:rFonts w:ascii="宋体" w:hAnsi="宋体"/>
                <w:snapToGrid w:val="0"/>
                <w:color w:val="000000"/>
                <w:szCs w:val="24"/>
              </w:rPr>
            </w:pPr>
            <w:r>
              <w:rPr>
                <w:rFonts w:hint="eastAsia" w:ascii="宋体" w:hAnsi="宋体"/>
                <w:snapToGrid w:val="0"/>
                <w:color w:val="auto"/>
                <w:szCs w:val="24"/>
              </w:rPr>
              <w:t>账号：</w:t>
            </w:r>
          </w:p>
        </w:tc>
      </w:tr>
      <w:tr w14:paraId="69D2A9CD">
        <w:tblPrEx>
          <w:tblCellMar>
            <w:top w:w="0" w:type="dxa"/>
            <w:left w:w="108" w:type="dxa"/>
            <w:bottom w:w="0" w:type="dxa"/>
            <w:right w:w="108" w:type="dxa"/>
          </w:tblCellMar>
        </w:tblPrEx>
        <w:trPr>
          <w:cantSplit/>
          <w:trHeight w:val="435" w:hRule="exact"/>
          <w:jc w:val="center"/>
        </w:trPr>
        <w:tc>
          <w:tcPr>
            <w:tcW w:w="4946" w:type="dxa"/>
            <w:vAlign w:val="center"/>
          </w:tcPr>
          <w:p w14:paraId="1A6CC923">
            <w:pPr>
              <w:autoSpaceDE w:val="0"/>
              <w:autoSpaceDN w:val="0"/>
              <w:snapToGrid w:val="0"/>
              <w:spacing w:line="360" w:lineRule="auto"/>
              <w:ind w:right="-16"/>
              <w:rPr>
                <w:rFonts w:ascii="宋体" w:hAnsi="宋体"/>
                <w:snapToGrid w:val="0"/>
                <w:color w:val="000000"/>
                <w:szCs w:val="24"/>
              </w:rPr>
            </w:pPr>
            <w:r>
              <w:rPr>
                <w:rFonts w:hint="eastAsia" w:ascii="宋体" w:hAnsi="宋体"/>
                <w:snapToGrid w:val="0"/>
                <w:color w:val="000000"/>
                <w:szCs w:val="24"/>
              </w:rPr>
              <w:t>税号：91441900MAC3JYJ25T</w:t>
            </w:r>
          </w:p>
        </w:tc>
        <w:tc>
          <w:tcPr>
            <w:tcW w:w="5044" w:type="dxa"/>
            <w:vAlign w:val="center"/>
          </w:tcPr>
          <w:p w14:paraId="1A264540">
            <w:pPr>
              <w:autoSpaceDE w:val="0"/>
              <w:autoSpaceDN w:val="0"/>
              <w:snapToGrid w:val="0"/>
              <w:spacing w:line="360" w:lineRule="auto"/>
              <w:ind w:right="-16" w:rightChars="0"/>
              <w:rPr>
                <w:rFonts w:ascii="宋体" w:hAnsi="宋体"/>
                <w:snapToGrid w:val="0"/>
                <w:color w:val="000000"/>
                <w:szCs w:val="24"/>
              </w:rPr>
            </w:pPr>
            <w:r>
              <w:rPr>
                <w:rFonts w:hint="eastAsia" w:ascii="宋体" w:hAnsi="宋体"/>
                <w:snapToGrid w:val="0"/>
                <w:color w:val="auto"/>
                <w:szCs w:val="24"/>
              </w:rPr>
              <w:t>税号：</w:t>
            </w:r>
          </w:p>
        </w:tc>
      </w:tr>
    </w:tbl>
    <w:p w14:paraId="037DCC7A">
      <w:pPr>
        <w:autoSpaceDE w:val="0"/>
        <w:autoSpaceDN w:val="0"/>
        <w:snapToGrid w:val="0"/>
        <w:spacing w:line="360" w:lineRule="auto"/>
        <w:ind w:right="-17" w:firstLine="422" w:firstLineChars="176"/>
        <w:jc w:val="center"/>
        <w:rPr>
          <w:color w:val="000000"/>
        </w:rPr>
      </w:pPr>
    </w:p>
    <w:p w14:paraId="6F5094F8">
      <w:pPr>
        <w:autoSpaceDE w:val="0"/>
        <w:autoSpaceDN w:val="0"/>
        <w:snapToGrid w:val="0"/>
        <w:spacing w:line="360" w:lineRule="auto"/>
        <w:ind w:right="-17" w:firstLine="422" w:firstLineChars="176"/>
        <w:jc w:val="center"/>
        <w:rPr>
          <w:color w:val="000000"/>
        </w:rPr>
      </w:pPr>
    </w:p>
    <w:p w14:paraId="3EF932F9">
      <w:pPr>
        <w:spacing w:line="360" w:lineRule="auto"/>
        <w:rPr>
          <w:rFonts w:hint="eastAsia"/>
        </w:rPr>
      </w:pPr>
    </w:p>
    <w:sectPr>
      <w:headerReference r:id="rId9" w:type="default"/>
      <w:footerReference r:id="rId10" w:type="default"/>
      <w:pgSz w:w="11906" w:h="16838"/>
      <w:pgMar w:top="1418" w:right="1134" w:bottom="1418" w:left="1134" w:header="851" w:footer="680" w:gutter="284"/>
      <w:cols w:space="720"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Arial Black">
    <w:panose1 w:val="020B0A04020102020204"/>
    <w:charset w:val="00"/>
    <w:family w:val="swiss"/>
    <w:pitch w:val="default"/>
    <w:sig w:usb0="A00002AF" w:usb1="400078FB" w:usb2="00000000" w:usb3="00000000" w:csb0="6000009F" w:csb1="DFD70000"/>
  </w:font>
  <w:font w:name="Impact">
    <w:panose1 w:val="020B0806030902050204"/>
    <w:charset w:val="00"/>
    <w:family w:val="swiss"/>
    <w:pitch w:val="default"/>
    <w:sig w:usb0="00000287" w:usb1="00000000" w:usb2="00000000" w:usb3="00000000" w:csb0="2000009F" w:csb1="DFD7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94B8">
    <w:pPr>
      <w:pStyle w:val="8"/>
      <w:jc w:val="center"/>
    </w:pPr>
    <w:r>
      <w:fldChar w:fldCharType="begin"/>
    </w:r>
    <w:r>
      <w:instrText xml:space="preserve">PAGE   \* MERGEFORMAT</w:instrText>
    </w:r>
    <w:r>
      <w:fldChar w:fldCharType="separate"/>
    </w:r>
    <w:r>
      <w:rPr>
        <w:lang w:val="zh-CN" w:eastAsia="zh-CN"/>
      </w:rPr>
      <w:t>-</w:t>
    </w:r>
    <w:r>
      <w:rPr>
        <w:lang w:val="en-US" w:eastAsia="zh-CN"/>
      </w:rPr>
      <w:t xml:space="preserve"> 2 -</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AEECB">
    <w:pPr>
      <w:pStyle w:val="8"/>
      <w:jc w:val="right"/>
    </w:pPr>
    <w:r>
      <w:rPr>
        <w:rFonts w:hint="eastAsia"/>
      </w:rPr>
      <w:t>保存年限：10年</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7D882">
    <w:pPr>
      <w:pStyle w:val="8"/>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en-US" w:eastAsia="zh-CN"/>
      </w:rPr>
      <w:t>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en-US" w:eastAsia="zh-CN"/>
      </w:rPr>
      <w:t>8</w:t>
    </w:r>
    <w:r>
      <w:rPr>
        <w:b/>
        <w:bCs/>
        <w:sz w:val="24"/>
        <w:szCs w:val="24"/>
      </w:rPr>
      <w:fldChar w:fldCharType="end"/>
    </w:r>
    <w:r>
      <w:rPr>
        <w:rFonts w:hint="eastAsia"/>
        <w:b/>
        <w:bCs/>
        <w:sz w:val="24"/>
        <w:szCs w:val="24"/>
      </w:rPr>
      <w:t xml:space="preserve">                </w:t>
    </w:r>
    <w:r>
      <w:rPr>
        <w:rFonts w:hint="eastAsia"/>
      </w:rPr>
      <w:t xml:space="preserve">                                                         </w:t>
    </w:r>
    <w:r>
      <w:rPr>
        <w:rFonts w:hint="eastAsia"/>
      </w:rPr>
      <w:br w:type="textWrapping" w:clear="none"/>
    </w:r>
    <w:r>
      <w:rPr>
        <w:rFonts w:hint="eastAsia"/>
      </w:rPr>
      <w:t xml:space="preserve">                                                                                       保存年限：10年</w:t>
    </w:r>
  </w:p>
  <w:p w14:paraId="3F07252D">
    <w:pPr>
      <w:pStyle w:val="8"/>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AE42B">
    <w:pPr>
      <w:tabs>
        <w:tab w:val="left" w:pos="6255"/>
        <w:tab w:val="left" w:pos="6885"/>
        <w:tab w:val="left" w:pos="9356"/>
      </w:tabs>
      <w:ind w:left="-2" w:leftChars="-1" w:right="-2" w:firstLine="2"/>
      <w:rPr>
        <w:rFonts w:ascii="宋体" w:hAnsi="宋体"/>
        <w:szCs w:val="24"/>
        <w:u w:val="single"/>
      </w:rPr>
    </w:pPr>
    <w:r>
      <w:rPr>
        <w:rFonts w:hint="eastAsia" w:ascii="宋体" w:hAnsi="宋体"/>
        <w:szCs w:val="24"/>
        <w:u w:val="single"/>
      </w:rPr>
      <w:t>TELD-HT-EM-001</w:t>
    </w:r>
    <w:r>
      <w:rPr>
        <w:rFonts w:ascii="宋体" w:hAnsi="宋体"/>
        <w:szCs w:val="24"/>
        <w:u w:val="single"/>
      </w:rPr>
      <w:t>4</w:t>
    </w:r>
    <w:r>
      <w:rPr>
        <w:rFonts w:hint="eastAsia" w:ascii="宋体" w:hAnsi="宋体"/>
        <w:szCs w:val="24"/>
        <w:u w:val="single"/>
      </w:rPr>
      <w:t xml:space="preserve">      </w:t>
    </w:r>
    <w:r>
      <w:rPr>
        <w:rFonts w:ascii="宋体" w:hAnsi="宋体"/>
        <w:szCs w:val="24"/>
        <w:u w:val="single"/>
      </w:rPr>
      <w:t xml:space="preserve"> </w:t>
    </w:r>
    <w:r>
      <w:rPr>
        <w:rFonts w:hint="eastAsia" w:ascii="宋体" w:hAnsi="宋体"/>
        <w:szCs w:val="24"/>
        <w:u w:val="single"/>
      </w:rPr>
      <w:t xml:space="preserve">      </w:t>
    </w:r>
    <w:r>
      <w:rPr>
        <w:rFonts w:ascii="宋体" w:hAnsi="宋体"/>
        <w:szCs w:val="24"/>
        <w:u w:val="single"/>
      </w:rPr>
      <w:t xml:space="preserve">  </w:t>
    </w:r>
    <w:r>
      <w:rPr>
        <w:rFonts w:hint="eastAsia" w:ascii="宋体" w:hAnsi="宋体"/>
        <w:szCs w:val="24"/>
        <w:u w:val="single"/>
      </w:rPr>
      <w:t xml:space="preserve">   充电项目固定总价设计合同        </w:t>
    </w:r>
    <w:r>
      <w:rPr>
        <w:rFonts w:ascii="宋体" w:hAnsi="宋体"/>
        <w:szCs w:val="24"/>
        <w:u w:val="single"/>
      </w:rPr>
      <w:t xml:space="preserve">  </w:t>
    </w:r>
    <w:r>
      <w:rPr>
        <w:rFonts w:hint="eastAsia" w:ascii="宋体" w:hAnsi="宋体"/>
        <w:szCs w:val="24"/>
        <w:u w:val="single"/>
      </w:rPr>
      <w:t xml:space="preserve">            版本：01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191EE">
    <w:pPr>
      <w:pStyle w:val="9"/>
      <w:jc w:val="both"/>
      <w:rPr>
        <w:rFonts w:ascii="宋体" w:hAnsi="宋体"/>
        <w:sz w:val="21"/>
      </w:rPr>
    </w:pPr>
    <w:r>
      <w:rPr>
        <w:rFonts w:hint="eastAsia" w:ascii="宋体" w:hAnsi="宋体"/>
        <w:sz w:val="21"/>
      </w:rPr>
      <w:t>TELD-G4(EC)-11-S009-004/V3.0       充电项目咨询服务合同（固定总价）       保密等级：一般</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4845F">
    <w:pPr>
      <w:pStyle w:val="9"/>
      <w:jc w:val="both"/>
      <w:rPr>
        <w:rFonts w:ascii="宋体" w:hAnsi="宋体"/>
        <w:sz w:val="21"/>
      </w:rPr>
    </w:pPr>
    <w:r>
      <w:rPr>
        <w:rFonts w:hint="eastAsia" w:ascii="宋体" w:hAnsi="宋体"/>
        <w:sz w:val="21"/>
      </w:rPr>
      <w:t>TELD-G4(EC)-11-S009-004/V3.0        充电项目咨询服务合同（固定总价）       保密等级：一般</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AC6C4F"/>
    <w:multiLevelType w:val="multilevel"/>
    <w:tmpl w:val="00AC6C4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1BC387B"/>
    <w:multiLevelType w:val="multilevel"/>
    <w:tmpl w:val="01BC387B"/>
    <w:lvl w:ilvl="0" w:tentative="0">
      <w:start w:val="1"/>
      <w:numFmt w:val="decimal"/>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
    <w:nsid w:val="0AD40EE9"/>
    <w:multiLevelType w:val="multilevel"/>
    <w:tmpl w:val="0AD40EE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9DC41AB"/>
    <w:multiLevelType w:val="multilevel"/>
    <w:tmpl w:val="19DC41A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39B2C0C"/>
    <w:multiLevelType w:val="multilevel"/>
    <w:tmpl w:val="239B2C0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CDD81FE"/>
    <w:multiLevelType w:val="singleLevel"/>
    <w:tmpl w:val="2CDD81FE"/>
    <w:lvl w:ilvl="0" w:tentative="0">
      <w:start w:val="1"/>
      <w:numFmt w:val="decimal"/>
      <w:lvlText w:val="%1."/>
      <w:lvlJc w:val="left"/>
      <w:pPr>
        <w:tabs>
          <w:tab w:val="left" w:pos="312"/>
        </w:tabs>
      </w:pPr>
    </w:lvl>
  </w:abstractNum>
  <w:abstractNum w:abstractNumId="6">
    <w:nsid w:val="5FCA207A"/>
    <w:multiLevelType w:val="multilevel"/>
    <w:tmpl w:val="5FCA207A"/>
    <w:lvl w:ilvl="0" w:tentative="0">
      <w:start w:val="1"/>
      <w:numFmt w:val="chineseCountingThousand"/>
      <w:pStyle w:val="38"/>
      <w:lvlText w:val="(%1)"/>
      <w:lvlJc w:val="left"/>
      <w:pPr>
        <w:ind w:left="420" w:hanging="420"/>
      </w:pPr>
      <w:rPr>
        <w:rFonts w:cs="Times New Roman"/>
        <w:sz w:val="24"/>
        <w:szCs w:val="24"/>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7">
    <w:nsid w:val="71650501"/>
    <w:multiLevelType w:val="multilevel"/>
    <w:tmpl w:val="71650501"/>
    <w:lvl w:ilvl="0" w:tentative="0">
      <w:start w:val="1"/>
      <w:numFmt w:val="decimal"/>
      <w:pStyle w:val="30"/>
      <w:suff w:val="nothing"/>
      <w:lvlText w:val="%1."/>
      <w:lvlJc w:val="left"/>
      <w:pPr>
        <w:ind w:left="198" w:firstLine="227"/>
      </w:pPr>
      <w:rPr>
        <w:rFonts w:hint="eastAsia"/>
      </w:rPr>
    </w:lvl>
    <w:lvl w:ilvl="1" w:tentative="0">
      <w:start w:val="1"/>
      <w:numFmt w:val="lowerLetter"/>
      <w:lvlText w:val="%2)"/>
      <w:lvlJc w:val="left"/>
      <w:pPr>
        <w:ind w:left="1178" w:hanging="420"/>
      </w:pPr>
    </w:lvl>
    <w:lvl w:ilvl="2" w:tentative="0">
      <w:start w:val="1"/>
      <w:numFmt w:val="lowerRoman"/>
      <w:lvlText w:val="%3."/>
      <w:lvlJc w:val="right"/>
      <w:pPr>
        <w:ind w:left="1598" w:hanging="420"/>
      </w:pPr>
    </w:lvl>
    <w:lvl w:ilvl="3" w:tentative="0">
      <w:start w:val="1"/>
      <w:numFmt w:val="decimal"/>
      <w:lvlText w:val="%4."/>
      <w:lvlJc w:val="left"/>
      <w:pPr>
        <w:ind w:left="2018" w:hanging="420"/>
      </w:pPr>
    </w:lvl>
    <w:lvl w:ilvl="4" w:tentative="0">
      <w:start w:val="1"/>
      <w:numFmt w:val="lowerLetter"/>
      <w:lvlText w:val="%5)"/>
      <w:lvlJc w:val="left"/>
      <w:pPr>
        <w:ind w:left="2438" w:hanging="420"/>
      </w:pPr>
    </w:lvl>
    <w:lvl w:ilvl="5" w:tentative="0">
      <w:start w:val="1"/>
      <w:numFmt w:val="lowerRoman"/>
      <w:lvlText w:val="%6."/>
      <w:lvlJc w:val="right"/>
      <w:pPr>
        <w:ind w:left="2858" w:hanging="420"/>
      </w:pPr>
    </w:lvl>
    <w:lvl w:ilvl="6" w:tentative="0">
      <w:start w:val="1"/>
      <w:numFmt w:val="decimal"/>
      <w:lvlText w:val="%7."/>
      <w:lvlJc w:val="left"/>
      <w:pPr>
        <w:ind w:left="3278" w:hanging="420"/>
      </w:pPr>
    </w:lvl>
    <w:lvl w:ilvl="7" w:tentative="0">
      <w:start w:val="1"/>
      <w:numFmt w:val="lowerLetter"/>
      <w:lvlText w:val="%8)"/>
      <w:lvlJc w:val="left"/>
      <w:pPr>
        <w:ind w:left="3698" w:hanging="420"/>
      </w:pPr>
    </w:lvl>
    <w:lvl w:ilvl="8" w:tentative="0">
      <w:start w:val="1"/>
      <w:numFmt w:val="lowerRoman"/>
      <w:lvlText w:val="%9."/>
      <w:lvlJc w:val="right"/>
      <w:pPr>
        <w:ind w:left="4118" w:hanging="420"/>
      </w:pPr>
    </w:lvl>
  </w:abstractNum>
  <w:abstractNum w:abstractNumId="8">
    <w:nsid w:val="7B3B5FB1"/>
    <w:multiLevelType w:val="multilevel"/>
    <w:tmpl w:val="7B3B5FB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decimal"/>
      <w:lvlText w:val="%3."/>
      <w:lvlJc w:val="lef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7F2468BB"/>
    <w:multiLevelType w:val="multilevel"/>
    <w:tmpl w:val="7F2468B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7"/>
  </w:num>
  <w:num w:numId="2">
    <w:abstractNumId w:val="6"/>
  </w:num>
  <w:num w:numId="3">
    <w:abstractNumId w:val="5"/>
  </w:num>
  <w:num w:numId="4">
    <w:abstractNumId w:val="4"/>
  </w:num>
  <w:num w:numId="5">
    <w:abstractNumId w:val="0"/>
  </w:num>
  <w:num w:numId="6">
    <w:abstractNumId w:val="9"/>
  </w:num>
  <w:num w:numId="7">
    <w:abstractNumId w:val="3"/>
  </w:num>
  <w:num w:numId="8">
    <w:abstractNumId w:val="2"/>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attachedTemplate r:id="rId1"/>
  <w:documentProtection w:edit="readOnly" w:enforcement="0"/>
  <w:defaultTabStop w:val="420"/>
  <w:drawingGridHorizontalSpacing w:val="120"/>
  <w:drawingGridVerticalSpacing w:val="163"/>
  <w:displayHorizontalDrawingGridEvery w:val="0"/>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F1AE8"/>
    <w:rsid w:val="000007DB"/>
    <w:rsid w:val="0001079A"/>
    <w:rsid w:val="00024031"/>
    <w:rsid w:val="00027C3F"/>
    <w:rsid w:val="00036126"/>
    <w:rsid w:val="00043102"/>
    <w:rsid w:val="00043F9C"/>
    <w:rsid w:val="00044D9A"/>
    <w:rsid w:val="000452DE"/>
    <w:rsid w:val="00045B54"/>
    <w:rsid w:val="00046DA7"/>
    <w:rsid w:val="00050AA4"/>
    <w:rsid w:val="00052F3B"/>
    <w:rsid w:val="00060C72"/>
    <w:rsid w:val="00060E86"/>
    <w:rsid w:val="00061854"/>
    <w:rsid w:val="00063C97"/>
    <w:rsid w:val="00066E65"/>
    <w:rsid w:val="000701C9"/>
    <w:rsid w:val="000833DC"/>
    <w:rsid w:val="00084539"/>
    <w:rsid w:val="0008464E"/>
    <w:rsid w:val="00095682"/>
    <w:rsid w:val="000962AD"/>
    <w:rsid w:val="00097E8B"/>
    <w:rsid w:val="000A015A"/>
    <w:rsid w:val="000A2D1D"/>
    <w:rsid w:val="000A5BC7"/>
    <w:rsid w:val="000B4B2F"/>
    <w:rsid w:val="000B4DDA"/>
    <w:rsid w:val="000C4B55"/>
    <w:rsid w:val="000C75C2"/>
    <w:rsid w:val="000D322F"/>
    <w:rsid w:val="000E77EE"/>
    <w:rsid w:val="000E7E64"/>
    <w:rsid w:val="000F01EF"/>
    <w:rsid w:val="000F31C3"/>
    <w:rsid w:val="000F6C38"/>
    <w:rsid w:val="001014CE"/>
    <w:rsid w:val="00104972"/>
    <w:rsid w:val="00104A9F"/>
    <w:rsid w:val="001053DB"/>
    <w:rsid w:val="00107AAF"/>
    <w:rsid w:val="00110AB1"/>
    <w:rsid w:val="00111E5D"/>
    <w:rsid w:val="00112187"/>
    <w:rsid w:val="0011416D"/>
    <w:rsid w:val="00116257"/>
    <w:rsid w:val="00124827"/>
    <w:rsid w:val="0013328E"/>
    <w:rsid w:val="0013483B"/>
    <w:rsid w:val="00136848"/>
    <w:rsid w:val="00137258"/>
    <w:rsid w:val="001418A8"/>
    <w:rsid w:val="001450ED"/>
    <w:rsid w:val="0014724B"/>
    <w:rsid w:val="00147A13"/>
    <w:rsid w:val="00155C77"/>
    <w:rsid w:val="00163094"/>
    <w:rsid w:val="00163DE7"/>
    <w:rsid w:val="00164C46"/>
    <w:rsid w:val="001650C5"/>
    <w:rsid w:val="0016533F"/>
    <w:rsid w:val="00165DE8"/>
    <w:rsid w:val="001734FA"/>
    <w:rsid w:val="001743AA"/>
    <w:rsid w:val="001747BA"/>
    <w:rsid w:val="00183C3B"/>
    <w:rsid w:val="00185329"/>
    <w:rsid w:val="00191E45"/>
    <w:rsid w:val="00193F0C"/>
    <w:rsid w:val="00195F71"/>
    <w:rsid w:val="001A43BB"/>
    <w:rsid w:val="001A5712"/>
    <w:rsid w:val="001A744C"/>
    <w:rsid w:val="001B5F92"/>
    <w:rsid w:val="001C246F"/>
    <w:rsid w:val="001C363B"/>
    <w:rsid w:val="001D1AD0"/>
    <w:rsid w:val="001D24C0"/>
    <w:rsid w:val="001D3002"/>
    <w:rsid w:val="001D741B"/>
    <w:rsid w:val="001D7B7E"/>
    <w:rsid w:val="001E0241"/>
    <w:rsid w:val="001E2050"/>
    <w:rsid w:val="001E3ED8"/>
    <w:rsid w:val="001F1BA0"/>
    <w:rsid w:val="001F25F6"/>
    <w:rsid w:val="001F6740"/>
    <w:rsid w:val="00204FC5"/>
    <w:rsid w:val="002107B9"/>
    <w:rsid w:val="00215893"/>
    <w:rsid w:val="00215A74"/>
    <w:rsid w:val="002212D0"/>
    <w:rsid w:val="00223D1D"/>
    <w:rsid w:val="00237D60"/>
    <w:rsid w:val="0024051F"/>
    <w:rsid w:val="00242D35"/>
    <w:rsid w:val="00247580"/>
    <w:rsid w:val="00252A08"/>
    <w:rsid w:val="00252D33"/>
    <w:rsid w:val="00255B1B"/>
    <w:rsid w:val="0025643D"/>
    <w:rsid w:val="00270F7C"/>
    <w:rsid w:val="00273D39"/>
    <w:rsid w:val="00276FA0"/>
    <w:rsid w:val="0027710E"/>
    <w:rsid w:val="00277BC7"/>
    <w:rsid w:val="002818A6"/>
    <w:rsid w:val="00281B81"/>
    <w:rsid w:val="00284542"/>
    <w:rsid w:val="00292042"/>
    <w:rsid w:val="002970C6"/>
    <w:rsid w:val="00297DE5"/>
    <w:rsid w:val="00297DF4"/>
    <w:rsid w:val="002A13FB"/>
    <w:rsid w:val="002A3369"/>
    <w:rsid w:val="002A40C3"/>
    <w:rsid w:val="002A66DD"/>
    <w:rsid w:val="002B0DF4"/>
    <w:rsid w:val="002B26B2"/>
    <w:rsid w:val="002B4149"/>
    <w:rsid w:val="002B58B6"/>
    <w:rsid w:val="002B6A07"/>
    <w:rsid w:val="002C1DB0"/>
    <w:rsid w:val="002C27E8"/>
    <w:rsid w:val="002C7308"/>
    <w:rsid w:val="002C7C63"/>
    <w:rsid w:val="002D0EDE"/>
    <w:rsid w:val="002D54CD"/>
    <w:rsid w:val="002E24CA"/>
    <w:rsid w:val="002E6036"/>
    <w:rsid w:val="002F3646"/>
    <w:rsid w:val="003025EE"/>
    <w:rsid w:val="003026C0"/>
    <w:rsid w:val="00306583"/>
    <w:rsid w:val="00316E13"/>
    <w:rsid w:val="003221FF"/>
    <w:rsid w:val="0032692D"/>
    <w:rsid w:val="00333EE1"/>
    <w:rsid w:val="003370B8"/>
    <w:rsid w:val="00341AB1"/>
    <w:rsid w:val="00342BB3"/>
    <w:rsid w:val="00352BD1"/>
    <w:rsid w:val="00356159"/>
    <w:rsid w:val="00356E58"/>
    <w:rsid w:val="00364F95"/>
    <w:rsid w:val="00366915"/>
    <w:rsid w:val="0037642F"/>
    <w:rsid w:val="003814C2"/>
    <w:rsid w:val="00381812"/>
    <w:rsid w:val="003853AA"/>
    <w:rsid w:val="003856CE"/>
    <w:rsid w:val="0038605C"/>
    <w:rsid w:val="0038741D"/>
    <w:rsid w:val="003906AD"/>
    <w:rsid w:val="003918EB"/>
    <w:rsid w:val="00392198"/>
    <w:rsid w:val="00392238"/>
    <w:rsid w:val="0039262A"/>
    <w:rsid w:val="003B46B6"/>
    <w:rsid w:val="003C688E"/>
    <w:rsid w:val="003D0F67"/>
    <w:rsid w:val="003D3129"/>
    <w:rsid w:val="003E0289"/>
    <w:rsid w:val="003E4201"/>
    <w:rsid w:val="003E69CF"/>
    <w:rsid w:val="003E784B"/>
    <w:rsid w:val="003F0256"/>
    <w:rsid w:val="003F1440"/>
    <w:rsid w:val="00401725"/>
    <w:rsid w:val="00401A2D"/>
    <w:rsid w:val="00402261"/>
    <w:rsid w:val="00403E65"/>
    <w:rsid w:val="004073EA"/>
    <w:rsid w:val="0041758F"/>
    <w:rsid w:val="0042000F"/>
    <w:rsid w:val="00421DEC"/>
    <w:rsid w:val="004229FF"/>
    <w:rsid w:val="00427D99"/>
    <w:rsid w:val="0044548E"/>
    <w:rsid w:val="00447208"/>
    <w:rsid w:val="00453BB2"/>
    <w:rsid w:val="00461CC0"/>
    <w:rsid w:val="004641C1"/>
    <w:rsid w:val="00464370"/>
    <w:rsid w:val="00466AC2"/>
    <w:rsid w:val="00467E35"/>
    <w:rsid w:val="004700B4"/>
    <w:rsid w:val="0047181F"/>
    <w:rsid w:val="00473432"/>
    <w:rsid w:val="00492456"/>
    <w:rsid w:val="00492E07"/>
    <w:rsid w:val="00494642"/>
    <w:rsid w:val="0049632B"/>
    <w:rsid w:val="00497F02"/>
    <w:rsid w:val="004A115E"/>
    <w:rsid w:val="004A483D"/>
    <w:rsid w:val="004A7101"/>
    <w:rsid w:val="004B10FE"/>
    <w:rsid w:val="004B17A3"/>
    <w:rsid w:val="004B3361"/>
    <w:rsid w:val="004B3952"/>
    <w:rsid w:val="004B3DFA"/>
    <w:rsid w:val="004C138B"/>
    <w:rsid w:val="004C5E34"/>
    <w:rsid w:val="004C66A3"/>
    <w:rsid w:val="004D037B"/>
    <w:rsid w:val="004D2415"/>
    <w:rsid w:val="004E0F3F"/>
    <w:rsid w:val="004E30DB"/>
    <w:rsid w:val="004E4005"/>
    <w:rsid w:val="004F2CAE"/>
    <w:rsid w:val="004F2F47"/>
    <w:rsid w:val="004F7CF9"/>
    <w:rsid w:val="005157EE"/>
    <w:rsid w:val="0052394F"/>
    <w:rsid w:val="00523D74"/>
    <w:rsid w:val="005245F5"/>
    <w:rsid w:val="0052558E"/>
    <w:rsid w:val="0052637D"/>
    <w:rsid w:val="00526957"/>
    <w:rsid w:val="0053484A"/>
    <w:rsid w:val="005372F7"/>
    <w:rsid w:val="005433FE"/>
    <w:rsid w:val="005441B0"/>
    <w:rsid w:val="00544750"/>
    <w:rsid w:val="00547119"/>
    <w:rsid w:val="0054768F"/>
    <w:rsid w:val="00550718"/>
    <w:rsid w:val="00554FB8"/>
    <w:rsid w:val="00556963"/>
    <w:rsid w:val="005600C4"/>
    <w:rsid w:val="00566CC2"/>
    <w:rsid w:val="0057056C"/>
    <w:rsid w:val="00571056"/>
    <w:rsid w:val="00573480"/>
    <w:rsid w:val="00577B6C"/>
    <w:rsid w:val="00581CB1"/>
    <w:rsid w:val="00581DE8"/>
    <w:rsid w:val="00583590"/>
    <w:rsid w:val="00586158"/>
    <w:rsid w:val="00591937"/>
    <w:rsid w:val="00595989"/>
    <w:rsid w:val="005A0893"/>
    <w:rsid w:val="005A16CD"/>
    <w:rsid w:val="005A1857"/>
    <w:rsid w:val="005A4245"/>
    <w:rsid w:val="005A472B"/>
    <w:rsid w:val="005C00D9"/>
    <w:rsid w:val="005C1A9B"/>
    <w:rsid w:val="005C47CC"/>
    <w:rsid w:val="005C5D04"/>
    <w:rsid w:val="005C7221"/>
    <w:rsid w:val="005D29C4"/>
    <w:rsid w:val="005E3791"/>
    <w:rsid w:val="005E4948"/>
    <w:rsid w:val="005E4B46"/>
    <w:rsid w:val="005E5ACD"/>
    <w:rsid w:val="005E749A"/>
    <w:rsid w:val="005E7572"/>
    <w:rsid w:val="005F0DE7"/>
    <w:rsid w:val="005F1F81"/>
    <w:rsid w:val="005F51DA"/>
    <w:rsid w:val="0060093F"/>
    <w:rsid w:val="00600F4A"/>
    <w:rsid w:val="00604C06"/>
    <w:rsid w:val="00611E1A"/>
    <w:rsid w:val="00614977"/>
    <w:rsid w:val="00615014"/>
    <w:rsid w:val="00617E71"/>
    <w:rsid w:val="00621DDA"/>
    <w:rsid w:val="0062277E"/>
    <w:rsid w:val="00623497"/>
    <w:rsid w:val="00626608"/>
    <w:rsid w:val="00630C96"/>
    <w:rsid w:val="00631C51"/>
    <w:rsid w:val="00637DC0"/>
    <w:rsid w:val="00640524"/>
    <w:rsid w:val="00646C72"/>
    <w:rsid w:val="00647A47"/>
    <w:rsid w:val="00647DC6"/>
    <w:rsid w:val="006531BD"/>
    <w:rsid w:val="00657847"/>
    <w:rsid w:val="006619B9"/>
    <w:rsid w:val="00661CDC"/>
    <w:rsid w:val="0066209D"/>
    <w:rsid w:val="00663A9C"/>
    <w:rsid w:val="00670C4B"/>
    <w:rsid w:val="00672E91"/>
    <w:rsid w:val="006748E6"/>
    <w:rsid w:val="00674F7C"/>
    <w:rsid w:val="006760A7"/>
    <w:rsid w:val="0068106D"/>
    <w:rsid w:val="00685DE4"/>
    <w:rsid w:val="00690599"/>
    <w:rsid w:val="00690FD8"/>
    <w:rsid w:val="006919E7"/>
    <w:rsid w:val="006936A0"/>
    <w:rsid w:val="00694138"/>
    <w:rsid w:val="006A0F82"/>
    <w:rsid w:val="006A1766"/>
    <w:rsid w:val="006B16B6"/>
    <w:rsid w:val="006B24DA"/>
    <w:rsid w:val="006B6B4A"/>
    <w:rsid w:val="006B734E"/>
    <w:rsid w:val="006B745F"/>
    <w:rsid w:val="006C0ED9"/>
    <w:rsid w:val="006C20B5"/>
    <w:rsid w:val="006C2924"/>
    <w:rsid w:val="006C30E0"/>
    <w:rsid w:val="006C40AB"/>
    <w:rsid w:val="006C4C81"/>
    <w:rsid w:val="006C5B3E"/>
    <w:rsid w:val="006D00F6"/>
    <w:rsid w:val="006D526A"/>
    <w:rsid w:val="006D5AE3"/>
    <w:rsid w:val="006E0032"/>
    <w:rsid w:val="006E1D0B"/>
    <w:rsid w:val="006E623C"/>
    <w:rsid w:val="006E7F1E"/>
    <w:rsid w:val="006F141E"/>
    <w:rsid w:val="006F185C"/>
    <w:rsid w:val="006F2B0A"/>
    <w:rsid w:val="006F396D"/>
    <w:rsid w:val="0070375B"/>
    <w:rsid w:val="00713235"/>
    <w:rsid w:val="00713568"/>
    <w:rsid w:val="00716570"/>
    <w:rsid w:val="00717DFC"/>
    <w:rsid w:val="00720D02"/>
    <w:rsid w:val="00736343"/>
    <w:rsid w:val="007438A7"/>
    <w:rsid w:val="0074461B"/>
    <w:rsid w:val="00746045"/>
    <w:rsid w:val="00750DA9"/>
    <w:rsid w:val="00753071"/>
    <w:rsid w:val="00754890"/>
    <w:rsid w:val="00754D8F"/>
    <w:rsid w:val="0076401E"/>
    <w:rsid w:val="007670FA"/>
    <w:rsid w:val="00767A1D"/>
    <w:rsid w:val="00774674"/>
    <w:rsid w:val="00774B7C"/>
    <w:rsid w:val="0077555E"/>
    <w:rsid w:val="00783E61"/>
    <w:rsid w:val="00784E17"/>
    <w:rsid w:val="00790ACE"/>
    <w:rsid w:val="007928CC"/>
    <w:rsid w:val="00792F4E"/>
    <w:rsid w:val="0079332D"/>
    <w:rsid w:val="00796E75"/>
    <w:rsid w:val="007A48BA"/>
    <w:rsid w:val="007A4F2E"/>
    <w:rsid w:val="007A6C5F"/>
    <w:rsid w:val="007A71B4"/>
    <w:rsid w:val="007A7A7A"/>
    <w:rsid w:val="007D3ECB"/>
    <w:rsid w:val="007E4B56"/>
    <w:rsid w:val="007E595F"/>
    <w:rsid w:val="007E7FB2"/>
    <w:rsid w:val="007F17A4"/>
    <w:rsid w:val="007F5BA5"/>
    <w:rsid w:val="007F7F77"/>
    <w:rsid w:val="00803B0D"/>
    <w:rsid w:val="0081042B"/>
    <w:rsid w:val="0081515A"/>
    <w:rsid w:val="00815ACF"/>
    <w:rsid w:val="00820032"/>
    <w:rsid w:val="00830FC5"/>
    <w:rsid w:val="00831F44"/>
    <w:rsid w:val="008324E3"/>
    <w:rsid w:val="008369AD"/>
    <w:rsid w:val="008405A6"/>
    <w:rsid w:val="00840B9F"/>
    <w:rsid w:val="00843B0A"/>
    <w:rsid w:val="00845309"/>
    <w:rsid w:val="00852411"/>
    <w:rsid w:val="0085531C"/>
    <w:rsid w:val="0085691D"/>
    <w:rsid w:val="00866B55"/>
    <w:rsid w:val="00880014"/>
    <w:rsid w:val="00886AE2"/>
    <w:rsid w:val="0089232A"/>
    <w:rsid w:val="008944AC"/>
    <w:rsid w:val="00894DA4"/>
    <w:rsid w:val="0089620F"/>
    <w:rsid w:val="008966CE"/>
    <w:rsid w:val="008A09C7"/>
    <w:rsid w:val="008A0FAF"/>
    <w:rsid w:val="008A12A3"/>
    <w:rsid w:val="008A3DDB"/>
    <w:rsid w:val="008A44FE"/>
    <w:rsid w:val="008A46F9"/>
    <w:rsid w:val="008C20BA"/>
    <w:rsid w:val="008D2AD8"/>
    <w:rsid w:val="008D6156"/>
    <w:rsid w:val="008E0DD5"/>
    <w:rsid w:val="008E119E"/>
    <w:rsid w:val="008E142A"/>
    <w:rsid w:val="008E2182"/>
    <w:rsid w:val="008E3EA5"/>
    <w:rsid w:val="008E71BC"/>
    <w:rsid w:val="008E7BCF"/>
    <w:rsid w:val="008F2443"/>
    <w:rsid w:val="008F7934"/>
    <w:rsid w:val="009000AC"/>
    <w:rsid w:val="0090322C"/>
    <w:rsid w:val="009161DC"/>
    <w:rsid w:val="0091687B"/>
    <w:rsid w:val="009204F1"/>
    <w:rsid w:val="00923247"/>
    <w:rsid w:val="009262DE"/>
    <w:rsid w:val="00927DFB"/>
    <w:rsid w:val="009326C3"/>
    <w:rsid w:val="00940BCD"/>
    <w:rsid w:val="00944E9D"/>
    <w:rsid w:val="00950746"/>
    <w:rsid w:val="00952985"/>
    <w:rsid w:val="009555A8"/>
    <w:rsid w:val="00960DA2"/>
    <w:rsid w:val="009637C8"/>
    <w:rsid w:val="00971C17"/>
    <w:rsid w:val="00976393"/>
    <w:rsid w:val="00976A95"/>
    <w:rsid w:val="00981DFE"/>
    <w:rsid w:val="009836A9"/>
    <w:rsid w:val="009874BC"/>
    <w:rsid w:val="009957C7"/>
    <w:rsid w:val="00997723"/>
    <w:rsid w:val="009A0D0A"/>
    <w:rsid w:val="009A11CF"/>
    <w:rsid w:val="009B0698"/>
    <w:rsid w:val="009B3F33"/>
    <w:rsid w:val="009C0848"/>
    <w:rsid w:val="009C381C"/>
    <w:rsid w:val="009C3EE6"/>
    <w:rsid w:val="009C6427"/>
    <w:rsid w:val="009C7A3D"/>
    <w:rsid w:val="009D4B9C"/>
    <w:rsid w:val="009D529D"/>
    <w:rsid w:val="009E39C5"/>
    <w:rsid w:val="009F1A2E"/>
    <w:rsid w:val="009F4642"/>
    <w:rsid w:val="009F6325"/>
    <w:rsid w:val="009F718C"/>
    <w:rsid w:val="00A0622A"/>
    <w:rsid w:val="00A06D8A"/>
    <w:rsid w:val="00A07F55"/>
    <w:rsid w:val="00A100A5"/>
    <w:rsid w:val="00A148E6"/>
    <w:rsid w:val="00A230C1"/>
    <w:rsid w:val="00A252FC"/>
    <w:rsid w:val="00A31E82"/>
    <w:rsid w:val="00A34108"/>
    <w:rsid w:val="00A35F4B"/>
    <w:rsid w:val="00A4008E"/>
    <w:rsid w:val="00A4082D"/>
    <w:rsid w:val="00A425DD"/>
    <w:rsid w:val="00A4534D"/>
    <w:rsid w:val="00A45666"/>
    <w:rsid w:val="00A51B2A"/>
    <w:rsid w:val="00A54A33"/>
    <w:rsid w:val="00A5629D"/>
    <w:rsid w:val="00A564AF"/>
    <w:rsid w:val="00A57A92"/>
    <w:rsid w:val="00A6571C"/>
    <w:rsid w:val="00A65B56"/>
    <w:rsid w:val="00A6796C"/>
    <w:rsid w:val="00A72CB4"/>
    <w:rsid w:val="00A76159"/>
    <w:rsid w:val="00A77BD4"/>
    <w:rsid w:val="00A810A4"/>
    <w:rsid w:val="00A811A6"/>
    <w:rsid w:val="00A825AC"/>
    <w:rsid w:val="00A8289C"/>
    <w:rsid w:val="00A83F15"/>
    <w:rsid w:val="00A87DF2"/>
    <w:rsid w:val="00A91888"/>
    <w:rsid w:val="00AA13E9"/>
    <w:rsid w:val="00AA1996"/>
    <w:rsid w:val="00AA74C9"/>
    <w:rsid w:val="00AA78B6"/>
    <w:rsid w:val="00AB19F4"/>
    <w:rsid w:val="00AB761D"/>
    <w:rsid w:val="00AC357C"/>
    <w:rsid w:val="00AC37B1"/>
    <w:rsid w:val="00AD0EFE"/>
    <w:rsid w:val="00AD44FE"/>
    <w:rsid w:val="00AD4ABE"/>
    <w:rsid w:val="00AD6416"/>
    <w:rsid w:val="00AE177E"/>
    <w:rsid w:val="00AF05F5"/>
    <w:rsid w:val="00AF1AE8"/>
    <w:rsid w:val="00AF6E07"/>
    <w:rsid w:val="00B07B77"/>
    <w:rsid w:val="00B11D71"/>
    <w:rsid w:val="00B154A8"/>
    <w:rsid w:val="00B16B38"/>
    <w:rsid w:val="00B16F56"/>
    <w:rsid w:val="00B2293F"/>
    <w:rsid w:val="00B259AB"/>
    <w:rsid w:val="00B306CE"/>
    <w:rsid w:val="00B30D27"/>
    <w:rsid w:val="00B30E02"/>
    <w:rsid w:val="00B3430F"/>
    <w:rsid w:val="00B3592F"/>
    <w:rsid w:val="00B44ADE"/>
    <w:rsid w:val="00B45DB8"/>
    <w:rsid w:val="00B46080"/>
    <w:rsid w:val="00B46F4B"/>
    <w:rsid w:val="00B53BCD"/>
    <w:rsid w:val="00B5438B"/>
    <w:rsid w:val="00B60383"/>
    <w:rsid w:val="00B60805"/>
    <w:rsid w:val="00B62683"/>
    <w:rsid w:val="00B7030F"/>
    <w:rsid w:val="00B74BF7"/>
    <w:rsid w:val="00B75647"/>
    <w:rsid w:val="00B809EF"/>
    <w:rsid w:val="00B814B5"/>
    <w:rsid w:val="00B81707"/>
    <w:rsid w:val="00B81943"/>
    <w:rsid w:val="00B85BC0"/>
    <w:rsid w:val="00B9204B"/>
    <w:rsid w:val="00B94D1D"/>
    <w:rsid w:val="00BA7D4B"/>
    <w:rsid w:val="00BC3194"/>
    <w:rsid w:val="00BC6936"/>
    <w:rsid w:val="00BC7E23"/>
    <w:rsid w:val="00BD067E"/>
    <w:rsid w:val="00BD2610"/>
    <w:rsid w:val="00BD6138"/>
    <w:rsid w:val="00BD7951"/>
    <w:rsid w:val="00BE02E0"/>
    <w:rsid w:val="00BE3883"/>
    <w:rsid w:val="00BE46F8"/>
    <w:rsid w:val="00BF2952"/>
    <w:rsid w:val="00BF5A60"/>
    <w:rsid w:val="00BF6545"/>
    <w:rsid w:val="00BF77EE"/>
    <w:rsid w:val="00BF783B"/>
    <w:rsid w:val="00C01718"/>
    <w:rsid w:val="00C01CD0"/>
    <w:rsid w:val="00C041F0"/>
    <w:rsid w:val="00C11D8A"/>
    <w:rsid w:val="00C11E5B"/>
    <w:rsid w:val="00C1453C"/>
    <w:rsid w:val="00C203B5"/>
    <w:rsid w:val="00C21DD2"/>
    <w:rsid w:val="00C26CCF"/>
    <w:rsid w:val="00C30855"/>
    <w:rsid w:val="00C315E8"/>
    <w:rsid w:val="00C33771"/>
    <w:rsid w:val="00C372DB"/>
    <w:rsid w:val="00C4569F"/>
    <w:rsid w:val="00C50030"/>
    <w:rsid w:val="00C50C2F"/>
    <w:rsid w:val="00C52EB2"/>
    <w:rsid w:val="00C552AB"/>
    <w:rsid w:val="00C558AB"/>
    <w:rsid w:val="00C62DAB"/>
    <w:rsid w:val="00C63EF9"/>
    <w:rsid w:val="00C647FE"/>
    <w:rsid w:val="00C64D38"/>
    <w:rsid w:val="00C667F1"/>
    <w:rsid w:val="00C71F94"/>
    <w:rsid w:val="00C82220"/>
    <w:rsid w:val="00C836F2"/>
    <w:rsid w:val="00C92FAC"/>
    <w:rsid w:val="00C9351F"/>
    <w:rsid w:val="00C973C2"/>
    <w:rsid w:val="00CA0463"/>
    <w:rsid w:val="00CA4481"/>
    <w:rsid w:val="00CA4DC3"/>
    <w:rsid w:val="00CA6526"/>
    <w:rsid w:val="00CB1316"/>
    <w:rsid w:val="00CB29F9"/>
    <w:rsid w:val="00CB308C"/>
    <w:rsid w:val="00CB3A43"/>
    <w:rsid w:val="00CB4972"/>
    <w:rsid w:val="00CB6AB9"/>
    <w:rsid w:val="00CC2064"/>
    <w:rsid w:val="00CC4A24"/>
    <w:rsid w:val="00CC5E82"/>
    <w:rsid w:val="00CD2156"/>
    <w:rsid w:val="00CD37F4"/>
    <w:rsid w:val="00CD4BBB"/>
    <w:rsid w:val="00CD549E"/>
    <w:rsid w:val="00CD6A41"/>
    <w:rsid w:val="00CE0919"/>
    <w:rsid w:val="00CE0C35"/>
    <w:rsid w:val="00CF1492"/>
    <w:rsid w:val="00CF2979"/>
    <w:rsid w:val="00CF57DE"/>
    <w:rsid w:val="00D02259"/>
    <w:rsid w:val="00D0528E"/>
    <w:rsid w:val="00D07FFD"/>
    <w:rsid w:val="00D1131E"/>
    <w:rsid w:val="00D11AE3"/>
    <w:rsid w:val="00D26C5C"/>
    <w:rsid w:val="00D37C23"/>
    <w:rsid w:val="00D4460D"/>
    <w:rsid w:val="00D52483"/>
    <w:rsid w:val="00D54143"/>
    <w:rsid w:val="00D54B63"/>
    <w:rsid w:val="00D57533"/>
    <w:rsid w:val="00D57CA8"/>
    <w:rsid w:val="00D60AC3"/>
    <w:rsid w:val="00D62E27"/>
    <w:rsid w:val="00D67D32"/>
    <w:rsid w:val="00D71EC8"/>
    <w:rsid w:val="00D72275"/>
    <w:rsid w:val="00D73D07"/>
    <w:rsid w:val="00D76D11"/>
    <w:rsid w:val="00D776AE"/>
    <w:rsid w:val="00D778F5"/>
    <w:rsid w:val="00D81D88"/>
    <w:rsid w:val="00D934AE"/>
    <w:rsid w:val="00D950CA"/>
    <w:rsid w:val="00DA0683"/>
    <w:rsid w:val="00DA1BAE"/>
    <w:rsid w:val="00DA1CF9"/>
    <w:rsid w:val="00DA4BF5"/>
    <w:rsid w:val="00DA7C79"/>
    <w:rsid w:val="00DB1243"/>
    <w:rsid w:val="00DB57C1"/>
    <w:rsid w:val="00DC15D6"/>
    <w:rsid w:val="00DC3C99"/>
    <w:rsid w:val="00DC6A79"/>
    <w:rsid w:val="00DD2ECF"/>
    <w:rsid w:val="00DE223B"/>
    <w:rsid w:val="00DE2456"/>
    <w:rsid w:val="00DE2F62"/>
    <w:rsid w:val="00DE5540"/>
    <w:rsid w:val="00E00D92"/>
    <w:rsid w:val="00E02103"/>
    <w:rsid w:val="00E04E92"/>
    <w:rsid w:val="00E05AC2"/>
    <w:rsid w:val="00E14944"/>
    <w:rsid w:val="00E16A49"/>
    <w:rsid w:val="00E22D67"/>
    <w:rsid w:val="00E24CE7"/>
    <w:rsid w:val="00E31682"/>
    <w:rsid w:val="00E3323C"/>
    <w:rsid w:val="00E33DF7"/>
    <w:rsid w:val="00E37C89"/>
    <w:rsid w:val="00E404DB"/>
    <w:rsid w:val="00E43AB5"/>
    <w:rsid w:val="00E470EC"/>
    <w:rsid w:val="00E473EF"/>
    <w:rsid w:val="00E47452"/>
    <w:rsid w:val="00E50BAC"/>
    <w:rsid w:val="00E514ED"/>
    <w:rsid w:val="00E56814"/>
    <w:rsid w:val="00E574A5"/>
    <w:rsid w:val="00E579A2"/>
    <w:rsid w:val="00E63876"/>
    <w:rsid w:val="00E6398A"/>
    <w:rsid w:val="00E65BB2"/>
    <w:rsid w:val="00E66F9E"/>
    <w:rsid w:val="00E85BD0"/>
    <w:rsid w:val="00E85D8F"/>
    <w:rsid w:val="00E87E16"/>
    <w:rsid w:val="00E9167E"/>
    <w:rsid w:val="00EA04F2"/>
    <w:rsid w:val="00EA1A6E"/>
    <w:rsid w:val="00EA3020"/>
    <w:rsid w:val="00EA4533"/>
    <w:rsid w:val="00EA4669"/>
    <w:rsid w:val="00EA4AE6"/>
    <w:rsid w:val="00EA523C"/>
    <w:rsid w:val="00EA627A"/>
    <w:rsid w:val="00EA723C"/>
    <w:rsid w:val="00EB3BCF"/>
    <w:rsid w:val="00EB70A8"/>
    <w:rsid w:val="00EC50C8"/>
    <w:rsid w:val="00EE65FA"/>
    <w:rsid w:val="00EE6DF2"/>
    <w:rsid w:val="00EF09E2"/>
    <w:rsid w:val="00EF154A"/>
    <w:rsid w:val="00EF1989"/>
    <w:rsid w:val="00EF4617"/>
    <w:rsid w:val="00EF7DEA"/>
    <w:rsid w:val="00F02A59"/>
    <w:rsid w:val="00F0427D"/>
    <w:rsid w:val="00F04697"/>
    <w:rsid w:val="00F05086"/>
    <w:rsid w:val="00F11C85"/>
    <w:rsid w:val="00F1211B"/>
    <w:rsid w:val="00F12581"/>
    <w:rsid w:val="00F13DA6"/>
    <w:rsid w:val="00F22654"/>
    <w:rsid w:val="00F24573"/>
    <w:rsid w:val="00F31DFE"/>
    <w:rsid w:val="00F37C81"/>
    <w:rsid w:val="00F407F7"/>
    <w:rsid w:val="00F4222D"/>
    <w:rsid w:val="00F426FB"/>
    <w:rsid w:val="00F450A7"/>
    <w:rsid w:val="00F46027"/>
    <w:rsid w:val="00F5513A"/>
    <w:rsid w:val="00F55404"/>
    <w:rsid w:val="00F55BBD"/>
    <w:rsid w:val="00F560BC"/>
    <w:rsid w:val="00F6009F"/>
    <w:rsid w:val="00F60C0B"/>
    <w:rsid w:val="00F62B4E"/>
    <w:rsid w:val="00F65DCE"/>
    <w:rsid w:val="00F704FB"/>
    <w:rsid w:val="00F707A4"/>
    <w:rsid w:val="00F70D2C"/>
    <w:rsid w:val="00F717B0"/>
    <w:rsid w:val="00F73806"/>
    <w:rsid w:val="00F81438"/>
    <w:rsid w:val="00F862CE"/>
    <w:rsid w:val="00F9520F"/>
    <w:rsid w:val="00F956EA"/>
    <w:rsid w:val="00F95AD4"/>
    <w:rsid w:val="00FA323F"/>
    <w:rsid w:val="00FA45EA"/>
    <w:rsid w:val="00FA6534"/>
    <w:rsid w:val="00FA66CC"/>
    <w:rsid w:val="00FB102C"/>
    <w:rsid w:val="00FB2D68"/>
    <w:rsid w:val="00FB5358"/>
    <w:rsid w:val="00FB5905"/>
    <w:rsid w:val="00FC0601"/>
    <w:rsid w:val="00FC7295"/>
    <w:rsid w:val="00FE0AA9"/>
    <w:rsid w:val="00FE5152"/>
    <w:rsid w:val="00FE5722"/>
    <w:rsid w:val="00FE6A45"/>
    <w:rsid w:val="00FF117F"/>
    <w:rsid w:val="00FF1AFF"/>
    <w:rsid w:val="00FF5605"/>
    <w:rsid w:val="00FF78DC"/>
    <w:rsid w:val="03097E26"/>
    <w:rsid w:val="03B629A7"/>
    <w:rsid w:val="065E4124"/>
    <w:rsid w:val="06616D02"/>
    <w:rsid w:val="0AAF2D3E"/>
    <w:rsid w:val="0CB76B4A"/>
    <w:rsid w:val="0EE302E1"/>
    <w:rsid w:val="0F904AAC"/>
    <w:rsid w:val="10E07C67"/>
    <w:rsid w:val="11B27966"/>
    <w:rsid w:val="14316158"/>
    <w:rsid w:val="16C16BC5"/>
    <w:rsid w:val="187C5B16"/>
    <w:rsid w:val="1A1B51F0"/>
    <w:rsid w:val="1DC67353"/>
    <w:rsid w:val="1DE45961"/>
    <w:rsid w:val="20D32FF8"/>
    <w:rsid w:val="21F7445F"/>
    <w:rsid w:val="227F24D5"/>
    <w:rsid w:val="22F8048F"/>
    <w:rsid w:val="26BB18DE"/>
    <w:rsid w:val="27C06978"/>
    <w:rsid w:val="2BCE4483"/>
    <w:rsid w:val="2C004A78"/>
    <w:rsid w:val="2CC92F79"/>
    <w:rsid w:val="2E726D8F"/>
    <w:rsid w:val="2F8527C6"/>
    <w:rsid w:val="2F886A6D"/>
    <w:rsid w:val="32693D74"/>
    <w:rsid w:val="33EA3373"/>
    <w:rsid w:val="34A931E1"/>
    <w:rsid w:val="35EB7F77"/>
    <w:rsid w:val="37797999"/>
    <w:rsid w:val="38AA1DD4"/>
    <w:rsid w:val="390022FA"/>
    <w:rsid w:val="393F076E"/>
    <w:rsid w:val="39A14F85"/>
    <w:rsid w:val="3DE74F30"/>
    <w:rsid w:val="3EB53D9A"/>
    <w:rsid w:val="40207E81"/>
    <w:rsid w:val="410D73A4"/>
    <w:rsid w:val="42054EA0"/>
    <w:rsid w:val="42607D8E"/>
    <w:rsid w:val="4557026A"/>
    <w:rsid w:val="4656734F"/>
    <w:rsid w:val="47392CA0"/>
    <w:rsid w:val="48B8335A"/>
    <w:rsid w:val="49EA0282"/>
    <w:rsid w:val="49F83193"/>
    <w:rsid w:val="4A794BDF"/>
    <w:rsid w:val="4C007097"/>
    <w:rsid w:val="4FDB4BD2"/>
    <w:rsid w:val="500B0F52"/>
    <w:rsid w:val="5057298B"/>
    <w:rsid w:val="520164E6"/>
    <w:rsid w:val="53526FBB"/>
    <w:rsid w:val="53532B39"/>
    <w:rsid w:val="53AD66E5"/>
    <w:rsid w:val="54532201"/>
    <w:rsid w:val="55005717"/>
    <w:rsid w:val="56A54F95"/>
    <w:rsid w:val="57B47028"/>
    <w:rsid w:val="5810536D"/>
    <w:rsid w:val="58440930"/>
    <w:rsid w:val="59CC5A7D"/>
    <w:rsid w:val="5A6F7191"/>
    <w:rsid w:val="5AE10093"/>
    <w:rsid w:val="5B302BB2"/>
    <w:rsid w:val="5BD963A8"/>
    <w:rsid w:val="5D2B6985"/>
    <w:rsid w:val="5D322168"/>
    <w:rsid w:val="5E82759E"/>
    <w:rsid w:val="5E9D2B61"/>
    <w:rsid w:val="62866233"/>
    <w:rsid w:val="631C1056"/>
    <w:rsid w:val="634E61D9"/>
    <w:rsid w:val="63F15E76"/>
    <w:rsid w:val="643C4444"/>
    <w:rsid w:val="64596B4E"/>
    <w:rsid w:val="652F7039"/>
    <w:rsid w:val="65766A16"/>
    <w:rsid w:val="65B377D5"/>
    <w:rsid w:val="665645E3"/>
    <w:rsid w:val="67896640"/>
    <w:rsid w:val="6A6C0BC7"/>
    <w:rsid w:val="6B2A452A"/>
    <w:rsid w:val="6BAF4AF2"/>
    <w:rsid w:val="6CF90658"/>
    <w:rsid w:val="6DAB6990"/>
    <w:rsid w:val="6DD2128A"/>
    <w:rsid w:val="6E26646D"/>
    <w:rsid w:val="6E9010C0"/>
    <w:rsid w:val="707B11AA"/>
    <w:rsid w:val="709C1A26"/>
    <w:rsid w:val="722F68CA"/>
    <w:rsid w:val="759D2EAB"/>
    <w:rsid w:val="765C05BD"/>
    <w:rsid w:val="766034F6"/>
    <w:rsid w:val="773D67BB"/>
    <w:rsid w:val="77DA1086"/>
    <w:rsid w:val="782E7100"/>
    <w:rsid w:val="792536E8"/>
    <w:rsid w:val="794E4B82"/>
    <w:rsid w:val="7A100D8F"/>
    <w:rsid w:val="7BF1074D"/>
    <w:rsid w:val="7D781125"/>
    <w:rsid w:val="7FCA1542"/>
  </w:rsids>
  <m:mathPr>
    <m:mathFont m:val="Cambria Math"/>
    <m:brkBin m:val="before"/>
    <m:brkBinSub m:val="--"/>
    <m:smallFrac m:val="0"/>
    <m:dispDef m:val="0"/>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nhideWhenUsed="0"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iPriority="0" w:name="Title"/>
    <w:lsdException w:uiPriority="0" w:name="Closing"/>
    <w:lsdException w:uiPriority="0" w:name="Signature"/>
    <w:lsdException w:uiPriority="1" w:semiHidden="0"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nhideWhenUsed="0" w:uiPriority="0" w:semiHidden="0" w:name="Message Header"/>
    <w:lsdException w:qFormat="1" w:uiPriority="0" w:name="Subtitle"/>
    <w:lsdException w:uiPriority="0" w:name="Salutation"/>
    <w:lsdException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qFormat="1" w:unhideWhenUsed="0" w:uiPriority="0" w:semiHidden="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qFormat="1" w:unhideWhenUsed="0" w:uiPriority="0" w:semiHidden="0" w:name="Table 3D effects 2"/>
    <w:lsdException w:uiPriority="0" w:name="Table 3D effects 3"/>
    <w:lsdException w:uiPriority="0" w:name="Table Contemporary"/>
    <w:lsdException w:qFormat="1" w:unhideWhenUsed="0" w:uiPriority="0" w:semiHidden="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paragraph" w:styleId="2">
    <w:name w:val="heading 1"/>
    <w:basedOn w:val="1"/>
    <w:next w:val="3"/>
    <w:qFormat/>
    <w:uiPriority w:val="0"/>
    <w:pPr>
      <w:keepNext/>
      <w:keepLines/>
      <w:widowControl/>
      <w:spacing w:line="200" w:lineRule="atLeast"/>
      <w:ind w:left="840" w:right="-360"/>
      <w:outlineLvl w:val="0"/>
    </w:pPr>
    <w:rPr>
      <w:rFonts w:ascii="Arial" w:hAnsi="Arial" w:eastAsia="幼圆"/>
      <w:b/>
      <w:spacing w:val="-10"/>
      <w:kern w:val="28"/>
      <w:lang w:bidi="he-IL"/>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19">
    <w:name w:val="Default Paragraph Font"/>
    <w:unhideWhenUsed/>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3">
    <w:name w:val="Body Text"/>
    <w:basedOn w:val="1"/>
    <w:qFormat/>
    <w:uiPriority w:val="0"/>
    <w:rPr>
      <w:rFonts w:ascii="华文仿宋" w:eastAsia="华文仿宋"/>
      <w:sz w:val="28"/>
    </w:rPr>
  </w:style>
  <w:style w:type="paragraph" w:styleId="5">
    <w:name w:val="annotation text"/>
    <w:basedOn w:val="1"/>
    <w:semiHidden/>
    <w:uiPriority w:val="0"/>
  </w:style>
  <w:style w:type="paragraph" w:styleId="6">
    <w:name w:val="Date"/>
    <w:basedOn w:val="1"/>
    <w:next w:val="1"/>
    <w:uiPriority w:val="0"/>
    <w:pPr>
      <w:ind w:left="100" w:leftChars="2500"/>
    </w:pPr>
  </w:style>
  <w:style w:type="paragraph" w:styleId="7">
    <w:name w:val="Balloon Text"/>
    <w:basedOn w:val="1"/>
    <w:semiHidden/>
    <w:uiPriority w:val="0"/>
    <w:rPr>
      <w:sz w:val="18"/>
      <w:szCs w:val="18"/>
    </w:rPr>
  </w:style>
  <w:style w:type="paragraph" w:styleId="8">
    <w:name w:val="footer"/>
    <w:basedOn w:val="1"/>
    <w:link w:val="25"/>
    <w:qFormat/>
    <w:uiPriority w:val="99"/>
    <w:pPr>
      <w:tabs>
        <w:tab w:val="center" w:pos="4153"/>
        <w:tab w:val="right" w:pos="8306"/>
      </w:tabs>
      <w:snapToGrid w:val="0"/>
    </w:pPr>
    <w:rPr>
      <w:kern w:val="2"/>
      <w:sz w:val="18"/>
      <w:szCs w:val="18"/>
    </w:rPr>
  </w:style>
  <w:style w:type="paragraph" w:styleId="9">
    <w:name w:val="header"/>
    <w:basedOn w:val="1"/>
    <w:link w:val="26"/>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semiHidden/>
    <w:qFormat/>
    <w:uiPriority w:val="0"/>
    <w:pPr>
      <w:spacing w:before="120" w:after="120"/>
      <w:jc w:val="center"/>
    </w:pPr>
    <w:rPr>
      <w:b/>
      <w:bCs/>
      <w:caps/>
      <w:sz w:val="28"/>
    </w:rPr>
  </w:style>
  <w:style w:type="paragraph" w:styleId="11">
    <w:name w:val="toc 2"/>
    <w:basedOn w:val="1"/>
    <w:next w:val="1"/>
    <w:semiHidden/>
    <w:qFormat/>
    <w:uiPriority w:val="0"/>
    <w:pPr>
      <w:ind w:left="210"/>
    </w:pPr>
    <w:rPr>
      <w:smallCaps/>
      <w:sz w:val="28"/>
    </w:rPr>
  </w:style>
  <w:style w:type="paragraph" w:styleId="12">
    <w:name w:val="Message Header"/>
    <w:basedOn w:val="3"/>
    <w:qFormat/>
    <w:uiPriority w:val="0"/>
    <w:pPr>
      <w:keepLines/>
      <w:widowControl/>
      <w:tabs>
        <w:tab w:val="left" w:pos="720"/>
        <w:tab w:val="left" w:pos="4320"/>
        <w:tab w:val="left" w:pos="5040"/>
        <w:tab w:val="right" w:pos="8640"/>
      </w:tabs>
      <w:spacing w:after="40" w:line="440" w:lineRule="atLeast"/>
      <w:ind w:left="720" w:hanging="720"/>
    </w:pPr>
    <w:rPr>
      <w:rFonts w:ascii="Arial" w:hAnsi="Arial" w:eastAsia="宋体"/>
      <w:spacing w:val="-5"/>
      <w:sz w:val="20"/>
      <w:lang w:bidi="he-IL"/>
    </w:rPr>
  </w:style>
  <w:style w:type="paragraph" w:styleId="13">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table" w:styleId="15">
    <w:name w:val="Table Grid"/>
    <w:basedOn w:val="1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6">
    <w:name w:val="Table Elegant"/>
    <w:basedOn w:val="14"/>
    <w:qFormat/>
    <w:uiPriority w:val="0"/>
    <w:pPr>
      <w:widowControl w:val="0"/>
      <w:adjustRightInd w:val="0"/>
      <w:spacing w:line="360" w:lineRule="atLeast"/>
      <w:textAlignment w:val="baseline"/>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17">
    <w:name w:val="Table 3D effects 2"/>
    <w:basedOn w:val="14"/>
    <w:qFormat/>
    <w:uiPriority w:val="0"/>
    <w:pPr>
      <w:widowControl w:val="0"/>
      <w:adjustRightInd w:val="0"/>
      <w:spacing w:line="360" w:lineRule="atLeast"/>
      <w:textAlignment w:val="baseline"/>
    </w:pPr>
    <w:tblPr>
      <w:tblStyleRowBandSize w:val="1"/>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Horz">
      <w:tblPr/>
      <w:tcPr>
        <w:tcBorders>
          <w:top w:val="single" w:color="808080" w:sz="6" w:space="0"/>
          <w:left w:val="nil"/>
          <w:bottom w:val="single" w:color="FFFFFF" w:sz="6" w:space="0"/>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8">
    <w:name w:val="Table Grid 7"/>
    <w:basedOn w:val="14"/>
    <w:qFormat/>
    <w:uiPriority w:val="0"/>
    <w:pPr>
      <w:widowControl w:val="0"/>
      <w:adjustRightInd w:val="0"/>
      <w:spacing w:line="360" w:lineRule="atLeast"/>
      <w:textAlignment w:val="baseline"/>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top w:val="nil"/>
          <w:left w:val="nil"/>
          <w:bottom w:val="single" w:color="000000" w:sz="12" w:space="0"/>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character" w:styleId="20">
    <w:name w:val="Strong"/>
    <w:qFormat/>
    <w:uiPriority w:val="0"/>
    <w:rPr>
      <w:b/>
      <w:bCs/>
    </w:rPr>
  </w:style>
  <w:style w:type="character" w:styleId="21">
    <w:name w:val="page number"/>
    <w:qFormat/>
    <w:uiPriority w:val="0"/>
  </w:style>
  <w:style w:type="character" w:styleId="22">
    <w:name w:val="Emphasis"/>
    <w:qFormat/>
    <w:uiPriority w:val="0"/>
    <w:rPr>
      <w:rFonts w:ascii="Arial Black" w:hAnsi="Arial Black" w:eastAsia="黑体"/>
      <w:b/>
      <w:spacing w:val="0"/>
      <w:sz w:val="21"/>
      <w:lang w:eastAsia="zh-CN"/>
    </w:rPr>
  </w:style>
  <w:style w:type="character" w:styleId="23">
    <w:name w:val="Hyperlink"/>
    <w:qFormat/>
    <w:uiPriority w:val="0"/>
    <w:rPr>
      <w:color w:val="0000FF"/>
      <w:u w:val="single"/>
    </w:rPr>
  </w:style>
  <w:style w:type="character" w:styleId="24">
    <w:name w:val="annotation reference"/>
    <w:semiHidden/>
    <w:qFormat/>
    <w:uiPriority w:val="0"/>
    <w:rPr>
      <w:sz w:val="21"/>
      <w:szCs w:val="21"/>
    </w:rPr>
  </w:style>
  <w:style w:type="character" w:customStyle="1" w:styleId="25">
    <w:name w:val="页脚 字符1"/>
    <w:link w:val="8"/>
    <w:qFormat/>
    <w:uiPriority w:val="99"/>
    <w:rPr>
      <w:kern w:val="2"/>
      <w:sz w:val="18"/>
      <w:szCs w:val="18"/>
    </w:rPr>
  </w:style>
  <w:style w:type="character" w:customStyle="1" w:styleId="26">
    <w:name w:val="页眉 字符"/>
    <w:link w:val="9"/>
    <w:qFormat/>
    <w:uiPriority w:val="0"/>
    <w:rPr>
      <w:sz w:val="18"/>
      <w:szCs w:val="18"/>
    </w:rPr>
  </w:style>
  <w:style w:type="character" w:customStyle="1" w:styleId="27">
    <w:name w:val="消息标题号"/>
    <w:qFormat/>
    <w:uiPriority w:val="0"/>
    <w:rPr>
      <w:rFonts w:ascii="Arial" w:hAnsi="Arial" w:eastAsia="黑体"/>
      <w:b/>
      <w:spacing w:val="-4"/>
      <w:sz w:val="21"/>
      <w:lang w:eastAsia="zh-CN"/>
    </w:rPr>
  </w:style>
  <w:style w:type="character" w:customStyle="1" w:styleId="28">
    <w:name w:val="页脚 字符"/>
    <w:qFormat/>
    <w:uiPriority w:val="99"/>
  </w:style>
  <w:style w:type="character" w:customStyle="1" w:styleId="29">
    <w:name w:val="三级标题 Char"/>
    <w:link w:val="30"/>
    <w:qFormat/>
    <w:uiPriority w:val="0"/>
    <w:rPr>
      <w:rFonts w:ascii="宋体" w:hAnsi="宋体"/>
      <w:color w:val="000000"/>
      <w:sz w:val="24"/>
    </w:rPr>
  </w:style>
  <w:style w:type="paragraph" w:customStyle="1" w:styleId="30">
    <w:name w:val="三级标题"/>
    <w:basedOn w:val="1"/>
    <w:link w:val="29"/>
    <w:qFormat/>
    <w:uiPriority w:val="0"/>
    <w:pPr>
      <w:numPr>
        <w:ilvl w:val="0"/>
        <w:numId w:val="1"/>
      </w:numPr>
      <w:tabs>
        <w:tab w:val="left" w:pos="0"/>
      </w:tabs>
      <w:adjustRightInd/>
      <w:spacing w:line="360" w:lineRule="auto"/>
      <w:jc w:val="both"/>
      <w:textAlignment w:val="auto"/>
    </w:pPr>
    <w:rPr>
      <w:rFonts w:ascii="宋体" w:hAnsi="宋体"/>
      <w:color w:val="000000"/>
    </w:rPr>
  </w:style>
  <w:style w:type="character" w:customStyle="1" w:styleId="31">
    <w:name w:val="tiny"/>
    <w:qFormat/>
    <w:uiPriority w:val="0"/>
  </w:style>
  <w:style w:type="character" w:customStyle="1" w:styleId="32">
    <w:name w:val="消息标题标签"/>
    <w:qFormat/>
    <w:uiPriority w:val="0"/>
    <w:rPr>
      <w:rFonts w:ascii="Arial Black" w:hAnsi="Arial Black" w:eastAsia="黑体"/>
      <w:b/>
      <w:sz w:val="18"/>
      <w:lang w:eastAsia="zh-CN"/>
    </w:rPr>
  </w:style>
  <w:style w:type="paragraph" w:customStyle="1" w:styleId="33">
    <w:name w:val="Style Before:  15 pt After:  3 pt"/>
    <w:basedOn w:val="1"/>
    <w:qFormat/>
    <w:uiPriority w:val="0"/>
    <w:pPr>
      <w:adjustRightInd/>
      <w:spacing w:before="300" w:after="60" w:line="240" w:lineRule="auto"/>
      <w:textAlignment w:val="auto"/>
    </w:pPr>
    <w:rPr>
      <w:rFonts w:cs="宋体"/>
      <w:kern w:val="2"/>
      <w:lang w:eastAsia="zh-TW"/>
    </w:rPr>
  </w:style>
  <w:style w:type="paragraph" w:customStyle="1" w:styleId="34">
    <w:name w:val="标语"/>
    <w:basedOn w:val="1"/>
    <w:qFormat/>
    <w:uiPriority w:val="0"/>
    <w:pPr>
      <w:widowControl/>
      <w:shd w:val="pct10" w:color="auto" w:fill="FFFFFF"/>
      <w:ind w:left="14" w:right="-360"/>
    </w:pPr>
    <w:rPr>
      <w:rFonts w:ascii="Impact" w:hAnsi="Impact" w:eastAsia="黑体"/>
      <w:caps/>
      <w:color w:val="FFFFFF"/>
      <w:spacing w:val="20"/>
      <w:position w:val="12"/>
      <w:sz w:val="48"/>
      <w:lang w:bidi="he-IL"/>
    </w:rPr>
  </w:style>
  <w:style w:type="paragraph" w:customStyle="1" w:styleId="35">
    <w:name w:val="尾消息标题"/>
    <w:basedOn w:val="12"/>
    <w:next w:val="3"/>
    <w:qFormat/>
    <w:uiPriority w:val="0"/>
    <w:pPr>
      <w:pBdr>
        <w:bottom w:val="single" w:color="auto" w:sz="6" w:space="19"/>
        <w:between w:val="single" w:color="auto" w:sz="6" w:space="19"/>
      </w:pBdr>
      <w:tabs>
        <w:tab w:val="left" w:pos="2102"/>
        <w:tab w:val="left" w:pos="3773"/>
        <w:tab w:val="left" w:pos="5875"/>
        <w:tab w:val="left" w:pos="7675"/>
        <w:tab w:val="clear" w:pos="720"/>
        <w:tab w:val="clear" w:pos="4320"/>
        <w:tab w:val="clear" w:pos="5040"/>
        <w:tab w:val="clear" w:pos="8640"/>
      </w:tabs>
      <w:spacing w:before="120" w:after="120"/>
      <w:ind w:left="835" w:firstLine="0"/>
    </w:pPr>
  </w:style>
  <w:style w:type="paragraph" w:customStyle="1" w:styleId="36">
    <w:name w:val="文件标题"/>
    <w:basedOn w:val="1"/>
    <w:qFormat/>
    <w:uiPriority w:val="0"/>
    <w:pPr>
      <w:spacing w:line="720" w:lineRule="auto"/>
      <w:jc w:val="center"/>
    </w:pPr>
    <w:rPr>
      <w:rFonts w:ascii="黑体" w:eastAsia="黑体"/>
      <w:b/>
      <w:color w:val="000000"/>
      <w:sz w:val="32"/>
      <w:szCs w:val="32"/>
    </w:rPr>
  </w:style>
  <w:style w:type="paragraph" w:customStyle="1" w:styleId="37">
    <w:name w:val="文件正文"/>
    <w:basedOn w:val="1"/>
    <w:qFormat/>
    <w:uiPriority w:val="0"/>
    <w:pPr>
      <w:spacing w:line="360" w:lineRule="auto"/>
      <w:ind w:firstLine="200" w:firstLineChars="200"/>
    </w:pPr>
    <w:rPr>
      <w:rFonts w:ascii="宋体" w:hAnsi="宋体"/>
      <w:color w:val="000000"/>
      <w:szCs w:val="24"/>
    </w:rPr>
  </w:style>
  <w:style w:type="paragraph" w:customStyle="1" w:styleId="38">
    <w:name w:val="二级标题"/>
    <w:basedOn w:val="1"/>
    <w:qFormat/>
    <w:uiPriority w:val="99"/>
    <w:pPr>
      <w:numPr>
        <w:ilvl w:val="0"/>
        <w:numId w:val="2"/>
      </w:numPr>
      <w:spacing w:line="360" w:lineRule="auto"/>
    </w:pPr>
    <w:rPr>
      <w:rFonts w:ascii="宋体" w:hAnsi="宋体"/>
      <w:b/>
      <w:color w:val="000000"/>
    </w:rPr>
  </w:style>
  <w:style w:type="paragraph" w:customStyle="1" w:styleId="39">
    <w:name w:val="首消息标题"/>
    <w:basedOn w:val="12"/>
    <w:next w:val="12"/>
    <w:qFormat/>
    <w:uiPriority w:val="0"/>
  </w:style>
  <w:style w:type="paragraph" w:customStyle="1" w:styleId="40">
    <w:name w:val="文档标签"/>
    <w:basedOn w:val="1"/>
    <w:qFormat/>
    <w:uiPriority w:val="0"/>
    <w:pPr>
      <w:keepNext/>
      <w:keepLines/>
      <w:widowControl/>
      <w:spacing w:before="400" w:after="120" w:line="240" w:lineRule="atLeast"/>
    </w:pPr>
    <w:rPr>
      <w:rFonts w:ascii="Arial Black" w:hAnsi="Arial Black"/>
      <w:spacing w:val="-100"/>
      <w:kern w:val="28"/>
      <w:sz w:val="108"/>
      <w:lang w:bidi="he-IL"/>
    </w:rPr>
  </w:style>
  <w:style w:type="paragraph" w:customStyle="1" w:styleId="41">
    <w:name w:val="一级标题"/>
    <w:basedOn w:val="1"/>
    <w:qFormat/>
    <w:uiPriority w:val="0"/>
    <w:pPr>
      <w:tabs>
        <w:tab w:val="left" w:pos="567"/>
      </w:tabs>
      <w:spacing w:line="360" w:lineRule="auto"/>
    </w:pPr>
    <w:rPr>
      <w:rFonts w:ascii="宋体" w:hAnsi="宋体"/>
      <w:b/>
      <w:color w:val="000000"/>
      <w:sz w:val="28"/>
      <w:szCs w:val="28"/>
    </w:rPr>
  </w:style>
  <w:style w:type="paragraph" w:styleId="4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wuye\&#26700;&#38754;\&#20449;&#31614;&#27169;&#26495;&#26032;.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信签模板新.dot</Template>
  <Company>COMMONORG</Company>
  <Pages>11</Pages>
  <Words>6618</Words>
  <Characters>6738</Characters>
  <Lines>132</Lines>
  <Paragraphs>146</Paragraphs>
  <TotalTime>0</TotalTime>
  <ScaleCrop>false</ScaleCrop>
  <LinksUpToDate>false</LinksUpToDate>
  <CharactersWithSpaces>6951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2025-06-20T03:24:00Z</dcterms:created>
  <dc:creator>tgood</dc:creator>
  <cp:lastModifiedBy>3YKHC</cp:lastModifiedBy>
  <cp:lastPrinted>2013-06-25T03:16:00Z</cp:lastPrinted>
  <dcterms:modified xsi:type="dcterms:W3CDTF">2026-10-09T07:41:08Z</dcterms:modified>
  <dc:title>传真</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2C76FAD71E924922916FA613C5F8E62D_12</vt:lpwstr>
  </property>
  <property fmtid="{D5CDD505-2E9C-101B-9397-08002B2CF9AE}" pid="4" name="KSOTemplateDocerSaveRecord">
    <vt:lpwstr>eyJoZGlkIjoiN2NkMDZjZmRmNWViMjY1NjU2ZTJmYjIxOTY4M2JlNzEiLCJ1c2VySWQiOiI1OTAxNjM3MDcifQ==</vt:lpwstr>
  </property>
  <property fmtid="{D5CDD505-2E9C-101B-9397-08002B2CF9AE}" pid="5" name="Generator">
    <vt:lpwstr>NPOI</vt:lpwstr>
  </property>
  <property fmtid="{D5CDD505-2E9C-101B-9397-08002B2CF9AE}" pid="6" name="Generator Version">
    <vt:lpwstr>2.6.0</vt:lpwstr>
  </property>
</Properties>
</file>