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24163">
      <w:pPr>
        <w:adjustRightInd w:val="0"/>
        <w:snapToGrid w:val="0"/>
        <w:spacing w:before="120" w:after="120" w:line="276" w:lineRule="auto"/>
        <w:jc w:val="center"/>
        <w:rPr>
          <w:rFonts w:eastAsia="华文中宋"/>
          <w:color w:val="auto"/>
          <w:sz w:val="44"/>
          <w:szCs w:val="44"/>
          <w:highlight w:val="none"/>
        </w:rPr>
      </w:pPr>
      <w:r>
        <w:rPr>
          <w:rFonts w:hint="eastAsia" w:eastAsia="华文中宋"/>
          <w:color w:val="auto"/>
          <w:sz w:val="44"/>
          <w:szCs w:val="44"/>
          <w:highlight w:val="none"/>
        </w:rPr>
        <w:t>询价文件</w:t>
      </w:r>
    </w:p>
    <w:p w14:paraId="349DCF2E">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u w:val="single"/>
          <w:lang w:val="en-US" w:eastAsia="zh-CN"/>
        </w:rPr>
        <w:t>阳江</w:t>
      </w:r>
      <w:r>
        <w:rPr>
          <w:rFonts w:eastAsia="仿宋_GB2312"/>
          <w:color w:val="auto"/>
          <w:sz w:val="32"/>
          <w:szCs w:val="32"/>
          <w:highlight w:val="none"/>
          <w:u w:val="single"/>
        </w:rPr>
        <w:t>开能环保能源有限公司</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u w:val="single"/>
          <w:lang w:val="en-US" w:eastAsia="zh-CN"/>
        </w:rPr>
        <w:t>采购人</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rPr>
        <w:t>需采购一家</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高效消石灰供货</w:t>
      </w:r>
      <w:r>
        <w:rPr>
          <w:rFonts w:eastAsia="仿宋_GB2312"/>
          <w:color w:val="auto"/>
          <w:sz w:val="32"/>
          <w:szCs w:val="32"/>
          <w:highlight w:val="none"/>
          <w:u w:val="single"/>
        </w:rPr>
        <w:t xml:space="preserve">   </w:t>
      </w:r>
      <w:r>
        <w:rPr>
          <w:rFonts w:hint="eastAsia" w:eastAsia="仿宋_GB2312"/>
          <w:color w:val="auto"/>
          <w:sz w:val="32"/>
          <w:szCs w:val="32"/>
          <w:highlight w:val="none"/>
        </w:rPr>
        <w:t>单位，现将相关情况介绍如下：</w:t>
      </w:r>
    </w:p>
    <w:p w14:paraId="77918763">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一、项目名称及内容</w:t>
      </w:r>
    </w:p>
    <w:p w14:paraId="4F9AD7B0">
      <w:pPr>
        <w:adjustRightInd w:val="0"/>
        <w:snapToGrid w:val="0"/>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1</w:t>
      </w:r>
      <w:r>
        <w:rPr>
          <w:rFonts w:hint="eastAsia" w:eastAsia="仿宋_GB2312"/>
          <w:color w:val="auto"/>
          <w:sz w:val="32"/>
          <w:szCs w:val="32"/>
          <w:highlight w:val="none"/>
        </w:rPr>
        <w:t>、项目名称：</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w:t>
      </w:r>
      <w:r>
        <w:rPr>
          <w:rFonts w:hint="eastAsia" w:eastAsia="仿宋_GB2312"/>
          <w:color w:val="auto"/>
          <w:sz w:val="32"/>
          <w:szCs w:val="32"/>
          <w:highlight w:val="none"/>
          <w:u w:val="single"/>
        </w:rPr>
        <w:t>开能环保能源有限公司</w:t>
      </w:r>
      <w:r>
        <w:rPr>
          <w:rFonts w:hint="eastAsia" w:eastAsia="仿宋_GB2312"/>
          <w:color w:val="auto"/>
          <w:sz w:val="32"/>
          <w:szCs w:val="32"/>
          <w:highlight w:val="none"/>
          <w:u w:val="single"/>
          <w:lang w:val="en-US" w:eastAsia="zh-CN"/>
        </w:rPr>
        <w:t>2026年高效消石灰采购项目</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u w:val="single"/>
          <w:lang w:val="en-US" w:eastAsia="zh-CN"/>
        </w:rPr>
        <w:t>采购项目编号：YJKN（2026）-HW-002</w:t>
      </w:r>
      <w:r>
        <w:rPr>
          <w:rFonts w:hint="eastAsia" w:eastAsia="仿宋_GB2312"/>
          <w:color w:val="auto"/>
          <w:sz w:val="32"/>
          <w:szCs w:val="32"/>
          <w:highlight w:val="none"/>
          <w:u w:val="single"/>
          <w:lang w:eastAsia="zh-CN"/>
        </w:rPr>
        <w:t>）</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w:t>
      </w:r>
    </w:p>
    <w:p w14:paraId="738CF4F0">
      <w:pPr>
        <w:adjustRightInd w:val="0"/>
        <w:snapToGrid w:val="0"/>
        <w:spacing w:line="600" w:lineRule="exact"/>
        <w:ind w:firstLine="640" w:firstLineChars="200"/>
        <w:rPr>
          <w:rFonts w:eastAsia="仿宋_GB2312"/>
          <w:color w:val="auto"/>
          <w:sz w:val="32"/>
          <w:szCs w:val="32"/>
          <w:highlight w:val="none"/>
          <w:u w:val="single"/>
        </w:rPr>
      </w:pPr>
      <w:r>
        <w:rPr>
          <w:rFonts w:eastAsia="仿宋_GB2312"/>
          <w:color w:val="auto"/>
          <w:sz w:val="32"/>
          <w:szCs w:val="32"/>
          <w:highlight w:val="none"/>
        </w:rPr>
        <w:t>2</w:t>
      </w:r>
      <w:r>
        <w:rPr>
          <w:rFonts w:hint="eastAsia" w:eastAsia="仿宋_GB2312"/>
          <w:color w:val="auto"/>
          <w:sz w:val="32"/>
          <w:szCs w:val="32"/>
          <w:highlight w:val="none"/>
        </w:rPr>
        <w:t>、采购范围：</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w:t>
      </w:r>
      <w:r>
        <w:rPr>
          <w:rFonts w:hint="eastAsia" w:eastAsia="仿宋_GB2312"/>
          <w:color w:val="auto"/>
          <w:sz w:val="32"/>
          <w:szCs w:val="32"/>
          <w:highlight w:val="none"/>
          <w:u w:val="single"/>
        </w:rPr>
        <w:t>开能环保能源有限公司</w:t>
      </w:r>
      <w:r>
        <w:rPr>
          <w:rFonts w:hint="eastAsia" w:eastAsia="仿宋_GB2312"/>
          <w:color w:val="auto"/>
          <w:sz w:val="32"/>
          <w:szCs w:val="32"/>
          <w:highlight w:val="none"/>
          <w:u w:val="single"/>
          <w:lang w:val="en-US" w:eastAsia="zh-CN"/>
        </w:rPr>
        <w:t>高效消石灰采购项目，数量预计240吨，项目包含高效消石灰的供货、运输、起运地装货及采购人项目所在地点卸货、响应人完成每批次高效消石灰卸货后将采购人灰库中的飞灰外运及合法处理等费用</w:t>
      </w:r>
      <w:r>
        <w:rPr>
          <w:rFonts w:hint="eastAsia" w:eastAsia="仿宋_GB2312"/>
          <w:color w:val="auto"/>
          <w:sz w:val="32"/>
          <w:szCs w:val="32"/>
          <w:highlight w:val="none"/>
          <w:u w:val="single"/>
        </w:rPr>
        <w:t>；</w:t>
      </w:r>
    </w:p>
    <w:p w14:paraId="1C16A750">
      <w:pPr>
        <w:adjustRightInd w:val="0"/>
        <w:snapToGrid w:val="0"/>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、项目地点：</w:t>
      </w:r>
      <w:r>
        <w:rPr>
          <w:rFonts w:eastAsia="仿宋_GB2312"/>
          <w:color w:val="auto"/>
          <w:sz w:val="32"/>
          <w:szCs w:val="32"/>
          <w:highlight w:val="none"/>
          <w:u w:val="single"/>
        </w:rPr>
        <w:t xml:space="preserve"> 广东省阳江高新技术产业开发区港口工业园广东广青金属科技有限公司厂区内</w:t>
      </w:r>
      <w:r>
        <w:rPr>
          <w:rFonts w:hint="default" w:eastAsia="仿宋_GB2312"/>
          <w:color w:val="auto"/>
          <w:sz w:val="32"/>
          <w:szCs w:val="32"/>
          <w:highlight w:val="none"/>
          <w:u w:val="single"/>
        </w:rPr>
        <w:t> </w:t>
      </w:r>
      <w:r>
        <w:rPr>
          <w:rFonts w:hint="eastAsia" w:eastAsia="仿宋_GB2312"/>
          <w:color w:val="auto"/>
          <w:sz w:val="32"/>
          <w:szCs w:val="32"/>
          <w:highlight w:val="none"/>
          <w:u w:val="single"/>
        </w:rPr>
        <w:t>；</w:t>
      </w:r>
    </w:p>
    <w:p w14:paraId="3F786D1E">
      <w:pPr>
        <w:spacing w:line="600" w:lineRule="exact"/>
        <w:ind w:firstLine="640" w:firstLineChars="200"/>
        <w:rPr>
          <w:rFonts w:hint="default" w:eastAsia="仿宋_GB2312"/>
          <w:color w:val="auto"/>
          <w:sz w:val="32"/>
          <w:szCs w:val="32"/>
          <w:highlight w:val="none"/>
          <w:lang w:val="en-US" w:eastAsia="zh-CN"/>
        </w:rPr>
      </w:pPr>
      <w:r>
        <w:rPr>
          <w:rFonts w:eastAsia="仿宋_GB2312"/>
          <w:color w:val="auto"/>
          <w:sz w:val="32"/>
          <w:szCs w:val="32"/>
          <w:highlight w:val="none"/>
        </w:rPr>
        <w:t>4</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供货期</w:t>
      </w:r>
      <w:r>
        <w:rPr>
          <w:rFonts w:hint="eastAsia" w:eastAsia="仿宋_GB2312"/>
          <w:color w:val="auto"/>
          <w:sz w:val="32"/>
          <w:szCs w:val="32"/>
          <w:highlight w:val="none"/>
        </w:rPr>
        <w:t>：</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自合同签订之日起满一年，成交人根据采购人的具体通知分批进行供货，同时成交人需在接到采购人供货通知的5天内将货物送达成交人项目现场。实际供货数量及供货批次可具体按照采购人的需求进行调整。</w:t>
      </w:r>
    </w:p>
    <w:p w14:paraId="107DDE72">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二、项目发布</w:t>
      </w:r>
    </w:p>
    <w:p w14:paraId="0AA83400">
      <w:pPr>
        <w:adjustRightInd w:val="0"/>
        <w:snapToGrid w:val="0"/>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本采购项目信息在东莞实业投资控股集团有限公司网</w:t>
      </w:r>
      <w:r>
        <w:rPr>
          <w:rFonts w:hint="eastAsia" w:ascii="Times New Roman" w:hAnsi="Times New Roman" w:eastAsia="仿宋_GB2312" w:cs="Times New Roman"/>
          <w:color w:val="auto"/>
          <w:sz w:val="32"/>
          <w:szCs w:val="32"/>
          <w:highlight w:val="none"/>
        </w:rPr>
        <w:t>站-招标采购栏目</w:t>
      </w:r>
      <w:r>
        <w:rPr>
          <w:rFonts w:hint="eastAsia" w:eastAsia="仿宋_GB2312"/>
          <w:color w:val="auto"/>
          <w:sz w:val="32"/>
          <w:szCs w:val="32"/>
          <w:highlight w:val="none"/>
        </w:rPr>
        <w:t>（</w:t>
      </w:r>
      <w:r>
        <w:rPr>
          <w:rFonts w:eastAsia="仿宋_GB2312"/>
          <w:color w:val="auto"/>
          <w:sz w:val="32"/>
          <w:szCs w:val="32"/>
          <w:highlight w:val="none"/>
        </w:rPr>
        <w:t>http://www.dgsy.com.cn/</w:t>
      </w:r>
      <w:r>
        <w:rPr>
          <w:rFonts w:hint="eastAsia" w:eastAsia="仿宋_GB2312"/>
          <w:color w:val="auto"/>
          <w:sz w:val="32"/>
          <w:szCs w:val="32"/>
          <w:highlight w:val="none"/>
        </w:rPr>
        <w:t>）发布。</w:t>
      </w:r>
    </w:p>
    <w:p w14:paraId="19F0DDFE">
      <w:pPr>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三、响应人资格要求</w:t>
      </w:r>
    </w:p>
    <w:p w14:paraId="2C08AC31">
      <w:pPr>
        <w:spacing w:line="4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1、响应人须为在中华人民共和国境内登记注册的具有独立承担民事责任能力的法人或其他组织。【提供《营业执照》复印件（加盖公章）或《事业单位法人证书》复印件（加盖公章）或其他主体证书复印件（加盖公章）】</w:t>
      </w:r>
    </w:p>
    <w:p w14:paraId="68513CE6">
      <w:pPr>
        <w:pageBreakBefore w:val="0"/>
        <w:widowControl w:val="0"/>
        <w:kinsoku/>
        <w:wordWrap/>
        <w:overflowPunct/>
        <w:topLinePunct w:val="0"/>
        <w:autoSpaceDE/>
        <w:autoSpaceDN/>
        <w:bidi w:val="0"/>
        <w:spacing w:line="400" w:lineRule="exact"/>
        <w:ind w:firstLine="640" w:firstLineChars="200"/>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、业绩要求：</w:t>
      </w:r>
      <w:r>
        <w:rPr>
          <w:rFonts w:hint="eastAsia" w:ascii="仿宋" w:hAnsi="仿宋" w:eastAsia="仿宋"/>
          <w:color w:val="auto"/>
          <w:sz w:val="32"/>
          <w:szCs w:val="32"/>
          <w:highlight w:val="none"/>
          <w:lang w:val="en-US" w:eastAsia="zh-CN"/>
        </w:rPr>
        <w:t>响应人</w:t>
      </w:r>
      <w:r>
        <w:rPr>
          <w:rFonts w:hint="eastAsia" w:ascii="仿宋" w:hAnsi="仿宋" w:eastAsia="仿宋"/>
          <w:color w:val="auto"/>
          <w:sz w:val="32"/>
          <w:szCs w:val="32"/>
          <w:highlight w:val="none"/>
        </w:rPr>
        <w:t>具备</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高效消石灰供货</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项目经验，要求</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2021</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年</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1</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月</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1</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日起</w:t>
      </w:r>
      <w:r>
        <w:rPr>
          <w:rFonts w:hint="eastAsia" w:ascii="仿宋" w:hAnsi="仿宋" w:eastAsia="仿宋"/>
          <w:color w:val="auto"/>
          <w:sz w:val="32"/>
          <w:szCs w:val="32"/>
          <w:highlight w:val="none"/>
          <w:lang w:val="en-US" w:eastAsia="zh-CN"/>
        </w:rPr>
        <w:t>采购公告发布之日</w:t>
      </w:r>
      <w:r>
        <w:rPr>
          <w:rFonts w:hint="eastAsia" w:ascii="仿宋" w:hAnsi="仿宋" w:eastAsia="仿宋"/>
          <w:color w:val="auto"/>
          <w:sz w:val="32"/>
          <w:szCs w:val="32"/>
          <w:highlight w:val="none"/>
        </w:rPr>
        <w:t>，完成至少</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 xml:space="preserve">  高效消石灰供货</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业绩。【按合同签订时间为准，须提供合同关键页复印件（包含但不限于合同首页、合同金额页、合同签字页等）、该合同期内任意一期发票复印件</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并加盖投标人公章。</w:t>
      </w:r>
    </w:p>
    <w:p w14:paraId="252CCDA0">
      <w:pPr>
        <w:pageBreakBefore w:val="0"/>
        <w:widowControl w:val="0"/>
        <w:kinsoku/>
        <w:wordWrap/>
        <w:overflowPunct/>
        <w:topLinePunct w:val="0"/>
        <w:autoSpaceDE/>
        <w:autoSpaceDN/>
        <w:bidi w:val="0"/>
        <w:spacing w:line="400" w:lineRule="exact"/>
        <w:ind w:firstLine="640" w:firstLineChars="200"/>
        <w:textAlignment w:val="auto"/>
        <w:rPr>
          <w:rFonts w:hint="eastAsia" w:ascii="仿宋" w:hAnsi="仿宋" w:eastAsia="仿宋" w:cs="Times New Roman"/>
          <w:b w:val="0"/>
          <w:bCs w:val="0"/>
          <w:color w:val="auto"/>
          <w:kern w:val="2"/>
          <w:sz w:val="32"/>
          <w:szCs w:val="32"/>
          <w:highlight w:val="none"/>
          <w:lang w:val="en-US" w:eastAsia="zh-CN" w:bidi="ar-SA"/>
        </w:rPr>
      </w:pPr>
      <w:r>
        <w:rPr>
          <w:rFonts w:hint="eastAsia" w:ascii="仿宋" w:hAnsi="仿宋" w:eastAsia="仿宋" w:cs="Times New Roman"/>
          <w:b w:val="0"/>
          <w:bCs w:val="0"/>
          <w:color w:val="auto"/>
          <w:kern w:val="2"/>
          <w:sz w:val="32"/>
          <w:szCs w:val="32"/>
          <w:highlight w:val="none"/>
          <w:lang w:val="en-US" w:eastAsia="zh-CN" w:bidi="ar-SA"/>
        </w:rPr>
        <w:t>2、响应人须提供所投产品2021年1月1日至采购公告发布之日具有检测资质的第三方检测公司出具的检测报告复印件加盖投标人公章(检测报告须：含Ca(OH) 2纯度 ＞90%、粒度：325目过筛通过率＞85%、比重：0.50-0.65t/m³、比表面积（BET）＞40㎡/g等指标）。</w:t>
      </w:r>
    </w:p>
    <w:p w14:paraId="64B6B478">
      <w:pPr>
        <w:pageBreakBefore w:val="0"/>
        <w:widowControl w:val="0"/>
        <w:kinsoku/>
        <w:wordWrap/>
        <w:overflowPunct/>
        <w:topLinePunct w:val="0"/>
        <w:autoSpaceDE/>
        <w:autoSpaceDN/>
        <w:bidi w:val="0"/>
        <w:adjustRightInd w:val="0"/>
        <w:snapToGrid w:val="0"/>
        <w:spacing w:line="400" w:lineRule="exact"/>
        <w:ind w:firstLine="640" w:firstLineChars="200"/>
        <w:textAlignment w:val="auto"/>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3</w:t>
      </w:r>
      <w:r>
        <w:rPr>
          <w:rFonts w:hint="eastAsia" w:eastAsia="仿宋_GB2312"/>
          <w:color w:val="auto"/>
          <w:sz w:val="32"/>
          <w:szCs w:val="32"/>
          <w:highlight w:val="none"/>
        </w:rPr>
        <w:t>、未被列入东实集团及下属企业</w:t>
      </w:r>
      <w:r>
        <w:rPr>
          <w:rFonts w:hint="eastAsia" w:ascii="仿宋" w:hAnsi="仿宋" w:eastAsia="仿宋"/>
          <w:color w:val="auto"/>
          <w:sz w:val="32"/>
          <w:szCs w:val="32"/>
          <w:highlight w:val="none"/>
          <w:lang w:val="en-US" w:eastAsia="zh-CN"/>
        </w:rPr>
        <w:t>相关</w:t>
      </w:r>
      <w:r>
        <w:rPr>
          <w:rFonts w:hint="eastAsia" w:eastAsia="仿宋_GB2312"/>
          <w:color w:val="auto"/>
          <w:sz w:val="32"/>
          <w:szCs w:val="32"/>
          <w:highlight w:val="none"/>
        </w:rPr>
        <w:t>领域黑名单。</w:t>
      </w:r>
    </w:p>
    <w:p w14:paraId="522F31A5">
      <w:pPr>
        <w:adjustRightInd w:val="0"/>
        <w:snapToGrid w:val="0"/>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4</w:t>
      </w:r>
      <w:r>
        <w:rPr>
          <w:rFonts w:hint="eastAsia" w:eastAsia="仿宋_GB2312"/>
          <w:color w:val="auto"/>
          <w:sz w:val="32"/>
          <w:szCs w:val="32"/>
          <w:highlight w:val="none"/>
        </w:rPr>
        <w:t>、本项目不接受联合体报价。</w:t>
      </w:r>
    </w:p>
    <w:p w14:paraId="78CF7859">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四、采购内容及要求</w:t>
      </w:r>
    </w:p>
    <w:p w14:paraId="7B17FC6D">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u w:val="single"/>
        </w:rPr>
        <w:t>具体要求详见本询价文件</w:t>
      </w:r>
      <w:r>
        <w:rPr>
          <w:rFonts w:hint="eastAsia" w:eastAsia="仿宋_GB2312"/>
          <w:color w:val="auto"/>
          <w:sz w:val="32"/>
          <w:szCs w:val="32"/>
          <w:highlight w:val="none"/>
          <w:u w:val="single"/>
          <w:lang w:val="en-US" w:eastAsia="zh-CN"/>
        </w:rPr>
        <w:t>附件六</w:t>
      </w:r>
      <w:r>
        <w:rPr>
          <w:rFonts w:hint="eastAsia" w:eastAsia="仿宋_GB2312"/>
          <w:color w:val="auto"/>
          <w:sz w:val="32"/>
          <w:szCs w:val="32"/>
          <w:highlight w:val="none"/>
          <w:u w:val="single"/>
        </w:rPr>
        <w:t>《</w:t>
      </w:r>
      <w:r>
        <w:rPr>
          <w:rFonts w:hint="eastAsia" w:eastAsia="仿宋_GB2312"/>
          <w:color w:val="auto"/>
          <w:sz w:val="32"/>
          <w:szCs w:val="32"/>
          <w:highlight w:val="none"/>
          <w:u w:val="single"/>
          <w:lang w:val="en-US" w:eastAsia="zh-CN"/>
        </w:rPr>
        <w:t>技术需求书</w:t>
      </w:r>
      <w:r>
        <w:rPr>
          <w:rFonts w:hint="eastAsia" w:eastAsia="仿宋_GB2312"/>
          <w:color w:val="auto"/>
          <w:sz w:val="32"/>
          <w:szCs w:val="32"/>
          <w:highlight w:val="none"/>
          <w:u w:val="single"/>
        </w:rPr>
        <w:t>》</w:t>
      </w:r>
      <w:r>
        <w:rPr>
          <w:rFonts w:hint="eastAsia" w:eastAsia="仿宋_GB2312"/>
          <w:color w:val="auto"/>
          <w:sz w:val="32"/>
          <w:szCs w:val="32"/>
          <w:highlight w:val="none"/>
        </w:rPr>
        <w:t>。响应人须仔细阅读本技术</w:t>
      </w:r>
      <w:r>
        <w:rPr>
          <w:rFonts w:hint="eastAsia" w:eastAsia="仿宋_GB2312"/>
          <w:color w:val="auto"/>
          <w:sz w:val="32"/>
          <w:szCs w:val="32"/>
          <w:highlight w:val="none"/>
          <w:lang w:val="en-US" w:eastAsia="zh-CN"/>
        </w:rPr>
        <w:t>需求书</w:t>
      </w:r>
      <w:r>
        <w:rPr>
          <w:rFonts w:hint="eastAsia" w:eastAsia="仿宋_GB2312"/>
          <w:color w:val="auto"/>
          <w:sz w:val="32"/>
          <w:szCs w:val="32"/>
          <w:highlight w:val="none"/>
        </w:rPr>
        <w:t>，因未详细了解本技术</w:t>
      </w:r>
      <w:r>
        <w:rPr>
          <w:rFonts w:hint="eastAsia" w:eastAsia="仿宋_GB2312"/>
          <w:color w:val="auto"/>
          <w:sz w:val="32"/>
          <w:szCs w:val="32"/>
          <w:highlight w:val="none"/>
          <w:lang w:val="en-US" w:eastAsia="zh-CN"/>
        </w:rPr>
        <w:t>需求书</w:t>
      </w:r>
      <w:r>
        <w:rPr>
          <w:rFonts w:hint="eastAsia" w:eastAsia="仿宋_GB2312"/>
          <w:color w:val="auto"/>
          <w:sz w:val="32"/>
          <w:szCs w:val="32"/>
          <w:highlight w:val="none"/>
        </w:rPr>
        <w:t>造成报价项目遗漏，由响应人自行负责。</w:t>
      </w:r>
    </w:p>
    <w:p w14:paraId="670E9C8B">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五、完成时间</w:t>
      </w:r>
    </w:p>
    <w:p w14:paraId="2D9CD6B8">
      <w:pPr>
        <w:spacing w:line="600" w:lineRule="exact"/>
        <w:ind w:firstLine="640" w:firstLineChars="200"/>
        <w:rPr>
          <w:rFonts w:hint="default" w:eastAsia="仿宋_GB2312"/>
          <w:color w:val="auto"/>
          <w:sz w:val="32"/>
          <w:szCs w:val="32"/>
          <w:highlight w:val="none"/>
          <w:lang w:val="en-US" w:eastAsia="zh-CN"/>
        </w:rPr>
      </w:pPr>
      <w:r>
        <w:rPr>
          <w:rFonts w:hint="eastAsia" w:eastAsia="仿宋_GB2312"/>
          <w:color w:val="auto"/>
          <w:sz w:val="32"/>
          <w:szCs w:val="32"/>
          <w:highlight w:val="none"/>
          <w:u w:val="single"/>
          <w:lang w:val="en-US" w:eastAsia="zh-CN"/>
        </w:rPr>
        <w:t>供货期及相关要求</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u w:val="single"/>
          <w:lang w:val="en-US" w:eastAsia="zh-CN"/>
        </w:rPr>
        <w:t>自合同签订之日起满一年，成交人根据采购人的具体通知分批进行供货，同时成交人需在接到采购人供货通知的5天内将货物送达成交人项目现场。实际供货数量及供货批次可具体按照采购人的需求进行调整。</w:t>
      </w:r>
    </w:p>
    <w:p w14:paraId="0A32A0CB">
      <w:pPr>
        <w:adjustRightInd w:val="0"/>
        <w:snapToGrid w:val="0"/>
        <w:spacing w:line="600" w:lineRule="exact"/>
        <w:ind w:firstLine="640" w:firstLineChars="200"/>
        <w:outlineLvl w:val="1"/>
        <w:rPr>
          <w:rFonts w:hint="eastAsia" w:eastAsia="黑体"/>
          <w:color w:val="auto"/>
          <w:sz w:val="32"/>
          <w:szCs w:val="32"/>
          <w:highlight w:val="none"/>
          <w:lang w:val="en-US" w:eastAsia="zh-CN"/>
        </w:rPr>
      </w:pPr>
      <w:r>
        <w:rPr>
          <w:rFonts w:hint="eastAsia" w:eastAsia="黑体"/>
          <w:color w:val="auto"/>
          <w:sz w:val="32"/>
          <w:szCs w:val="32"/>
          <w:highlight w:val="none"/>
        </w:rPr>
        <w:t>六、支付方式</w:t>
      </w:r>
      <w:r>
        <w:rPr>
          <w:rFonts w:hint="eastAsia" w:eastAsia="黑体"/>
          <w:color w:val="auto"/>
          <w:sz w:val="32"/>
          <w:szCs w:val="32"/>
          <w:highlight w:val="none"/>
          <w:lang w:val="en-US" w:eastAsia="zh-CN"/>
        </w:rPr>
        <w:t xml:space="preserve"> </w:t>
      </w:r>
    </w:p>
    <w:p w14:paraId="1A197B3C">
      <w:pPr>
        <w:adjustRightInd w:val="0"/>
        <w:snapToGrid w:val="0"/>
        <w:spacing w:line="600" w:lineRule="exact"/>
        <w:ind w:firstLine="640" w:firstLineChars="200"/>
        <w:outlineLvl w:val="1"/>
        <w:rPr>
          <w:rFonts w:hint="default" w:eastAsia="仿宋_GB2312"/>
          <w:color w:val="auto"/>
          <w:sz w:val="32"/>
          <w:szCs w:val="32"/>
          <w:highlight w:val="none"/>
          <w:u w:val="single"/>
          <w:lang w:val="en-US" w:eastAsia="zh-CN"/>
        </w:rPr>
      </w:pPr>
      <w:r>
        <w:rPr>
          <w:rFonts w:hint="eastAsia" w:eastAsia="仿宋_GB2312"/>
          <w:color w:val="auto"/>
          <w:sz w:val="32"/>
          <w:szCs w:val="32"/>
          <w:highlight w:val="none"/>
          <w:u w:val="single"/>
          <w:lang w:val="en-US" w:eastAsia="zh-CN"/>
        </w:rPr>
        <w:t xml:space="preserve"> 在合同供货期内，成交人每次供货完成并经采购人验收合格后的一个月内以电汇/转账/银行承兑汇票等方式支付对应款项。每次结算付款金额按照固定综合单价×实际供货数量进行确定。</w:t>
      </w:r>
    </w:p>
    <w:p w14:paraId="3C4360FC">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七、报价</w:t>
      </w:r>
    </w:p>
    <w:p w14:paraId="153D793D">
      <w:pPr>
        <w:spacing w:line="600" w:lineRule="exact"/>
        <w:ind w:firstLine="640" w:firstLineChars="200"/>
        <w:rPr>
          <w:rFonts w:hint="default" w:eastAsia="仿宋_GB2312"/>
          <w:color w:val="auto"/>
          <w:sz w:val="32"/>
          <w:szCs w:val="32"/>
          <w:highlight w:val="none"/>
          <w:lang w:val="en-US" w:eastAsia="zh-CN"/>
        </w:rPr>
      </w:pPr>
      <w:r>
        <w:rPr>
          <w:rFonts w:hint="eastAsia" w:eastAsia="仿宋_GB2312"/>
          <w:color w:val="auto"/>
          <w:sz w:val="32"/>
          <w:szCs w:val="32"/>
          <w:highlight w:val="none"/>
          <w:lang w:val="en-US" w:eastAsia="zh-CN"/>
        </w:rPr>
        <w:t>1、</w:t>
      </w:r>
      <w:r>
        <w:rPr>
          <w:rFonts w:hint="eastAsia" w:eastAsia="仿宋_GB2312"/>
          <w:color w:val="auto"/>
          <w:sz w:val="32"/>
          <w:szCs w:val="32"/>
          <w:highlight w:val="none"/>
        </w:rPr>
        <w:t>采购限价：</w:t>
      </w:r>
      <w:r>
        <w:rPr>
          <w:rFonts w:hint="eastAsia" w:eastAsia="仿宋_GB2312"/>
          <w:color w:val="auto"/>
          <w:sz w:val="32"/>
          <w:szCs w:val="32"/>
          <w:highlight w:val="none"/>
          <w:lang w:val="en-US" w:eastAsia="zh-CN"/>
        </w:rPr>
        <w:t>含税暂定总价限价</w:t>
      </w:r>
      <w:r>
        <w:rPr>
          <w:rFonts w:eastAsia="仿宋_GB2312"/>
          <w:color w:val="auto"/>
          <w:sz w:val="32"/>
          <w:szCs w:val="32"/>
          <w:highlight w:val="none"/>
        </w:rPr>
        <w:t>¥</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人民币</w:t>
      </w:r>
      <w:r>
        <w:rPr>
          <w:rFonts w:hint="eastAsia" w:eastAsia="仿宋_GB2312"/>
          <w:color w:val="auto"/>
          <w:sz w:val="32"/>
          <w:szCs w:val="32"/>
          <w:highlight w:val="none"/>
          <w:u w:val="single"/>
          <w:lang w:val="en-US" w:eastAsia="zh-CN"/>
        </w:rPr>
        <w:t>396000</w:t>
      </w:r>
      <w:r>
        <w:rPr>
          <w:rFonts w:hint="eastAsia" w:eastAsia="仿宋_GB2312"/>
          <w:color w:val="auto"/>
          <w:sz w:val="32"/>
          <w:szCs w:val="32"/>
          <w:highlight w:val="none"/>
          <w:u w:val="single"/>
        </w:rPr>
        <w:t>.00元整（大写：</w:t>
      </w:r>
      <w:r>
        <w:rPr>
          <w:rFonts w:hint="eastAsia" w:eastAsia="仿宋_GB2312"/>
          <w:color w:val="auto"/>
          <w:sz w:val="32"/>
          <w:szCs w:val="32"/>
          <w:highlight w:val="none"/>
          <w:u w:val="single"/>
          <w:lang w:val="en-US" w:eastAsia="zh-CN"/>
        </w:rPr>
        <w:t>叁拾玖万陆仟</w:t>
      </w:r>
      <w:r>
        <w:rPr>
          <w:rFonts w:hint="eastAsia" w:eastAsia="仿宋_GB2312"/>
          <w:color w:val="auto"/>
          <w:sz w:val="32"/>
          <w:szCs w:val="32"/>
          <w:highlight w:val="none"/>
          <w:u w:val="single"/>
        </w:rPr>
        <w:t>元整）</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含税固定单价限价：</w:t>
      </w:r>
      <w:r>
        <w:rPr>
          <w:rFonts w:eastAsia="仿宋_GB2312"/>
          <w:color w:val="auto"/>
          <w:sz w:val="32"/>
          <w:szCs w:val="32"/>
          <w:highlight w:val="none"/>
        </w:rPr>
        <w:t>¥</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人民币</w:t>
      </w:r>
      <w:r>
        <w:rPr>
          <w:rFonts w:hint="eastAsia" w:eastAsia="仿宋_GB2312"/>
          <w:color w:val="auto"/>
          <w:sz w:val="32"/>
          <w:szCs w:val="32"/>
          <w:highlight w:val="none"/>
          <w:u w:val="single"/>
          <w:lang w:val="en-US" w:eastAsia="zh-CN"/>
        </w:rPr>
        <w:t>1650</w:t>
      </w:r>
      <w:r>
        <w:rPr>
          <w:rFonts w:hint="eastAsia" w:eastAsia="仿宋_GB2312"/>
          <w:color w:val="auto"/>
          <w:sz w:val="32"/>
          <w:szCs w:val="32"/>
          <w:highlight w:val="none"/>
          <w:u w:val="single"/>
        </w:rPr>
        <w:t>.00元</w:t>
      </w:r>
      <w:r>
        <w:rPr>
          <w:rFonts w:hint="eastAsia" w:eastAsia="仿宋_GB2312"/>
          <w:color w:val="auto"/>
          <w:sz w:val="32"/>
          <w:szCs w:val="32"/>
          <w:highlight w:val="none"/>
          <w:u w:val="single"/>
          <w:lang w:val="en-US" w:eastAsia="zh-CN"/>
        </w:rPr>
        <w:t>/吨。响应人的综合单价及暂定总价高于最高限价的，该响应人的报价文件将被视为无效响应。</w:t>
      </w:r>
    </w:p>
    <w:p w14:paraId="43793E15">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lang w:val="en-US" w:eastAsia="zh-CN"/>
        </w:rPr>
        <w:t>2、</w:t>
      </w:r>
      <w:r>
        <w:rPr>
          <w:rFonts w:hint="eastAsia" w:eastAsia="仿宋_GB2312"/>
          <w:color w:val="auto"/>
          <w:sz w:val="32"/>
          <w:szCs w:val="32"/>
          <w:highlight w:val="none"/>
        </w:rPr>
        <w:t>本项目发包方式为</w:t>
      </w:r>
      <w:r>
        <w:rPr>
          <w:rFonts w:hint="eastAsia" w:eastAsia="仿宋_GB2312"/>
          <w:color w:val="auto"/>
          <w:sz w:val="32"/>
          <w:szCs w:val="32"/>
          <w:highlight w:val="none"/>
          <w:lang w:val="en-US" w:eastAsia="zh-CN"/>
        </w:rPr>
        <w:t>固定综合单价，暂定总价的模式</w:t>
      </w:r>
      <w:r>
        <w:rPr>
          <w:rFonts w:hint="eastAsia" w:eastAsia="仿宋_GB2312"/>
          <w:color w:val="auto"/>
          <w:sz w:val="32"/>
          <w:szCs w:val="32"/>
          <w:highlight w:val="none"/>
          <w:u w:val="none"/>
        </w:rPr>
        <w:t>。响应人已充分考虑了本项目</w:t>
      </w:r>
      <w:r>
        <w:rPr>
          <w:rFonts w:hint="eastAsia" w:eastAsia="仿宋_GB2312"/>
          <w:color w:val="auto"/>
          <w:sz w:val="32"/>
          <w:szCs w:val="32"/>
          <w:highlight w:val="none"/>
          <w:u w:val="none"/>
          <w:lang w:val="en-US" w:eastAsia="zh-CN"/>
        </w:rPr>
        <w:t>采购</w:t>
      </w:r>
      <w:r>
        <w:rPr>
          <w:rFonts w:hint="eastAsia" w:eastAsia="仿宋_GB2312"/>
          <w:color w:val="auto"/>
          <w:sz w:val="32"/>
          <w:szCs w:val="32"/>
          <w:highlight w:val="none"/>
          <w:u w:val="none"/>
        </w:rPr>
        <w:t>内容及要求描述工作量可能与最终实际工作量存在差距的风险。</w:t>
      </w:r>
    </w:p>
    <w:p w14:paraId="29E234AD">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八、定标</w:t>
      </w:r>
    </w:p>
    <w:p w14:paraId="1F908534">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本次项目采用询价方式进行采购，询价小组对各供应商响应文件进行审核，并根据质量和服务均能满足采购文件实质性响应要求且</w:t>
      </w:r>
      <w:r>
        <w:rPr>
          <w:rFonts w:hint="eastAsia" w:eastAsia="仿宋_GB2312"/>
          <w:color w:val="auto"/>
          <w:sz w:val="32"/>
          <w:szCs w:val="32"/>
          <w:highlight w:val="none"/>
          <w:u w:val="none"/>
          <w:lang w:val="en-US" w:eastAsia="zh-CN"/>
        </w:rPr>
        <w:t>不含税</w:t>
      </w:r>
      <w:r>
        <w:rPr>
          <w:rFonts w:hint="eastAsia" w:eastAsia="仿宋_GB2312"/>
          <w:color w:val="auto"/>
          <w:sz w:val="32"/>
          <w:szCs w:val="32"/>
          <w:highlight w:val="none"/>
          <w:u w:val="none"/>
        </w:rPr>
        <w:t>报价最低的原则，推荐成交候选供应商。</w:t>
      </w:r>
    </w:p>
    <w:p w14:paraId="34188BAE">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询价结束后，招标采购工作小组将相关询价情况按程序审批并确定成交人。</w:t>
      </w:r>
    </w:p>
    <w:p w14:paraId="2F05BE18">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九、采取的合同文本</w:t>
      </w:r>
    </w:p>
    <w:p w14:paraId="7D2B00C1">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合同签订的依据为</w:t>
      </w:r>
      <w:r>
        <w:rPr>
          <w:rFonts w:hint="eastAsia" w:eastAsia="仿宋_GB2312"/>
          <w:color w:val="auto"/>
          <w:sz w:val="32"/>
          <w:szCs w:val="32"/>
          <w:highlight w:val="none"/>
          <w:lang w:val="en-US" w:eastAsia="zh-CN"/>
        </w:rPr>
        <w:t>附件七合同模板</w:t>
      </w:r>
      <w:r>
        <w:rPr>
          <w:rFonts w:hint="eastAsia" w:eastAsia="仿宋_GB2312"/>
          <w:color w:val="auto"/>
          <w:sz w:val="32"/>
          <w:szCs w:val="32"/>
          <w:highlight w:val="none"/>
        </w:rPr>
        <w:t>询价函、响应文件及补充说明等。确定成交单位后，成交单位在</w:t>
      </w:r>
      <w:r>
        <w:rPr>
          <w:rFonts w:eastAsia="仿宋_GB2312"/>
          <w:color w:val="auto"/>
          <w:sz w:val="32"/>
          <w:szCs w:val="32"/>
          <w:highlight w:val="none"/>
          <w:u w:val="single"/>
        </w:rPr>
        <w:t>10</w:t>
      </w:r>
      <w:r>
        <w:rPr>
          <w:rFonts w:hint="eastAsia" w:eastAsia="仿宋_GB2312"/>
          <w:color w:val="auto"/>
          <w:sz w:val="32"/>
          <w:szCs w:val="32"/>
          <w:highlight w:val="none"/>
        </w:rPr>
        <w:t>天内与采购人签订合同。</w:t>
      </w:r>
    </w:p>
    <w:p w14:paraId="745F8926">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响应人收款前需向采购人提供请款材料和开具合法有效等额的增值税专用发票，否则采购人有权拒绝付款。</w:t>
      </w:r>
    </w:p>
    <w:p w14:paraId="7AA6EACA">
      <w:pPr>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十、响应文件的组成部分（响应文件本项资料如有不全，则作无效报价处理）</w:t>
      </w:r>
    </w:p>
    <w:p w14:paraId="65CD6904">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报价函（模板）及报价清单；</w:t>
      </w:r>
    </w:p>
    <w:p w14:paraId="0E891437">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法定代表人身份</w:t>
      </w:r>
      <w:r>
        <w:rPr>
          <w:rFonts w:hint="eastAsia" w:eastAsia="仿宋_GB2312"/>
          <w:color w:val="auto"/>
          <w:sz w:val="32"/>
          <w:szCs w:val="32"/>
          <w:highlight w:val="none"/>
        </w:rPr>
        <w:t>证明（模板）以及</w:t>
      </w: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身份证复印件；</w:t>
      </w:r>
    </w:p>
    <w:p w14:paraId="1AFE1448">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、法人授权书（模板）及被委托人身份证复印件；</w:t>
      </w:r>
    </w:p>
    <w:p w14:paraId="54ECE1AD">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、承诺函（模板）；</w:t>
      </w:r>
    </w:p>
    <w:p w14:paraId="6D31ABCD">
      <w:pPr>
        <w:spacing w:line="600" w:lineRule="exact"/>
        <w:ind w:firstLine="640" w:firstLineChars="200"/>
        <w:rPr>
          <w:rFonts w:hint="eastAsia" w:eastAsia="仿宋_GB2312"/>
          <w:color w:val="auto"/>
          <w:sz w:val="32"/>
          <w:szCs w:val="32"/>
          <w:highlight w:val="none"/>
          <w:lang w:val="en-US" w:eastAsia="zh-CN"/>
        </w:rPr>
      </w:pPr>
      <w:r>
        <w:rPr>
          <w:rFonts w:eastAsia="仿宋_GB2312"/>
          <w:color w:val="auto"/>
          <w:sz w:val="32"/>
          <w:szCs w:val="32"/>
          <w:highlight w:val="none"/>
        </w:rPr>
        <w:t>5</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符合“响应人资格要求”对应的证明资料；</w:t>
      </w:r>
    </w:p>
    <w:p w14:paraId="2EB07948">
      <w:pPr>
        <w:spacing w:line="600" w:lineRule="exact"/>
        <w:ind w:firstLine="640" w:firstLineChars="200"/>
        <w:rPr>
          <w:rFonts w:eastAsia="仿宋_GB2312"/>
          <w:b/>
          <w:color w:val="auto"/>
          <w:sz w:val="32"/>
          <w:szCs w:val="32"/>
          <w:highlight w:val="none"/>
        </w:rPr>
      </w:pPr>
      <w:r>
        <w:rPr>
          <w:rFonts w:hint="eastAsia" w:eastAsia="仿宋_GB2312"/>
          <w:color w:val="auto"/>
          <w:sz w:val="32"/>
          <w:szCs w:val="32"/>
          <w:highlight w:val="none"/>
          <w:lang w:val="en-US" w:eastAsia="zh-CN"/>
        </w:rPr>
        <w:t>6、</w:t>
      </w:r>
      <w:r>
        <w:rPr>
          <w:rFonts w:hint="eastAsia" w:eastAsia="仿宋_GB2312"/>
          <w:color w:val="auto"/>
          <w:sz w:val="32"/>
          <w:szCs w:val="32"/>
          <w:highlight w:val="none"/>
        </w:rPr>
        <w:t>响应人认为需要提供的其他资料。</w:t>
      </w:r>
    </w:p>
    <w:p w14:paraId="052BF605">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响应人须严格按照采购人提供的表单格式报价，响应文件必须装订完整，于骑缝处加盖投标单位企业公章。</w:t>
      </w:r>
      <w:r>
        <w:rPr>
          <w:rFonts w:hint="eastAsia" w:eastAsia="仿宋_GB2312"/>
          <w:b/>
          <w:bCs/>
          <w:color w:val="auto"/>
          <w:sz w:val="32"/>
          <w:szCs w:val="32"/>
          <w:highlight w:val="none"/>
        </w:rPr>
        <w:t>装有响应文件的文件袋须贴有密封条，于骑缝处加盖企业公章</w:t>
      </w:r>
      <w:r>
        <w:rPr>
          <w:rFonts w:hint="eastAsia" w:eastAsia="仿宋_GB2312"/>
          <w:color w:val="auto"/>
          <w:sz w:val="32"/>
          <w:szCs w:val="32"/>
          <w:highlight w:val="none"/>
        </w:rPr>
        <w:t>。</w:t>
      </w:r>
    </w:p>
    <w:p w14:paraId="00506555">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十一、响应文件份数</w:t>
      </w:r>
    </w:p>
    <w:p w14:paraId="2A308ED6">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正本一份</w:t>
      </w:r>
      <w:r>
        <w:rPr>
          <w:rFonts w:hint="eastAsia" w:eastAsia="仿宋_GB2312"/>
          <w:color w:val="auto"/>
          <w:sz w:val="32"/>
          <w:szCs w:val="32"/>
          <w:highlight w:val="none"/>
          <w:lang w:val="en-US" w:eastAsia="zh-CN"/>
        </w:rPr>
        <w:t>副本一份</w:t>
      </w:r>
      <w:r>
        <w:rPr>
          <w:rFonts w:hint="eastAsia" w:eastAsia="仿宋_GB2312"/>
          <w:color w:val="auto"/>
          <w:sz w:val="32"/>
          <w:szCs w:val="32"/>
          <w:highlight w:val="none"/>
        </w:rPr>
        <w:t>，并提供响应文件扫描件电子版（U盘）。</w:t>
      </w:r>
    </w:p>
    <w:p w14:paraId="15AD9EA2">
      <w:pPr>
        <w:numPr>
          <w:ilvl w:val="0"/>
          <w:numId w:val="0"/>
        </w:numPr>
        <w:adjustRightInd w:val="0"/>
        <w:snapToGrid w:val="0"/>
        <w:spacing w:line="600" w:lineRule="exact"/>
        <w:ind w:firstLine="640" w:firstLineChars="200"/>
        <w:outlineLvl w:val="1"/>
        <w:rPr>
          <w:rFonts w:hint="eastAsia" w:ascii="Times New Roman" w:hAnsi="Times New Roman" w:eastAsia="仿宋_GB2312" w:cs="Times New Roman"/>
          <w:b/>
          <w:bCs/>
          <w:i w:val="0"/>
          <w:iCs w:val="0"/>
          <w:caps w:val="0"/>
          <w:color w:val="auto"/>
          <w:spacing w:val="0"/>
          <w:sz w:val="32"/>
          <w:szCs w:val="32"/>
          <w:highlight w:val="none"/>
          <w:u w:val="none"/>
          <w:lang w:val="en-US" w:eastAsia="zh-CN"/>
        </w:rPr>
      </w:pPr>
      <w:r>
        <w:rPr>
          <w:rFonts w:hint="eastAsia" w:ascii="黑体" w:hAnsi="黑体" w:eastAsia="黑体" w:cs="黑体"/>
          <w:i w:val="0"/>
          <w:iCs w:val="0"/>
          <w:caps w:val="0"/>
          <w:color w:val="auto"/>
          <w:spacing w:val="0"/>
          <w:sz w:val="32"/>
          <w:szCs w:val="32"/>
          <w:highlight w:val="none"/>
          <w:lang w:val="en-US" w:eastAsia="zh-CN"/>
        </w:rPr>
        <w:t>十二、</w:t>
      </w:r>
      <w:r>
        <w:rPr>
          <w:rFonts w:hint="eastAsia" w:ascii="黑体" w:hAnsi="黑体" w:eastAsia="黑体" w:cs="黑体"/>
          <w:i w:val="0"/>
          <w:iCs w:val="0"/>
          <w:caps w:val="0"/>
          <w:color w:val="auto"/>
          <w:spacing w:val="0"/>
          <w:sz w:val="32"/>
          <w:szCs w:val="32"/>
          <w:highlight w:val="none"/>
        </w:rPr>
        <w:t>保证金金额及缴纳方式</w:t>
      </w:r>
    </w:p>
    <w:p w14:paraId="0E5F86E9">
      <w:pPr>
        <w:spacing w:line="600" w:lineRule="exact"/>
        <w:ind w:firstLine="640" w:firstLineChars="200"/>
        <w:rPr>
          <w:rFonts w:hint="eastAsia" w:ascii="Times New Roman" w:hAnsi="Times New Roman" w:eastAsia="仿宋_GB2312" w:cs="Times New Roman"/>
          <w:color w:val="auto"/>
          <w:sz w:val="32"/>
          <w:szCs w:val="32"/>
          <w:highlight w:val="none"/>
          <w:u w:val="single"/>
          <w:lang w:val="en-US" w:eastAsia="zh-CN"/>
        </w:rPr>
      </w:pPr>
      <w:r>
        <w:rPr>
          <w:rFonts w:hint="eastAsia" w:eastAsia="仿宋_GB2312" w:cs="Times New Roman"/>
          <w:color w:val="auto"/>
          <w:sz w:val="32"/>
          <w:szCs w:val="32"/>
          <w:highlight w:val="none"/>
          <w:u w:val="single"/>
          <w:lang w:val="en-US" w:eastAsia="zh-CN"/>
        </w:rPr>
        <w:t>1、开标前，响应人应在项目开标前缴纳</w:t>
      </w:r>
      <w:r>
        <w:rPr>
          <w:rFonts w:hint="eastAsia" w:ascii="Times New Roman" w:hAnsi="Times New Roman" w:eastAsia="仿宋_GB2312" w:cs="Times New Roman"/>
          <w:color w:val="auto"/>
          <w:sz w:val="32"/>
          <w:szCs w:val="32"/>
          <w:highlight w:val="none"/>
          <w:u w:val="single"/>
          <w:lang w:val="en-US" w:eastAsia="zh-CN"/>
        </w:rPr>
        <w:t>人民币</w:t>
      </w:r>
      <w:r>
        <w:rPr>
          <w:rFonts w:hint="eastAsia" w:eastAsia="仿宋_GB2312" w:cs="Times New Roman"/>
          <w:color w:val="auto"/>
          <w:sz w:val="32"/>
          <w:szCs w:val="32"/>
          <w:highlight w:val="none"/>
          <w:u w:val="single"/>
          <w:lang w:val="en-US" w:eastAsia="zh-CN"/>
        </w:rPr>
        <w:t>柒仟玖佰元</w:t>
      </w:r>
      <w:r>
        <w:rPr>
          <w:rFonts w:hint="eastAsia" w:ascii="Times New Roman" w:hAnsi="Times New Roman" w:eastAsia="仿宋_GB2312" w:cs="Times New Roman"/>
          <w:color w:val="auto"/>
          <w:sz w:val="32"/>
          <w:szCs w:val="32"/>
          <w:highlight w:val="none"/>
          <w:u w:val="single"/>
          <w:lang w:val="en-US" w:eastAsia="zh-CN"/>
        </w:rPr>
        <w:t>整（小写￥</w:t>
      </w:r>
      <w:r>
        <w:rPr>
          <w:rFonts w:hint="eastAsia" w:eastAsia="仿宋_GB2312" w:cs="Times New Roman"/>
          <w:color w:val="auto"/>
          <w:sz w:val="32"/>
          <w:szCs w:val="32"/>
          <w:highlight w:val="none"/>
          <w:u w:val="single"/>
          <w:lang w:val="en-US" w:eastAsia="zh-CN"/>
        </w:rPr>
        <w:t>7900.00</w:t>
      </w:r>
      <w:r>
        <w:rPr>
          <w:rFonts w:hint="eastAsia" w:ascii="Times New Roman" w:hAnsi="Times New Roman" w:eastAsia="仿宋_GB2312" w:cs="Times New Roman"/>
          <w:color w:val="auto"/>
          <w:sz w:val="32"/>
          <w:szCs w:val="32"/>
          <w:highlight w:val="none"/>
          <w:u w:val="single"/>
          <w:lang w:val="en-US" w:eastAsia="zh-CN"/>
        </w:rPr>
        <w:t>元）至以下</w:t>
      </w:r>
      <w:r>
        <w:rPr>
          <w:rFonts w:hint="eastAsia" w:eastAsia="仿宋_GB2312" w:cs="Times New Roman"/>
          <w:color w:val="auto"/>
          <w:sz w:val="32"/>
          <w:szCs w:val="32"/>
          <w:highlight w:val="none"/>
          <w:u w:val="single"/>
          <w:lang w:val="en-US" w:eastAsia="zh-CN"/>
        </w:rPr>
        <w:t>报价</w:t>
      </w:r>
      <w:r>
        <w:rPr>
          <w:rFonts w:hint="eastAsia" w:ascii="Times New Roman" w:hAnsi="Times New Roman" w:eastAsia="仿宋_GB2312" w:cs="Times New Roman"/>
          <w:color w:val="auto"/>
          <w:sz w:val="32"/>
          <w:szCs w:val="32"/>
          <w:highlight w:val="none"/>
          <w:u w:val="single"/>
          <w:lang w:val="en-US" w:eastAsia="zh-CN"/>
        </w:rPr>
        <w:t>保证金专用账户（响应人与交款人名称必须一致，不接受个人名义转账）</w:t>
      </w:r>
      <w:r>
        <w:rPr>
          <w:rFonts w:hint="eastAsia" w:eastAsia="仿宋_GB2312" w:cs="Times New Roman"/>
          <w:color w:val="auto"/>
          <w:sz w:val="32"/>
          <w:szCs w:val="32"/>
          <w:highlight w:val="none"/>
          <w:u w:val="single"/>
          <w:lang w:val="en-US" w:eastAsia="zh-CN"/>
        </w:rPr>
        <w:t>作为项目投标保证金。成交单位的投标保证金不退还，待双方签订合同后，转为履约保证金。未中标单位的保证金在项目中标确定后的10个工作日内无息退还</w:t>
      </w:r>
      <w:r>
        <w:rPr>
          <w:rFonts w:hint="eastAsia" w:ascii="Times New Roman" w:hAnsi="Times New Roman" w:eastAsia="仿宋_GB2312" w:cs="Times New Roman"/>
          <w:color w:val="auto"/>
          <w:sz w:val="32"/>
          <w:szCs w:val="32"/>
          <w:highlight w:val="none"/>
          <w:u w:val="single"/>
          <w:lang w:val="en-US" w:eastAsia="zh-CN"/>
        </w:rPr>
        <w:t>。</w:t>
      </w:r>
    </w:p>
    <w:p w14:paraId="73B51D79">
      <w:pPr>
        <w:spacing w:line="600" w:lineRule="exact"/>
        <w:ind w:firstLine="640" w:firstLineChars="200"/>
        <w:rPr>
          <w:rFonts w:hint="eastAsia" w:ascii="Times New Roman" w:hAnsi="Times New Roman"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报价保证金收款账户信息：</w:t>
      </w:r>
    </w:p>
    <w:p w14:paraId="69E76134">
      <w:pPr>
        <w:spacing w:line="600" w:lineRule="exact"/>
        <w:ind w:firstLine="640" w:firstLineChars="200"/>
        <w:rPr>
          <w:rFonts w:hint="default" w:ascii="Times New Roman" w:hAnsi="Times New Roman"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帐户名称：</w:t>
      </w:r>
      <w:r>
        <w:rPr>
          <w:rFonts w:hint="eastAsia" w:eastAsia="仿宋_GB2312" w:cs="Times New Roman"/>
          <w:color w:val="auto"/>
          <w:sz w:val="32"/>
          <w:szCs w:val="32"/>
          <w:highlight w:val="none"/>
          <w:u w:val="single"/>
          <w:lang w:val="en-US" w:eastAsia="zh-CN"/>
        </w:rPr>
        <w:t>阳江</w:t>
      </w:r>
      <w:r>
        <w:rPr>
          <w:rFonts w:hint="eastAsia" w:ascii="Times New Roman" w:hAnsi="Times New Roman" w:eastAsia="仿宋_GB2312" w:cs="Times New Roman"/>
          <w:color w:val="auto"/>
          <w:sz w:val="32"/>
          <w:szCs w:val="32"/>
          <w:highlight w:val="none"/>
          <w:u w:val="single"/>
          <w:lang w:val="en-US" w:eastAsia="zh-CN"/>
        </w:rPr>
        <w:t>开能环保能源有限公司</w:t>
      </w:r>
    </w:p>
    <w:p w14:paraId="08495DE9">
      <w:pPr>
        <w:spacing w:line="600" w:lineRule="exact"/>
        <w:ind w:firstLine="640" w:firstLineChars="200"/>
        <w:rPr>
          <w:rFonts w:hint="default" w:ascii="Times New Roman" w:hAnsi="Times New Roman"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开户银行：广发银行股份有限公司阳江分行</w:t>
      </w:r>
      <w:r>
        <w:rPr>
          <w:rFonts w:hint="eastAsia" w:eastAsia="仿宋_GB2312" w:cs="Times New Roman"/>
          <w:color w:val="auto"/>
          <w:sz w:val="32"/>
          <w:szCs w:val="32"/>
          <w:highlight w:val="none"/>
          <w:u w:val="single"/>
          <w:lang w:val="en-US" w:eastAsia="zh-CN"/>
        </w:rPr>
        <w:t xml:space="preserve">    </w:t>
      </w:r>
    </w:p>
    <w:p w14:paraId="6FC5BA47">
      <w:pPr>
        <w:spacing w:line="600" w:lineRule="exact"/>
        <w:ind w:firstLine="640" w:firstLineChars="200"/>
        <w:rPr>
          <w:rFonts w:hint="eastAsia"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银行帐号：9550 8802 0063 4500 171</w:t>
      </w:r>
    </w:p>
    <w:p w14:paraId="4071EC56">
      <w:pPr>
        <w:spacing w:line="600" w:lineRule="exact"/>
        <w:ind w:firstLine="640" w:firstLineChars="200"/>
        <w:rPr>
          <w:rFonts w:hint="eastAsia"/>
          <w:color w:val="auto"/>
          <w:highlight w:val="none"/>
          <w:lang w:val="en-US" w:eastAsia="zh-CN"/>
        </w:rPr>
      </w:pPr>
      <w:r>
        <w:rPr>
          <w:rFonts w:hint="eastAsia" w:eastAsia="仿宋_GB2312" w:cs="Times New Roman"/>
          <w:color w:val="auto"/>
          <w:sz w:val="32"/>
          <w:szCs w:val="32"/>
          <w:highlight w:val="none"/>
          <w:u w:val="single"/>
          <w:lang w:val="en-US" w:eastAsia="zh-CN"/>
        </w:rPr>
        <w:t>2</w:t>
      </w:r>
      <w:r>
        <w:rPr>
          <w:rFonts w:hint="eastAsia" w:ascii="Times New Roman" w:hAnsi="Times New Roman" w:eastAsia="仿宋_GB2312" w:cs="Times New Roman"/>
          <w:color w:val="auto"/>
          <w:sz w:val="32"/>
          <w:szCs w:val="32"/>
          <w:highlight w:val="none"/>
          <w:u w:val="single"/>
          <w:lang w:val="en-US" w:eastAsia="zh-CN"/>
        </w:rPr>
        <w:t>、成交单位的报价保证金在本项目合同签订后自动转为履约保证金，作为成交单位在履约过程中违约金或罚款的扣罚来源之一，履约保证金申请返还时间为采购人</w:t>
      </w:r>
      <w:r>
        <w:rPr>
          <w:rFonts w:hint="eastAsia" w:eastAsia="仿宋_GB2312" w:cs="Times New Roman"/>
          <w:color w:val="auto"/>
          <w:sz w:val="32"/>
          <w:szCs w:val="32"/>
          <w:highlight w:val="none"/>
          <w:u w:val="single"/>
          <w:lang w:val="en-US" w:eastAsia="zh-CN"/>
        </w:rPr>
        <w:t>完成合同履约</w:t>
      </w:r>
      <w:r>
        <w:rPr>
          <w:rFonts w:hint="eastAsia" w:ascii="Times New Roman" w:hAnsi="Times New Roman" w:eastAsia="仿宋_GB2312" w:cs="Times New Roman"/>
          <w:color w:val="auto"/>
          <w:sz w:val="32"/>
          <w:szCs w:val="32"/>
          <w:highlight w:val="none"/>
          <w:u w:val="single"/>
          <w:lang w:val="en-US" w:eastAsia="zh-CN"/>
        </w:rPr>
        <w:t>后，成交单位没有任何违约的情况下由成交单位提交退款申请，收到成交单位申请后30个日历日内，采购人一次性无息退回。</w:t>
      </w:r>
    </w:p>
    <w:p w14:paraId="47A919CE">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三</w:t>
      </w:r>
      <w:r>
        <w:rPr>
          <w:rFonts w:hint="eastAsia" w:eastAsia="黑体"/>
          <w:color w:val="auto"/>
          <w:sz w:val="32"/>
          <w:szCs w:val="32"/>
          <w:highlight w:val="none"/>
        </w:rPr>
        <w:t>、开标时间及地址</w:t>
      </w:r>
    </w:p>
    <w:p w14:paraId="4903B11E">
      <w:pPr>
        <w:spacing w:line="600" w:lineRule="exact"/>
        <w:ind w:firstLine="643" w:firstLineChars="200"/>
        <w:rPr>
          <w:rFonts w:eastAsia="仿宋_GB2312"/>
          <w:b/>
          <w:color w:val="auto"/>
          <w:sz w:val="32"/>
          <w:szCs w:val="32"/>
          <w:highlight w:val="none"/>
        </w:rPr>
      </w:pPr>
      <w:r>
        <w:rPr>
          <w:rFonts w:eastAsia="仿宋_GB2312"/>
          <w:b/>
          <w:color w:val="auto"/>
          <w:sz w:val="32"/>
          <w:szCs w:val="32"/>
          <w:highlight w:val="none"/>
        </w:rPr>
        <w:t>1</w:t>
      </w:r>
      <w:r>
        <w:rPr>
          <w:rFonts w:hint="eastAsia" w:eastAsia="仿宋_GB2312"/>
          <w:b/>
          <w:color w:val="auto"/>
          <w:sz w:val="32"/>
          <w:szCs w:val="32"/>
          <w:highlight w:val="none"/>
        </w:rPr>
        <w:t>、接收响应文件截止及开标时间：</w:t>
      </w:r>
      <w:r>
        <w:rPr>
          <w:rFonts w:eastAsia="仿宋_GB2312"/>
          <w:b/>
          <w:color w:val="auto"/>
          <w:sz w:val="32"/>
          <w:szCs w:val="32"/>
          <w:highlight w:val="none"/>
          <w:u w:val="single"/>
        </w:rPr>
        <w:t>20</w:t>
      </w:r>
      <w:r>
        <w:rPr>
          <w:rFonts w:hint="eastAsia" w:eastAsia="仿宋_GB2312"/>
          <w:b/>
          <w:color w:val="auto"/>
          <w:sz w:val="32"/>
          <w:szCs w:val="32"/>
          <w:highlight w:val="none"/>
          <w:u w:val="single"/>
        </w:rPr>
        <w:t>2</w:t>
      </w:r>
      <w:r>
        <w:rPr>
          <w:rFonts w:hint="eastAsia" w:eastAsia="仿宋_GB2312"/>
          <w:b/>
          <w:color w:val="auto"/>
          <w:sz w:val="32"/>
          <w:szCs w:val="32"/>
          <w:highlight w:val="none"/>
          <w:u w:val="single"/>
          <w:lang w:val="en-US" w:eastAsia="zh-CN"/>
        </w:rPr>
        <w:t>6</w:t>
      </w:r>
      <w:r>
        <w:rPr>
          <w:rFonts w:eastAsia="仿宋_GB2312"/>
          <w:b/>
          <w:color w:val="auto"/>
          <w:sz w:val="32"/>
          <w:szCs w:val="32"/>
          <w:highlight w:val="none"/>
          <w:u w:val="single"/>
        </w:rPr>
        <w:t xml:space="preserve">  </w:t>
      </w:r>
      <w:r>
        <w:rPr>
          <w:rFonts w:hint="eastAsia" w:eastAsia="仿宋_GB2312"/>
          <w:b/>
          <w:color w:val="auto"/>
          <w:sz w:val="32"/>
          <w:szCs w:val="32"/>
          <w:highlight w:val="none"/>
        </w:rPr>
        <w:t>年</w:t>
      </w:r>
      <w:r>
        <w:rPr>
          <w:rFonts w:eastAsia="仿宋_GB2312"/>
          <w:b/>
          <w:color w:val="auto"/>
          <w:sz w:val="32"/>
          <w:szCs w:val="32"/>
          <w:highlight w:val="none"/>
          <w:u w:val="single"/>
        </w:rPr>
        <w:t xml:space="preserve"> </w:t>
      </w:r>
      <w:r>
        <w:rPr>
          <w:rFonts w:hint="eastAsia" w:eastAsia="仿宋_GB2312"/>
          <w:b/>
          <w:color w:val="auto"/>
          <w:sz w:val="32"/>
          <w:szCs w:val="32"/>
          <w:highlight w:val="none"/>
          <w:u w:val="single"/>
          <w:lang w:val="en-US" w:eastAsia="zh-CN"/>
        </w:rPr>
        <w:t>10</w:t>
      </w:r>
      <w:r>
        <w:rPr>
          <w:rFonts w:eastAsia="仿宋_GB2312"/>
          <w:b/>
          <w:color w:val="auto"/>
          <w:sz w:val="32"/>
          <w:szCs w:val="32"/>
          <w:highlight w:val="none"/>
          <w:u w:val="single"/>
        </w:rPr>
        <w:t xml:space="preserve">  </w:t>
      </w:r>
      <w:r>
        <w:rPr>
          <w:rFonts w:hint="eastAsia" w:eastAsia="仿宋_GB2312"/>
          <w:b/>
          <w:color w:val="auto"/>
          <w:sz w:val="32"/>
          <w:szCs w:val="32"/>
          <w:highlight w:val="none"/>
        </w:rPr>
        <w:t>月</w:t>
      </w:r>
      <w:r>
        <w:rPr>
          <w:rFonts w:hint="eastAsia" w:eastAsia="仿宋_GB2312"/>
          <w:b/>
          <w:color w:val="auto"/>
          <w:sz w:val="32"/>
          <w:szCs w:val="32"/>
          <w:highlight w:val="none"/>
          <w:u w:val="single"/>
          <w:lang w:val="en-US" w:eastAsia="zh-CN"/>
        </w:rPr>
        <w:t>14</w:t>
      </w:r>
      <w:r>
        <w:rPr>
          <w:rFonts w:eastAsia="仿宋_GB2312"/>
          <w:b/>
          <w:color w:val="auto"/>
          <w:sz w:val="32"/>
          <w:szCs w:val="32"/>
          <w:highlight w:val="none"/>
          <w:u w:val="single"/>
        </w:rPr>
        <w:t xml:space="preserve"> </w:t>
      </w:r>
      <w:r>
        <w:rPr>
          <w:rFonts w:hint="eastAsia" w:eastAsia="仿宋_GB2312"/>
          <w:b/>
          <w:color w:val="auto"/>
          <w:sz w:val="32"/>
          <w:szCs w:val="32"/>
          <w:highlight w:val="none"/>
        </w:rPr>
        <w:t>日（星期</w:t>
      </w:r>
      <w:r>
        <w:rPr>
          <w:rFonts w:eastAsia="仿宋_GB2312"/>
          <w:b/>
          <w:color w:val="auto"/>
          <w:sz w:val="32"/>
          <w:szCs w:val="32"/>
          <w:highlight w:val="none"/>
          <w:u w:val="single"/>
        </w:rPr>
        <w:t xml:space="preserve">  </w:t>
      </w:r>
      <w:r>
        <w:rPr>
          <w:rFonts w:hint="eastAsia" w:eastAsia="仿宋_GB2312"/>
          <w:b/>
          <w:color w:val="auto"/>
          <w:sz w:val="32"/>
          <w:szCs w:val="32"/>
          <w:highlight w:val="none"/>
          <w:u w:val="single"/>
          <w:lang w:val="en-US" w:eastAsia="zh-CN"/>
        </w:rPr>
        <w:t>三</w:t>
      </w:r>
      <w:r>
        <w:rPr>
          <w:rFonts w:eastAsia="仿宋_GB2312"/>
          <w:b/>
          <w:color w:val="auto"/>
          <w:sz w:val="32"/>
          <w:szCs w:val="32"/>
          <w:highlight w:val="none"/>
          <w:u w:val="single"/>
        </w:rPr>
        <w:t xml:space="preserve"> </w:t>
      </w:r>
      <w:r>
        <w:rPr>
          <w:rFonts w:hint="eastAsia" w:eastAsia="仿宋_GB2312"/>
          <w:b/>
          <w:color w:val="auto"/>
          <w:sz w:val="32"/>
          <w:szCs w:val="32"/>
          <w:highlight w:val="none"/>
        </w:rPr>
        <w:t>）下午</w:t>
      </w:r>
      <w:r>
        <w:rPr>
          <w:rFonts w:hint="eastAsia" w:eastAsia="仿宋_GB2312"/>
          <w:b/>
          <w:color w:val="auto"/>
          <w:sz w:val="32"/>
          <w:szCs w:val="32"/>
          <w:highlight w:val="none"/>
          <w:u w:val="single"/>
        </w:rPr>
        <w:t>15</w:t>
      </w:r>
      <w:r>
        <w:rPr>
          <w:rFonts w:eastAsia="仿宋_GB2312"/>
          <w:b/>
          <w:color w:val="auto"/>
          <w:sz w:val="32"/>
          <w:szCs w:val="32"/>
          <w:highlight w:val="none"/>
          <w:u w:val="single"/>
        </w:rPr>
        <w:t>:</w:t>
      </w:r>
      <w:r>
        <w:rPr>
          <w:rFonts w:hint="eastAsia" w:eastAsia="仿宋_GB2312"/>
          <w:b/>
          <w:color w:val="auto"/>
          <w:sz w:val="32"/>
          <w:szCs w:val="32"/>
          <w:highlight w:val="none"/>
          <w:u w:val="single"/>
        </w:rPr>
        <w:t>0</w:t>
      </w:r>
      <w:r>
        <w:rPr>
          <w:rFonts w:eastAsia="仿宋_GB2312"/>
          <w:b/>
          <w:color w:val="auto"/>
          <w:sz w:val="32"/>
          <w:szCs w:val="32"/>
          <w:highlight w:val="none"/>
          <w:u w:val="single"/>
        </w:rPr>
        <w:t>0</w:t>
      </w:r>
      <w:r>
        <w:rPr>
          <w:rFonts w:hint="eastAsia" w:eastAsia="仿宋_GB2312"/>
          <w:b/>
          <w:color w:val="auto"/>
          <w:sz w:val="32"/>
          <w:szCs w:val="32"/>
          <w:highlight w:val="none"/>
        </w:rPr>
        <w:t>。</w:t>
      </w:r>
    </w:p>
    <w:p w14:paraId="59A18A0F">
      <w:pPr>
        <w:spacing w:line="600" w:lineRule="exact"/>
        <w:ind w:firstLine="643" w:firstLineChars="200"/>
        <w:rPr>
          <w:rFonts w:hint="eastAsia" w:eastAsia="仿宋_GB2312"/>
          <w:b/>
          <w:color w:val="auto"/>
          <w:sz w:val="32"/>
          <w:szCs w:val="32"/>
          <w:highlight w:val="none"/>
        </w:rPr>
      </w:pPr>
      <w:r>
        <w:rPr>
          <w:rFonts w:eastAsia="仿宋_GB2312"/>
          <w:b/>
          <w:color w:val="auto"/>
          <w:sz w:val="32"/>
          <w:szCs w:val="32"/>
          <w:highlight w:val="none"/>
        </w:rPr>
        <w:t>2</w:t>
      </w:r>
      <w:r>
        <w:rPr>
          <w:rFonts w:hint="eastAsia" w:eastAsia="仿宋_GB2312"/>
          <w:b/>
          <w:color w:val="auto"/>
          <w:sz w:val="32"/>
          <w:szCs w:val="32"/>
          <w:highlight w:val="none"/>
        </w:rPr>
        <w:t>、本项目原则上需要现场递交报价文件，如报价人因自身原因无法到现场开标，可选择邮寄递交报价文件。</w:t>
      </w:r>
    </w:p>
    <w:p w14:paraId="4FB5DF00">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（1）现场递交报价文件</w:t>
      </w:r>
    </w:p>
    <w:p w14:paraId="1EF76566">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报价人须委派法定代表人或授权委托人按时到开标地址提交报价文件并参加开标会议，开标时间后到达的拒收报价文件。</w:t>
      </w:r>
    </w:p>
    <w:p w14:paraId="606B0C05">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报价人现场递交报价文件地址：</w:t>
      </w:r>
      <w:r>
        <w:rPr>
          <w:rFonts w:eastAsia="仿宋_GB2312"/>
          <w:b/>
          <w:color w:val="auto"/>
          <w:sz w:val="32"/>
          <w:szCs w:val="32"/>
          <w:highlight w:val="none"/>
          <w:u w:val="single"/>
        </w:rPr>
        <w:t>广东省东莞市东城街道八一路1号机关二号大院九号楼102</w:t>
      </w:r>
      <w:r>
        <w:rPr>
          <w:rFonts w:hint="eastAsia" w:eastAsia="仿宋_GB2312"/>
          <w:b/>
          <w:color w:val="auto"/>
          <w:sz w:val="32"/>
          <w:szCs w:val="32"/>
          <w:highlight w:val="none"/>
          <w:u w:val="single"/>
        </w:rPr>
        <w:t>会议室</w:t>
      </w:r>
      <w:r>
        <w:rPr>
          <w:rFonts w:hint="eastAsia" w:eastAsia="仿宋_GB2312"/>
          <w:b w:val="0"/>
          <w:bCs/>
          <w:color w:val="auto"/>
          <w:sz w:val="32"/>
          <w:szCs w:val="32"/>
          <w:highlight w:val="none"/>
        </w:rPr>
        <w:t>，逾期无效。</w:t>
      </w:r>
    </w:p>
    <w:p w14:paraId="58F38441">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（2）邮寄递交报价文件</w:t>
      </w:r>
    </w:p>
    <w:p w14:paraId="327AFA46">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报价人必须确保报价文件密封完好，在开标截止时间前一日送达采购人处，须使用顺丰速运提前寄送（运费自理，采购人拒收到付件），因邮寄造成报价文件破损无效或文件丢失的责任由报价人自负，因快递派件人员无工作证等原因（如顺丰即日达）造成快递派件问题的责任由报价人自负，开标时间后送达的报价文件无效。</w:t>
      </w:r>
    </w:p>
    <w:p w14:paraId="3EDE4E79">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邮寄递交报价收件信息：</w:t>
      </w:r>
    </w:p>
    <w:p w14:paraId="217EB25D">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收件地址：</w:t>
      </w:r>
      <w:r>
        <w:rPr>
          <w:rFonts w:eastAsia="仿宋_GB2312"/>
          <w:b/>
          <w:color w:val="auto"/>
          <w:sz w:val="32"/>
          <w:szCs w:val="32"/>
          <w:highlight w:val="none"/>
          <w:u w:val="single"/>
        </w:rPr>
        <w:t>广东省东莞市东城街道八一路1号机关二号大院九号楼102</w:t>
      </w:r>
      <w:r>
        <w:rPr>
          <w:rFonts w:hint="eastAsia" w:eastAsia="仿宋_GB2312"/>
          <w:b/>
          <w:color w:val="auto"/>
          <w:sz w:val="32"/>
          <w:szCs w:val="32"/>
          <w:highlight w:val="none"/>
          <w:u w:val="single"/>
        </w:rPr>
        <w:t>会议室</w:t>
      </w:r>
    </w:p>
    <w:p w14:paraId="4D24FF72">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rPr>
        <w:t>联系人：</w:t>
      </w:r>
      <w:r>
        <w:rPr>
          <w:rFonts w:hint="eastAsia" w:eastAsia="仿宋_GB2312"/>
          <w:b w:val="0"/>
          <w:bCs/>
          <w:color w:val="auto"/>
          <w:sz w:val="32"/>
          <w:szCs w:val="32"/>
          <w:highlight w:val="none"/>
          <w:lang w:val="en-US" w:eastAsia="zh-CN"/>
        </w:rPr>
        <w:t>吕先生</w:t>
      </w:r>
    </w:p>
    <w:p w14:paraId="3BC02CD7">
      <w:pPr>
        <w:spacing w:line="600" w:lineRule="exact"/>
        <w:ind w:firstLine="640" w:firstLineChars="200"/>
        <w:rPr>
          <w:rFonts w:hint="default" w:eastAsia="仿宋_GB2312"/>
          <w:b/>
          <w:color w:val="auto"/>
          <w:sz w:val="32"/>
          <w:szCs w:val="32"/>
          <w:highlight w:val="none"/>
          <w:lang w:val="en-US" w:eastAsia="zh-CN"/>
        </w:rPr>
      </w:pPr>
      <w:r>
        <w:rPr>
          <w:rFonts w:hint="eastAsia" w:eastAsia="仿宋_GB2312"/>
          <w:b w:val="0"/>
          <w:bCs/>
          <w:color w:val="auto"/>
          <w:sz w:val="32"/>
          <w:szCs w:val="32"/>
          <w:highlight w:val="none"/>
        </w:rPr>
        <w:t>联系电话：</w:t>
      </w:r>
      <w:r>
        <w:rPr>
          <w:rFonts w:hint="eastAsia" w:eastAsia="仿宋_GB2312"/>
          <w:b w:val="0"/>
          <w:bCs/>
          <w:color w:val="auto"/>
          <w:sz w:val="32"/>
          <w:szCs w:val="32"/>
          <w:highlight w:val="none"/>
          <w:lang w:val="en-US" w:eastAsia="zh-CN"/>
        </w:rPr>
        <w:t>15692019575</w:t>
      </w:r>
    </w:p>
    <w:p w14:paraId="529D8A91">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四</w:t>
      </w:r>
      <w:r>
        <w:rPr>
          <w:rFonts w:hint="eastAsia" w:eastAsia="黑体"/>
          <w:color w:val="auto"/>
          <w:sz w:val="32"/>
          <w:szCs w:val="32"/>
          <w:highlight w:val="none"/>
        </w:rPr>
        <w:t>、注意事项</w:t>
      </w:r>
    </w:p>
    <w:p w14:paraId="5ABA0530">
      <w:pPr>
        <w:spacing w:line="600" w:lineRule="exact"/>
        <w:ind w:firstLine="640" w:firstLineChars="200"/>
        <w:rPr>
          <w:rFonts w:eastAsia="仿宋_GB2312"/>
          <w:color w:val="auto"/>
          <w:sz w:val="32"/>
          <w:szCs w:val="32"/>
          <w:highlight w:val="none"/>
        </w:rPr>
      </w:pPr>
      <w:bookmarkStart w:id="0" w:name="_Hlk517879660"/>
      <w:r>
        <w:rPr>
          <w:rFonts w:eastAsia="仿宋_GB2312"/>
          <w:color w:val="auto"/>
          <w:sz w:val="32"/>
          <w:szCs w:val="32"/>
          <w:highlight w:val="none"/>
        </w:rPr>
        <w:t>1</w:t>
      </w:r>
      <w:r>
        <w:rPr>
          <w:rFonts w:hint="eastAsia" w:eastAsia="仿宋_GB2312"/>
          <w:color w:val="auto"/>
          <w:sz w:val="32"/>
          <w:szCs w:val="32"/>
          <w:highlight w:val="none"/>
        </w:rPr>
        <w:t>、若响应人未按规定时间将文件送达现场，视为放弃投标资格。</w:t>
      </w:r>
    </w:p>
    <w:p w14:paraId="6BF427F5">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、采购人向响应人提供的有关资料和数据，是采购人现有的能使响应人利用的资料，采购人对响应人由此而做出的推论、理解和结论概不负责。</w:t>
      </w:r>
    </w:p>
    <w:p w14:paraId="5182D59B">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、本项目执行过程中将遵循国家、省、市有关法律、法规、标准、技术规范和规范性文件的最新规定。</w:t>
      </w:r>
      <w:bookmarkEnd w:id="0"/>
    </w:p>
    <w:p w14:paraId="3BF947FA">
      <w:pPr>
        <w:widowControl/>
        <w:spacing w:line="600" w:lineRule="exact"/>
        <w:ind w:firstLine="640" w:firstLineChars="200"/>
        <w:jc w:val="left"/>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、成交单位对采购文件中技术条款作出的负偏离，采购人如不接受，可要求成交单位以采购文件的要求为准，如成交单位拒绝的，采购人有权取消其成交资格或取消合同。采购人不作任何补偿。</w:t>
      </w:r>
    </w:p>
    <w:p w14:paraId="140EAD72">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olor w:val="auto"/>
          <w:sz w:val="32"/>
          <w:szCs w:val="32"/>
          <w:highlight w:val="none"/>
        </w:rPr>
        <w:t>5、</w:t>
      </w:r>
      <w:r>
        <w:rPr>
          <w:rFonts w:hint="eastAsia" w:ascii="Times New Roman" w:hAnsi="Times New Roman" w:eastAsia="仿宋_GB2312" w:cs="Times New Roman"/>
          <w:color w:val="auto"/>
          <w:kern w:val="2"/>
          <w:sz w:val="32"/>
          <w:szCs w:val="32"/>
          <w:highlight w:val="none"/>
          <w:lang w:val="en-US" w:eastAsia="zh-CN" w:bidi="ar-SA"/>
        </w:rPr>
        <w:t>本项目仅可提交一个报价方案，提交两个或以上报价方案的响应人视为无效报价。</w:t>
      </w:r>
    </w:p>
    <w:p w14:paraId="5E55E350">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6、本项目不接受响应人其他附加条件。</w:t>
      </w:r>
    </w:p>
    <w:p w14:paraId="66FD8768">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7、有下列情形之一的，报价保证金将被没收，并纳入采购人供应商黑名单：</w:t>
      </w:r>
    </w:p>
    <w:p w14:paraId="11B8ED7E">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（1）中标后无正当理由放弃中标或不与采购人签订合同。</w:t>
      </w:r>
    </w:p>
    <w:p w14:paraId="4BAA7CB1">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（2）成交人将本项目转让给他人，或者在报价文件中未说明，且未经采购人同意，将中标项目分包给他人，采购人可没收其报价保证金。</w:t>
      </w:r>
    </w:p>
    <w:p w14:paraId="37563D9C">
      <w:pPr>
        <w:widowControl/>
        <w:spacing w:line="600" w:lineRule="exact"/>
        <w:ind w:firstLine="640" w:firstLineChars="200"/>
        <w:jc w:val="left"/>
        <w:rPr>
          <w:rFonts w:eastAsia="仿宋_GB2312"/>
          <w:color w:val="auto"/>
          <w:sz w:val="32"/>
          <w:szCs w:val="32"/>
          <w:highlight w:val="none"/>
        </w:rPr>
      </w:pPr>
      <w:r>
        <w:rPr>
          <w:rFonts w:hint="eastAsia" w:ascii="Times New Roman" w:hAnsi="Times New Roman" w:eastAsia="仿宋_GB2312" w:cs="Times New Roman"/>
          <w:color w:val="auto"/>
          <w:kern w:val="2"/>
          <w:sz w:val="32"/>
          <w:szCs w:val="32"/>
          <w:highlight w:val="none"/>
          <w:lang w:val="en-US" w:eastAsia="zh-CN" w:bidi="ar-SA"/>
        </w:rPr>
        <w:t>（3）报价人提供虚假报价文件或虚假补充文件</w:t>
      </w:r>
      <w:r>
        <w:rPr>
          <w:rFonts w:hint="eastAsia" w:eastAsia="仿宋_GB2312" w:cs="Times New Roman"/>
          <w:color w:val="auto"/>
          <w:kern w:val="2"/>
          <w:sz w:val="32"/>
          <w:szCs w:val="32"/>
          <w:highlight w:val="none"/>
          <w:lang w:val="en-US" w:eastAsia="zh-CN" w:bidi="ar-SA"/>
        </w:rPr>
        <w:t>。</w:t>
      </w:r>
    </w:p>
    <w:p w14:paraId="34241BDA">
      <w:pPr>
        <w:widowControl/>
        <w:spacing w:line="600" w:lineRule="exact"/>
        <w:jc w:val="left"/>
        <w:rPr>
          <w:rFonts w:eastAsia="仿宋_GB2312"/>
          <w:color w:val="auto"/>
          <w:sz w:val="32"/>
          <w:szCs w:val="32"/>
          <w:highlight w:val="none"/>
        </w:rPr>
      </w:pPr>
    </w:p>
    <w:p w14:paraId="0D4928BB">
      <w:pPr>
        <w:spacing w:line="600" w:lineRule="exact"/>
        <w:ind w:firstLine="640" w:firstLineChars="200"/>
        <w:jc w:val="right"/>
        <w:rPr>
          <w:rFonts w:eastAsia="仿宋_GB2312"/>
          <w:color w:val="auto"/>
          <w:sz w:val="32"/>
          <w:szCs w:val="32"/>
          <w:highlight w:val="none"/>
        </w:rPr>
      </w:pPr>
      <w:r>
        <w:rPr>
          <w:rFonts w:eastAsia="仿宋_GB2312"/>
          <w:color w:val="auto"/>
          <w:sz w:val="32"/>
          <w:szCs w:val="32"/>
          <w:highlight w:val="none"/>
          <w:u w:val="none"/>
        </w:rPr>
        <w:t xml:space="preserve">   </w:t>
      </w:r>
      <w:r>
        <w:rPr>
          <w:rFonts w:hint="eastAsia" w:eastAsia="仿宋_GB2312"/>
          <w:color w:val="auto"/>
          <w:sz w:val="32"/>
          <w:szCs w:val="32"/>
          <w:highlight w:val="none"/>
          <w:u w:val="none"/>
          <w:lang w:val="en-US" w:eastAsia="zh-CN"/>
        </w:rPr>
        <w:t>阳江开能环保能源有限</w:t>
      </w:r>
      <w:r>
        <w:rPr>
          <w:rFonts w:hint="eastAsia" w:eastAsia="仿宋_GB2312"/>
          <w:color w:val="auto"/>
          <w:sz w:val="32"/>
          <w:szCs w:val="32"/>
          <w:highlight w:val="none"/>
        </w:rPr>
        <w:t>公司</w:t>
      </w:r>
    </w:p>
    <w:p w14:paraId="3677ABE8">
      <w:pPr>
        <w:spacing w:line="600" w:lineRule="exact"/>
        <w:ind w:firstLine="640" w:firstLineChars="200"/>
        <w:jc w:val="right"/>
        <w:rPr>
          <w:rFonts w:eastAsia="仿宋_GB2312"/>
          <w:color w:val="auto"/>
          <w:sz w:val="32"/>
          <w:szCs w:val="32"/>
          <w:highlight w:val="none"/>
        </w:rPr>
      </w:pPr>
      <w:r>
        <w:rPr>
          <w:rFonts w:eastAsia="仿宋_GB2312"/>
          <w:color w:val="auto"/>
          <w:sz w:val="32"/>
          <w:szCs w:val="32"/>
          <w:highlight w:val="none"/>
          <w:u w:val="single"/>
        </w:rPr>
        <w:t>20</w:t>
      </w:r>
      <w:r>
        <w:rPr>
          <w:rFonts w:hint="eastAsia" w:eastAsia="仿宋_GB2312"/>
          <w:color w:val="auto"/>
          <w:sz w:val="32"/>
          <w:szCs w:val="32"/>
          <w:highlight w:val="none"/>
          <w:u w:val="single"/>
          <w:lang w:val="en-US" w:eastAsia="zh-CN"/>
        </w:rPr>
        <w:t>26</w:t>
      </w:r>
      <w:r>
        <w:rPr>
          <w:rFonts w:eastAsia="仿宋_GB2312"/>
          <w:color w:val="auto"/>
          <w:sz w:val="32"/>
          <w:szCs w:val="32"/>
          <w:highlight w:val="none"/>
          <w:u w:val="single"/>
        </w:rPr>
        <w:t xml:space="preserve">  </w:t>
      </w:r>
      <w:r>
        <w:rPr>
          <w:rFonts w:hint="eastAsia" w:eastAsia="仿宋_GB2312"/>
          <w:color w:val="auto"/>
          <w:sz w:val="32"/>
          <w:szCs w:val="32"/>
          <w:highlight w:val="none"/>
        </w:rPr>
        <w:t>年</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10</w:t>
      </w:r>
      <w:r>
        <w:rPr>
          <w:rFonts w:eastAsia="仿宋_GB2312"/>
          <w:color w:val="auto"/>
          <w:sz w:val="32"/>
          <w:szCs w:val="32"/>
          <w:highlight w:val="none"/>
          <w:u w:val="single"/>
        </w:rPr>
        <w:t xml:space="preserve">  </w:t>
      </w:r>
      <w:r>
        <w:rPr>
          <w:rFonts w:hint="eastAsia" w:eastAsia="仿宋_GB2312"/>
          <w:color w:val="auto"/>
          <w:sz w:val="32"/>
          <w:szCs w:val="32"/>
          <w:highlight w:val="none"/>
        </w:rPr>
        <w:t>月</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9</w:t>
      </w:r>
      <w:bookmarkStart w:id="19" w:name="_GoBack"/>
      <w:bookmarkEnd w:id="19"/>
      <w:r>
        <w:rPr>
          <w:rFonts w:hint="eastAsia" w:eastAsia="仿宋_GB2312"/>
          <w:color w:val="auto"/>
          <w:sz w:val="32"/>
          <w:szCs w:val="32"/>
          <w:highlight w:val="none"/>
        </w:rPr>
        <w:t>日</w:t>
      </w:r>
    </w:p>
    <w:p w14:paraId="78EB5F4E">
      <w:pPr>
        <w:widowControl/>
        <w:spacing w:line="600" w:lineRule="exact"/>
        <w:ind w:firstLine="640" w:firstLineChars="200"/>
        <w:jc w:val="left"/>
        <w:rPr>
          <w:rFonts w:eastAsia="仿宋_GB2312"/>
          <w:color w:val="auto"/>
          <w:sz w:val="32"/>
          <w:szCs w:val="32"/>
          <w:highlight w:val="none"/>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14:paraId="2C06D48D">
      <w:pPr>
        <w:pStyle w:val="42"/>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附件一 响应须知</w:t>
      </w:r>
    </w:p>
    <w:p w14:paraId="1C155AD6">
      <w:pPr>
        <w:jc w:val="center"/>
        <w:rPr>
          <w:rFonts w:eastAsia="华文中宋"/>
          <w:color w:val="auto"/>
          <w:sz w:val="44"/>
          <w:szCs w:val="44"/>
          <w:highlight w:val="none"/>
        </w:rPr>
      </w:pPr>
      <w:r>
        <w:rPr>
          <w:rFonts w:hint="eastAsia" w:eastAsia="华文中宋"/>
          <w:color w:val="auto"/>
          <w:sz w:val="44"/>
          <w:szCs w:val="44"/>
          <w:highlight w:val="none"/>
        </w:rPr>
        <w:t>响应须知</w:t>
      </w:r>
    </w:p>
    <w:tbl>
      <w:tblPr>
        <w:tblStyle w:val="22"/>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5B328E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6115586E">
            <w:pPr>
              <w:pStyle w:val="10"/>
              <w:spacing w:after="0" w:line="360" w:lineRule="auto"/>
              <w:ind w:firstLine="0" w:firstLineChars="0"/>
              <w:jc w:val="center"/>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项号</w:t>
            </w:r>
          </w:p>
        </w:tc>
        <w:tc>
          <w:tcPr>
            <w:tcW w:w="2275" w:type="dxa"/>
            <w:tcBorders>
              <w:top w:val="double" w:color="auto" w:sz="4" w:space="0"/>
            </w:tcBorders>
            <w:vAlign w:val="center"/>
          </w:tcPr>
          <w:p w14:paraId="4BABAE93">
            <w:pPr>
              <w:pStyle w:val="10"/>
              <w:spacing w:after="0" w:line="360" w:lineRule="auto"/>
              <w:ind w:firstLine="320"/>
              <w:jc w:val="center"/>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内容</w:t>
            </w:r>
          </w:p>
        </w:tc>
        <w:tc>
          <w:tcPr>
            <w:tcW w:w="5942" w:type="dxa"/>
            <w:tcBorders>
              <w:top w:val="double" w:color="auto" w:sz="4" w:space="0"/>
            </w:tcBorders>
            <w:vAlign w:val="center"/>
          </w:tcPr>
          <w:p w14:paraId="23C9AB89">
            <w:pPr>
              <w:pStyle w:val="10"/>
              <w:spacing w:after="0" w:line="360" w:lineRule="auto"/>
              <w:ind w:firstLine="320"/>
              <w:jc w:val="center"/>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说明与要求</w:t>
            </w:r>
          </w:p>
        </w:tc>
      </w:tr>
      <w:tr w14:paraId="75A77E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4B3A8EB">
            <w:pPr>
              <w:spacing w:line="360" w:lineRule="auto"/>
              <w:jc w:val="center"/>
              <w:rPr>
                <w:rFonts w:eastAsia="仿宋_GB2312"/>
                <w:color w:val="auto"/>
                <w:sz w:val="32"/>
                <w:szCs w:val="32"/>
                <w:highlight w:val="none"/>
              </w:rPr>
            </w:pPr>
            <w:r>
              <w:rPr>
                <w:rFonts w:eastAsia="仿宋_GB2312"/>
                <w:color w:val="auto"/>
                <w:sz w:val="32"/>
                <w:szCs w:val="32"/>
                <w:highlight w:val="none"/>
              </w:rPr>
              <w:t>1</w:t>
            </w:r>
          </w:p>
        </w:tc>
        <w:tc>
          <w:tcPr>
            <w:tcW w:w="2275" w:type="dxa"/>
            <w:vAlign w:val="center"/>
          </w:tcPr>
          <w:p w14:paraId="64208A4B">
            <w:pPr>
              <w:spacing w:line="360" w:lineRule="auto"/>
              <w:jc w:val="center"/>
              <w:rPr>
                <w:rFonts w:eastAsia="仿宋_GB2312"/>
                <w:color w:val="auto"/>
                <w:sz w:val="32"/>
                <w:szCs w:val="32"/>
                <w:highlight w:val="none"/>
              </w:rPr>
            </w:pPr>
            <w:r>
              <w:rPr>
                <w:rFonts w:hint="eastAsia" w:eastAsia="仿宋_GB2312"/>
                <w:color w:val="auto"/>
                <w:sz w:val="32"/>
                <w:szCs w:val="32"/>
                <w:highlight w:val="none"/>
              </w:rPr>
              <w:t>项目名称</w:t>
            </w:r>
          </w:p>
        </w:tc>
        <w:tc>
          <w:tcPr>
            <w:tcW w:w="5942" w:type="dxa"/>
            <w:vAlign w:val="center"/>
          </w:tcPr>
          <w:p w14:paraId="146C0E03">
            <w:pPr>
              <w:adjustRightInd w:val="0"/>
              <w:snapToGrid w:val="0"/>
              <w:spacing w:line="560" w:lineRule="exact"/>
              <w:rPr>
                <w:rFonts w:hint="eastAsia" w:eastAsia="仿宋_GB2312"/>
                <w:color w:val="auto"/>
                <w:sz w:val="32"/>
                <w:szCs w:val="32"/>
                <w:highlight w:val="none"/>
                <w:lang w:eastAsia="zh-CN"/>
              </w:rPr>
            </w:pPr>
            <w:r>
              <w:rPr>
                <w:rFonts w:hint="eastAsia" w:eastAsia="仿宋_GB2312"/>
                <w:color w:val="auto"/>
                <w:sz w:val="32"/>
                <w:szCs w:val="32"/>
                <w:highlight w:val="none"/>
              </w:rPr>
              <w:t>阳江开能环保能源有限公司202</w:t>
            </w:r>
            <w:r>
              <w:rPr>
                <w:rFonts w:hint="eastAsia" w:eastAsia="仿宋_GB2312"/>
                <w:color w:val="auto"/>
                <w:sz w:val="32"/>
                <w:szCs w:val="32"/>
                <w:highlight w:val="none"/>
                <w:lang w:val="en-US" w:eastAsia="zh-CN"/>
              </w:rPr>
              <w:t>6</w:t>
            </w:r>
            <w:r>
              <w:rPr>
                <w:rFonts w:hint="eastAsia" w:eastAsia="仿宋_GB2312"/>
                <w:color w:val="auto"/>
                <w:sz w:val="32"/>
                <w:szCs w:val="32"/>
                <w:highlight w:val="none"/>
              </w:rPr>
              <w:t>年高效消石灰采购项目</w:t>
            </w:r>
          </w:p>
        </w:tc>
      </w:tr>
      <w:tr w14:paraId="650EEC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8A01513">
            <w:pPr>
              <w:spacing w:line="360" w:lineRule="auto"/>
              <w:jc w:val="center"/>
              <w:rPr>
                <w:rFonts w:eastAsia="仿宋_GB2312"/>
                <w:color w:val="auto"/>
                <w:sz w:val="32"/>
                <w:szCs w:val="32"/>
                <w:highlight w:val="none"/>
              </w:rPr>
            </w:pPr>
            <w:r>
              <w:rPr>
                <w:rFonts w:eastAsia="仿宋_GB2312"/>
                <w:color w:val="auto"/>
                <w:sz w:val="32"/>
                <w:szCs w:val="32"/>
                <w:highlight w:val="none"/>
              </w:rPr>
              <w:t>2</w:t>
            </w:r>
          </w:p>
        </w:tc>
        <w:tc>
          <w:tcPr>
            <w:tcW w:w="2275" w:type="dxa"/>
            <w:vAlign w:val="center"/>
          </w:tcPr>
          <w:p w14:paraId="0B629BA0">
            <w:pPr>
              <w:spacing w:line="360" w:lineRule="auto"/>
              <w:jc w:val="center"/>
              <w:rPr>
                <w:rFonts w:eastAsia="仿宋_GB2312"/>
                <w:color w:val="auto"/>
                <w:sz w:val="32"/>
                <w:szCs w:val="32"/>
                <w:highlight w:val="none"/>
              </w:rPr>
            </w:pPr>
            <w:r>
              <w:rPr>
                <w:rFonts w:hint="eastAsia" w:eastAsia="仿宋_GB2312"/>
                <w:color w:val="auto"/>
                <w:sz w:val="32"/>
                <w:szCs w:val="32"/>
                <w:highlight w:val="none"/>
              </w:rPr>
              <w:t>建设地点</w:t>
            </w:r>
          </w:p>
        </w:tc>
        <w:tc>
          <w:tcPr>
            <w:tcW w:w="5942" w:type="dxa"/>
            <w:vAlign w:val="center"/>
          </w:tcPr>
          <w:p w14:paraId="6562717E">
            <w:pPr>
              <w:spacing w:line="360" w:lineRule="auto"/>
              <w:rPr>
                <w:rFonts w:hint="default" w:eastAsia="仿宋_GB2312"/>
                <w:color w:val="auto"/>
                <w:sz w:val="32"/>
                <w:szCs w:val="32"/>
                <w:highlight w:val="none"/>
                <w:lang w:val="en-US"/>
              </w:rPr>
            </w:pPr>
            <w:r>
              <w:rPr>
                <w:rFonts w:hint="eastAsia" w:eastAsia="仿宋_GB2312"/>
                <w:color w:val="auto"/>
                <w:sz w:val="32"/>
                <w:szCs w:val="32"/>
                <w:highlight w:val="none"/>
                <w:u w:val="none"/>
                <w:lang w:val="en-US" w:eastAsia="zh-CN"/>
              </w:rPr>
              <w:t>广东省阳江高新技术产业开发区港口工业园广东广青金属科技有限公司厂区内 </w:t>
            </w:r>
          </w:p>
        </w:tc>
      </w:tr>
      <w:tr w14:paraId="657648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B39016A">
            <w:pPr>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2</w:t>
            </w:r>
          </w:p>
        </w:tc>
        <w:tc>
          <w:tcPr>
            <w:tcW w:w="2275" w:type="dxa"/>
            <w:vAlign w:val="center"/>
          </w:tcPr>
          <w:p w14:paraId="4198558B">
            <w:pPr>
              <w:spacing w:line="360" w:lineRule="auto"/>
              <w:jc w:val="center"/>
              <w:rPr>
                <w:rFonts w:eastAsia="仿宋_GB2312"/>
                <w:color w:val="auto"/>
                <w:sz w:val="32"/>
                <w:szCs w:val="32"/>
                <w:highlight w:val="none"/>
              </w:rPr>
            </w:pPr>
            <w:r>
              <w:rPr>
                <w:rFonts w:hint="eastAsia" w:eastAsia="仿宋_GB2312"/>
                <w:color w:val="auto"/>
                <w:sz w:val="32"/>
                <w:szCs w:val="32"/>
                <w:highlight w:val="none"/>
                <w:lang w:val="en-US" w:eastAsia="zh-CN"/>
              </w:rPr>
              <w:t>货期</w:t>
            </w:r>
            <w:r>
              <w:rPr>
                <w:rFonts w:hint="eastAsia" w:eastAsia="仿宋_GB2312"/>
                <w:color w:val="auto"/>
                <w:sz w:val="32"/>
                <w:szCs w:val="32"/>
                <w:highlight w:val="none"/>
              </w:rPr>
              <w:t>要求</w:t>
            </w:r>
          </w:p>
        </w:tc>
        <w:tc>
          <w:tcPr>
            <w:tcW w:w="5942" w:type="dxa"/>
            <w:vAlign w:val="center"/>
          </w:tcPr>
          <w:p w14:paraId="79E430CF">
            <w:pPr>
              <w:spacing w:line="500" w:lineRule="exact"/>
              <w:jc w:val="left"/>
              <w:rPr>
                <w:rFonts w:eastAsia="仿宋_GB2312"/>
                <w:color w:val="auto"/>
                <w:sz w:val="32"/>
                <w:szCs w:val="32"/>
                <w:highlight w:val="none"/>
              </w:rPr>
            </w:pPr>
            <w:r>
              <w:rPr>
                <w:rFonts w:hint="eastAsia" w:eastAsia="仿宋_GB2312"/>
                <w:color w:val="auto"/>
                <w:sz w:val="32"/>
                <w:szCs w:val="32"/>
                <w:highlight w:val="none"/>
              </w:rPr>
              <w:t>自合同签订之日起满一年，成交人根据采购人的具体通知分批进行供货，同时成交人需在接到采购人供货通知的5天内将货物送达成交人项目现场。实际供货数量及供货批次可具体按照采购人的需求进行调整</w:t>
            </w:r>
          </w:p>
        </w:tc>
      </w:tr>
      <w:tr w14:paraId="296058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15817DC">
            <w:pPr>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3</w:t>
            </w:r>
          </w:p>
        </w:tc>
        <w:tc>
          <w:tcPr>
            <w:tcW w:w="2275" w:type="dxa"/>
            <w:vAlign w:val="center"/>
          </w:tcPr>
          <w:p w14:paraId="70BC036B">
            <w:pPr>
              <w:spacing w:line="360" w:lineRule="auto"/>
              <w:jc w:val="center"/>
              <w:rPr>
                <w:rFonts w:eastAsia="仿宋_GB2312"/>
                <w:color w:val="auto"/>
                <w:sz w:val="32"/>
                <w:szCs w:val="32"/>
                <w:highlight w:val="none"/>
              </w:rPr>
            </w:pPr>
            <w:r>
              <w:rPr>
                <w:rFonts w:hint="eastAsia" w:eastAsia="仿宋_GB2312"/>
                <w:color w:val="auto"/>
                <w:sz w:val="32"/>
                <w:szCs w:val="32"/>
                <w:highlight w:val="none"/>
              </w:rPr>
              <w:t>单位资质要求</w:t>
            </w:r>
          </w:p>
        </w:tc>
        <w:tc>
          <w:tcPr>
            <w:tcW w:w="5942" w:type="dxa"/>
            <w:vAlign w:val="center"/>
          </w:tcPr>
          <w:p w14:paraId="518197D6">
            <w:pPr>
              <w:adjustRightInd w:val="0"/>
              <w:snapToGrid w:val="0"/>
              <w:spacing w:line="560" w:lineRule="exact"/>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无</w:t>
            </w:r>
          </w:p>
        </w:tc>
      </w:tr>
      <w:tr w14:paraId="08C1EA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ABD2D80">
            <w:pPr>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4</w:t>
            </w:r>
          </w:p>
        </w:tc>
        <w:tc>
          <w:tcPr>
            <w:tcW w:w="2275" w:type="dxa"/>
          </w:tcPr>
          <w:p w14:paraId="78875D76">
            <w:pPr>
              <w:spacing w:line="360" w:lineRule="auto"/>
              <w:jc w:val="center"/>
              <w:rPr>
                <w:rFonts w:hint="eastAsia" w:eastAsia="仿宋_GB2312"/>
                <w:color w:val="auto"/>
                <w:sz w:val="32"/>
                <w:szCs w:val="32"/>
                <w:highlight w:val="none"/>
              </w:rPr>
            </w:pPr>
          </w:p>
          <w:p w14:paraId="519BD8E2">
            <w:pPr>
              <w:spacing w:line="360" w:lineRule="auto"/>
              <w:jc w:val="center"/>
              <w:rPr>
                <w:rFonts w:hint="eastAsia" w:eastAsia="仿宋_GB2312"/>
                <w:color w:val="auto"/>
                <w:sz w:val="32"/>
                <w:szCs w:val="32"/>
                <w:highlight w:val="none"/>
              </w:rPr>
            </w:pPr>
          </w:p>
          <w:p w14:paraId="1D2BD017">
            <w:pPr>
              <w:spacing w:line="360" w:lineRule="auto"/>
              <w:jc w:val="center"/>
              <w:rPr>
                <w:rFonts w:hint="eastAsia" w:eastAsia="仿宋_GB2312"/>
                <w:color w:val="auto"/>
                <w:sz w:val="32"/>
                <w:szCs w:val="32"/>
                <w:highlight w:val="none"/>
              </w:rPr>
            </w:pPr>
          </w:p>
          <w:p w14:paraId="2694288C">
            <w:pPr>
              <w:spacing w:line="360" w:lineRule="auto"/>
              <w:jc w:val="center"/>
              <w:rPr>
                <w:rFonts w:hint="eastAsia" w:eastAsia="仿宋_GB2312"/>
                <w:color w:val="auto"/>
                <w:sz w:val="32"/>
                <w:szCs w:val="32"/>
                <w:highlight w:val="none"/>
              </w:rPr>
            </w:pPr>
          </w:p>
          <w:p w14:paraId="0A2C87E6">
            <w:pPr>
              <w:spacing w:line="360" w:lineRule="auto"/>
              <w:jc w:val="center"/>
              <w:rPr>
                <w:rFonts w:eastAsia="仿宋_GB2312"/>
                <w:color w:val="auto"/>
                <w:sz w:val="32"/>
                <w:szCs w:val="32"/>
                <w:highlight w:val="none"/>
              </w:rPr>
            </w:pPr>
            <w:r>
              <w:rPr>
                <w:rFonts w:hint="eastAsia" w:eastAsia="仿宋_GB2312"/>
                <w:color w:val="auto"/>
                <w:sz w:val="32"/>
                <w:szCs w:val="32"/>
                <w:highlight w:val="none"/>
              </w:rPr>
              <w:t>询价保证金金额及缴纳方式</w:t>
            </w:r>
          </w:p>
        </w:tc>
        <w:tc>
          <w:tcPr>
            <w:tcW w:w="5942" w:type="dxa"/>
            <w:vAlign w:val="center"/>
          </w:tcPr>
          <w:p w14:paraId="06AF97E3">
            <w:pPr>
              <w:spacing w:line="600" w:lineRule="exact"/>
              <w:ind w:firstLine="640" w:firstLineChars="200"/>
              <w:rPr>
                <w:rFonts w:hint="eastAsia" w:ascii="Times New Roman" w:hAnsi="Times New Roman" w:eastAsia="仿宋_GB2312" w:cs="Times New Roman"/>
                <w:color w:val="auto"/>
                <w:sz w:val="32"/>
                <w:szCs w:val="32"/>
                <w:highlight w:val="none"/>
                <w:u w:val="single"/>
                <w:lang w:val="en-US" w:eastAsia="zh-CN"/>
              </w:rPr>
            </w:pPr>
            <w:r>
              <w:rPr>
                <w:rFonts w:hint="eastAsia" w:eastAsia="仿宋_GB2312" w:cs="Times New Roman"/>
                <w:color w:val="auto"/>
                <w:sz w:val="32"/>
                <w:szCs w:val="32"/>
                <w:highlight w:val="none"/>
                <w:u w:val="single"/>
                <w:lang w:val="en-US" w:eastAsia="zh-CN"/>
              </w:rPr>
              <w:t>开标前，响应人应在项目开标前缴纳</w:t>
            </w:r>
            <w:r>
              <w:rPr>
                <w:rFonts w:hint="eastAsia" w:ascii="Times New Roman" w:hAnsi="Times New Roman" w:eastAsia="仿宋_GB2312" w:cs="Times New Roman"/>
                <w:color w:val="auto"/>
                <w:sz w:val="32"/>
                <w:szCs w:val="32"/>
                <w:highlight w:val="none"/>
                <w:u w:val="single"/>
                <w:lang w:val="en-US" w:eastAsia="zh-CN"/>
              </w:rPr>
              <w:t>人民币</w:t>
            </w:r>
            <w:r>
              <w:rPr>
                <w:rFonts w:hint="eastAsia" w:eastAsia="仿宋_GB2312" w:cs="Times New Roman"/>
                <w:color w:val="auto"/>
                <w:sz w:val="32"/>
                <w:szCs w:val="32"/>
                <w:highlight w:val="none"/>
                <w:u w:val="single"/>
                <w:lang w:val="en-US" w:eastAsia="zh-CN"/>
              </w:rPr>
              <w:t>柒仟玖佰</w:t>
            </w:r>
            <w:r>
              <w:rPr>
                <w:rFonts w:hint="eastAsia" w:ascii="Times New Roman" w:hAnsi="Times New Roman" w:eastAsia="仿宋_GB2312" w:cs="Times New Roman"/>
                <w:color w:val="auto"/>
                <w:sz w:val="32"/>
                <w:szCs w:val="32"/>
                <w:highlight w:val="none"/>
                <w:u w:val="single"/>
                <w:lang w:val="en-US" w:eastAsia="zh-CN"/>
              </w:rPr>
              <w:t>元整（小写￥</w:t>
            </w:r>
            <w:r>
              <w:rPr>
                <w:rFonts w:hint="eastAsia" w:eastAsia="仿宋_GB2312" w:cs="Times New Roman"/>
                <w:color w:val="auto"/>
                <w:sz w:val="32"/>
                <w:szCs w:val="32"/>
                <w:highlight w:val="none"/>
                <w:u w:val="single"/>
                <w:lang w:val="en-US" w:eastAsia="zh-CN"/>
              </w:rPr>
              <w:t>7900.00</w:t>
            </w:r>
            <w:r>
              <w:rPr>
                <w:rFonts w:hint="eastAsia" w:ascii="Times New Roman" w:hAnsi="Times New Roman" w:eastAsia="仿宋_GB2312" w:cs="Times New Roman"/>
                <w:color w:val="auto"/>
                <w:sz w:val="32"/>
                <w:szCs w:val="32"/>
                <w:highlight w:val="none"/>
                <w:u w:val="single"/>
                <w:lang w:val="en-US" w:eastAsia="zh-CN"/>
              </w:rPr>
              <w:t>元）至以下投标保证金专用账户（响应人与交款人名称必须一致，不接受个人名义转账）</w:t>
            </w:r>
            <w:r>
              <w:rPr>
                <w:rFonts w:hint="eastAsia" w:eastAsia="仿宋_GB2312" w:cs="Times New Roman"/>
                <w:color w:val="auto"/>
                <w:sz w:val="32"/>
                <w:szCs w:val="32"/>
                <w:highlight w:val="none"/>
                <w:u w:val="single"/>
                <w:lang w:val="en-US" w:eastAsia="zh-CN"/>
              </w:rPr>
              <w:t>作为项目投标保证金。成交单位的投标保证金不退还，待双方签订合同后，转为履约保证金。未中标单位的保证金在项目中标确定后的10个工作日内无息退还</w:t>
            </w:r>
            <w:r>
              <w:rPr>
                <w:rFonts w:hint="eastAsia" w:ascii="Times New Roman" w:hAnsi="Times New Roman" w:eastAsia="仿宋_GB2312" w:cs="Times New Roman"/>
                <w:color w:val="auto"/>
                <w:sz w:val="32"/>
                <w:szCs w:val="32"/>
                <w:highlight w:val="none"/>
                <w:u w:val="single"/>
                <w:lang w:val="en-US" w:eastAsia="zh-CN"/>
              </w:rPr>
              <w:t>。</w:t>
            </w:r>
          </w:p>
          <w:p w14:paraId="690459DD">
            <w:pPr>
              <w:adjustRightInd w:val="0"/>
              <w:snapToGrid w:val="0"/>
              <w:spacing w:line="560" w:lineRule="exact"/>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报价保证金收款账户信息：</w:t>
            </w:r>
          </w:p>
          <w:p w14:paraId="3FA0B7A8">
            <w:pPr>
              <w:adjustRightInd w:val="0"/>
              <w:snapToGrid w:val="0"/>
              <w:spacing w:line="560" w:lineRule="exact"/>
              <w:rPr>
                <w:rFonts w:hint="default" w:eastAsia="仿宋_GB2312"/>
                <w:color w:val="auto"/>
                <w:sz w:val="32"/>
                <w:szCs w:val="32"/>
                <w:highlight w:val="none"/>
                <w:lang w:val="en-US" w:eastAsia="zh-CN"/>
              </w:rPr>
            </w:pPr>
            <w:r>
              <w:rPr>
                <w:rFonts w:hint="eastAsia" w:eastAsia="仿宋_GB2312"/>
                <w:color w:val="auto"/>
                <w:sz w:val="32"/>
                <w:szCs w:val="32"/>
                <w:highlight w:val="none"/>
                <w:lang w:val="en-US" w:eastAsia="zh-CN"/>
              </w:rPr>
              <w:t xml:space="preserve">帐户名称：阳江开能环保能源有限公司；                            </w:t>
            </w:r>
          </w:p>
          <w:p w14:paraId="5E221F16">
            <w:pPr>
              <w:adjustRightInd w:val="0"/>
              <w:snapToGrid w:val="0"/>
              <w:spacing w:line="560" w:lineRule="exact"/>
              <w:rPr>
                <w:rFonts w:hint="default" w:eastAsia="仿宋_GB2312"/>
                <w:color w:val="auto"/>
                <w:sz w:val="32"/>
                <w:szCs w:val="32"/>
                <w:highlight w:val="none"/>
                <w:lang w:val="en-US" w:eastAsia="zh-CN"/>
              </w:rPr>
            </w:pPr>
            <w:r>
              <w:rPr>
                <w:rFonts w:hint="eastAsia" w:eastAsia="仿宋_GB2312"/>
                <w:color w:val="auto"/>
                <w:sz w:val="32"/>
                <w:szCs w:val="32"/>
                <w:highlight w:val="none"/>
                <w:lang w:val="en-US" w:eastAsia="zh-CN"/>
              </w:rPr>
              <w:t xml:space="preserve">开户银行：广发银行股份有限公司阳江分行 ；                         </w:t>
            </w:r>
          </w:p>
          <w:p w14:paraId="7A875B97">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lang w:val="en-US" w:eastAsia="zh-CN"/>
              </w:rPr>
              <w:t xml:space="preserve">银行帐号：9550 8802 0063 4500 171。         </w:t>
            </w:r>
          </w:p>
        </w:tc>
      </w:tr>
      <w:tr w14:paraId="527BFA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AE70C7D">
            <w:pPr>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5</w:t>
            </w:r>
          </w:p>
        </w:tc>
        <w:tc>
          <w:tcPr>
            <w:tcW w:w="2275" w:type="dxa"/>
          </w:tcPr>
          <w:p w14:paraId="560C63D5">
            <w:pPr>
              <w:spacing w:line="360" w:lineRule="auto"/>
              <w:jc w:val="center"/>
              <w:rPr>
                <w:rFonts w:eastAsia="仿宋_GB2312"/>
                <w:color w:val="auto"/>
                <w:sz w:val="32"/>
                <w:szCs w:val="32"/>
                <w:highlight w:val="none"/>
              </w:rPr>
            </w:pPr>
            <w:r>
              <w:rPr>
                <w:rFonts w:hint="eastAsia" w:eastAsia="仿宋_GB2312"/>
                <w:color w:val="auto"/>
                <w:sz w:val="32"/>
                <w:szCs w:val="32"/>
                <w:highlight w:val="none"/>
              </w:rPr>
              <w:t>询价有效期</w:t>
            </w:r>
          </w:p>
        </w:tc>
        <w:tc>
          <w:tcPr>
            <w:tcW w:w="5942" w:type="dxa"/>
            <w:vAlign w:val="center"/>
          </w:tcPr>
          <w:p w14:paraId="005ADF8F">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90</w:t>
            </w:r>
            <w:r>
              <w:rPr>
                <w:rFonts w:hint="eastAsia" w:eastAsia="仿宋_GB2312"/>
                <w:color w:val="auto"/>
                <w:sz w:val="32"/>
                <w:szCs w:val="32"/>
                <w:highlight w:val="none"/>
              </w:rPr>
              <w:t>天</w:t>
            </w:r>
          </w:p>
        </w:tc>
      </w:tr>
      <w:tr w14:paraId="5A7C5C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726699E">
            <w:pPr>
              <w:spacing w:line="360" w:lineRule="auto"/>
              <w:jc w:val="center"/>
              <w:rPr>
                <w:rFonts w:eastAsia="仿宋_GB2312"/>
                <w:color w:val="auto"/>
                <w:sz w:val="32"/>
                <w:szCs w:val="32"/>
                <w:highlight w:val="none"/>
              </w:rPr>
            </w:pPr>
          </w:p>
        </w:tc>
        <w:tc>
          <w:tcPr>
            <w:tcW w:w="2275" w:type="dxa"/>
            <w:vAlign w:val="center"/>
          </w:tcPr>
          <w:p w14:paraId="59036C97">
            <w:pPr>
              <w:spacing w:line="360" w:lineRule="auto"/>
              <w:jc w:val="center"/>
              <w:rPr>
                <w:rFonts w:eastAsia="仿宋_GB2312"/>
                <w:color w:val="auto"/>
                <w:sz w:val="32"/>
                <w:szCs w:val="32"/>
                <w:highlight w:val="none"/>
              </w:rPr>
            </w:pPr>
            <w:r>
              <w:rPr>
                <w:rFonts w:hint="eastAsia" w:eastAsia="仿宋_GB2312"/>
                <w:color w:val="auto"/>
                <w:sz w:val="32"/>
                <w:szCs w:val="32"/>
                <w:highlight w:val="none"/>
              </w:rPr>
              <w:t>响应人不得存在的情形</w:t>
            </w:r>
          </w:p>
        </w:tc>
        <w:tc>
          <w:tcPr>
            <w:tcW w:w="5942" w:type="dxa"/>
            <w:vAlign w:val="center"/>
          </w:tcPr>
          <w:p w14:paraId="200FD1A2">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1</w:t>
            </w:r>
            <w:r>
              <w:rPr>
                <w:rFonts w:hint="eastAsia" w:eastAsia="仿宋_GB2312"/>
                <w:color w:val="auto"/>
                <w:sz w:val="32"/>
                <w:szCs w:val="32"/>
                <w:highlight w:val="none"/>
              </w:rPr>
              <w:t>、响应人不得存在下列情形之一，否则采购人有权取消其参与响应资格或成交资格：</w:t>
            </w:r>
          </w:p>
          <w:p w14:paraId="41061EAA">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）为采购人不具有独立法人资格的附属机构（单位）；</w:t>
            </w:r>
          </w:p>
          <w:p w14:paraId="724C13EE">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）被责令停业的；</w:t>
            </w:r>
            <w:r>
              <w:rPr>
                <w:rFonts w:eastAsia="仿宋_GB2312"/>
                <w:color w:val="auto"/>
                <w:sz w:val="32"/>
                <w:szCs w:val="32"/>
                <w:highlight w:val="none"/>
              </w:rPr>
              <w:t xml:space="preserve"> </w:t>
            </w:r>
          </w:p>
          <w:p w14:paraId="6234D736">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）被暂停或取消投标资格的；</w:t>
            </w:r>
            <w:r>
              <w:rPr>
                <w:rFonts w:eastAsia="仿宋_GB2312"/>
                <w:color w:val="auto"/>
                <w:sz w:val="32"/>
                <w:szCs w:val="32"/>
                <w:highlight w:val="none"/>
              </w:rPr>
              <w:t xml:space="preserve"> </w:t>
            </w:r>
          </w:p>
          <w:p w14:paraId="22D3F1BB">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）财产被接管或冻结的；</w:t>
            </w:r>
          </w:p>
          <w:p w14:paraId="4D6889DF">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）在最近三年内有骗取中标、严重违约、重大质量或安全问题的；</w:t>
            </w:r>
          </w:p>
          <w:p w14:paraId="031440A1">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6</w:t>
            </w:r>
            <w:r>
              <w:rPr>
                <w:rFonts w:hint="eastAsia" w:eastAsia="仿宋_GB2312"/>
                <w:color w:val="auto"/>
                <w:sz w:val="32"/>
                <w:szCs w:val="32"/>
                <w:highlight w:val="none"/>
              </w:rPr>
              <w:t>）法律法规规定的其他情形；</w:t>
            </w:r>
          </w:p>
          <w:p w14:paraId="5D72FBDF">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7</w:t>
            </w:r>
            <w:r>
              <w:rPr>
                <w:rFonts w:hint="eastAsia" w:eastAsia="仿宋_GB2312"/>
                <w:color w:val="auto"/>
                <w:sz w:val="32"/>
                <w:szCs w:val="32"/>
                <w:highlight w:val="none"/>
              </w:rPr>
              <w:t>）询价文件规定的其他情形：见询价公告或询价响应须知前附表。</w:t>
            </w:r>
          </w:p>
          <w:p w14:paraId="6D3B8BF5">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、响应人在询价活动中有下列行为之一的，应视情节轻重，暂停或取消其参与采购人及东实集团旗下采购项目的资格：</w:t>
            </w:r>
          </w:p>
          <w:p w14:paraId="079D298C">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）响应人之间相互串通、或与采购人、代理机构、评审委员会成员串通询价，损害采购人或者其他响应人的合法权益的；</w:t>
            </w:r>
            <w:r>
              <w:rPr>
                <w:rFonts w:eastAsia="仿宋_GB2312"/>
                <w:color w:val="auto"/>
                <w:sz w:val="32"/>
                <w:szCs w:val="32"/>
                <w:highlight w:val="none"/>
              </w:rPr>
              <w:t xml:space="preserve"> </w:t>
            </w:r>
          </w:p>
          <w:p w14:paraId="6E14F699">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）向采购人、代理机构、评审委会成员或其他相关工作人员行贿的；</w:t>
            </w:r>
            <w:r>
              <w:rPr>
                <w:rFonts w:eastAsia="仿宋_GB2312"/>
                <w:color w:val="auto"/>
                <w:sz w:val="32"/>
                <w:szCs w:val="32"/>
                <w:highlight w:val="none"/>
              </w:rPr>
              <w:t xml:space="preserve"> </w:t>
            </w:r>
          </w:p>
          <w:p w14:paraId="241F1458">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）以他人名义询价或以其他方式弄虚作假，骗取成交的；</w:t>
            </w:r>
            <w:r>
              <w:rPr>
                <w:rFonts w:eastAsia="仿宋_GB2312"/>
                <w:color w:val="auto"/>
                <w:sz w:val="32"/>
                <w:szCs w:val="32"/>
                <w:highlight w:val="none"/>
              </w:rPr>
              <w:t xml:space="preserve"> </w:t>
            </w:r>
          </w:p>
          <w:p w14:paraId="1F047382">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）成交人私自将成交项目转让给他人的，将成交项目肢解后分别转让给他人的；</w:t>
            </w:r>
            <w:r>
              <w:rPr>
                <w:rFonts w:eastAsia="仿宋_GB2312"/>
                <w:color w:val="auto"/>
                <w:sz w:val="32"/>
                <w:szCs w:val="32"/>
                <w:highlight w:val="none"/>
              </w:rPr>
              <w:t xml:space="preserve"> </w:t>
            </w:r>
          </w:p>
          <w:p w14:paraId="7F594491">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）成交人无正当理由不与采购人订立合同，在签订合同时向采购人提出附加条件，或者不按照询价文件要求提交履约担保的；</w:t>
            </w:r>
          </w:p>
          <w:p w14:paraId="3D295854">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6</w:t>
            </w:r>
            <w:r>
              <w:rPr>
                <w:rFonts w:hint="eastAsia" w:eastAsia="仿宋_GB2312"/>
                <w:color w:val="auto"/>
                <w:sz w:val="32"/>
                <w:szCs w:val="32"/>
                <w:highlight w:val="none"/>
              </w:rPr>
              <w:t>）响应人捏造事实、伪造材料或者以非法手段取得证明材料进行投诉，给他人造成损失的；</w:t>
            </w:r>
            <w:r>
              <w:rPr>
                <w:rFonts w:eastAsia="仿宋_GB2312"/>
                <w:color w:val="auto"/>
                <w:sz w:val="32"/>
                <w:szCs w:val="32"/>
                <w:highlight w:val="none"/>
              </w:rPr>
              <w:t xml:space="preserve"> </w:t>
            </w:r>
          </w:p>
          <w:p w14:paraId="3BD524E0">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7</w:t>
            </w:r>
            <w:r>
              <w:rPr>
                <w:rFonts w:hint="eastAsia" w:eastAsia="仿宋_GB2312"/>
                <w:color w:val="auto"/>
                <w:sz w:val="32"/>
                <w:szCs w:val="32"/>
                <w:highlight w:val="none"/>
              </w:rPr>
              <w:t>）相关工作人员应当回避而不回避的；</w:t>
            </w:r>
            <w:r>
              <w:rPr>
                <w:rFonts w:eastAsia="仿宋_GB2312"/>
                <w:color w:val="auto"/>
                <w:sz w:val="32"/>
                <w:szCs w:val="32"/>
                <w:highlight w:val="none"/>
              </w:rPr>
              <w:t xml:space="preserve"> </w:t>
            </w:r>
          </w:p>
          <w:p w14:paraId="65AB0802">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8</w:t>
            </w:r>
            <w:r>
              <w:rPr>
                <w:rFonts w:hint="eastAsia" w:eastAsia="仿宋_GB2312"/>
                <w:color w:val="auto"/>
                <w:sz w:val="32"/>
                <w:szCs w:val="32"/>
                <w:highlight w:val="none"/>
              </w:rPr>
              <w:t>）其他违法违规的行为。</w:t>
            </w:r>
          </w:p>
          <w:p w14:paraId="39E5BA3A">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、有下列情形之一的，视为响应人串通询价，其响应无效：</w:t>
            </w:r>
          </w:p>
          <w:p w14:paraId="09E82ADA">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）不同响应人的响应文件由同一单位或者个人编制；</w:t>
            </w:r>
          </w:p>
          <w:p w14:paraId="36FE1172">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）不同响应人委托同一单位或者个人办理响应事宜；</w:t>
            </w:r>
          </w:p>
          <w:p w14:paraId="73B7CFD4">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）不同响应人的响应文件载明的项目管理成员或者联系人员为同一人；</w:t>
            </w:r>
          </w:p>
          <w:p w14:paraId="5E6C427E">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）不同响应人的响应文件异常一致或者响应报价呈规律性差异；</w:t>
            </w:r>
          </w:p>
          <w:p w14:paraId="0DA56FA6">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）不同响应人的响应文件相互混装；</w:t>
            </w:r>
          </w:p>
          <w:p w14:paraId="7F39F886">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6</w:t>
            </w:r>
            <w:r>
              <w:rPr>
                <w:rFonts w:hint="eastAsia" w:eastAsia="仿宋_GB2312"/>
                <w:color w:val="auto"/>
                <w:sz w:val="32"/>
                <w:szCs w:val="32"/>
                <w:highlight w:val="none"/>
              </w:rPr>
              <w:t>）不同响应人的响应保证金从同一单位或者个人的账户转出。</w:t>
            </w:r>
          </w:p>
          <w:p w14:paraId="61801AB3">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、使用通过受让或者租借等方式获取的资格、资质证书响应的，属于以他人名义询价，其响应无效：</w:t>
            </w:r>
          </w:p>
          <w:p w14:paraId="58CCFD26">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5</w:t>
            </w:r>
            <w:r>
              <w:rPr>
                <w:rFonts w:hint="eastAsia" w:eastAsia="仿宋_GB2312"/>
                <w:color w:val="auto"/>
                <w:sz w:val="32"/>
                <w:szCs w:val="32"/>
                <w:highlight w:val="none"/>
              </w:rPr>
              <w:t>、有下列情形之一的，属于以其他方式弄虚作假的行为，其响应无效：</w:t>
            </w:r>
          </w:p>
          <w:p w14:paraId="3B36AB01">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）使用伪造、变造的许可证件；</w:t>
            </w:r>
          </w:p>
          <w:p w14:paraId="22F32E4A">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）提供虚假的财务状况或者业绩；</w:t>
            </w:r>
            <w:r>
              <w:rPr>
                <w:rFonts w:eastAsia="仿宋_GB2312"/>
                <w:color w:val="auto"/>
                <w:sz w:val="32"/>
                <w:szCs w:val="32"/>
                <w:highlight w:val="none"/>
              </w:rPr>
              <w:t xml:space="preserve"> </w:t>
            </w:r>
          </w:p>
          <w:p w14:paraId="284C440A">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）提供虚假的项目负责人或者主要技术人员简历、劳动关系证明；</w:t>
            </w:r>
            <w:r>
              <w:rPr>
                <w:rFonts w:eastAsia="仿宋_GB2312"/>
                <w:color w:val="auto"/>
                <w:sz w:val="32"/>
                <w:szCs w:val="32"/>
                <w:highlight w:val="none"/>
              </w:rPr>
              <w:t xml:space="preserve"> </w:t>
            </w:r>
          </w:p>
          <w:p w14:paraId="031F2FFC">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）提供虚假的信用状况；</w:t>
            </w:r>
          </w:p>
          <w:p w14:paraId="5EB1BA92">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）其他弄虚作假的行为。</w:t>
            </w:r>
          </w:p>
          <w:p w14:paraId="4BFD5AB4">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6</w:t>
            </w:r>
            <w:r>
              <w:rPr>
                <w:rFonts w:hint="eastAsia" w:eastAsia="仿宋_GB2312"/>
                <w:color w:val="auto"/>
                <w:sz w:val="32"/>
                <w:szCs w:val="32"/>
                <w:highlight w:val="none"/>
              </w:rPr>
              <w:t>、响应人相关工作人员与采购人或采购代理机构有以下利害关系之一的，应当回避：</w:t>
            </w:r>
            <w:r>
              <w:rPr>
                <w:rFonts w:eastAsia="仿宋_GB2312"/>
                <w:color w:val="auto"/>
                <w:sz w:val="32"/>
                <w:szCs w:val="32"/>
                <w:highlight w:val="none"/>
              </w:rPr>
              <w:t xml:space="preserve"> </w:t>
            </w:r>
          </w:p>
          <w:p w14:paraId="01C51FA1">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（一）是其主要负责人的近亲属的；</w:t>
            </w:r>
          </w:p>
          <w:p w14:paraId="503F420B">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（二）询价活动前</w:t>
            </w:r>
            <w:r>
              <w:rPr>
                <w:rFonts w:eastAsia="仿宋_GB2312"/>
                <w:color w:val="auto"/>
                <w:sz w:val="32"/>
                <w:szCs w:val="32"/>
                <w:highlight w:val="none"/>
              </w:rPr>
              <w:t>3</w:t>
            </w:r>
            <w:r>
              <w:rPr>
                <w:rFonts w:hint="eastAsia" w:eastAsia="仿宋_GB2312"/>
                <w:color w:val="auto"/>
                <w:sz w:val="32"/>
                <w:szCs w:val="32"/>
                <w:highlight w:val="none"/>
              </w:rPr>
              <w:t>年内与其存在劳动关系，担任其董事、监事，是其控股股东或实际控制人，或存在其他经济利益关系，可能影响询价活动公平公正的；</w:t>
            </w:r>
          </w:p>
          <w:p w14:paraId="0432D5A6">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（三）其他可能影响询价活动公平、公正进行的关系。</w:t>
            </w:r>
          </w:p>
        </w:tc>
      </w:tr>
    </w:tbl>
    <w:p w14:paraId="022665F2">
      <w:pPr>
        <w:rPr>
          <w:rFonts w:eastAsia="仿宋_GB2312"/>
          <w:color w:val="auto"/>
          <w:sz w:val="32"/>
          <w:szCs w:val="32"/>
          <w:highlight w:val="none"/>
        </w:rPr>
      </w:pPr>
    </w:p>
    <w:p w14:paraId="34A1C9BE">
      <w:pPr>
        <w:rPr>
          <w:rFonts w:eastAsia="仿宋_GB2312"/>
          <w:color w:val="auto"/>
          <w:sz w:val="32"/>
          <w:szCs w:val="32"/>
          <w:highlight w:val="none"/>
        </w:rPr>
      </w:pPr>
    </w:p>
    <w:p w14:paraId="5631F14E">
      <w:pPr>
        <w:pStyle w:val="21"/>
        <w:ind w:left="0" w:leftChars="0" w:firstLine="0" w:firstLineChars="0"/>
        <w:rPr>
          <w:rFonts w:eastAsia="仿宋_GB2312"/>
          <w:color w:val="auto"/>
          <w:sz w:val="32"/>
          <w:szCs w:val="32"/>
          <w:highlight w:val="none"/>
        </w:rPr>
      </w:pPr>
    </w:p>
    <w:p w14:paraId="5D46969D">
      <w:pPr>
        <w:pStyle w:val="21"/>
        <w:ind w:left="0" w:leftChars="0" w:firstLine="0" w:firstLineChars="0"/>
        <w:rPr>
          <w:rFonts w:eastAsia="仿宋_GB2312"/>
          <w:color w:val="auto"/>
          <w:sz w:val="32"/>
          <w:szCs w:val="32"/>
          <w:highlight w:val="none"/>
        </w:rPr>
      </w:pPr>
    </w:p>
    <w:p w14:paraId="3B4B9A08">
      <w:pPr>
        <w:pStyle w:val="21"/>
        <w:ind w:left="0" w:leftChars="0" w:firstLine="0" w:firstLineChars="0"/>
        <w:rPr>
          <w:rFonts w:eastAsia="仿宋_GB2312"/>
          <w:color w:val="auto"/>
          <w:sz w:val="32"/>
          <w:szCs w:val="32"/>
          <w:highlight w:val="none"/>
        </w:rPr>
      </w:pPr>
    </w:p>
    <w:p w14:paraId="22AEAD45">
      <w:pPr>
        <w:pStyle w:val="21"/>
        <w:ind w:left="0" w:leftChars="0" w:firstLine="0" w:firstLineChars="0"/>
        <w:rPr>
          <w:rFonts w:eastAsia="仿宋_GB2312"/>
          <w:color w:val="auto"/>
          <w:sz w:val="32"/>
          <w:szCs w:val="32"/>
          <w:highlight w:val="none"/>
        </w:rPr>
      </w:pPr>
    </w:p>
    <w:p w14:paraId="35A9C3C2">
      <w:pPr>
        <w:pStyle w:val="21"/>
        <w:ind w:left="0" w:leftChars="0" w:firstLine="0" w:firstLineChars="0"/>
        <w:rPr>
          <w:rFonts w:eastAsia="仿宋_GB2312"/>
          <w:color w:val="auto"/>
          <w:sz w:val="32"/>
          <w:szCs w:val="32"/>
          <w:highlight w:val="none"/>
        </w:rPr>
      </w:pPr>
    </w:p>
    <w:p w14:paraId="1288AD50">
      <w:pPr>
        <w:pStyle w:val="21"/>
        <w:ind w:left="0" w:leftChars="0" w:firstLine="0" w:firstLineChars="0"/>
        <w:rPr>
          <w:rFonts w:eastAsia="仿宋_GB2312"/>
          <w:color w:val="auto"/>
          <w:sz w:val="32"/>
          <w:szCs w:val="32"/>
          <w:highlight w:val="none"/>
        </w:rPr>
      </w:pPr>
    </w:p>
    <w:p w14:paraId="71EBEB93">
      <w:pPr>
        <w:pStyle w:val="21"/>
        <w:ind w:left="0" w:leftChars="0" w:firstLine="0" w:firstLineChars="0"/>
        <w:rPr>
          <w:rFonts w:eastAsia="仿宋_GB2312"/>
          <w:color w:val="auto"/>
          <w:sz w:val="32"/>
          <w:szCs w:val="32"/>
          <w:highlight w:val="none"/>
        </w:rPr>
      </w:pPr>
    </w:p>
    <w:p w14:paraId="172092ED">
      <w:pPr>
        <w:pStyle w:val="21"/>
        <w:ind w:left="0" w:leftChars="0" w:firstLine="0" w:firstLineChars="0"/>
        <w:rPr>
          <w:rFonts w:eastAsia="仿宋_GB2312"/>
          <w:color w:val="auto"/>
          <w:sz w:val="32"/>
          <w:szCs w:val="32"/>
          <w:highlight w:val="none"/>
        </w:rPr>
      </w:pPr>
    </w:p>
    <w:p w14:paraId="7456D5EA">
      <w:pPr>
        <w:pStyle w:val="21"/>
        <w:ind w:left="0" w:leftChars="0" w:firstLine="0" w:firstLineChars="0"/>
        <w:rPr>
          <w:rFonts w:eastAsia="仿宋_GB2312"/>
          <w:color w:val="auto"/>
          <w:sz w:val="32"/>
          <w:szCs w:val="32"/>
          <w:highlight w:val="none"/>
        </w:rPr>
      </w:pPr>
    </w:p>
    <w:p w14:paraId="73BDC699">
      <w:pPr>
        <w:pStyle w:val="21"/>
        <w:ind w:left="0" w:leftChars="0" w:firstLine="0" w:firstLineChars="0"/>
        <w:rPr>
          <w:rFonts w:eastAsia="仿宋_GB2312"/>
          <w:color w:val="auto"/>
          <w:sz w:val="32"/>
          <w:szCs w:val="32"/>
          <w:highlight w:val="none"/>
        </w:rPr>
      </w:pPr>
    </w:p>
    <w:p w14:paraId="5F56CBF8">
      <w:pPr>
        <w:pStyle w:val="21"/>
        <w:ind w:left="0" w:leftChars="0" w:firstLine="0" w:firstLineChars="0"/>
        <w:rPr>
          <w:rFonts w:eastAsia="仿宋_GB2312"/>
          <w:color w:val="auto"/>
          <w:sz w:val="32"/>
          <w:szCs w:val="32"/>
          <w:highlight w:val="none"/>
        </w:rPr>
      </w:pPr>
    </w:p>
    <w:p w14:paraId="1355E756">
      <w:pPr>
        <w:pStyle w:val="21"/>
        <w:ind w:left="0" w:leftChars="0" w:firstLine="0" w:firstLineChars="0"/>
        <w:rPr>
          <w:rFonts w:eastAsia="仿宋_GB2312"/>
          <w:color w:val="auto"/>
          <w:sz w:val="32"/>
          <w:szCs w:val="32"/>
          <w:highlight w:val="none"/>
        </w:rPr>
      </w:pPr>
    </w:p>
    <w:p w14:paraId="0A913CA4">
      <w:pPr>
        <w:pStyle w:val="21"/>
        <w:ind w:left="0" w:leftChars="0" w:firstLine="0" w:firstLineChars="0"/>
        <w:rPr>
          <w:rFonts w:eastAsia="仿宋_GB2312"/>
          <w:color w:val="auto"/>
          <w:sz w:val="32"/>
          <w:szCs w:val="32"/>
          <w:highlight w:val="none"/>
        </w:rPr>
      </w:pPr>
    </w:p>
    <w:p w14:paraId="0BC8552A">
      <w:pPr>
        <w:pStyle w:val="21"/>
        <w:ind w:left="0" w:leftChars="0" w:firstLine="0" w:firstLineChars="0"/>
        <w:rPr>
          <w:rFonts w:eastAsia="仿宋_GB2312"/>
          <w:color w:val="auto"/>
          <w:sz w:val="32"/>
          <w:szCs w:val="32"/>
          <w:highlight w:val="none"/>
        </w:rPr>
      </w:pPr>
    </w:p>
    <w:p w14:paraId="162C90C2">
      <w:pPr>
        <w:pStyle w:val="21"/>
        <w:ind w:left="0" w:leftChars="0" w:firstLine="0" w:firstLineChars="0"/>
        <w:rPr>
          <w:rFonts w:eastAsia="仿宋_GB2312"/>
          <w:color w:val="auto"/>
          <w:sz w:val="32"/>
          <w:szCs w:val="32"/>
          <w:highlight w:val="none"/>
        </w:rPr>
      </w:pPr>
    </w:p>
    <w:p w14:paraId="0B75096B">
      <w:pPr>
        <w:pStyle w:val="21"/>
        <w:ind w:left="0" w:leftChars="0" w:firstLine="0" w:firstLineChars="0"/>
        <w:rPr>
          <w:rFonts w:eastAsia="仿宋_GB2312"/>
          <w:color w:val="auto"/>
          <w:sz w:val="32"/>
          <w:szCs w:val="32"/>
          <w:highlight w:val="none"/>
        </w:rPr>
      </w:pPr>
    </w:p>
    <w:p w14:paraId="61F74355">
      <w:pPr>
        <w:pStyle w:val="21"/>
        <w:ind w:left="0" w:leftChars="0" w:firstLine="0" w:firstLineChars="0"/>
        <w:rPr>
          <w:rFonts w:eastAsia="仿宋_GB2312"/>
          <w:color w:val="auto"/>
          <w:sz w:val="32"/>
          <w:szCs w:val="32"/>
          <w:highlight w:val="none"/>
        </w:rPr>
      </w:pPr>
    </w:p>
    <w:p w14:paraId="3A046335">
      <w:pPr>
        <w:pStyle w:val="21"/>
        <w:ind w:left="0" w:leftChars="0" w:firstLine="0" w:firstLineChars="0"/>
        <w:rPr>
          <w:rFonts w:eastAsia="仿宋_GB2312"/>
          <w:color w:val="auto"/>
          <w:sz w:val="32"/>
          <w:szCs w:val="32"/>
          <w:highlight w:val="none"/>
        </w:rPr>
      </w:pPr>
    </w:p>
    <w:p w14:paraId="3A1FAE2B">
      <w:pPr>
        <w:pStyle w:val="21"/>
        <w:ind w:left="0" w:leftChars="0" w:firstLine="0" w:firstLineChars="0"/>
        <w:rPr>
          <w:rFonts w:eastAsia="仿宋_GB2312"/>
          <w:color w:val="auto"/>
          <w:sz w:val="32"/>
          <w:szCs w:val="32"/>
          <w:highlight w:val="none"/>
        </w:rPr>
      </w:pPr>
    </w:p>
    <w:p w14:paraId="46C68A0B">
      <w:pPr>
        <w:pStyle w:val="21"/>
        <w:ind w:left="0" w:leftChars="0" w:firstLine="0" w:firstLineChars="0"/>
        <w:rPr>
          <w:rFonts w:eastAsia="仿宋_GB2312"/>
          <w:color w:val="auto"/>
          <w:sz w:val="32"/>
          <w:szCs w:val="32"/>
          <w:highlight w:val="none"/>
        </w:rPr>
      </w:pPr>
    </w:p>
    <w:p w14:paraId="46229870">
      <w:pPr>
        <w:pStyle w:val="21"/>
        <w:ind w:left="0" w:leftChars="0" w:firstLine="0" w:firstLineChars="0"/>
        <w:rPr>
          <w:rFonts w:eastAsia="仿宋_GB2312"/>
          <w:color w:val="auto"/>
          <w:sz w:val="32"/>
          <w:szCs w:val="32"/>
          <w:highlight w:val="none"/>
        </w:rPr>
      </w:pPr>
    </w:p>
    <w:p w14:paraId="16380DE8">
      <w:pPr>
        <w:pStyle w:val="42"/>
        <w:ind w:firstLine="0" w:firstLineChars="0"/>
        <w:jc w:val="left"/>
        <w:outlineLvl w:val="1"/>
        <w:rPr>
          <w:rFonts w:hint="default" w:eastAsia="黑体"/>
          <w:color w:val="auto"/>
          <w:sz w:val="28"/>
          <w:szCs w:val="44"/>
          <w:highlight w:val="none"/>
          <w:lang w:val="en-US" w:eastAsia="zh-CN"/>
        </w:rPr>
      </w:pPr>
      <w:bookmarkStart w:id="1" w:name="_Hlk524442005"/>
      <w:r>
        <w:rPr>
          <w:rFonts w:hint="eastAsia" w:eastAsia="黑体"/>
          <w:color w:val="auto"/>
          <w:sz w:val="28"/>
          <w:szCs w:val="44"/>
          <w:highlight w:val="none"/>
        </w:rPr>
        <w:t>附件二报价函</w:t>
      </w:r>
      <w:r>
        <w:rPr>
          <w:rFonts w:hint="eastAsia" w:eastAsia="黑体"/>
          <w:color w:val="auto"/>
          <w:sz w:val="28"/>
          <w:szCs w:val="44"/>
          <w:highlight w:val="none"/>
          <w:lang w:val="en-US" w:eastAsia="zh-CN"/>
        </w:rPr>
        <w:t>及报价清单</w:t>
      </w:r>
    </w:p>
    <w:p w14:paraId="3647A045">
      <w:pPr>
        <w:jc w:val="center"/>
        <w:rPr>
          <w:rFonts w:eastAsia="华文中宋"/>
          <w:color w:val="auto"/>
          <w:sz w:val="44"/>
          <w:szCs w:val="44"/>
          <w:highlight w:val="none"/>
        </w:rPr>
      </w:pPr>
      <w:r>
        <w:rPr>
          <w:rFonts w:hint="eastAsia" w:eastAsia="华文中宋"/>
          <w:color w:val="auto"/>
          <w:sz w:val="44"/>
          <w:szCs w:val="44"/>
          <w:highlight w:val="none"/>
        </w:rPr>
        <w:t>报价函</w:t>
      </w:r>
    </w:p>
    <w:p w14:paraId="153706DB">
      <w:pPr>
        <w:ind w:firstLine="560"/>
        <w:jc w:val="center"/>
        <w:rPr>
          <w:rFonts w:eastAsia="仿宋_GB2312"/>
          <w:color w:val="auto"/>
          <w:sz w:val="32"/>
          <w:szCs w:val="32"/>
          <w:highlight w:val="none"/>
        </w:rPr>
      </w:pPr>
    </w:p>
    <w:p w14:paraId="063959E9">
      <w:pPr>
        <w:rPr>
          <w:rFonts w:eastAsia="仿宋_GB2312"/>
          <w:color w:val="auto"/>
          <w:sz w:val="32"/>
          <w:szCs w:val="32"/>
          <w:highlight w:val="none"/>
        </w:rPr>
      </w:pPr>
      <w:r>
        <w:rPr>
          <w:rFonts w:hint="eastAsia" w:eastAsia="仿宋_GB2312"/>
          <w:color w:val="auto"/>
          <w:sz w:val="32"/>
          <w:szCs w:val="32"/>
          <w:highlight w:val="none"/>
          <w:u w:val="single"/>
          <w:lang w:val="en-US" w:eastAsia="zh-CN"/>
        </w:rPr>
        <w:t>阳江开能环保能源有限公司</w:t>
      </w:r>
      <w:r>
        <w:rPr>
          <w:rFonts w:hint="eastAsia" w:eastAsia="仿宋_GB2312"/>
          <w:color w:val="auto"/>
          <w:sz w:val="32"/>
          <w:szCs w:val="32"/>
          <w:highlight w:val="none"/>
        </w:rPr>
        <w:t>：</w:t>
      </w:r>
    </w:p>
    <w:p w14:paraId="4360C112">
      <w:pPr>
        <w:ind w:firstLine="640" w:firstLineChars="200"/>
        <w:rPr>
          <w:rFonts w:eastAsia="仿宋_GB2312"/>
          <w:color w:val="auto"/>
          <w:sz w:val="32"/>
          <w:szCs w:val="32"/>
          <w:highlight w:val="none"/>
        </w:rPr>
      </w:pPr>
      <w:r>
        <w:rPr>
          <w:rFonts w:hint="eastAsia" w:eastAsia="仿宋_GB2312"/>
          <w:color w:val="auto"/>
          <w:sz w:val="32"/>
          <w:szCs w:val="32"/>
          <w:highlight w:val="none"/>
        </w:rPr>
        <w:t>针对贵司</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阳江开能环保能源有限公司20</w:t>
      </w:r>
      <w:r>
        <w:rPr>
          <w:rFonts w:hint="eastAsia" w:eastAsia="仿宋_GB2312"/>
          <w:color w:val="auto"/>
          <w:sz w:val="32"/>
          <w:szCs w:val="32"/>
          <w:highlight w:val="none"/>
          <w:u w:val="single"/>
          <w:lang w:val="en-US" w:eastAsia="zh-CN"/>
        </w:rPr>
        <w:t>26</w:t>
      </w:r>
      <w:r>
        <w:rPr>
          <w:rFonts w:hint="eastAsia" w:eastAsia="仿宋_GB2312"/>
          <w:color w:val="auto"/>
          <w:sz w:val="32"/>
          <w:szCs w:val="32"/>
          <w:highlight w:val="none"/>
          <w:u w:val="single"/>
        </w:rPr>
        <w:t>年高效消石灰采购</w:t>
      </w:r>
      <w:r>
        <w:rPr>
          <w:rFonts w:hint="eastAsia" w:eastAsia="仿宋_GB2312"/>
          <w:color w:val="auto"/>
          <w:sz w:val="32"/>
          <w:szCs w:val="32"/>
          <w:highlight w:val="none"/>
        </w:rPr>
        <w:t>项目，我司愿意以含税价合计人民币</w:t>
      </w:r>
      <w:r>
        <w:rPr>
          <w:rFonts w:eastAsia="仿宋_GB2312"/>
          <w:color w:val="auto"/>
          <w:sz w:val="32"/>
          <w:szCs w:val="32"/>
          <w:highlight w:val="none"/>
          <w:u w:val="single"/>
        </w:rPr>
        <w:t>xxxx</w:t>
      </w:r>
      <w:r>
        <w:rPr>
          <w:rFonts w:hint="eastAsia" w:eastAsia="仿宋_GB2312"/>
          <w:color w:val="auto"/>
          <w:sz w:val="32"/>
          <w:szCs w:val="32"/>
          <w:highlight w:val="none"/>
          <w:u w:val="single"/>
        </w:rPr>
        <w:t>元（大写），</w:t>
      </w:r>
      <w:r>
        <w:rPr>
          <w:rFonts w:eastAsia="仿宋_GB2312"/>
          <w:color w:val="auto"/>
          <w:sz w:val="32"/>
          <w:szCs w:val="32"/>
          <w:highlight w:val="none"/>
          <w:u w:val="single"/>
        </w:rPr>
        <w:t>¥xxx.00</w:t>
      </w:r>
      <w:r>
        <w:rPr>
          <w:rFonts w:hint="eastAsia" w:eastAsia="仿宋_GB2312"/>
          <w:color w:val="auto"/>
          <w:sz w:val="32"/>
          <w:szCs w:val="32"/>
          <w:highlight w:val="none"/>
          <w:u w:val="single"/>
        </w:rPr>
        <w:t>（小写）（含</w:t>
      </w:r>
      <w:r>
        <w:rPr>
          <w:rFonts w:hint="eastAsia" w:eastAsia="仿宋_GB2312"/>
          <w:color w:val="auto"/>
          <w:sz w:val="32"/>
          <w:szCs w:val="32"/>
          <w:highlight w:val="none"/>
          <w:u w:val="single"/>
          <w:lang w:val="en-US" w:eastAsia="zh-CN"/>
        </w:rPr>
        <w:t>13</w:t>
      </w:r>
      <w:r>
        <w:rPr>
          <w:rFonts w:hint="eastAsia" w:eastAsia="仿宋_GB2312"/>
          <w:color w:val="auto"/>
          <w:sz w:val="32"/>
          <w:szCs w:val="32"/>
          <w:highlight w:val="none"/>
          <w:u w:val="single"/>
        </w:rPr>
        <w:t>%增值税专用发票）</w:t>
      </w:r>
      <w:r>
        <w:rPr>
          <w:rFonts w:hint="eastAsia" w:eastAsia="仿宋_GB2312"/>
          <w:color w:val="auto"/>
          <w:sz w:val="32"/>
          <w:szCs w:val="32"/>
          <w:highlight w:val="none"/>
        </w:rPr>
        <w:t>承接此项目。</w:t>
      </w:r>
    </w:p>
    <w:p w14:paraId="7B5BDADA">
      <w:pPr>
        <w:rPr>
          <w:rFonts w:eastAsia="仿宋_GB2312"/>
          <w:color w:val="auto"/>
          <w:sz w:val="32"/>
          <w:szCs w:val="32"/>
          <w:highlight w:val="none"/>
        </w:rPr>
      </w:pPr>
    </w:p>
    <w:p w14:paraId="22F921B8">
      <w:pPr>
        <w:rPr>
          <w:rFonts w:eastAsia="仿宋_GB2312"/>
          <w:color w:val="auto"/>
          <w:sz w:val="32"/>
          <w:szCs w:val="32"/>
          <w:highlight w:val="none"/>
        </w:rPr>
      </w:pPr>
    </w:p>
    <w:p w14:paraId="7B25A571">
      <w:pPr>
        <w:rPr>
          <w:rFonts w:eastAsia="仿宋_GB2312"/>
          <w:color w:val="auto"/>
          <w:sz w:val="32"/>
          <w:szCs w:val="32"/>
          <w:highlight w:val="none"/>
        </w:rPr>
      </w:pPr>
    </w:p>
    <w:p w14:paraId="2D25AFCC">
      <w:pPr>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5723A7BD">
      <w:pPr>
        <w:jc w:val="left"/>
        <w:rPr>
          <w:rFonts w:eastAsia="仿宋_GB2312"/>
          <w:color w:val="auto"/>
          <w:sz w:val="32"/>
          <w:szCs w:val="32"/>
          <w:highlight w:val="none"/>
        </w:rPr>
      </w:pPr>
      <w:r>
        <w:rPr>
          <w:rFonts w:hint="eastAsia" w:eastAsia="仿宋_GB2312"/>
          <w:color w:val="auto"/>
          <w:sz w:val="32"/>
          <w:szCs w:val="32"/>
          <w:highlight w:val="none"/>
        </w:rPr>
        <w:t>法定代表人（签名或盖章）：</w:t>
      </w:r>
    </w:p>
    <w:p w14:paraId="61D73A77">
      <w:pPr>
        <w:jc w:val="left"/>
        <w:rPr>
          <w:rFonts w:eastAsia="仿宋_GB2312"/>
          <w:color w:val="auto"/>
          <w:sz w:val="32"/>
          <w:szCs w:val="32"/>
          <w:highlight w:val="none"/>
        </w:rPr>
      </w:pPr>
      <w:r>
        <w:rPr>
          <w:rFonts w:hint="eastAsia" w:eastAsia="仿宋_GB2312"/>
          <w:color w:val="auto"/>
          <w:sz w:val="32"/>
          <w:szCs w:val="32"/>
          <w:highlight w:val="none"/>
        </w:rPr>
        <w:t>联系人：</w:t>
      </w:r>
    </w:p>
    <w:p w14:paraId="4CDC95BF">
      <w:pPr>
        <w:jc w:val="left"/>
        <w:rPr>
          <w:rFonts w:eastAsia="仿宋_GB2312"/>
          <w:color w:val="auto"/>
          <w:sz w:val="32"/>
          <w:szCs w:val="32"/>
          <w:highlight w:val="none"/>
        </w:rPr>
      </w:pPr>
      <w:r>
        <w:rPr>
          <w:rFonts w:hint="eastAsia" w:eastAsia="仿宋_GB2312"/>
          <w:color w:val="auto"/>
          <w:sz w:val="32"/>
          <w:szCs w:val="32"/>
          <w:highlight w:val="none"/>
        </w:rPr>
        <w:t>联系电话：</w:t>
      </w:r>
    </w:p>
    <w:p w14:paraId="417709F5">
      <w:pPr>
        <w:jc w:val="left"/>
        <w:rPr>
          <w:rFonts w:eastAsia="仿宋_GB2312"/>
          <w:color w:val="auto"/>
          <w:sz w:val="32"/>
          <w:szCs w:val="32"/>
          <w:highlight w:val="none"/>
        </w:rPr>
      </w:pPr>
      <w:r>
        <w:rPr>
          <w:rFonts w:hint="eastAsia" w:eastAsia="仿宋_GB2312"/>
          <w:color w:val="auto"/>
          <w:sz w:val="32"/>
          <w:szCs w:val="32"/>
          <w:highlight w:val="none"/>
        </w:rPr>
        <w:t>日期：</w:t>
      </w:r>
    </w:p>
    <w:p w14:paraId="01AE9103">
      <w:pPr>
        <w:jc w:val="center"/>
        <w:rPr>
          <w:rFonts w:eastAsia="仿宋_GB2312"/>
          <w:color w:val="auto"/>
          <w:sz w:val="32"/>
          <w:szCs w:val="32"/>
          <w:highlight w:val="none"/>
        </w:rPr>
      </w:pPr>
    </w:p>
    <w:p w14:paraId="7E1001D4">
      <w:pPr>
        <w:jc w:val="center"/>
        <w:rPr>
          <w:rFonts w:eastAsia="仿宋_GB2312"/>
          <w:color w:val="auto"/>
          <w:sz w:val="32"/>
          <w:szCs w:val="32"/>
          <w:highlight w:val="none"/>
        </w:rPr>
      </w:pPr>
    </w:p>
    <w:p w14:paraId="13739E8B">
      <w:pPr>
        <w:jc w:val="center"/>
        <w:rPr>
          <w:rFonts w:eastAsia="仿宋_GB2312"/>
          <w:color w:val="auto"/>
          <w:sz w:val="32"/>
          <w:szCs w:val="32"/>
          <w:highlight w:val="none"/>
        </w:rPr>
      </w:pPr>
    </w:p>
    <w:p w14:paraId="17061B7F">
      <w:pPr>
        <w:jc w:val="center"/>
        <w:rPr>
          <w:rFonts w:eastAsia="仿宋_GB2312"/>
          <w:color w:val="auto"/>
          <w:sz w:val="32"/>
          <w:szCs w:val="32"/>
          <w:highlight w:val="none"/>
        </w:rPr>
      </w:pPr>
    </w:p>
    <w:p w14:paraId="25DA4BD4">
      <w:pPr>
        <w:pStyle w:val="9"/>
        <w:rPr>
          <w:rFonts w:eastAsia="仿宋_GB2312"/>
          <w:color w:val="auto"/>
          <w:sz w:val="32"/>
          <w:szCs w:val="32"/>
          <w:highlight w:val="none"/>
        </w:rPr>
      </w:pPr>
    </w:p>
    <w:p w14:paraId="51C49D36">
      <w:pPr>
        <w:pStyle w:val="10"/>
        <w:rPr>
          <w:color w:val="auto"/>
          <w:highlight w:val="none"/>
        </w:rPr>
      </w:pPr>
    </w:p>
    <w:p w14:paraId="4145A332">
      <w:pPr>
        <w:jc w:val="center"/>
        <w:rPr>
          <w:rFonts w:eastAsia="仿宋_GB2312"/>
          <w:color w:val="auto"/>
          <w:sz w:val="32"/>
          <w:szCs w:val="32"/>
          <w:highlight w:val="none"/>
        </w:rPr>
      </w:pPr>
    </w:p>
    <w:p w14:paraId="50D80493">
      <w:pPr>
        <w:jc w:val="center"/>
        <w:rPr>
          <w:rFonts w:eastAsia="仿宋_GB2312"/>
          <w:color w:val="auto"/>
          <w:sz w:val="32"/>
          <w:szCs w:val="32"/>
          <w:highlight w:val="none"/>
        </w:rPr>
      </w:pPr>
      <w:r>
        <w:rPr>
          <w:rFonts w:hint="eastAsia" w:eastAsia="华文中宋"/>
          <w:color w:val="auto"/>
          <w:sz w:val="44"/>
          <w:szCs w:val="44"/>
          <w:highlight w:val="none"/>
        </w:rPr>
        <w:t>报价清单</w:t>
      </w:r>
    </w:p>
    <w:tbl>
      <w:tblPr>
        <w:tblStyle w:val="22"/>
        <w:tblW w:w="96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46"/>
        <w:gridCol w:w="1074"/>
        <w:gridCol w:w="2764"/>
        <w:gridCol w:w="1119"/>
        <w:gridCol w:w="778"/>
        <w:gridCol w:w="990"/>
        <w:gridCol w:w="1263"/>
        <w:gridCol w:w="1126"/>
      </w:tblGrid>
      <w:tr w14:paraId="7AD22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1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8F26532">
            <w:pPr>
              <w:keepNext w:val="0"/>
              <w:keepLines w:val="0"/>
              <w:widowControl/>
              <w:suppressLineNumbers w:val="0"/>
              <w:jc w:val="center"/>
              <w:textAlignment w:val="center"/>
              <w:rPr>
                <w:rFonts w:hint="eastAsia" w:ascii="宋体" w:hAnsi="宋体" w:eastAsia="宋体" w:cs="宋体"/>
                <w:b/>
                <w:i w:val="0"/>
                <w:color w:val="auto"/>
                <w:sz w:val="40"/>
                <w:szCs w:val="40"/>
                <w:highlight w:val="none"/>
                <w:u w:val="none"/>
              </w:rPr>
            </w:pPr>
            <w:r>
              <w:rPr>
                <w:rFonts w:hint="eastAsia" w:ascii="宋体" w:hAnsi="宋体" w:eastAsia="宋体" w:cs="宋体"/>
                <w:b/>
                <w:i w:val="0"/>
                <w:color w:val="auto"/>
                <w:kern w:val="0"/>
                <w:sz w:val="40"/>
                <w:szCs w:val="40"/>
                <w:highlight w:val="none"/>
                <w:u w:val="none"/>
                <w:lang w:val="en-US" w:eastAsia="zh-CN" w:bidi="ar"/>
              </w:rPr>
              <w:t>阳江开能环保能源有限公司202</w:t>
            </w:r>
            <w:r>
              <w:rPr>
                <w:rFonts w:hint="eastAsia" w:ascii="宋体" w:hAnsi="宋体" w:cs="宋体"/>
                <w:b/>
                <w:i w:val="0"/>
                <w:color w:val="auto"/>
                <w:kern w:val="0"/>
                <w:sz w:val="40"/>
                <w:szCs w:val="40"/>
                <w:highlight w:val="none"/>
                <w:u w:val="none"/>
                <w:lang w:val="en-US" w:eastAsia="zh-CN" w:bidi="ar"/>
              </w:rPr>
              <w:t>6</w:t>
            </w:r>
            <w:r>
              <w:rPr>
                <w:rFonts w:hint="eastAsia" w:ascii="宋体" w:hAnsi="宋体" w:eastAsia="宋体" w:cs="宋体"/>
                <w:b/>
                <w:i w:val="0"/>
                <w:color w:val="auto"/>
                <w:kern w:val="0"/>
                <w:sz w:val="40"/>
                <w:szCs w:val="40"/>
                <w:highlight w:val="none"/>
                <w:u w:val="none"/>
                <w:lang w:val="en-US" w:eastAsia="zh-CN" w:bidi="ar"/>
              </w:rPr>
              <w:t>年高效消石灰采购项目分项报价表</w:t>
            </w:r>
          </w:p>
        </w:tc>
      </w:tr>
      <w:tr w14:paraId="6493E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2" w:hRule="atLeast"/>
        </w:trPr>
        <w:tc>
          <w:tcPr>
            <w:tcW w:w="546"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54ED2E3A">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序号</w:t>
            </w:r>
          </w:p>
        </w:tc>
        <w:tc>
          <w:tcPr>
            <w:tcW w:w="1074"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01F07D2A">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货物名称</w:t>
            </w:r>
          </w:p>
        </w:tc>
        <w:tc>
          <w:tcPr>
            <w:tcW w:w="27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427EEF">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产品规格相关要求</w:t>
            </w:r>
          </w:p>
        </w:tc>
        <w:tc>
          <w:tcPr>
            <w:tcW w:w="111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55AD21">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单位</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D8A2D1">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计划采购数量</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E07897">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固定综合单价（元）</w:t>
            </w:r>
          </w:p>
        </w:tc>
        <w:tc>
          <w:tcPr>
            <w:tcW w:w="1263"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75A40179">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暂定总价（元）</w:t>
            </w:r>
          </w:p>
        </w:tc>
        <w:tc>
          <w:tcPr>
            <w:tcW w:w="1126"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2CFC7D98">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备注</w:t>
            </w:r>
          </w:p>
        </w:tc>
      </w:tr>
      <w:tr w14:paraId="35BC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77" w:hRule="atLeast"/>
        </w:trPr>
        <w:tc>
          <w:tcPr>
            <w:tcW w:w="54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8F08E6E">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1</w:t>
            </w:r>
          </w:p>
        </w:tc>
        <w:tc>
          <w:tcPr>
            <w:tcW w:w="1074"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401A8A38">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高效消石灰</w:t>
            </w:r>
          </w:p>
        </w:tc>
        <w:tc>
          <w:tcPr>
            <w:tcW w:w="2764"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9E17D5F">
            <w:pPr>
              <w:keepNext w:val="0"/>
              <w:keepLines w:val="0"/>
              <w:widowControl/>
              <w:suppressLineNumbers w:val="0"/>
              <w:jc w:val="left"/>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1、1、Ca(OH) 2纯度 ＞90%；</w:t>
            </w:r>
            <w:r>
              <w:rPr>
                <w:rFonts w:hint="eastAsia" w:ascii="宋体" w:hAnsi="宋体" w:eastAsia="宋体" w:cs="宋体"/>
                <w:i w:val="0"/>
                <w:color w:val="auto"/>
                <w:kern w:val="0"/>
                <w:sz w:val="24"/>
                <w:szCs w:val="24"/>
                <w:highlight w:val="none"/>
                <w:u w:val="none"/>
                <w:lang w:val="en-US" w:eastAsia="zh-CN" w:bidi="ar"/>
              </w:rPr>
              <w:br w:type="textWrapping"/>
            </w:r>
            <w:r>
              <w:rPr>
                <w:rFonts w:hint="eastAsia" w:ascii="宋体" w:hAnsi="宋体" w:eastAsia="宋体" w:cs="宋体"/>
                <w:i w:val="0"/>
                <w:color w:val="auto"/>
                <w:kern w:val="0"/>
                <w:sz w:val="24"/>
                <w:szCs w:val="24"/>
                <w:highlight w:val="none"/>
                <w:u w:val="none"/>
                <w:lang w:val="en-US" w:eastAsia="zh-CN" w:bidi="ar"/>
              </w:rPr>
              <w:t>2、粒度：325目过筛通过率＞85%；</w:t>
            </w:r>
            <w:r>
              <w:rPr>
                <w:rFonts w:hint="eastAsia" w:ascii="宋体" w:hAnsi="宋体" w:eastAsia="宋体" w:cs="宋体"/>
                <w:i w:val="0"/>
                <w:color w:val="auto"/>
                <w:kern w:val="0"/>
                <w:sz w:val="24"/>
                <w:szCs w:val="24"/>
                <w:highlight w:val="none"/>
                <w:u w:val="none"/>
                <w:lang w:val="en-US" w:eastAsia="zh-CN" w:bidi="ar"/>
              </w:rPr>
              <w:br w:type="textWrapping"/>
            </w:r>
            <w:r>
              <w:rPr>
                <w:rFonts w:hint="eastAsia" w:ascii="宋体" w:hAnsi="宋体" w:eastAsia="宋体" w:cs="宋体"/>
                <w:i w:val="0"/>
                <w:color w:val="auto"/>
                <w:kern w:val="0"/>
                <w:sz w:val="24"/>
                <w:szCs w:val="24"/>
                <w:highlight w:val="none"/>
                <w:u w:val="none"/>
                <w:lang w:val="en-US" w:eastAsia="zh-CN" w:bidi="ar"/>
              </w:rPr>
              <w:t>3、比重：0.50-0.65t/m3；</w:t>
            </w:r>
            <w:r>
              <w:rPr>
                <w:rFonts w:hint="eastAsia" w:ascii="宋体" w:hAnsi="宋体" w:eastAsia="宋体" w:cs="宋体"/>
                <w:i w:val="0"/>
                <w:color w:val="auto"/>
                <w:kern w:val="0"/>
                <w:sz w:val="24"/>
                <w:szCs w:val="24"/>
                <w:highlight w:val="none"/>
                <w:u w:val="none"/>
                <w:lang w:val="en-US" w:eastAsia="zh-CN" w:bidi="ar"/>
              </w:rPr>
              <w:br w:type="textWrapping"/>
            </w:r>
            <w:r>
              <w:rPr>
                <w:rFonts w:hint="eastAsia" w:ascii="宋体" w:hAnsi="宋体" w:eastAsia="宋体" w:cs="宋体"/>
                <w:i w:val="0"/>
                <w:color w:val="auto"/>
                <w:kern w:val="0"/>
                <w:sz w:val="24"/>
                <w:szCs w:val="24"/>
                <w:highlight w:val="none"/>
                <w:u w:val="none"/>
                <w:lang w:val="en-US" w:eastAsia="zh-CN" w:bidi="ar"/>
              </w:rPr>
              <w:t>4、比表面积（BET）＞40㎡/g；</w:t>
            </w:r>
          </w:p>
        </w:tc>
        <w:tc>
          <w:tcPr>
            <w:tcW w:w="111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608499">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吨</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427C43">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cs="宋体"/>
                <w:i w:val="0"/>
                <w:color w:val="auto"/>
                <w:kern w:val="0"/>
                <w:sz w:val="24"/>
                <w:szCs w:val="24"/>
                <w:highlight w:val="none"/>
                <w:u w:val="none"/>
                <w:lang w:val="en-US" w:eastAsia="zh-CN" w:bidi="ar"/>
              </w:rPr>
              <w:t>24</w:t>
            </w:r>
            <w:r>
              <w:rPr>
                <w:rFonts w:hint="eastAsia" w:ascii="宋体" w:hAnsi="宋体" w:eastAsia="宋体" w:cs="宋体"/>
                <w:i w:val="0"/>
                <w:color w:val="auto"/>
                <w:kern w:val="0"/>
                <w:sz w:val="24"/>
                <w:szCs w:val="24"/>
                <w:highlight w:val="none"/>
                <w:u w:val="none"/>
                <w:lang w:val="en-US" w:eastAsia="zh-CN" w:bidi="ar"/>
              </w:rPr>
              <w:t>0</w:t>
            </w:r>
          </w:p>
        </w:tc>
        <w:tc>
          <w:tcPr>
            <w:tcW w:w="99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749A6B0E">
            <w:pPr>
              <w:jc w:val="center"/>
              <w:rPr>
                <w:rFonts w:hint="eastAsia" w:ascii="宋体" w:hAnsi="宋体" w:eastAsia="宋体" w:cs="宋体"/>
                <w:i w:val="0"/>
                <w:color w:val="auto"/>
                <w:sz w:val="24"/>
                <w:szCs w:val="24"/>
                <w:highlight w:val="none"/>
                <w:u w:val="none"/>
              </w:rPr>
            </w:pPr>
          </w:p>
        </w:tc>
        <w:tc>
          <w:tcPr>
            <w:tcW w:w="126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7E5BA6C">
            <w:pPr>
              <w:jc w:val="center"/>
              <w:rPr>
                <w:rFonts w:hint="eastAsia" w:ascii="宋体" w:hAnsi="宋体" w:eastAsia="宋体" w:cs="宋体"/>
                <w:i w:val="0"/>
                <w:color w:val="auto"/>
                <w:sz w:val="24"/>
                <w:szCs w:val="24"/>
                <w:highlight w:val="none"/>
                <w:u w:val="none"/>
              </w:rPr>
            </w:pPr>
          </w:p>
        </w:tc>
        <w:tc>
          <w:tcPr>
            <w:tcW w:w="112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4CCAD1D0">
            <w:pPr>
              <w:jc w:val="left"/>
              <w:rPr>
                <w:rFonts w:hint="eastAsia" w:ascii="宋体" w:hAnsi="宋体" w:eastAsia="宋体" w:cs="宋体"/>
                <w:i w:val="0"/>
                <w:color w:val="auto"/>
                <w:sz w:val="24"/>
                <w:szCs w:val="24"/>
                <w:highlight w:val="none"/>
                <w:u w:val="none"/>
              </w:rPr>
            </w:pPr>
          </w:p>
        </w:tc>
      </w:tr>
    </w:tbl>
    <w:p w14:paraId="6B4F5106">
      <w:pPr>
        <w:pStyle w:val="41"/>
        <w:ind w:right="160" w:firstLine="0" w:firstLineChars="0"/>
        <w:jc w:val="left"/>
        <w:rPr>
          <w:rFonts w:hint="eastAsia"/>
          <w:color w:val="auto"/>
          <w:sz w:val="21"/>
          <w:szCs w:val="21"/>
          <w:highlight w:val="none"/>
          <w:lang w:val="en-US" w:eastAsia="zh-CN"/>
        </w:rPr>
      </w:pPr>
      <w:r>
        <w:rPr>
          <w:rFonts w:hint="eastAsia"/>
          <w:color w:val="auto"/>
          <w:sz w:val="21"/>
          <w:szCs w:val="21"/>
          <w:highlight w:val="none"/>
          <w:lang w:val="en-US" w:eastAsia="zh-CN"/>
        </w:rPr>
        <w:t>备注：</w:t>
      </w:r>
    </w:p>
    <w:p w14:paraId="7ED5F7C5">
      <w:pPr>
        <w:pStyle w:val="41"/>
        <w:ind w:right="160" w:firstLine="0" w:firstLineChars="0"/>
        <w:jc w:val="left"/>
        <w:rPr>
          <w:rFonts w:hint="eastAsia"/>
          <w:color w:val="auto"/>
          <w:sz w:val="21"/>
          <w:szCs w:val="21"/>
          <w:highlight w:val="none"/>
          <w:lang w:val="en-US" w:eastAsia="zh-CN"/>
        </w:rPr>
      </w:pPr>
      <w:r>
        <w:rPr>
          <w:rFonts w:hint="eastAsia"/>
          <w:color w:val="auto"/>
          <w:sz w:val="21"/>
          <w:szCs w:val="21"/>
          <w:highlight w:val="none"/>
          <w:lang w:val="en-US" w:eastAsia="zh-CN"/>
        </w:rPr>
        <w:t>1、本项目报价为含税价，即为《中华人民共和国增值税暂行条例》（国务院令第691号修订版）规定的销售额，综合单价已包含</w:t>
      </w:r>
      <w:r>
        <w:rPr>
          <w:rFonts w:hint="eastAsia"/>
          <w:color w:val="auto"/>
          <w:sz w:val="21"/>
          <w:szCs w:val="21"/>
          <w:highlight w:val="none"/>
          <w:u w:val="single"/>
          <w:lang w:val="en-US" w:eastAsia="zh-CN"/>
        </w:rPr>
        <w:t xml:space="preserve">  13  %增</w:t>
      </w:r>
      <w:r>
        <w:rPr>
          <w:rFonts w:hint="eastAsia"/>
          <w:color w:val="auto"/>
          <w:sz w:val="21"/>
          <w:szCs w:val="21"/>
          <w:highlight w:val="none"/>
          <w:lang w:val="en-US" w:eastAsia="zh-CN"/>
        </w:rPr>
        <w:t>值税专用发票。本采购文件所称的含税价是指含本采购项目的投标人销项税额，包含了投标人完成合同义务（包括但不限于货物生产前准备、生产、运输（运输到业主指定交货地点）、燃料费、司机人员工资、转运、保护、装卸、</w:t>
      </w:r>
      <w:r>
        <w:rPr>
          <w:rFonts w:hint="eastAsia"/>
          <w:b/>
          <w:bCs/>
          <w:color w:val="auto"/>
          <w:sz w:val="21"/>
          <w:szCs w:val="21"/>
          <w:highlight w:val="none"/>
          <w:lang w:val="en-US" w:eastAsia="zh-CN"/>
        </w:rPr>
        <w:t>采购人灰库中的飞灰外运及合法处理</w:t>
      </w:r>
      <w:r>
        <w:rPr>
          <w:rFonts w:hint="eastAsia"/>
          <w:color w:val="auto"/>
          <w:sz w:val="21"/>
          <w:szCs w:val="21"/>
          <w:highlight w:val="none"/>
          <w:lang w:val="en-US" w:eastAsia="zh-CN"/>
        </w:rPr>
        <w:t>、保险、相关税费、验收（含出厂及到货验收）、质量抽检、售后及技术服务（包括质保期保障等）等的全部费用。本合同不含税价格不因国家税率变化而变化，在合同履行期间，如遇国家的税率调整，则调整时点后尚未结算部分的价款（价税合计）应根据原不含税价和调整后的税率重新计算。</w:t>
      </w:r>
    </w:p>
    <w:p w14:paraId="753BAF76">
      <w:pPr>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4C557B91">
      <w:pPr>
        <w:jc w:val="left"/>
        <w:rPr>
          <w:rFonts w:eastAsia="仿宋_GB2312"/>
          <w:color w:val="auto"/>
          <w:sz w:val="32"/>
          <w:szCs w:val="32"/>
          <w:highlight w:val="none"/>
        </w:rPr>
      </w:pPr>
      <w:r>
        <w:rPr>
          <w:rFonts w:hint="eastAsia" w:eastAsia="仿宋_GB2312"/>
          <w:color w:val="auto"/>
          <w:sz w:val="32"/>
          <w:szCs w:val="32"/>
          <w:highlight w:val="none"/>
        </w:rPr>
        <w:t>法定代表人（签名或盖章）：</w:t>
      </w:r>
    </w:p>
    <w:p w14:paraId="2ED52496">
      <w:pPr>
        <w:jc w:val="left"/>
        <w:rPr>
          <w:rFonts w:eastAsia="仿宋_GB2312"/>
          <w:color w:val="auto"/>
          <w:sz w:val="32"/>
          <w:szCs w:val="32"/>
          <w:highlight w:val="none"/>
        </w:rPr>
      </w:pPr>
      <w:r>
        <w:rPr>
          <w:rFonts w:hint="eastAsia" w:eastAsia="仿宋_GB2312"/>
          <w:color w:val="auto"/>
          <w:sz w:val="32"/>
          <w:szCs w:val="32"/>
          <w:highlight w:val="none"/>
        </w:rPr>
        <w:t>联系人：</w:t>
      </w:r>
    </w:p>
    <w:p w14:paraId="3DED8D1F">
      <w:pPr>
        <w:jc w:val="left"/>
        <w:rPr>
          <w:rFonts w:eastAsia="仿宋_GB2312"/>
          <w:color w:val="auto"/>
          <w:sz w:val="32"/>
          <w:szCs w:val="32"/>
          <w:highlight w:val="none"/>
        </w:rPr>
      </w:pPr>
      <w:r>
        <w:rPr>
          <w:rFonts w:hint="eastAsia" w:eastAsia="仿宋_GB2312"/>
          <w:color w:val="auto"/>
          <w:sz w:val="32"/>
          <w:szCs w:val="32"/>
          <w:highlight w:val="none"/>
        </w:rPr>
        <w:t>联系电话：</w:t>
      </w:r>
    </w:p>
    <w:p w14:paraId="2636EBE9">
      <w:pPr>
        <w:jc w:val="left"/>
        <w:rPr>
          <w:rFonts w:eastAsia="仿宋_GB2312"/>
          <w:color w:val="auto"/>
          <w:sz w:val="32"/>
          <w:szCs w:val="32"/>
          <w:highlight w:val="none"/>
        </w:rPr>
      </w:pPr>
      <w:r>
        <w:rPr>
          <w:rFonts w:hint="eastAsia" w:eastAsia="仿宋_GB2312"/>
          <w:color w:val="auto"/>
          <w:sz w:val="32"/>
          <w:szCs w:val="32"/>
          <w:highlight w:val="none"/>
        </w:rPr>
        <w:t>日期：</w:t>
      </w:r>
    </w:p>
    <w:p w14:paraId="1C852C3C">
      <w:pPr>
        <w:pStyle w:val="42"/>
        <w:ind w:firstLine="0" w:firstLineChars="0"/>
        <w:jc w:val="left"/>
        <w:outlineLvl w:val="1"/>
        <w:rPr>
          <w:rFonts w:hint="eastAsia" w:eastAsia="黑体"/>
          <w:color w:val="auto"/>
          <w:sz w:val="28"/>
          <w:szCs w:val="44"/>
          <w:highlight w:val="none"/>
        </w:rPr>
      </w:pPr>
    </w:p>
    <w:p w14:paraId="3FE3CA1A">
      <w:pPr>
        <w:pStyle w:val="42"/>
        <w:ind w:firstLine="0" w:firstLineChars="0"/>
        <w:jc w:val="left"/>
        <w:outlineLvl w:val="1"/>
        <w:rPr>
          <w:rFonts w:hint="eastAsia" w:eastAsia="黑体"/>
          <w:color w:val="auto"/>
          <w:sz w:val="28"/>
          <w:szCs w:val="44"/>
          <w:highlight w:val="none"/>
        </w:rPr>
      </w:pPr>
    </w:p>
    <w:p w14:paraId="002CC648">
      <w:pPr>
        <w:pStyle w:val="42"/>
        <w:ind w:firstLine="0" w:firstLineChars="0"/>
        <w:jc w:val="left"/>
        <w:outlineLvl w:val="1"/>
        <w:rPr>
          <w:rFonts w:hint="eastAsia" w:eastAsia="黑体"/>
          <w:color w:val="auto"/>
          <w:sz w:val="28"/>
          <w:szCs w:val="44"/>
          <w:highlight w:val="none"/>
        </w:rPr>
      </w:pPr>
    </w:p>
    <w:p w14:paraId="40CFC0C3">
      <w:pPr>
        <w:pStyle w:val="42"/>
        <w:ind w:firstLine="0" w:firstLineChars="0"/>
        <w:jc w:val="left"/>
        <w:outlineLvl w:val="1"/>
        <w:rPr>
          <w:rFonts w:hint="eastAsia" w:eastAsia="黑体"/>
          <w:color w:val="auto"/>
          <w:sz w:val="28"/>
          <w:szCs w:val="44"/>
          <w:highlight w:val="none"/>
        </w:rPr>
      </w:pPr>
    </w:p>
    <w:p w14:paraId="26897811">
      <w:pPr>
        <w:pStyle w:val="42"/>
        <w:ind w:firstLine="0" w:firstLineChars="0"/>
        <w:jc w:val="left"/>
        <w:outlineLvl w:val="1"/>
        <w:rPr>
          <w:rFonts w:hint="eastAsia" w:eastAsia="黑体"/>
          <w:color w:val="auto"/>
          <w:sz w:val="28"/>
          <w:szCs w:val="44"/>
          <w:highlight w:val="none"/>
        </w:rPr>
      </w:pPr>
    </w:p>
    <w:p w14:paraId="371DD1C1">
      <w:pPr>
        <w:pStyle w:val="42"/>
        <w:ind w:firstLine="0" w:firstLineChars="0"/>
        <w:jc w:val="left"/>
        <w:outlineLvl w:val="1"/>
        <w:rPr>
          <w:rFonts w:hint="eastAsia" w:eastAsia="黑体"/>
          <w:color w:val="auto"/>
          <w:sz w:val="28"/>
          <w:szCs w:val="44"/>
          <w:highlight w:val="none"/>
        </w:rPr>
      </w:pPr>
    </w:p>
    <w:p w14:paraId="7431F598">
      <w:pPr>
        <w:pStyle w:val="42"/>
        <w:ind w:firstLine="0" w:firstLineChars="0"/>
        <w:jc w:val="left"/>
        <w:outlineLvl w:val="1"/>
        <w:rPr>
          <w:rFonts w:hint="eastAsia" w:eastAsia="黑体"/>
          <w:color w:val="auto"/>
          <w:sz w:val="28"/>
          <w:szCs w:val="44"/>
          <w:highlight w:val="none"/>
        </w:rPr>
      </w:pPr>
    </w:p>
    <w:p w14:paraId="6F71647E">
      <w:pPr>
        <w:pStyle w:val="42"/>
        <w:ind w:firstLine="0" w:firstLineChars="0"/>
        <w:jc w:val="left"/>
        <w:outlineLvl w:val="1"/>
        <w:rPr>
          <w:rFonts w:hint="eastAsia" w:eastAsia="黑体"/>
          <w:color w:val="auto"/>
          <w:sz w:val="28"/>
          <w:szCs w:val="44"/>
          <w:highlight w:val="none"/>
        </w:rPr>
      </w:pPr>
    </w:p>
    <w:p w14:paraId="162207A4">
      <w:pPr>
        <w:pStyle w:val="42"/>
        <w:ind w:firstLine="0" w:firstLineChars="0"/>
        <w:jc w:val="left"/>
        <w:outlineLvl w:val="1"/>
        <w:rPr>
          <w:rFonts w:hint="eastAsia" w:eastAsia="黑体"/>
          <w:color w:val="auto"/>
          <w:sz w:val="28"/>
          <w:szCs w:val="44"/>
          <w:highlight w:val="none"/>
        </w:rPr>
      </w:pPr>
    </w:p>
    <w:p w14:paraId="75FE23CB">
      <w:pPr>
        <w:pStyle w:val="42"/>
        <w:ind w:firstLine="0" w:firstLineChars="0"/>
        <w:jc w:val="left"/>
        <w:outlineLvl w:val="1"/>
        <w:rPr>
          <w:rFonts w:hint="eastAsia" w:eastAsia="黑体"/>
          <w:color w:val="auto"/>
          <w:sz w:val="28"/>
          <w:szCs w:val="44"/>
          <w:highlight w:val="none"/>
        </w:rPr>
      </w:pPr>
    </w:p>
    <w:p w14:paraId="44746484">
      <w:pPr>
        <w:pStyle w:val="42"/>
        <w:ind w:firstLine="0" w:firstLineChars="0"/>
        <w:jc w:val="left"/>
        <w:outlineLvl w:val="1"/>
        <w:rPr>
          <w:rFonts w:hint="eastAsia" w:eastAsia="黑体"/>
          <w:color w:val="auto"/>
          <w:sz w:val="28"/>
          <w:szCs w:val="44"/>
          <w:highlight w:val="none"/>
        </w:rPr>
      </w:pPr>
    </w:p>
    <w:p w14:paraId="5F6390AB">
      <w:pPr>
        <w:pStyle w:val="42"/>
        <w:ind w:firstLine="0" w:firstLineChars="0"/>
        <w:jc w:val="left"/>
        <w:outlineLvl w:val="1"/>
        <w:rPr>
          <w:rFonts w:hint="eastAsia" w:eastAsia="黑体"/>
          <w:color w:val="auto"/>
          <w:sz w:val="28"/>
          <w:szCs w:val="44"/>
          <w:highlight w:val="none"/>
        </w:rPr>
      </w:pPr>
    </w:p>
    <w:p w14:paraId="3139EB2D">
      <w:pPr>
        <w:pStyle w:val="42"/>
        <w:ind w:firstLine="0" w:firstLineChars="0"/>
        <w:jc w:val="left"/>
        <w:outlineLvl w:val="1"/>
        <w:rPr>
          <w:rFonts w:hint="eastAsia" w:eastAsia="黑体"/>
          <w:color w:val="auto"/>
          <w:sz w:val="28"/>
          <w:szCs w:val="44"/>
          <w:highlight w:val="none"/>
        </w:rPr>
      </w:pPr>
    </w:p>
    <w:p w14:paraId="73B721C7">
      <w:pPr>
        <w:pStyle w:val="42"/>
        <w:ind w:firstLine="0" w:firstLineChars="0"/>
        <w:jc w:val="left"/>
        <w:outlineLvl w:val="1"/>
        <w:rPr>
          <w:rFonts w:hint="eastAsia" w:eastAsia="黑体"/>
          <w:color w:val="auto"/>
          <w:sz w:val="28"/>
          <w:szCs w:val="44"/>
          <w:highlight w:val="none"/>
        </w:rPr>
      </w:pPr>
    </w:p>
    <w:p w14:paraId="6B1960DE">
      <w:pPr>
        <w:pStyle w:val="42"/>
        <w:ind w:firstLine="0" w:firstLineChars="0"/>
        <w:jc w:val="left"/>
        <w:outlineLvl w:val="1"/>
        <w:rPr>
          <w:rFonts w:hint="eastAsia" w:eastAsia="黑体"/>
          <w:color w:val="auto"/>
          <w:sz w:val="28"/>
          <w:szCs w:val="44"/>
          <w:highlight w:val="none"/>
        </w:rPr>
      </w:pPr>
    </w:p>
    <w:p w14:paraId="23F6C67D">
      <w:pPr>
        <w:pStyle w:val="42"/>
        <w:ind w:firstLine="0" w:firstLineChars="0"/>
        <w:jc w:val="left"/>
        <w:outlineLvl w:val="1"/>
        <w:rPr>
          <w:rFonts w:hint="eastAsia" w:eastAsia="黑体"/>
          <w:color w:val="auto"/>
          <w:sz w:val="28"/>
          <w:szCs w:val="44"/>
          <w:highlight w:val="none"/>
        </w:rPr>
      </w:pPr>
    </w:p>
    <w:p w14:paraId="69970D52">
      <w:pPr>
        <w:pStyle w:val="42"/>
        <w:ind w:firstLine="0" w:firstLineChars="0"/>
        <w:jc w:val="left"/>
        <w:outlineLvl w:val="1"/>
        <w:rPr>
          <w:rFonts w:hint="eastAsia" w:eastAsia="黑体"/>
          <w:color w:val="auto"/>
          <w:sz w:val="28"/>
          <w:szCs w:val="44"/>
          <w:highlight w:val="none"/>
        </w:rPr>
      </w:pPr>
    </w:p>
    <w:p w14:paraId="57FA5C6B">
      <w:pPr>
        <w:pStyle w:val="42"/>
        <w:ind w:firstLine="0" w:firstLineChars="0"/>
        <w:jc w:val="left"/>
        <w:outlineLvl w:val="1"/>
        <w:rPr>
          <w:rFonts w:hint="eastAsia" w:eastAsia="黑体"/>
          <w:color w:val="auto"/>
          <w:sz w:val="28"/>
          <w:szCs w:val="44"/>
          <w:highlight w:val="none"/>
        </w:rPr>
      </w:pPr>
    </w:p>
    <w:p w14:paraId="7CE7973D">
      <w:pPr>
        <w:pStyle w:val="42"/>
        <w:ind w:firstLine="0" w:firstLineChars="0"/>
        <w:jc w:val="left"/>
        <w:outlineLvl w:val="1"/>
        <w:rPr>
          <w:rFonts w:hint="eastAsia" w:eastAsia="黑体"/>
          <w:color w:val="auto"/>
          <w:sz w:val="28"/>
          <w:szCs w:val="44"/>
          <w:highlight w:val="none"/>
        </w:rPr>
      </w:pPr>
    </w:p>
    <w:p w14:paraId="62273B0E">
      <w:pPr>
        <w:pStyle w:val="42"/>
        <w:ind w:firstLine="0" w:firstLineChars="0"/>
        <w:jc w:val="left"/>
        <w:outlineLvl w:val="1"/>
        <w:rPr>
          <w:rFonts w:hint="eastAsia" w:eastAsia="黑体"/>
          <w:color w:val="auto"/>
          <w:sz w:val="28"/>
          <w:szCs w:val="44"/>
          <w:highlight w:val="none"/>
        </w:rPr>
      </w:pPr>
    </w:p>
    <w:p w14:paraId="3BD73363">
      <w:pPr>
        <w:pStyle w:val="42"/>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附件三法人证明</w:t>
      </w:r>
    </w:p>
    <w:p w14:paraId="15F49E07">
      <w:pPr>
        <w:pStyle w:val="42"/>
        <w:ind w:firstLine="0" w:firstLineChars="0"/>
        <w:jc w:val="left"/>
        <w:rPr>
          <w:rFonts w:eastAsia="黑体"/>
          <w:color w:val="auto"/>
          <w:sz w:val="28"/>
          <w:szCs w:val="44"/>
          <w:highlight w:val="none"/>
        </w:rPr>
      </w:pPr>
    </w:p>
    <w:p w14:paraId="2C33807A">
      <w:pPr>
        <w:jc w:val="center"/>
        <w:rPr>
          <w:rFonts w:eastAsia="仿宋_GB2312"/>
          <w:b/>
          <w:bCs/>
          <w:color w:val="auto"/>
          <w:sz w:val="32"/>
          <w:szCs w:val="32"/>
          <w:highlight w:val="none"/>
        </w:rPr>
      </w:pPr>
      <w:r>
        <w:rPr>
          <w:rFonts w:hint="eastAsia" w:eastAsia="仿宋_GB2312"/>
          <w:b/>
          <w:bCs/>
          <w:color w:val="auto"/>
          <w:sz w:val="32"/>
          <w:szCs w:val="32"/>
          <w:highlight w:val="none"/>
        </w:rPr>
        <w:t>法定代表人身份证明书及法定代表人身份证复印件</w:t>
      </w:r>
    </w:p>
    <w:p w14:paraId="6600C605">
      <w:pPr>
        <w:rPr>
          <w:rFonts w:eastAsia="仿宋_GB2312"/>
          <w:color w:val="auto"/>
          <w:sz w:val="32"/>
          <w:szCs w:val="32"/>
          <w:highlight w:val="none"/>
        </w:rPr>
      </w:pPr>
    </w:p>
    <w:p w14:paraId="30CCB98E">
      <w:pPr>
        <w:rPr>
          <w:rFonts w:eastAsia="仿宋_GB2312"/>
          <w:color w:val="auto"/>
          <w:sz w:val="32"/>
          <w:szCs w:val="32"/>
          <w:highlight w:val="none"/>
        </w:rPr>
      </w:pP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阳江开能环保能源有限公司</w:t>
      </w:r>
      <w:r>
        <w:rPr>
          <w:rFonts w:hint="eastAsia" w:eastAsia="仿宋_GB2312"/>
          <w:color w:val="auto"/>
          <w:sz w:val="32"/>
          <w:szCs w:val="32"/>
          <w:highlight w:val="none"/>
        </w:rPr>
        <w:t>：</w:t>
      </w:r>
    </w:p>
    <w:p w14:paraId="69BEA62A">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本证明书声明：注册于（国家名称）的</w:t>
      </w:r>
      <w:r>
        <w:rPr>
          <w:rFonts w:hint="eastAsia" w:ascii="Times New Roman" w:hAnsi="Times New Roman"/>
          <w:color w:val="auto"/>
          <w:sz w:val="32"/>
          <w:szCs w:val="32"/>
          <w:highlight w:val="none"/>
          <w:u w:val="single"/>
        </w:rPr>
        <w:t>　　</w:t>
      </w:r>
      <w:r>
        <w:rPr>
          <w:rFonts w:hint="eastAsia" w:ascii="Times New Roman" w:hAnsi="Times New Roman"/>
          <w:color w:val="auto"/>
          <w:sz w:val="32"/>
          <w:szCs w:val="32"/>
          <w:highlight w:val="none"/>
        </w:rPr>
        <w:t>（响应人名称）在下面签字的</w:t>
      </w:r>
      <w:r>
        <w:rPr>
          <w:rFonts w:hint="eastAsia" w:ascii="Times New Roman" w:hAnsi="Times New Roman"/>
          <w:color w:val="auto"/>
          <w:sz w:val="32"/>
          <w:szCs w:val="32"/>
          <w:highlight w:val="none"/>
          <w:u w:val="single"/>
        </w:rPr>
        <w:t>　　　　　</w:t>
      </w:r>
      <w:r>
        <w:rPr>
          <w:rFonts w:hint="eastAsia" w:ascii="Times New Roman" w:hAnsi="Times New Roman"/>
          <w:color w:val="auto"/>
          <w:sz w:val="32"/>
          <w:szCs w:val="32"/>
          <w:highlight w:val="none"/>
        </w:rPr>
        <w:t>（法定代表人姓名、职务）为本公司的合法代表人（</w:t>
      </w:r>
      <w:r>
        <w:rPr>
          <w:rFonts w:hint="eastAsia" w:ascii="Times New Roman" w:hAnsi="Times New Roman"/>
          <w:b/>
          <w:bCs/>
          <w:color w:val="auto"/>
          <w:sz w:val="32"/>
          <w:szCs w:val="32"/>
          <w:highlight w:val="none"/>
        </w:rPr>
        <w:t>须附法定代表人身份证复印件</w:t>
      </w:r>
      <w:r>
        <w:rPr>
          <w:rFonts w:hint="eastAsia" w:ascii="Times New Roman" w:hAnsi="Times New Roman"/>
          <w:color w:val="auto"/>
          <w:sz w:val="32"/>
          <w:szCs w:val="32"/>
          <w:highlight w:val="none"/>
        </w:rPr>
        <w:t>）。</w:t>
      </w:r>
    </w:p>
    <w:p w14:paraId="613192FF">
      <w:pPr>
        <w:spacing w:line="600" w:lineRule="exact"/>
        <w:ind w:firstLine="480" w:firstLineChars="150"/>
        <w:rPr>
          <w:rFonts w:eastAsia="仿宋_GB2312"/>
          <w:color w:val="auto"/>
          <w:sz w:val="32"/>
          <w:szCs w:val="32"/>
          <w:highlight w:val="none"/>
        </w:rPr>
      </w:pPr>
      <w:r>
        <w:rPr>
          <w:rFonts w:hint="eastAsia" w:eastAsia="仿宋_GB2312"/>
          <w:color w:val="auto"/>
          <w:sz w:val="32"/>
          <w:szCs w:val="32"/>
          <w:highlight w:val="none"/>
        </w:rPr>
        <w:t>特此证明</w:t>
      </w:r>
    </w:p>
    <w:p w14:paraId="306A3A95">
      <w:pPr>
        <w:spacing w:line="600" w:lineRule="exact"/>
        <w:rPr>
          <w:rFonts w:eastAsia="仿宋_GB2312"/>
          <w:color w:val="auto"/>
          <w:sz w:val="32"/>
          <w:szCs w:val="32"/>
          <w:highlight w:val="none"/>
        </w:rPr>
      </w:pPr>
    </w:p>
    <w:p w14:paraId="2E0195D4">
      <w:pPr>
        <w:spacing w:line="600" w:lineRule="exact"/>
        <w:rPr>
          <w:rFonts w:eastAsia="仿宋_GB2312"/>
          <w:color w:val="auto"/>
          <w:sz w:val="32"/>
          <w:szCs w:val="32"/>
          <w:highlight w:val="none"/>
        </w:rPr>
      </w:pPr>
    </w:p>
    <w:p w14:paraId="01E76A9B">
      <w:pPr>
        <w:spacing w:line="600" w:lineRule="exact"/>
        <w:rPr>
          <w:rFonts w:eastAsia="仿宋_GB2312"/>
          <w:color w:val="auto"/>
          <w:sz w:val="32"/>
          <w:szCs w:val="32"/>
          <w:highlight w:val="none"/>
        </w:rPr>
      </w:pPr>
    </w:p>
    <w:p w14:paraId="0D206E79">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6FF8AE76">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响应人地址：</w:t>
      </w:r>
    </w:p>
    <w:p w14:paraId="021BB4F0">
      <w:pPr>
        <w:spacing w:line="600" w:lineRule="exact"/>
        <w:jc w:val="left"/>
        <w:rPr>
          <w:rFonts w:eastAsia="仿宋_GB2312"/>
          <w:color w:val="auto"/>
          <w:sz w:val="32"/>
          <w:szCs w:val="32"/>
          <w:highlight w:val="none"/>
        </w:rPr>
      </w:pPr>
      <w:r>
        <w:rPr>
          <w:rFonts w:hint="eastAsia" w:eastAsia="仿宋_GB2312"/>
          <w:color w:val="auto"/>
          <w:sz w:val="32"/>
          <w:szCs w:val="32"/>
          <w:highlight w:val="none"/>
        </w:rPr>
        <w:t>法定代表人（签名或盖私章）：</w:t>
      </w:r>
    </w:p>
    <w:p w14:paraId="60B08F8A">
      <w:pPr>
        <w:spacing w:line="600" w:lineRule="exact"/>
        <w:jc w:val="left"/>
        <w:rPr>
          <w:rFonts w:eastAsia="仿宋_GB2312"/>
          <w:color w:val="auto"/>
          <w:sz w:val="32"/>
          <w:szCs w:val="32"/>
          <w:highlight w:val="none"/>
        </w:rPr>
      </w:pPr>
      <w:r>
        <w:rPr>
          <w:rFonts w:hint="eastAsia" w:eastAsia="仿宋_GB2312"/>
          <w:color w:val="auto"/>
          <w:sz w:val="32"/>
          <w:szCs w:val="32"/>
          <w:highlight w:val="none"/>
        </w:rPr>
        <w:t>职务：</w:t>
      </w:r>
    </w:p>
    <w:p w14:paraId="2DD984AB">
      <w:pPr>
        <w:rPr>
          <w:rFonts w:eastAsia="仿宋_GB2312"/>
          <w:color w:val="auto"/>
          <w:sz w:val="32"/>
          <w:szCs w:val="32"/>
          <w:highlight w:val="none"/>
        </w:rPr>
      </w:pPr>
    </w:p>
    <w:p w14:paraId="3A3A10EA">
      <w:pPr>
        <w:widowControl/>
        <w:jc w:val="both"/>
        <w:rPr>
          <w:rFonts w:eastAsia="仿宋_GB2312"/>
          <w:color w:val="auto"/>
          <w:sz w:val="32"/>
          <w:szCs w:val="32"/>
          <w:highlight w:val="none"/>
        </w:rPr>
      </w:pPr>
      <w:bookmarkStart w:id="2" w:name="_Toc384752807"/>
    </w:p>
    <w:p w14:paraId="32900E46">
      <w:pPr>
        <w:pStyle w:val="21"/>
        <w:rPr>
          <w:color w:val="auto"/>
          <w:highlight w:val="none"/>
        </w:rPr>
      </w:pPr>
    </w:p>
    <w:p w14:paraId="42BEB5F8">
      <w:pPr>
        <w:pStyle w:val="21"/>
        <w:rPr>
          <w:color w:val="auto"/>
          <w:highlight w:val="none"/>
        </w:rPr>
      </w:pPr>
    </w:p>
    <w:p w14:paraId="21C8B045">
      <w:pPr>
        <w:pStyle w:val="21"/>
        <w:rPr>
          <w:color w:val="auto"/>
          <w:highlight w:val="none"/>
        </w:rPr>
      </w:pPr>
    </w:p>
    <w:p w14:paraId="7495AEF1">
      <w:pPr>
        <w:pStyle w:val="21"/>
        <w:rPr>
          <w:color w:val="auto"/>
          <w:highlight w:val="none"/>
        </w:rPr>
      </w:pPr>
    </w:p>
    <w:p w14:paraId="4945816F">
      <w:pPr>
        <w:pStyle w:val="21"/>
        <w:rPr>
          <w:color w:val="auto"/>
          <w:highlight w:val="none"/>
        </w:rPr>
      </w:pPr>
    </w:p>
    <w:p w14:paraId="1B6D9FF6">
      <w:pPr>
        <w:pStyle w:val="21"/>
        <w:rPr>
          <w:color w:val="auto"/>
          <w:highlight w:val="none"/>
        </w:rPr>
      </w:pPr>
    </w:p>
    <w:p w14:paraId="3C54E169">
      <w:pPr>
        <w:pStyle w:val="21"/>
        <w:rPr>
          <w:color w:val="auto"/>
          <w:highlight w:val="none"/>
        </w:rPr>
      </w:pPr>
    </w:p>
    <w:p w14:paraId="438ECC2A">
      <w:pPr>
        <w:pStyle w:val="21"/>
        <w:rPr>
          <w:color w:val="auto"/>
          <w:highlight w:val="none"/>
        </w:rPr>
      </w:pPr>
    </w:p>
    <w:p w14:paraId="34C4589A">
      <w:pPr>
        <w:pStyle w:val="21"/>
        <w:rPr>
          <w:color w:val="auto"/>
          <w:highlight w:val="none"/>
        </w:rPr>
      </w:pPr>
    </w:p>
    <w:p w14:paraId="33BDC657">
      <w:pPr>
        <w:pStyle w:val="21"/>
        <w:rPr>
          <w:color w:val="auto"/>
          <w:highlight w:val="none"/>
        </w:rPr>
      </w:pPr>
    </w:p>
    <w:p w14:paraId="24AA68D8">
      <w:pPr>
        <w:pStyle w:val="21"/>
        <w:rPr>
          <w:color w:val="auto"/>
          <w:highlight w:val="none"/>
        </w:rPr>
      </w:pPr>
    </w:p>
    <w:p w14:paraId="7A855B3D">
      <w:pPr>
        <w:pStyle w:val="21"/>
        <w:rPr>
          <w:color w:val="auto"/>
          <w:highlight w:val="none"/>
        </w:rPr>
      </w:pPr>
    </w:p>
    <w:p w14:paraId="27767F4A">
      <w:pPr>
        <w:pStyle w:val="21"/>
        <w:ind w:left="0" w:leftChars="0" w:firstLine="0" w:firstLineChars="0"/>
        <w:rPr>
          <w:color w:val="auto"/>
          <w:highlight w:val="none"/>
        </w:rPr>
      </w:pPr>
    </w:p>
    <w:p w14:paraId="002C8843">
      <w:pPr>
        <w:pStyle w:val="42"/>
        <w:ind w:firstLine="0" w:firstLineChars="0"/>
        <w:jc w:val="left"/>
        <w:outlineLvl w:val="1"/>
        <w:rPr>
          <w:rFonts w:eastAsia="仿宋_GB2312"/>
          <w:b/>
          <w:color w:val="auto"/>
          <w:sz w:val="32"/>
          <w:szCs w:val="32"/>
          <w:highlight w:val="none"/>
        </w:rPr>
      </w:pPr>
      <w:bookmarkStart w:id="3" w:name="_Hlk40704362"/>
      <w:r>
        <w:rPr>
          <w:rFonts w:hint="eastAsia" w:eastAsia="黑体"/>
          <w:color w:val="auto"/>
          <w:sz w:val="28"/>
          <w:szCs w:val="44"/>
          <w:highlight w:val="none"/>
        </w:rPr>
        <w:t>附件四法人授权书</w:t>
      </w:r>
    </w:p>
    <w:p w14:paraId="1326D58A">
      <w:pPr>
        <w:widowControl/>
        <w:jc w:val="center"/>
        <w:rPr>
          <w:rFonts w:eastAsia="仿宋_GB2312"/>
          <w:color w:val="auto"/>
          <w:sz w:val="32"/>
          <w:szCs w:val="32"/>
          <w:highlight w:val="none"/>
        </w:rPr>
      </w:pPr>
      <w:r>
        <w:rPr>
          <w:rFonts w:hint="eastAsia" w:eastAsia="仿宋_GB2312"/>
          <w:b/>
          <w:color w:val="auto"/>
          <w:sz w:val="32"/>
          <w:szCs w:val="32"/>
          <w:highlight w:val="none"/>
        </w:rPr>
        <w:t>授权委托书</w:t>
      </w:r>
      <w:bookmarkEnd w:id="2"/>
    </w:p>
    <w:p w14:paraId="75C8491D">
      <w:pPr>
        <w:pStyle w:val="41"/>
        <w:ind w:firstLine="0" w:firstLineChars="0"/>
        <w:rPr>
          <w:rFonts w:ascii="Times New Roman" w:hAnsi="Times New Roman"/>
          <w:color w:val="auto"/>
          <w:sz w:val="32"/>
          <w:szCs w:val="32"/>
          <w:highlight w:val="none"/>
        </w:rPr>
      </w:pPr>
    </w:p>
    <w:p w14:paraId="367B0A8A">
      <w:pPr>
        <w:rPr>
          <w:rFonts w:eastAsia="仿宋_GB2312"/>
          <w:color w:val="auto"/>
          <w:sz w:val="32"/>
          <w:szCs w:val="32"/>
          <w:highlight w:val="none"/>
        </w:rPr>
      </w:pP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阳江开能环保能源有限公司</w:t>
      </w:r>
      <w:r>
        <w:rPr>
          <w:rFonts w:hint="eastAsia" w:eastAsia="仿宋_GB2312"/>
          <w:color w:val="auto"/>
          <w:sz w:val="32"/>
          <w:szCs w:val="32"/>
          <w:highlight w:val="none"/>
        </w:rPr>
        <w:t>：</w:t>
      </w:r>
    </w:p>
    <w:p w14:paraId="28DE42EF">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本委托书声明：在下面签字的</w:t>
      </w:r>
      <w:r>
        <w:rPr>
          <w:rFonts w:hint="eastAsia" w:ascii="Times New Roman" w:hAnsi="Times New Roman"/>
          <w:color w:val="auto"/>
          <w:sz w:val="32"/>
          <w:szCs w:val="32"/>
          <w:highlight w:val="none"/>
          <w:u w:val="single"/>
        </w:rPr>
        <w:t>（填写法定代表人姓名、职务）</w:t>
      </w:r>
      <w:r>
        <w:rPr>
          <w:rFonts w:hint="eastAsia" w:ascii="Times New Roman" w:hAnsi="Times New Roman"/>
          <w:color w:val="auto"/>
          <w:sz w:val="32"/>
          <w:szCs w:val="32"/>
          <w:highlight w:val="none"/>
        </w:rPr>
        <w:t>代表</w:t>
      </w:r>
      <w:r>
        <w:rPr>
          <w:rFonts w:hint="eastAsia" w:ascii="Times New Roman" w:hAnsi="Times New Roman"/>
          <w:color w:val="auto"/>
          <w:sz w:val="32"/>
          <w:szCs w:val="32"/>
          <w:highlight w:val="none"/>
          <w:u w:val="single"/>
        </w:rPr>
        <w:t>（填写响应人名称）</w:t>
      </w:r>
      <w:r>
        <w:rPr>
          <w:rFonts w:hint="eastAsia" w:ascii="Times New Roman" w:hAnsi="Times New Roman"/>
          <w:color w:val="auto"/>
          <w:sz w:val="32"/>
          <w:szCs w:val="32"/>
          <w:highlight w:val="none"/>
        </w:rPr>
        <w:t>委托在下面签字的</w:t>
      </w:r>
      <w:r>
        <w:rPr>
          <w:rFonts w:hint="eastAsia" w:ascii="Times New Roman" w:hAnsi="Times New Roman"/>
          <w:color w:val="auto"/>
          <w:sz w:val="32"/>
          <w:szCs w:val="32"/>
          <w:highlight w:val="none"/>
          <w:u w:val="single"/>
        </w:rPr>
        <w:t>（填写受委托人的姓名、职务）</w:t>
      </w:r>
      <w:r>
        <w:rPr>
          <w:rFonts w:hint="eastAsia" w:ascii="Times New Roman" w:hAnsi="Times New Roman"/>
          <w:color w:val="auto"/>
          <w:sz w:val="32"/>
          <w:szCs w:val="32"/>
          <w:highlight w:val="none"/>
        </w:rPr>
        <w:t>为本公司的合法代表人，就</w:t>
      </w:r>
      <w:r>
        <w:rPr>
          <w:rFonts w:hint="eastAsia" w:eastAsia="仿宋_GB2312"/>
          <w:color w:val="auto"/>
          <w:sz w:val="32"/>
          <w:szCs w:val="32"/>
          <w:highlight w:val="none"/>
          <w:u w:val="single"/>
        </w:rPr>
        <w:t>阳江开能环保能源有限公司202</w:t>
      </w:r>
      <w:r>
        <w:rPr>
          <w:rFonts w:hint="eastAsia"/>
          <w:color w:val="auto"/>
          <w:sz w:val="32"/>
          <w:szCs w:val="32"/>
          <w:highlight w:val="none"/>
          <w:u w:val="single"/>
          <w:lang w:val="en-US" w:eastAsia="zh-CN"/>
        </w:rPr>
        <w:t>6</w:t>
      </w:r>
      <w:r>
        <w:rPr>
          <w:rFonts w:hint="eastAsia" w:eastAsia="仿宋_GB2312"/>
          <w:color w:val="auto"/>
          <w:sz w:val="32"/>
          <w:szCs w:val="32"/>
          <w:highlight w:val="none"/>
          <w:u w:val="single"/>
        </w:rPr>
        <w:t>年高效消石灰采购</w:t>
      </w:r>
      <w:r>
        <w:rPr>
          <w:rFonts w:hint="eastAsia"/>
          <w:color w:val="auto"/>
          <w:sz w:val="32"/>
          <w:szCs w:val="32"/>
          <w:highlight w:val="none"/>
          <w:u w:val="single"/>
        </w:rPr>
        <w:t>项目</w:t>
      </w:r>
      <w:r>
        <w:rPr>
          <w:rFonts w:hint="eastAsia" w:ascii="Times New Roman" w:hAnsi="Times New Roman"/>
          <w:color w:val="auto"/>
          <w:sz w:val="32"/>
          <w:szCs w:val="32"/>
          <w:highlight w:val="none"/>
        </w:rPr>
        <w:t>等相关服务的谈判和合同的执行，以我方的名义处理一切与之有关的事宜（相关身份证复印件须附后）。</w:t>
      </w:r>
    </w:p>
    <w:p w14:paraId="780492E5">
      <w:pPr>
        <w:pStyle w:val="41"/>
        <w:ind w:firstLine="659"/>
        <w:rPr>
          <w:rFonts w:ascii="Times New Roman" w:hAnsi="Times New Roman"/>
          <w:color w:val="auto"/>
          <w:sz w:val="32"/>
          <w:szCs w:val="32"/>
          <w:highlight w:val="none"/>
        </w:rPr>
      </w:pPr>
    </w:p>
    <w:p w14:paraId="64D3A61B">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本委托书于</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年</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月</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日至</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年</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月</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日签字生效，有效期与询价有效期一致，特此声明。</w:t>
      </w:r>
    </w:p>
    <w:p w14:paraId="615BA3AB">
      <w:pPr>
        <w:pStyle w:val="41"/>
        <w:ind w:firstLine="659"/>
        <w:rPr>
          <w:rFonts w:ascii="Times New Roman" w:hAnsi="Times New Roman"/>
          <w:color w:val="auto"/>
          <w:sz w:val="32"/>
          <w:szCs w:val="32"/>
          <w:highlight w:val="none"/>
        </w:rPr>
      </w:pPr>
    </w:p>
    <w:p w14:paraId="4820DA32">
      <w:pPr>
        <w:pStyle w:val="41"/>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6C6EE7A2">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66268124">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6D7BFE12">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6CC3306F">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受委托人（签字或盖章）：</w:t>
      </w:r>
    </w:p>
    <w:p w14:paraId="06762DB4">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61971B4B">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日期：</w:t>
      </w:r>
    </w:p>
    <w:bookmarkEnd w:id="3"/>
    <w:p w14:paraId="154BE781">
      <w:pPr>
        <w:pStyle w:val="42"/>
        <w:ind w:firstLine="0" w:firstLineChars="0"/>
        <w:jc w:val="left"/>
        <w:outlineLvl w:val="1"/>
        <w:rPr>
          <w:rFonts w:eastAsia="黑体"/>
          <w:color w:val="auto"/>
          <w:sz w:val="28"/>
          <w:szCs w:val="44"/>
          <w:highlight w:val="none"/>
        </w:rPr>
      </w:pPr>
      <w:r>
        <w:rPr>
          <w:color w:val="auto"/>
          <w:sz w:val="32"/>
          <w:szCs w:val="32"/>
          <w:highlight w:val="none"/>
        </w:rPr>
        <w:br w:type="page"/>
      </w:r>
      <w:r>
        <w:rPr>
          <w:rFonts w:hint="eastAsia" w:eastAsia="黑体"/>
          <w:color w:val="auto"/>
          <w:sz w:val="28"/>
          <w:szCs w:val="44"/>
          <w:highlight w:val="none"/>
        </w:rPr>
        <w:t>附件五承诺函</w:t>
      </w:r>
    </w:p>
    <w:p w14:paraId="492ED8D3">
      <w:pPr>
        <w:pStyle w:val="42"/>
        <w:ind w:firstLine="0" w:firstLineChars="0"/>
        <w:jc w:val="center"/>
        <w:rPr>
          <w:rFonts w:eastAsia="仿宋_GB2312"/>
          <w:b/>
          <w:color w:val="auto"/>
          <w:sz w:val="32"/>
          <w:szCs w:val="32"/>
          <w:highlight w:val="none"/>
        </w:rPr>
      </w:pPr>
      <w:r>
        <w:rPr>
          <w:rFonts w:hint="eastAsia" w:eastAsia="仿宋_GB2312"/>
          <w:b/>
          <w:color w:val="auto"/>
          <w:sz w:val="32"/>
          <w:szCs w:val="32"/>
          <w:highlight w:val="none"/>
        </w:rPr>
        <w:t>承诺函</w:t>
      </w:r>
    </w:p>
    <w:p w14:paraId="5F84F3FF">
      <w:pPr>
        <w:rPr>
          <w:rFonts w:eastAsia="仿宋_GB2312"/>
          <w:color w:val="auto"/>
          <w:sz w:val="32"/>
          <w:szCs w:val="32"/>
          <w:highlight w:val="none"/>
        </w:rPr>
      </w:pP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阳江开能环保能源有限公司</w:t>
      </w:r>
      <w:r>
        <w:rPr>
          <w:rFonts w:hint="eastAsia" w:eastAsia="仿宋_GB2312"/>
          <w:color w:val="auto"/>
          <w:sz w:val="32"/>
          <w:szCs w:val="32"/>
          <w:highlight w:val="none"/>
        </w:rPr>
        <w:t>：</w:t>
      </w:r>
    </w:p>
    <w:p w14:paraId="4C8C72C8">
      <w:pPr>
        <w:pStyle w:val="41"/>
        <w:ind w:firstLine="640" w:firstLineChars="0"/>
        <w:rPr>
          <w:rFonts w:ascii="Times New Roman" w:hAnsi="Times New Roman"/>
          <w:color w:val="auto"/>
          <w:sz w:val="32"/>
          <w:szCs w:val="32"/>
          <w:highlight w:val="none"/>
        </w:rPr>
      </w:pPr>
      <w:r>
        <w:rPr>
          <w:rFonts w:hint="eastAsia" w:ascii="Times New Roman" w:hAnsi="Times New Roman"/>
          <w:color w:val="auto"/>
          <w:sz w:val="32"/>
          <w:szCs w:val="32"/>
          <w:highlight w:val="none"/>
        </w:rPr>
        <w:t>我司就参加</w:t>
      </w:r>
      <w:r>
        <w:rPr>
          <w:color w:val="auto"/>
          <w:sz w:val="32"/>
          <w:szCs w:val="32"/>
          <w:highlight w:val="none"/>
          <w:u w:val="single"/>
        </w:rPr>
        <w:t xml:space="preserve">   </w:t>
      </w:r>
      <w:r>
        <w:rPr>
          <w:rFonts w:hint="eastAsia"/>
          <w:color w:val="auto"/>
          <w:sz w:val="32"/>
          <w:szCs w:val="32"/>
          <w:highlight w:val="none"/>
          <w:u w:val="single"/>
          <w:lang w:val="en-US" w:eastAsia="zh-CN"/>
        </w:rPr>
        <w:t>阳江开能环保能源有限公司2026年高效消石灰采购</w:t>
      </w:r>
      <w:r>
        <w:rPr>
          <w:rFonts w:hint="eastAsia"/>
          <w:color w:val="auto"/>
          <w:sz w:val="32"/>
          <w:szCs w:val="32"/>
          <w:highlight w:val="none"/>
          <w:u w:val="single"/>
        </w:rPr>
        <w:t>项目</w:t>
      </w:r>
      <w:r>
        <w:rPr>
          <w:rFonts w:hint="eastAsia" w:ascii="Times New Roman" w:hAnsi="Times New Roman"/>
          <w:color w:val="auto"/>
          <w:sz w:val="32"/>
          <w:szCs w:val="32"/>
          <w:highlight w:val="none"/>
        </w:rPr>
        <w:t>投标工作，作出以下承诺：</w:t>
      </w:r>
    </w:p>
    <w:p w14:paraId="3195D7B4">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我公司已充分了解采购项目情况，本次报价完全响应询价文件的要求，我公司所提供的</w:t>
      </w:r>
      <w:r>
        <w:rPr>
          <w:color w:val="auto"/>
          <w:sz w:val="32"/>
          <w:szCs w:val="32"/>
          <w:highlight w:val="none"/>
          <w:u w:val="single"/>
        </w:rPr>
        <w:t xml:space="preserve">  </w:t>
      </w:r>
      <w:r>
        <w:rPr>
          <w:rFonts w:hint="eastAsia"/>
          <w:color w:val="auto"/>
          <w:sz w:val="32"/>
          <w:szCs w:val="32"/>
          <w:highlight w:val="none"/>
          <w:u w:val="single"/>
          <w:lang w:val="en-US" w:eastAsia="zh-CN"/>
        </w:rPr>
        <w:t xml:space="preserve">货物 </w:t>
      </w:r>
      <w:r>
        <w:rPr>
          <w:rFonts w:hint="eastAsia" w:ascii="Times New Roman" w:hAnsi="Times New Roman"/>
          <w:color w:val="auto"/>
          <w:sz w:val="32"/>
          <w:szCs w:val="32"/>
          <w:highlight w:val="none"/>
        </w:rPr>
        <w:t>等于或优于采购人需求，并承诺如不满足采购人需求，采购人有权取消合同并进行违约处罚。</w:t>
      </w:r>
    </w:p>
    <w:p w14:paraId="47330D99">
      <w:pPr>
        <w:pStyle w:val="41"/>
        <w:ind w:firstLine="659"/>
        <w:rPr>
          <w:rFonts w:ascii="Times New Roman" w:hAnsi="Times New Roman"/>
          <w:color w:val="auto"/>
          <w:sz w:val="32"/>
          <w:szCs w:val="32"/>
          <w:highlight w:val="none"/>
        </w:rPr>
      </w:pPr>
    </w:p>
    <w:p w14:paraId="5807D0A6">
      <w:pPr>
        <w:pStyle w:val="41"/>
        <w:ind w:firstLine="0" w:firstLineChars="0"/>
        <w:jc w:val="left"/>
        <w:rPr>
          <w:rFonts w:ascii="Times New Roman" w:hAnsi="Times New Roman"/>
          <w:color w:val="auto"/>
          <w:sz w:val="32"/>
          <w:szCs w:val="32"/>
          <w:highlight w:val="none"/>
        </w:rPr>
      </w:pPr>
    </w:p>
    <w:p w14:paraId="1FF79C69">
      <w:pPr>
        <w:jc w:val="left"/>
        <w:rPr>
          <w:rFonts w:eastAsia="仿宋"/>
          <w:color w:val="auto"/>
          <w:sz w:val="32"/>
          <w:szCs w:val="32"/>
          <w:highlight w:val="none"/>
        </w:rPr>
      </w:pPr>
    </w:p>
    <w:p w14:paraId="766D23D8">
      <w:pPr>
        <w:jc w:val="left"/>
        <w:rPr>
          <w:rFonts w:eastAsia="仿宋"/>
          <w:color w:val="auto"/>
          <w:sz w:val="32"/>
          <w:szCs w:val="32"/>
          <w:highlight w:val="none"/>
        </w:rPr>
      </w:pPr>
    </w:p>
    <w:p w14:paraId="445EA7E7">
      <w:pPr>
        <w:jc w:val="left"/>
        <w:rPr>
          <w:rFonts w:eastAsia="仿宋"/>
          <w:color w:val="auto"/>
          <w:sz w:val="32"/>
          <w:szCs w:val="32"/>
          <w:highlight w:val="none"/>
        </w:rPr>
      </w:pPr>
    </w:p>
    <w:p w14:paraId="17238D06">
      <w:pPr>
        <w:pStyle w:val="41"/>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283B70E6">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601D86A8">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76802BED">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229999DE">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日期：</w:t>
      </w:r>
    </w:p>
    <w:p w14:paraId="38C19339">
      <w:pPr>
        <w:pStyle w:val="41"/>
        <w:ind w:firstLine="0" w:firstLineChars="0"/>
        <w:jc w:val="left"/>
        <w:rPr>
          <w:rFonts w:ascii="Times New Roman" w:hAnsi="Times New Roman"/>
          <w:color w:val="auto"/>
          <w:sz w:val="32"/>
          <w:szCs w:val="32"/>
          <w:highlight w:val="none"/>
        </w:rPr>
      </w:pPr>
    </w:p>
    <w:p w14:paraId="751C140D">
      <w:pPr>
        <w:pStyle w:val="41"/>
        <w:ind w:firstLine="0" w:firstLineChars="0"/>
        <w:jc w:val="left"/>
        <w:rPr>
          <w:rFonts w:ascii="Times New Roman" w:hAnsi="Times New Roman"/>
          <w:color w:val="auto"/>
          <w:sz w:val="32"/>
          <w:szCs w:val="32"/>
          <w:highlight w:val="none"/>
        </w:rPr>
      </w:pPr>
    </w:p>
    <w:p w14:paraId="675AD31C">
      <w:pPr>
        <w:widowControl/>
        <w:jc w:val="left"/>
        <w:rPr>
          <w:rFonts w:eastAsia="黑体"/>
          <w:color w:val="auto"/>
          <w:sz w:val="28"/>
          <w:szCs w:val="44"/>
          <w:highlight w:val="none"/>
        </w:rPr>
      </w:pPr>
    </w:p>
    <w:p w14:paraId="0ECE102C">
      <w:pPr>
        <w:pStyle w:val="2"/>
        <w:rPr>
          <w:rFonts w:eastAsia="黑体"/>
          <w:color w:val="auto"/>
          <w:sz w:val="28"/>
          <w:szCs w:val="44"/>
          <w:highlight w:val="none"/>
        </w:rPr>
      </w:pPr>
    </w:p>
    <w:p w14:paraId="7958766B">
      <w:pPr>
        <w:rPr>
          <w:rFonts w:eastAsia="黑体"/>
          <w:color w:val="auto"/>
          <w:sz w:val="28"/>
          <w:szCs w:val="44"/>
          <w:highlight w:val="none"/>
        </w:rPr>
      </w:pPr>
    </w:p>
    <w:p w14:paraId="23617D58">
      <w:pPr>
        <w:pStyle w:val="2"/>
        <w:rPr>
          <w:color w:val="auto"/>
          <w:highlight w:val="none"/>
        </w:rPr>
      </w:pPr>
    </w:p>
    <w:p w14:paraId="7B59F9E0">
      <w:pPr>
        <w:widowControl/>
        <w:jc w:val="left"/>
        <w:rPr>
          <w:rFonts w:eastAsia="黑体"/>
          <w:color w:val="auto"/>
          <w:sz w:val="28"/>
          <w:szCs w:val="44"/>
          <w:highlight w:val="none"/>
        </w:rPr>
      </w:pPr>
    </w:p>
    <w:p w14:paraId="32C96CCD">
      <w:pPr>
        <w:pStyle w:val="42"/>
        <w:ind w:firstLine="0" w:firstLineChars="0"/>
        <w:jc w:val="left"/>
        <w:outlineLvl w:val="1"/>
        <w:rPr>
          <w:rFonts w:eastAsia="黑体"/>
          <w:color w:val="auto"/>
          <w:sz w:val="28"/>
          <w:szCs w:val="44"/>
          <w:highlight w:val="none"/>
        </w:rPr>
      </w:pPr>
      <w:bookmarkStart w:id="4" w:name="_Hlk40704598"/>
      <w:r>
        <w:rPr>
          <w:rFonts w:hint="eastAsia" w:eastAsia="黑体"/>
          <w:color w:val="auto"/>
          <w:sz w:val="28"/>
          <w:szCs w:val="44"/>
          <w:highlight w:val="none"/>
        </w:rPr>
        <w:t>附件六</w:t>
      </w:r>
      <w:r>
        <w:rPr>
          <w:rFonts w:hint="eastAsia" w:eastAsia="黑体"/>
          <w:color w:val="auto"/>
          <w:sz w:val="28"/>
          <w:szCs w:val="44"/>
          <w:highlight w:val="none"/>
          <w:lang w:val="en-US" w:eastAsia="zh-CN"/>
        </w:rPr>
        <w:t xml:space="preserve"> 技术</w:t>
      </w:r>
      <w:r>
        <w:rPr>
          <w:rFonts w:hint="eastAsia" w:eastAsia="黑体"/>
          <w:color w:val="auto"/>
          <w:sz w:val="28"/>
          <w:szCs w:val="44"/>
          <w:highlight w:val="none"/>
        </w:rPr>
        <w:t>需求书</w:t>
      </w:r>
    </w:p>
    <w:p w14:paraId="0551CA45">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一、采购清单</w:t>
      </w:r>
    </w:p>
    <w:tbl>
      <w:tblPr>
        <w:tblStyle w:val="22"/>
        <w:tblW w:w="8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3"/>
        <w:gridCol w:w="1435"/>
        <w:gridCol w:w="1173"/>
        <w:gridCol w:w="1645"/>
        <w:gridCol w:w="2553"/>
      </w:tblGrid>
      <w:tr w14:paraId="11759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73" w:type="dxa"/>
            <w:tcBorders>
              <w:top w:val="single" w:color="auto" w:sz="4" w:space="0"/>
              <w:left w:val="single" w:color="auto" w:sz="4" w:space="0"/>
              <w:bottom w:val="single" w:color="auto" w:sz="4" w:space="0"/>
              <w:right w:val="single" w:color="auto" w:sz="4" w:space="0"/>
            </w:tcBorders>
            <w:noWrap w:val="0"/>
            <w:vAlign w:val="center"/>
          </w:tcPr>
          <w:p w14:paraId="46A66BD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货物</w:t>
            </w:r>
            <w:r>
              <w:rPr>
                <w:rFonts w:hint="eastAsia" w:ascii="宋体" w:hAnsi="宋体" w:eastAsia="宋体" w:cs="宋体"/>
                <w:b/>
                <w:bCs/>
                <w:color w:val="auto"/>
                <w:sz w:val="21"/>
                <w:szCs w:val="21"/>
                <w:highlight w:val="none"/>
              </w:rPr>
              <w:t>名称</w:t>
            </w:r>
          </w:p>
        </w:tc>
        <w:tc>
          <w:tcPr>
            <w:tcW w:w="1435" w:type="dxa"/>
            <w:tcBorders>
              <w:top w:val="single" w:color="auto" w:sz="4" w:space="0"/>
              <w:left w:val="single" w:color="auto" w:sz="4" w:space="0"/>
              <w:bottom w:val="single" w:color="auto" w:sz="4" w:space="0"/>
              <w:right w:val="single" w:color="auto" w:sz="4" w:space="0"/>
            </w:tcBorders>
            <w:noWrap w:val="0"/>
            <w:vAlign w:val="center"/>
          </w:tcPr>
          <w:p w14:paraId="5D183328">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采购供货量</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56353E40">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计量单位</w:t>
            </w:r>
          </w:p>
        </w:tc>
        <w:tc>
          <w:tcPr>
            <w:tcW w:w="1645" w:type="dxa"/>
            <w:tcBorders>
              <w:top w:val="single" w:color="auto" w:sz="4" w:space="0"/>
              <w:left w:val="single" w:color="auto" w:sz="4" w:space="0"/>
              <w:bottom w:val="single" w:color="auto" w:sz="4" w:space="0"/>
              <w:right w:val="single" w:color="auto" w:sz="4" w:space="0"/>
            </w:tcBorders>
            <w:noWrap w:val="0"/>
            <w:vAlign w:val="center"/>
          </w:tcPr>
          <w:p w14:paraId="4546B192">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用途</w:t>
            </w:r>
          </w:p>
        </w:tc>
        <w:tc>
          <w:tcPr>
            <w:tcW w:w="2553" w:type="dxa"/>
            <w:tcBorders>
              <w:top w:val="single" w:color="auto" w:sz="4" w:space="0"/>
              <w:left w:val="single" w:color="auto" w:sz="4" w:space="0"/>
              <w:bottom w:val="single" w:color="auto" w:sz="4" w:space="0"/>
              <w:right w:val="single" w:color="auto" w:sz="4" w:space="0"/>
            </w:tcBorders>
            <w:noWrap w:val="0"/>
            <w:vAlign w:val="center"/>
          </w:tcPr>
          <w:p w14:paraId="4DD4AD45">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送货要求</w:t>
            </w:r>
          </w:p>
        </w:tc>
      </w:tr>
      <w:tr w14:paraId="6387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1373" w:type="dxa"/>
            <w:tcBorders>
              <w:top w:val="single" w:color="auto" w:sz="4" w:space="0"/>
              <w:left w:val="single" w:color="auto" w:sz="4" w:space="0"/>
              <w:bottom w:val="single" w:color="auto" w:sz="4" w:space="0"/>
              <w:right w:val="single" w:color="auto" w:sz="4" w:space="0"/>
            </w:tcBorders>
            <w:noWrap w:val="0"/>
            <w:vAlign w:val="center"/>
          </w:tcPr>
          <w:p w14:paraId="19AF4B68">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高效消石灰</w:t>
            </w:r>
          </w:p>
        </w:tc>
        <w:tc>
          <w:tcPr>
            <w:tcW w:w="1435" w:type="dxa"/>
            <w:tcBorders>
              <w:top w:val="single" w:color="auto" w:sz="4" w:space="0"/>
              <w:left w:val="single" w:color="auto" w:sz="4" w:space="0"/>
              <w:bottom w:val="single" w:color="auto" w:sz="4" w:space="0"/>
              <w:right w:val="single" w:color="auto" w:sz="4" w:space="0"/>
            </w:tcBorders>
            <w:noWrap w:val="0"/>
            <w:vAlign w:val="center"/>
          </w:tcPr>
          <w:p w14:paraId="1BC3BCE4">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约</w:t>
            </w:r>
            <w:r>
              <w:rPr>
                <w:rFonts w:hint="eastAsia" w:ascii="宋体" w:hAnsi="宋体" w:cs="宋体"/>
                <w:color w:val="auto"/>
                <w:sz w:val="21"/>
                <w:szCs w:val="21"/>
                <w:highlight w:val="none"/>
                <w:lang w:val="en-US" w:eastAsia="zh-CN"/>
              </w:rPr>
              <w:t>240吨</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5F5A834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吨</w:t>
            </w:r>
          </w:p>
        </w:tc>
        <w:tc>
          <w:tcPr>
            <w:tcW w:w="1645" w:type="dxa"/>
            <w:tcBorders>
              <w:top w:val="single" w:color="auto" w:sz="4" w:space="0"/>
              <w:left w:val="single" w:color="auto" w:sz="4" w:space="0"/>
              <w:bottom w:val="single" w:color="auto" w:sz="4" w:space="0"/>
              <w:right w:val="single" w:color="auto" w:sz="4" w:space="0"/>
            </w:tcBorders>
            <w:noWrap w:val="0"/>
            <w:vAlign w:val="center"/>
          </w:tcPr>
          <w:p w14:paraId="3A2A59C0">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烟气</w:t>
            </w:r>
            <w:r>
              <w:rPr>
                <w:rFonts w:hint="eastAsia" w:ascii="宋体" w:hAnsi="宋体" w:cs="宋体"/>
                <w:color w:val="auto"/>
                <w:sz w:val="21"/>
                <w:szCs w:val="21"/>
                <w:highlight w:val="none"/>
                <w:lang w:val="en-US" w:eastAsia="zh-CN"/>
              </w:rPr>
              <w:t>脱硫除尘</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rPr>
              <w:t>使用</w:t>
            </w:r>
          </w:p>
        </w:tc>
        <w:tc>
          <w:tcPr>
            <w:tcW w:w="2553" w:type="dxa"/>
            <w:tcBorders>
              <w:top w:val="single" w:color="auto" w:sz="4" w:space="0"/>
              <w:left w:val="single" w:color="auto" w:sz="4" w:space="0"/>
              <w:bottom w:val="single" w:color="auto" w:sz="4" w:space="0"/>
              <w:right w:val="single" w:color="auto" w:sz="4" w:space="0"/>
            </w:tcBorders>
            <w:noWrap w:val="0"/>
            <w:vAlign w:val="center"/>
          </w:tcPr>
          <w:p w14:paraId="1410116B">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现场有</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个</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储罐</w:t>
            </w:r>
            <w:r>
              <w:rPr>
                <w:rFonts w:hint="eastAsia" w:ascii="宋体" w:hAnsi="宋体" w:cs="宋体"/>
                <w:color w:val="auto"/>
                <w:sz w:val="21"/>
                <w:szCs w:val="21"/>
                <w:highlight w:val="none"/>
                <w:lang w:val="en-US" w:eastAsia="zh-CN"/>
              </w:rPr>
              <w:t>及1个45</w:t>
            </w:r>
            <w:r>
              <w:rPr>
                <w:rFonts w:hint="eastAsia" w:ascii="宋体" w:hAnsi="宋体" w:eastAsia="宋体" w:cs="宋体"/>
                <w:color w:val="auto"/>
                <w:sz w:val="21"/>
                <w:szCs w:val="21"/>
                <w:highlight w:val="none"/>
              </w:rPr>
              <w:t>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储罐；按现场需求分批送货</w:t>
            </w:r>
          </w:p>
        </w:tc>
      </w:tr>
    </w:tbl>
    <w:p w14:paraId="3C9B00DC">
      <w:pPr>
        <w:keepNext w:val="0"/>
        <w:keepLines w:val="0"/>
        <w:pageBreakBefore w:val="0"/>
        <w:widowControl/>
        <w:kinsoku/>
        <w:wordWrap/>
        <w:overflowPunct/>
        <w:topLinePunct w:val="0"/>
        <w:autoSpaceDE/>
        <w:autoSpaceDN/>
        <w:bidi w:val="0"/>
        <w:adjustRightInd w:val="0"/>
        <w:snapToGrid w:val="0"/>
        <w:textAlignment w:val="auto"/>
        <w:rPr>
          <w:rFonts w:hint="eastAsia" w:ascii="宋体" w:hAnsi="宋体" w:eastAsia="宋体" w:cs="宋体"/>
          <w:color w:val="auto"/>
          <w:sz w:val="21"/>
          <w:szCs w:val="21"/>
          <w:highlight w:val="none"/>
        </w:rPr>
      </w:pPr>
    </w:p>
    <w:p w14:paraId="0D5A03AA">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二、技术标准</w:t>
      </w:r>
    </w:p>
    <w:p w14:paraId="66C00701">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高效消石灰</w:t>
      </w:r>
      <w:r>
        <w:rPr>
          <w:rFonts w:hint="eastAsia" w:ascii="宋体" w:hAnsi="宋体" w:eastAsia="宋体" w:cs="宋体"/>
          <w:color w:val="auto"/>
          <w:sz w:val="21"/>
          <w:szCs w:val="21"/>
          <w:highlight w:val="none"/>
        </w:rPr>
        <w:t>技术参数需求：</w:t>
      </w:r>
    </w:p>
    <w:p w14:paraId="62A78B68">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1、Ca(OH)</w:t>
      </w:r>
      <w:r>
        <w:rPr>
          <w:rFonts w:hint="eastAsia" w:ascii="宋体" w:hAnsi="宋体" w:eastAsia="宋体" w:cs="宋体"/>
          <w:color w:val="auto"/>
          <w:sz w:val="21"/>
          <w:szCs w:val="21"/>
          <w:highlight w:val="none"/>
          <w:vertAlign w:val="subscript"/>
        </w:rPr>
        <w:t xml:space="preserve"> 2</w:t>
      </w:r>
      <w:r>
        <w:rPr>
          <w:rFonts w:hint="eastAsia" w:ascii="宋体" w:hAnsi="宋体" w:eastAsia="宋体" w:cs="宋体"/>
          <w:color w:val="auto"/>
          <w:sz w:val="21"/>
          <w:szCs w:val="21"/>
          <w:highlight w:val="none"/>
        </w:rPr>
        <w:t xml:space="preserve">纯度 </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9</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w:t>
      </w:r>
    </w:p>
    <w:p w14:paraId="7DB4E4A0">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2、粒度：325</w:t>
      </w:r>
      <w:r>
        <w:rPr>
          <w:rFonts w:hint="eastAsia" w:ascii="宋体" w:hAnsi="宋体" w:cs="宋体"/>
          <w:color w:val="auto"/>
          <w:sz w:val="21"/>
          <w:szCs w:val="21"/>
          <w:highlight w:val="none"/>
          <w:lang w:eastAsia="zh-CN"/>
        </w:rPr>
        <w:t>目过筛</w:t>
      </w:r>
      <w:r>
        <w:rPr>
          <w:rFonts w:hint="eastAsia" w:ascii="宋体" w:hAnsi="宋体" w:eastAsia="宋体" w:cs="宋体"/>
          <w:color w:val="auto"/>
          <w:sz w:val="21"/>
          <w:szCs w:val="21"/>
          <w:highlight w:val="none"/>
        </w:rPr>
        <w:t>通过率</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5%；</w:t>
      </w:r>
    </w:p>
    <w:p w14:paraId="1FC5F579">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比重</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0.50-0.65t/m³</w:t>
      </w:r>
      <w:r>
        <w:rPr>
          <w:rFonts w:hint="eastAsia" w:ascii="宋体" w:hAnsi="宋体" w:eastAsia="宋体" w:cs="宋体"/>
          <w:color w:val="auto"/>
          <w:sz w:val="21"/>
          <w:szCs w:val="21"/>
          <w:highlight w:val="none"/>
        </w:rPr>
        <w:t>；</w:t>
      </w:r>
    </w:p>
    <w:p w14:paraId="4A41A5CE">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4、比表面积（BET）</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㎡/g</w:t>
      </w:r>
      <w:r>
        <w:rPr>
          <w:rFonts w:hint="eastAsia" w:ascii="宋体" w:hAnsi="宋体" w:eastAsia="宋体" w:cs="宋体"/>
          <w:b/>
          <w:bCs/>
          <w:color w:val="auto"/>
          <w:sz w:val="21"/>
          <w:szCs w:val="21"/>
          <w:highlight w:val="none"/>
        </w:rPr>
        <w:t>；</w:t>
      </w:r>
    </w:p>
    <w:p w14:paraId="5872C0D8">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采购人有权对中标人所供货物进行化验，若化验结果达不到双方合同约定的氢氧化钙含量标准，经供方要求,可协商收货,协商单价按氢氧化钙有效成分计价，即氢氧化钙含量每降低一个百分点，单价则减少50元/吨。但氢氧化钙含量低于8</w:t>
      </w:r>
      <w:r>
        <w:rPr>
          <w:rFonts w:hint="default" w:ascii="宋体" w:hAnsi="宋体" w:cs="宋体"/>
          <w:color w:val="auto"/>
          <w:sz w:val="21"/>
          <w:szCs w:val="21"/>
          <w:highlight w:val="none"/>
          <w:lang w:val="en-US" w:eastAsia="zh-CN"/>
        </w:rPr>
        <w:t>7</w:t>
      </w:r>
      <w:r>
        <w:rPr>
          <w:rFonts w:hint="eastAsia" w:ascii="宋体" w:hAnsi="宋体" w:cs="宋体"/>
          <w:color w:val="auto"/>
          <w:sz w:val="21"/>
          <w:szCs w:val="21"/>
          <w:highlight w:val="none"/>
          <w:lang w:val="en-US" w:eastAsia="zh-CN"/>
        </w:rPr>
        <w:t>%，甲方拒绝收货</w:t>
      </w:r>
      <w:r>
        <w:rPr>
          <w:rFonts w:hint="eastAsia" w:ascii="宋体" w:hAnsi="宋体" w:eastAsia="宋体" w:cs="宋体"/>
          <w:color w:val="auto"/>
          <w:sz w:val="21"/>
          <w:szCs w:val="21"/>
          <w:highlight w:val="none"/>
        </w:rPr>
        <w:t>。</w:t>
      </w:r>
    </w:p>
    <w:p w14:paraId="13D50490">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本项目采购的高效消石灰用于阳江开能环保能源有限公司余热发电及煤气发电项目干法系统，中标人所供货物必须满足现场使用需求，确保现场使用过程中不会出现板结、堵塞等情况，否则，中标人必须在满足以上货物参数的前提下，在采购人要求的期限内对所供货物进行调整至满足现场使用要求</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如货物经中标人调整后一周内仍在现场使用中发生板结、堵塞等情况的，采购人有权单方面终止合同。</w:t>
      </w:r>
    </w:p>
    <w:p w14:paraId="4FA2E1DA">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bookmarkStart w:id="5" w:name="_Toc30422"/>
      <w:r>
        <w:rPr>
          <w:rFonts w:hint="eastAsia" w:ascii="宋体" w:hAnsi="宋体" w:eastAsia="宋体" w:cs="宋体"/>
          <w:b/>
          <w:color w:val="auto"/>
          <w:sz w:val="21"/>
          <w:szCs w:val="21"/>
          <w:highlight w:val="none"/>
        </w:rPr>
        <w:t>三、包装</w:t>
      </w:r>
      <w:r>
        <w:rPr>
          <w:rFonts w:hint="eastAsia" w:ascii="宋体" w:hAnsi="宋体" w:eastAsia="宋体" w:cs="宋体"/>
          <w:b/>
          <w:bCs/>
          <w:color w:val="auto"/>
          <w:sz w:val="21"/>
          <w:szCs w:val="21"/>
          <w:highlight w:val="none"/>
        </w:rPr>
        <w:t>、运输方式</w:t>
      </w:r>
      <w:r>
        <w:rPr>
          <w:rFonts w:hint="eastAsia" w:ascii="宋体" w:hAnsi="宋体" w:eastAsia="宋体" w:cs="宋体"/>
          <w:b/>
          <w:color w:val="auto"/>
          <w:sz w:val="21"/>
          <w:szCs w:val="21"/>
          <w:highlight w:val="none"/>
        </w:rPr>
        <w:t>及费用承担</w:t>
      </w:r>
      <w:bookmarkEnd w:id="5"/>
    </w:p>
    <w:p w14:paraId="5DF33D33">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1、货物的包装：</w:t>
      </w:r>
      <w:r>
        <w:rPr>
          <w:rFonts w:hint="eastAsia" w:ascii="宋体" w:hAnsi="宋体" w:eastAsia="宋体" w:cs="宋体"/>
          <w:color w:val="auto"/>
          <w:sz w:val="21"/>
          <w:szCs w:val="21"/>
          <w:highlight w:val="none"/>
        </w:rPr>
        <w:t>化学品的包装必须满足国家标准《化学品包装及标志》（</w:t>
      </w:r>
      <w:r>
        <w:rPr>
          <w:rFonts w:hint="eastAsia" w:ascii="宋体" w:hAnsi="宋体" w:cs="宋体"/>
          <w:color w:val="auto"/>
          <w:sz w:val="21"/>
          <w:szCs w:val="21"/>
          <w:highlight w:val="none"/>
          <w:lang w:eastAsia="zh-CN"/>
        </w:rPr>
        <w:t>GB15346-2012</w:t>
      </w:r>
      <w:r>
        <w:rPr>
          <w:rFonts w:hint="eastAsia" w:ascii="宋体" w:hAnsi="宋体" w:eastAsia="宋体" w:cs="宋体"/>
          <w:color w:val="auto"/>
          <w:sz w:val="21"/>
          <w:szCs w:val="21"/>
          <w:highlight w:val="none"/>
        </w:rPr>
        <w:t>）。对于瓶装或桶装的化学品，其标识必须包含化学品的名称、分子式、有效成分含量及等级、净重、供货厂家、批号，生产日期、有效期、产品质量符合标准的证明和标准编号等信息。对于运送散装化学品的储槽上必须有标识，必须包含化学品的名称等信息，运送人员同时提供产品质量检验报告。</w:t>
      </w:r>
    </w:p>
    <w:p w14:paraId="35FC984C">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人应根据货物的特点，用符合规格密封良好的槽罐车送至采购人厂区指定的地点，槽罐必须注意防泄漏，车身干净整洁,注意环境保护。槽罐车实际容量可根据采购人实际送货需求调整。按最新交通运输法，载货后整车总质量必须</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49吨。以上由中标人承担运输及装卸等费用，自行卸货。</w:t>
      </w:r>
    </w:p>
    <w:p w14:paraId="433F7E2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rPr>
        <w:t>3、中标人负责将每车次货物运抵采购人指定的厂区地点，货到后中标人需到采购人地磅过磅，并提供该车次产品的签字盖章的出厂化验报告及送货单</w:t>
      </w:r>
      <w:r>
        <w:rPr>
          <w:rFonts w:hint="eastAsia" w:ascii="宋体" w:hAnsi="宋体" w:cs="宋体"/>
          <w:color w:val="auto"/>
          <w:sz w:val="21"/>
          <w:szCs w:val="21"/>
          <w:highlight w:val="none"/>
          <w:lang w:eastAsia="zh-CN"/>
        </w:rPr>
        <w:t>。</w:t>
      </w:r>
    </w:p>
    <w:p w14:paraId="772E21B7">
      <w:pPr>
        <w:pStyle w:val="2"/>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4、中标人完成每批次高效消石灰卸货后。需将采购人灰库中的飞灰免费运走并合法处理，采购人负责将飞灰</w:t>
      </w:r>
      <w:r>
        <w:rPr>
          <w:rFonts w:hint="eastAsia" w:ascii="宋体" w:hAnsi="宋体" w:cs="宋体"/>
          <w:b w:val="0"/>
          <w:color w:val="auto"/>
          <w:kern w:val="0"/>
          <w:sz w:val="21"/>
          <w:szCs w:val="21"/>
          <w:highlight w:val="none"/>
          <w:lang w:val="en-US" w:eastAsia="zh-CN" w:bidi="ar-SA"/>
        </w:rPr>
        <w:t>输送至</w:t>
      </w:r>
      <w:r>
        <w:rPr>
          <w:rFonts w:hint="eastAsia" w:ascii="宋体" w:hAnsi="宋体" w:eastAsia="宋体" w:cs="宋体"/>
          <w:b w:val="0"/>
          <w:color w:val="auto"/>
          <w:kern w:val="0"/>
          <w:sz w:val="21"/>
          <w:szCs w:val="21"/>
          <w:highlight w:val="none"/>
          <w:lang w:val="en-US" w:eastAsia="zh-CN" w:bidi="ar-SA"/>
        </w:rPr>
        <w:t>中标人运输罐车中；</w:t>
      </w:r>
    </w:p>
    <w:p w14:paraId="5EF659A0">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bookmarkStart w:id="6" w:name="_Toc30593"/>
      <w:r>
        <w:rPr>
          <w:rFonts w:hint="eastAsia" w:ascii="宋体" w:hAnsi="宋体" w:eastAsia="宋体" w:cs="宋体"/>
          <w:b/>
          <w:color w:val="auto"/>
          <w:sz w:val="21"/>
          <w:szCs w:val="21"/>
          <w:highlight w:val="none"/>
        </w:rPr>
        <w:t>四、检验标准</w:t>
      </w:r>
      <w:bookmarkEnd w:id="6"/>
    </w:p>
    <w:p w14:paraId="1CC327C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HG/T 4205-2011</w:t>
      </w:r>
    </w:p>
    <w:p w14:paraId="54C1AC0A">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bookmarkStart w:id="7" w:name="_Toc11335"/>
      <w:r>
        <w:rPr>
          <w:rFonts w:hint="eastAsia" w:ascii="宋体" w:hAnsi="宋体" w:eastAsia="宋体" w:cs="宋体"/>
          <w:b/>
          <w:color w:val="auto"/>
          <w:sz w:val="21"/>
          <w:szCs w:val="21"/>
          <w:highlight w:val="none"/>
        </w:rPr>
        <w:t>五、验收及质量要求</w:t>
      </w:r>
      <w:bookmarkEnd w:id="7"/>
    </w:p>
    <w:p w14:paraId="31601AE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1、中标人在送货时，必须提供每一批货物的出厂化验报告及送货单，要求必须签字盖章。无出厂化验报告，禁止入厂。</w:t>
      </w:r>
    </w:p>
    <w:p w14:paraId="0BAE66BF">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2、车次过磅后</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中标人送达产品到采购人指定地点进行抽样取样，每次取样时，供需双方应当共同见证取样，且取样单须经供需双方共同签字签章确认（中标人拒绝派人参加取样或者拒绝签字盖章确认的，不影响采购人取样的效力）。</w:t>
      </w:r>
    </w:p>
    <w:p w14:paraId="74E18D65">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3、不予收货：中标人货物经第三方检测机构</w:t>
      </w:r>
      <w:r>
        <w:rPr>
          <w:rFonts w:hint="eastAsia" w:ascii="宋体" w:hAnsi="宋体" w:cs="宋体"/>
          <w:color w:val="auto"/>
          <w:sz w:val="21"/>
          <w:szCs w:val="21"/>
          <w:highlight w:val="none"/>
          <w:lang w:val="en-US" w:eastAsia="zh-CN"/>
        </w:rPr>
        <w:t>检验</w:t>
      </w:r>
      <w:r>
        <w:rPr>
          <w:rFonts w:hint="eastAsia" w:ascii="宋体" w:hAnsi="宋体" w:eastAsia="宋体" w:cs="宋体"/>
          <w:color w:val="auto"/>
          <w:sz w:val="21"/>
          <w:szCs w:val="21"/>
          <w:highlight w:val="none"/>
        </w:rPr>
        <w:t>确认，Ca(OH)</w:t>
      </w:r>
      <w:r>
        <w:rPr>
          <w:rFonts w:hint="eastAsia" w:ascii="宋体" w:hAnsi="宋体" w:eastAsia="宋体" w:cs="宋体"/>
          <w:color w:val="auto"/>
          <w:sz w:val="21"/>
          <w:szCs w:val="21"/>
          <w:highlight w:val="none"/>
          <w:vertAlign w:val="subscript"/>
        </w:rPr>
        <w:t xml:space="preserve"> 2</w:t>
      </w:r>
      <w:r>
        <w:rPr>
          <w:rFonts w:hint="eastAsia" w:ascii="宋体" w:hAnsi="宋体" w:eastAsia="宋体" w:cs="宋体"/>
          <w:color w:val="auto"/>
          <w:sz w:val="21"/>
          <w:szCs w:val="21"/>
          <w:highlight w:val="none"/>
        </w:rPr>
        <w:t xml:space="preserve">纯度 </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%；粒度：325</w:t>
      </w:r>
      <w:r>
        <w:rPr>
          <w:rFonts w:hint="eastAsia" w:ascii="宋体" w:hAnsi="宋体" w:cs="宋体"/>
          <w:color w:val="auto"/>
          <w:sz w:val="21"/>
          <w:szCs w:val="21"/>
          <w:highlight w:val="none"/>
          <w:lang w:eastAsia="zh-CN"/>
        </w:rPr>
        <w:t>目过筛</w:t>
      </w:r>
      <w:r>
        <w:rPr>
          <w:rFonts w:hint="eastAsia" w:ascii="宋体" w:hAnsi="宋体" w:eastAsia="宋体" w:cs="宋体"/>
          <w:color w:val="auto"/>
          <w:sz w:val="21"/>
          <w:szCs w:val="21"/>
          <w:highlight w:val="none"/>
        </w:rPr>
        <w:t>通过率</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比重</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0.50-0.65t/m³</w:t>
      </w:r>
      <w:r>
        <w:rPr>
          <w:rFonts w:hint="eastAsia" w:ascii="宋体" w:hAnsi="宋体" w:eastAsia="宋体" w:cs="宋体"/>
          <w:color w:val="auto"/>
          <w:sz w:val="21"/>
          <w:szCs w:val="21"/>
          <w:highlight w:val="none"/>
        </w:rPr>
        <w:t>；比表面积（BET）</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㎡/g</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，任意一个要求没有达到则拒绝收货，且确认为本车次产品不合格。</w:t>
      </w:r>
    </w:p>
    <w:p w14:paraId="1AA6A21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4、若化验结果达不到双方合同约定的氢氧化钙含量标准，经中标人要求,可协商收货,协商单价按氢氧化钙有效成分计价，即氢氧化钙含量每降低一个百分点，单价则减少50元/吨。但氢氧化钙含量低于</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%，采购人有权拒绝收货。</w:t>
      </w:r>
    </w:p>
    <w:p w14:paraId="5D6CAF5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snapToGrid w:val="0"/>
          <w:color w:val="auto"/>
          <w:sz w:val="21"/>
          <w:szCs w:val="21"/>
          <w:highlight w:val="none"/>
        </w:rPr>
        <w:t>第三方检测：</w:t>
      </w:r>
    </w:p>
    <w:p w14:paraId="1FAB785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（1）采购人</w:t>
      </w:r>
      <w:r>
        <w:rPr>
          <w:rFonts w:hint="eastAsia" w:ascii="宋体" w:hAnsi="宋体" w:cs="宋体"/>
          <w:snapToGrid w:val="0"/>
          <w:color w:val="auto"/>
          <w:sz w:val="21"/>
          <w:szCs w:val="21"/>
          <w:highlight w:val="none"/>
          <w:lang w:val="en-US" w:eastAsia="zh-CN"/>
        </w:rPr>
        <w:t>有权</w:t>
      </w:r>
      <w:r>
        <w:rPr>
          <w:rFonts w:hint="eastAsia" w:ascii="宋体" w:hAnsi="宋体" w:eastAsia="宋体" w:cs="宋体"/>
          <w:snapToGrid w:val="0"/>
          <w:color w:val="auto"/>
          <w:sz w:val="21"/>
          <w:szCs w:val="21"/>
          <w:highlight w:val="none"/>
        </w:rPr>
        <w:t>每月随机抽检</w:t>
      </w:r>
      <w:r>
        <w:rPr>
          <w:rFonts w:hint="eastAsia" w:ascii="宋体" w:hAnsi="宋体" w:cs="宋体"/>
          <w:snapToGrid w:val="0"/>
          <w:color w:val="auto"/>
          <w:sz w:val="21"/>
          <w:szCs w:val="21"/>
          <w:highlight w:val="none"/>
          <w:lang w:val="en-US" w:eastAsia="zh-CN"/>
        </w:rPr>
        <w:t>1</w:t>
      </w:r>
      <w:r>
        <w:rPr>
          <w:rFonts w:hint="eastAsia" w:ascii="宋体" w:hAnsi="宋体" w:eastAsia="宋体" w:cs="宋体"/>
          <w:snapToGrid w:val="0"/>
          <w:color w:val="auto"/>
          <w:sz w:val="21"/>
          <w:szCs w:val="21"/>
          <w:highlight w:val="none"/>
        </w:rPr>
        <w:t>次样品送第三方检测（检测项目为含量、粒度</w:t>
      </w:r>
      <w:r>
        <w:rPr>
          <w:rFonts w:hint="eastAsia" w:ascii="宋体" w:hAnsi="宋体" w:cs="宋体"/>
          <w:snapToGrid w:val="0"/>
          <w:color w:val="auto"/>
          <w:sz w:val="21"/>
          <w:szCs w:val="21"/>
          <w:highlight w:val="none"/>
          <w:lang w:val="en-US" w:eastAsia="zh-CN"/>
        </w:rPr>
        <w:t>等项目</w:t>
      </w:r>
      <w:r>
        <w:rPr>
          <w:rFonts w:hint="eastAsia" w:ascii="宋体" w:hAnsi="宋体" w:eastAsia="宋体" w:cs="宋体"/>
          <w:snapToGrid w:val="0"/>
          <w:color w:val="auto"/>
          <w:sz w:val="21"/>
          <w:szCs w:val="21"/>
          <w:highlight w:val="none"/>
        </w:rPr>
        <w:t>）：</w:t>
      </w:r>
      <w:r>
        <w:rPr>
          <w:rFonts w:hint="eastAsia" w:ascii="宋体" w:hAnsi="宋体" w:eastAsia="宋体" w:cs="宋体"/>
          <w:color w:val="auto"/>
          <w:sz w:val="21"/>
          <w:szCs w:val="21"/>
          <w:highlight w:val="none"/>
        </w:rPr>
        <w:t>双方明确三家具有省级或以上级别的计量认证资格证书（CMA）的第三方检测机构，由现场使用单位将样品随机送检</w:t>
      </w:r>
      <w:r>
        <w:rPr>
          <w:rFonts w:hint="eastAsia" w:ascii="宋体" w:hAnsi="宋体" w:eastAsia="宋体" w:cs="宋体"/>
          <w:snapToGrid w:val="0"/>
          <w:color w:val="auto"/>
          <w:sz w:val="21"/>
          <w:szCs w:val="21"/>
          <w:highlight w:val="none"/>
        </w:rPr>
        <w:t>，检验费用（含寄送费用、检测费用等）由中标人承担（如中标人拒付时，采购人有权从应付中标人的货款中直接扣除）。如因中标人未按时支付检测费用导致检测报告滞后出结果影响到付款时间，由中标人自行承担延误付款的不利后果，采购人概不负责。</w:t>
      </w:r>
    </w:p>
    <w:p w14:paraId="6EE72CAB">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w:t>
      </w:r>
      <w:r>
        <w:rPr>
          <w:rFonts w:hint="eastAsia" w:ascii="宋体" w:hAnsi="宋体" w:cs="宋体"/>
          <w:snapToGrid w:val="0"/>
          <w:color w:val="auto"/>
          <w:sz w:val="21"/>
          <w:szCs w:val="21"/>
          <w:highlight w:val="none"/>
          <w:lang w:val="en-US" w:eastAsia="zh-CN"/>
        </w:rPr>
        <w:t>2</w:t>
      </w:r>
      <w:r>
        <w:rPr>
          <w:rFonts w:hint="eastAsia" w:ascii="宋体" w:hAnsi="宋体" w:eastAsia="宋体" w:cs="宋体"/>
          <w:snapToGrid w:val="0"/>
          <w:color w:val="auto"/>
          <w:sz w:val="21"/>
          <w:szCs w:val="21"/>
          <w:highlight w:val="none"/>
        </w:rPr>
        <w:t>）检测内容及结果的应用:</w:t>
      </w:r>
    </w:p>
    <w:p w14:paraId="250EC7AD">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①每份检测报告内容包括但不限于：送检样品图片、样品封条（如有）、检验标准等技术需求书中规定的检测内容。</w:t>
      </w:r>
    </w:p>
    <w:p w14:paraId="0FF26C8E">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②复检处理：若某车次货物第1份送检样品的第三方检测报告不合格，如中标人要求复检，</w:t>
      </w:r>
      <w:r>
        <w:rPr>
          <w:rFonts w:hint="eastAsia" w:ascii="宋体" w:hAnsi="宋体" w:eastAsia="宋体" w:cs="宋体"/>
          <w:color w:val="auto"/>
          <w:sz w:val="21"/>
          <w:szCs w:val="21"/>
          <w:highlight w:val="none"/>
        </w:rPr>
        <w:t>则由采购人将该车次2份备样在确定的三家检测单位中指定一家送检，中标人先垫付检测费，最终检测费用由责任方承担（包括送检运费、检测费用等）。</w:t>
      </w:r>
      <w:r>
        <w:rPr>
          <w:rFonts w:hint="eastAsia" w:ascii="宋体" w:hAnsi="宋体" w:eastAsia="宋体" w:cs="宋体"/>
          <w:snapToGrid w:val="0"/>
          <w:color w:val="auto"/>
          <w:sz w:val="21"/>
          <w:szCs w:val="21"/>
          <w:highlight w:val="none"/>
        </w:rPr>
        <w:t xml:space="preserve"> 2份备样检测全部合格则视为该车次货物合格，中标人免于处罚，合格检测报告作为该车次货物的结算依据；若有1份备样检测不合格，则视为该车次货物不合格，不予支付该不合格车次货款。</w:t>
      </w:r>
    </w:p>
    <w:p w14:paraId="1C0AE59B">
      <w:pPr>
        <w:pStyle w:val="64"/>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③第三方检测报告（如有复检，按复检的第三方检测报告）作为货物结算依据。如每车次货物采购人实验室初步检验报告、所有电厂项目中每月二次随机抽检的第三方检测报告及甲方对异议货物要求乙方委托第三方出具的合格检测报告（如有）作为中标人进行结算的附件，若作为最终依据的第三方检测结果不合格，则视为该车次产品不合格。若中标人在货物质量方面不能满足采购人要求，事件发生一次，采购人将出具整改单给中标人，该不合格车次货款不予结算，且中标人须向采购人支付当月货款的2%作为违约金；累计不合格货物车次达三次或三次以上，中标人将被采购人列入严重不诚信行为名单，采购人有权单方面解除本合同，且中标人须向采购人支付合同总价（计划供货量*中标单价）的2%作为违约金，并赔偿采购人由此遭受的一切相关经济损失。采购人有权从履约担保中扣除违约金，履约担保不足支付部分，采购人有权另行向中标人索赔。</w:t>
      </w:r>
    </w:p>
    <w:p w14:paraId="2142BD63">
      <w:pPr>
        <w:rPr>
          <w:color w:val="auto"/>
          <w:highlight w:val="none"/>
        </w:rPr>
      </w:pPr>
      <w:r>
        <w:rPr>
          <w:rFonts w:hint="eastAsia" w:ascii="宋体" w:hAnsi="宋体" w:eastAsia="宋体" w:cs="宋体"/>
          <w:snapToGrid w:val="0"/>
          <w:color w:val="auto"/>
          <w:sz w:val="21"/>
          <w:szCs w:val="21"/>
          <w:highlight w:val="none"/>
        </w:rPr>
        <w:t>6、若采购人在运行生产使用过程中，中标人的产品被采购人上级主管部门检查质量不</w:t>
      </w:r>
      <w:r>
        <w:rPr>
          <w:rFonts w:hint="eastAsia" w:ascii="宋体" w:hAnsi="宋体" w:eastAsia="宋体" w:cs="宋体"/>
          <w:color w:val="auto"/>
          <w:sz w:val="21"/>
          <w:szCs w:val="21"/>
          <w:highlight w:val="none"/>
        </w:rPr>
        <w:t>合格，并对采购人进行做出相关处罚，由此所产生的责任及采购人损失全由中标人承担。</w:t>
      </w:r>
    </w:p>
    <w:p w14:paraId="120D1648">
      <w:pPr>
        <w:spacing w:line="360" w:lineRule="auto"/>
        <w:jc w:val="center"/>
        <w:rPr>
          <w:rFonts w:eastAsia="仿宋_GB2312"/>
          <w:color w:val="auto"/>
          <w:sz w:val="32"/>
          <w:szCs w:val="32"/>
          <w:highlight w:val="none"/>
        </w:rPr>
      </w:pPr>
    </w:p>
    <w:bookmarkEnd w:id="1"/>
    <w:bookmarkEnd w:id="4"/>
    <w:p w14:paraId="79F1399F">
      <w:pPr>
        <w:spacing w:line="360" w:lineRule="auto"/>
        <w:jc w:val="both"/>
        <w:rPr>
          <w:rFonts w:eastAsia="仿宋_GB2312"/>
          <w:color w:val="auto"/>
          <w:sz w:val="32"/>
          <w:szCs w:val="32"/>
          <w:highlight w:val="none"/>
        </w:rPr>
      </w:pPr>
      <w:bookmarkStart w:id="8" w:name="_Toc148265712"/>
      <w:bookmarkEnd w:id="8"/>
    </w:p>
    <w:p w14:paraId="6EA0D7C4">
      <w:pPr>
        <w:pStyle w:val="21"/>
        <w:rPr>
          <w:rFonts w:eastAsia="仿宋_GB2312"/>
          <w:color w:val="auto"/>
          <w:sz w:val="32"/>
          <w:szCs w:val="32"/>
          <w:highlight w:val="none"/>
        </w:rPr>
      </w:pPr>
    </w:p>
    <w:p w14:paraId="72D3DC80">
      <w:pPr>
        <w:pStyle w:val="21"/>
        <w:rPr>
          <w:rFonts w:eastAsia="仿宋_GB2312"/>
          <w:color w:val="auto"/>
          <w:sz w:val="32"/>
          <w:szCs w:val="32"/>
          <w:highlight w:val="none"/>
        </w:rPr>
      </w:pPr>
    </w:p>
    <w:p w14:paraId="5DEAF2C6">
      <w:pPr>
        <w:pStyle w:val="21"/>
        <w:rPr>
          <w:rFonts w:eastAsia="仿宋_GB2312"/>
          <w:color w:val="auto"/>
          <w:sz w:val="32"/>
          <w:szCs w:val="32"/>
          <w:highlight w:val="none"/>
        </w:rPr>
      </w:pPr>
    </w:p>
    <w:p w14:paraId="28341EAE">
      <w:pPr>
        <w:pStyle w:val="21"/>
        <w:rPr>
          <w:rFonts w:eastAsia="仿宋_GB2312"/>
          <w:color w:val="auto"/>
          <w:sz w:val="32"/>
          <w:szCs w:val="32"/>
          <w:highlight w:val="none"/>
        </w:rPr>
      </w:pPr>
    </w:p>
    <w:p w14:paraId="22A0496C">
      <w:pPr>
        <w:pStyle w:val="21"/>
        <w:rPr>
          <w:rFonts w:eastAsia="仿宋_GB2312"/>
          <w:color w:val="auto"/>
          <w:sz w:val="32"/>
          <w:szCs w:val="32"/>
          <w:highlight w:val="none"/>
        </w:rPr>
      </w:pPr>
    </w:p>
    <w:p w14:paraId="51BE33C0">
      <w:pPr>
        <w:pStyle w:val="21"/>
        <w:rPr>
          <w:rFonts w:eastAsia="仿宋_GB2312"/>
          <w:color w:val="auto"/>
          <w:sz w:val="32"/>
          <w:szCs w:val="32"/>
          <w:highlight w:val="none"/>
        </w:rPr>
      </w:pPr>
    </w:p>
    <w:p w14:paraId="7A73D365">
      <w:pPr>
        <w:pStyle w:val="21"/>
        <w:rPr>
          <w:rFonts w:eastAsia="仿宋_GB2312"/>
          <w:color w:val="auto"/>
          <w:sz w:val="32"/>
          <w:szCs w:val="32"/>
          <w:highlight w:val="none"/>
        </w:rPr>
      </w:pPr>
    </w:p>
    <w:p w14:paraId="14C12C20">
      <w:pPr>
        <w:pStyle w:val="41"/>
        <w:wordWrap w:val="0"/>
        <w:ind w:firstLine="0" w:firstLineChars="0"/>
        <w:jc w:val="left"/>
        <w:rPr>
          <w:rFonts w:eastAsia="黑体"/>
          <w:color w:val="auto"/>
          <w:sz w:val="28"/>
          <w:szCs w:val="44"/>
          <w:highlight w:val="none"/>
        </w:rPr>
      </w:pPr>
    </w:p>
    <w:p w14:paraId="5D6A7B8C">
      <w:pPr>
        <w:pStyle w:val="41"/>
        <w:wordWrap w:val="0"/>
        <w:ind w:firstLine="0" w:firstLineChars="0"/>
        <w:jc w:val="left"/>
        <w:rPr>
          <w:rFonts w:eastAsia="黑体"/>
          <w:color w:val="auto"/>
          <w:sz w:val="28"/>
          <w:szCs w:val="44"/>
          <w:highlight w:val="none"/>
        </w:rPr>
      </w:pPr>
    </w:p>
    <w:p w14:paraId="4D67754E">
      <w:pPr>
        <w:pStyle w:val="41"/>
        <w:wordWrap w:val="0"/>
        <w:ind w:firstLine="0" w:firstLineChars="0"/>
        <w:jc w:val="left"/>
        <w:rPr>
          <w:rFonts w:eastAsia="黑体"/>
          <w:color w:val="auto"/>
          <w:sz w:val="28"/>
          <w:szCs w:val="44"/>
          <w:highlight w:val="none"/>
        </w:rPr>
      </w:pPr>
    </w:p>
    <w:p w14:paraId="1A373134">
      <w:pPr>
        <w:pStyle w:val="41"/>
        <w:wordWrap w:val="0"/>
        <w:ind w:firstLine="0" w:firstLineChars="0"/>
        <w:jc w:val="left"/>
        <w:rPr>
          <w:rFonts w:eastAsia="黑体"/>
          <w:color w:val="auto"/>
          <w:sz w:val="28"/>
          <w:szCs w:val="44"/>
          <w:highlight w:val="none"/>
        </w:rPr>
      </w:pPr>
    </w:p>
    <w:p w14:paraId="3E83D4F7">
      <w:pPr>
        <w:pStyle w:val="41"/>
        <w:wordWrap w:val="0"/>
        <w:ind w:firstLine="0" w:firstLineChars="0"/>
        <w:jc w:val="left"/>
        <w:rPr>
          <w:rFonts w:eastAsia="黑体"/>
          <w:color w:val="auto"/>
          <w:sz w:val="28"/>
          <w:szCs w:val="44"/>
          <w:highlight w:val="none"/>
        </w:rPr>
      </w:pPr>
    </w:p>
    <w:p w14:paraId="1BA95705">
      <w:pPr>
        <w:pStyle w:val="41"/>
        <w:wordWrap w:val="0"/>
        <w:ind w:firstLine="0" w:firstLineChars="0"/>
        <w:jc w:val="left"/>
        <w:rPr>
          <w:rFonts w:eastAsia="黑体"/>
          <w:color w:val="auto"/>
          <w:sz w:val="28"/>
          <w:szCs w:val="44"/>
          <w:highlight w:val="none"/>
        </w:rPr>
      </w:pPr>
    </w:p>
    <w:p w14:paraId="41A537CF">
      <w:pPr>
        <w:rPr>
          <w:rFonts w:eastAsia="黑体"/>
          <w:color w:val="auto"/>
          <w:sz w:val="28"/>
          <w:szCs w:val="44"/>
          <w:highlight w:val="none"/>
        </w:rPr>
      </w:pPr>
    </w:p>
    <w:p w14:paraId="796EEF90">
      <w:pPr>
        <w:pStyle w:val="2"/>
        <w:rPr>
          <w:color w:val="auto"/>
          <w:highlight w:val="none"/>
        </w:rPr>
      </w:pPr>
    </w:p>
    <w:p w14:paraId="02A23D02">
      <w:pPr>
        <w:pStyle w:val="41"/>
        <w:wordWrap w:val="0"/>
        <w:ind w:firstLine="0" w:firstLineChars="0"/>
        <w:jc w:val="left"/>
        <w:rPr>
          <w:rFonts w:hint="eastAsia" w:eastAsia="黑体"/>
          <w:color w:val="auto"/>
          <w:sz w:val="28"/>
          <w:szCs w:val="44"/>
          <w:highlight w:val="none"/>
          <w:lang w:eastAsia="zh-CN"/>
        </w:rPr>
      </w:pPr>
      <w:r>
        <w:rPr>
          <w:rFonts w:eastAsia="黑体"/>
          <w:color w:val="auto"/>
          <w:sz w:val="28"/>
          <w:szCs w:val="44"/>
          <w:highlight w:val="none"/>
        </w:rPr>
        <w:t>附件</w:t>
      </w:r>
      <w:r>
        <w:rPr>
          <w:rFonts w:hint="eastAsia" w:eastAsia="黑体"/>
          <w:color w:val="auto"/>
          <w:sz w:val="28"/>
          <w:szCs w:val="44"/>
          <w:highlight w:val="none"/>
          <w:lang w:val="en-US" w:eastAsia="zh-CN"/>
        </w:rPr>
        <w:t xml:space="preserve">七 </w:t>
      </w:r>
      <w:r>
        <w:rPr>
          <w:rFonts w:hint="eastAsia" w:eastAsia="黑体"/>
          <w:color w:val="auto"/>
          <w:sz w:val="28"/>
          <w:szCs w:val="44"/>
          <w:highlight w:val="none"/>
        </w:rPr>
        <w:t>合同模板</w:t>
      </w:r>
    </w:p>
    <w:p w14:paraId="56CAF2DC">
      <w:pPr>
        <w:rPr>
          <w:color w:val="auto"/>
          <w:highlight w:val="none"/>
        </w:rPr>
      </w:pPr>
    </w:p>
    <w:p w14:paraId="5E2DE494">
      <w:pPr>
        <w:spacing w:line="360" w:lineRule="auto"/>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 xml:space="preserve">甲方合同编号： </w:t>
      </w:r>
    </w:p>
    <w:p w14:paraId="045F5A17">
      <w:pPr>
        <w:spacing w:line="360" w:lineRule="auto"/>
        <w:rPr>
          <w:rFonts w:hint="eastAsia" w:ascii="宋体" w:hAnsi="宋体" w:cs="宋体"/>
          <w:color w:val="auto"/>
          <w:spacing w:val="5"/>
          <w:kern w:val="2"/>
          <w:sz w:val="21"/>
          <w:szCs w:val="21"/>
          <w:highlight w:val="none"/>
        </w:rPr>
      </w:pPr>
      <w:r>
        <w:rPr>
          <w:rFonts w:hint="eastAsia" w:ascii="宋体" w:hAnsi="宋体" w:cs="宋体"/>
          <w:color w:val="auto"/>
          <w:kern w:val="2"/>
          <w:sz w:val="21"/>
          <w:szCs w:val="21"/>
          <w:highlight w:val="none"/>
        </w:rPr>
        <w:t>乙方合同编号：</w:t>
      </w:r>
    </w:p>
    <w:p w14:paraId="19FBED64">
      <w:pPr>
        <w:snapToGrid w:val="0"/>
        <w:spacing w:line="360" w:lineRule="auto"/>
        <w:jc w:val="center"/>
        <w:rPr>
          <w:rFonts w:hint="eastAsia" w:ascii="宋体" w:hAnsi="宋体" w:eastAsia="宋体"/>
          <w:bCs/>
          <w:color w:val="auto"/>
          <w:sz w:val="48"/>
          <w:szCs w:val="48"/>
          <w:highlight w:val="none"/>
          <w:lang w:eastAsia="zh-CN"/>
        </w:rPr>
      </w:pPr>
    </w:p>
    <w:p w14:paraId="5ECBE4FF">
      <w:pPr>
        <w:snapToGrid w:val="0"/>
        <w:spacing w:line="360" w:lineRule="auto"/>
        <w:jc w:val="center"/>
        <w:rPr>
          <w:rFonts w:hint="eastAsia" w:ascii="宋体" w:hAnsi="宋体"/>
          <w:bCs/>
          <w:color w:val="auto"/>
          <w:sz w:val="48"/>
          <w:szCs w:val="48"/>
          <w:highlight w:val="none"/>
          <w:lang w:val="en-US" w:eastAsia="zh-CN"/>
        </w:rPr>
      </w:pPr>
      <w:r>
        <w:rPr>
          <w:rFonts w:hint="eastAsia" w:ascii="宋体" w:hAnsi="宋体"/>
          <w:bCs/>
          <w:color w:val="auto"/>
          <w:sz w:val="48"/>
          <w:szCs w:val="48"/>
          <w:highlight w:val="none"/>
          <w:lang w:val="en-US" w:eastAsia="zh-CN"/>
        </w:rPr>
        <w:t>阳江开能环保能源有限公司</w:t>
      </w:r>
    </w:p>
    <w:p w14:paraId="43878C15">
      <w:pPr>
        <w:snapToGrid w:val="0"/>
        <w:spacing w:line="360" w:lineRule="auto"/>
        <w:jc w:val="center"/>
        <w:rPr>
          <w:rFonts w:ascii="宋体" w:hAnsi="宋体"/>
          <w:bCs/>
          <w:color w:val="auto"/>
          <w:sz w:val="48"/>
          <w:szCs w:val="48"/>
          <w:highlight w:val="none"/>
        </w:rPr>
      </w:pPr>
      <w:r>
        <w:rPr>
          <w:rFonts w:hint="eastAsia" w:ascii="宋体" w:hAnsi="宋体"/>
          <w:bCs/>
          <w:color w:val="auto"/>
          <w:sz w:val="48"/>
          <w:szCs w:val="48"/>
          <w:highlight w:val="none"/>
          <w:lang w:val="en-US" w:eastAsia="zh-CN"/>
        </w:rPr>
        <w:t>2026年高效消石灰</w:t>
      </w:r>
      <w:r>
        <w:rPr>
          <w:rFonts w:hint="eastAsia" w:ascii="宋体" w:hAnsi="宋体"/>
          <w:bCs/>
          <w:color w:val="auto"/>
          <w:sz w:val="48"/>
          <w:szCs w:val="48"/>
          <w:highlight w:val="none"/>
        </w:rPr>
        <w:t>采购合同</w:t>
      </w:r>
    </w:p>
    <w:p w14:paraId="12BE4852">
      <w:pPr>
        <w:snapToGrid w:val="0"/>
        <w:spacing w:line="360" w:lineRule="auto"/>
        <w:ind w:firstLine="420" w:firstLineChars="200"/>
        <w:rPr>
          <w:rFonts w:ascii="宋体" w:hAnsi="宋体"/>
          <w:color w:val="auto"/>
          <w:highlight w:val="none"/>
        </w:rPr>
      </w:pPr>
    </w:p>
    <w:p w14:paraId="08A12477">
      <w:pPr>
        <w:snapToGrid w:val="0"/>
        <w:spacing w:line="360" w:lineRule="auto"/>
        <w:ind w:firstLine="420" w:firstLineChars="200"/>
        <w:rPr>
          <w:rFonts w:ascii="宋体" w:hAnsi="宋体"/>
          <w:color w:val="auto"/>
          <w:highlight w:val="none"/>
        </w:rPr>
      </w:pPr>
    </w:p>
    <w:p w14:paraId="1DC7ED01">
      <w:pPr>
        <w:snapToGrid w:val="0"/>
        <w:spacing w:line="360" w:lineRule="auto"/>
        <w:ind w:firstLine="420" w:firstLineChars="200"/>
        <w:rPr>
          <w:rFonts w:ascii="宋体" w:hAnsi="宋体"/>
          <w:color w:val="auto"/>
          <w:highlight w:val="none"/>
        </w:rPr>
      </w:pPr>
    </w:p>
    <w:p w14:paraId="341F2208">
      <w:pPr>
        <w:snapToGrid w:val="0"/>
        <w:spacing w:line="360" w:lineRule="auto"/>
        <w:ind w:firstLine="420" w:firstLineChars="200"/>
        <w:rPr>
          <w:rFonts w:ascii="宋体" w:hAnsi="宋体"/>
          <w:color w:val="auto"/>
          <w:highlight w:val="none"/>
        </w:rPr>
      </w:pPr>
    </w:p>
    <w:p w14:paraId="55A1FB0D">
      <w:pPr>
        <w:snapToGrid w:val="0"/>
        <w:spacing w:line="360" w:lineRule="auto"/>
        <w:ind w:firstLine="420" w:firstLineChars="200"/>
        <w:rPr>
          <w:rFonts w:ascii="宋体" w:hAnsi="宋体"/>
          <w:color w:val="auto"/>
          <w:highlight w:val="none"/>
        </w:rPr>
      </w:pPr>
    </w:p>
    <w:p w14:paraId="2F437459">
      <w:pPr>
        <w:snapToGrid w:val="0"/>
        <w:spacing w:line="360" w:lineRule="auto"/>
        <w:ind w:firstLine="420" w:firstLineChars="200"/>
        <w:rPr>
          <w:rFonts w:ascii="宋体" w:hAnsi="宋体"/>
          <w:color w:val="auto"/>
          <w:highlight w:val="none"/>
        </w:rPr>
      </w:pPr>
    </w:p>
    <w:p w14:paraId="15BAAA7E">
      <w:pPr>
        <w:rPr>
          <w:rFonts w:hint="eastAsia"/>
          <w:color w:val="auto"/>
          <w:highlight w:val="none"/>
        </w:rPr>
      </w:pPr>
    </w:p>
    <w:p w14:paraId="39168861">
      <w:pPr>
        <w:snapToGrid w:val="0"/>
        <w:spacing w:line="360" w:lineRule="auto"/>
        <w:ind w:firstLine="420" w:firstLineChars="200"/>
        <w:rPr>
          <w:rFonts w:ascii="宋体" w:hAnsi="宋体"/>
          <w:color w:val="auto"/>
          <w:highlight w:val="none"/>
        </w:rPr>
      </w:pPr>
    </w:p>
    <w:p w14:paraId="68593F56">
      <w:pPr>
        <w:snapToGrid w:val="0"/>
        <w:spacing w:line="360" w:lineRule="auto"/>
        <w:ind w:firstLine="420" w:firstLineChars="200"/>
        <w:rPr>
          <w:rFonts w:hint="eastAsia" w:ascii="宋体" w:hAnsi="宋体"/>
          <w:color w:val="auto"/>
          <w:highlight w:val="none"/>
        </w:rPr>
      </w:pPr>
    </w:p>
    <w:p w14:paraId="29BA1BF1">
      <w:pPr>
        <w:snapToGrid w:val="0"/>
        <w:spacing w:line="360" w:lineRule="auto"/>
        <w:rPr>
          <w:rFonts w:ascii="宋体" w:hAnsi="宋体"/>
          <w:color w:val="auto"/>
          <w:highlight w:val="none"/>
        </w:rPr>
      </w:pPr>
    </w:p>
    <w:p w14:paraId="7CF6F86A">
      <w:pPr>
        <w:snapToGrid w:val="0"/>
        <w:spacing w:line="360" w:lineRule="auto"/>
        <w:ind w:firstLine="640" w:firstLineChars="200"/>
        <w:rPr>
          <w:rFonts w:hint="eastAsia" w:ascii="宋体" w:hAnsi="宋体" w:eastAsia="宋体"/>
          <w:color w:val="auto"/>
          <w:sz w:val="32"/>
          <w:szCs w:val="32"/>
          <w:highlight w:val="none"/>
          <w:u w:val="single"/>
          <w:lang w:val="en-US" w:eastAsia="zh-CN"/>
        </w:rPr>
      </w:pPr>
      <w:r>
        <w:rPr>
          <w:rFonts w:ascii="宋体" w:hAnsi="宋体"/>
          <w:color w:val="auto"/>
          <w:sz w:val="32"/>
          <w:szCs w:val="32"/>
          <w:highlight w:val="none"/>
        </w:rPr>
        <w:t>甲方：</w:t>
      </w:r>
      <w:r>
        <w:rPr>
          <w:rFonts w:hint="eastAsia" w:ascii="宋体" w:hAnsi="宋体"/>
          <w:color w:val="auto"/>
          <w:sz w:val="32"/>
          <w:szCs w:val="32"/>
          <w:highlight w:val="none"/>
          <w:lang w:eastAsia="zh-CN"/>
        </w:rPr>
        <w:t>阳江开能环保能源有限公司</w:t>
      </w:r>
    </w:p>
    <w:p w14:paraId="5300199B">
      <w:pPr>
        <w:snapToGrid w:val="0"/>
        <w:spacing w:line="360" w:lineRule="auto"/>
        <w:ind w:firstLine="640" w:firstLineChars="200"/>
        <w:rPr>
          <w:rFonts w:ascii="宋体" w:hAnsi="宋体"/>
          <w:b/>
          <w:color w:val="auto"/>
          <w:sz w:val="32"/>
          <w:szCs w:val="32"/>
          <w:highlight w:val="none"/>
        </w:rPr>
      </w:pPr>
      <w:r>
        <w:rPr>
          <w:rFonts w:ascii="宋体" w:hAnsi="宋体"/>
          <w:color w:val="auto"/>
          <w:sz w:val="32"/>
          <w:szCs w:val="32"/>
          <w:highlight w:val="none"/>
        </w:rPr>
        <w:t>乙方：</w:t>
      </w:r>
    </w:p>
    <w:p w14:paraId="602EE292">
      <w:pPr>
        <w:snapToGrid w:val="0"/>
        <w:spacing w:line="360" w:lineRule="auto"/>
        <w:ind w:firstLine="640" w:firstLineChars="200"/>
        <w:rPr>
          <w:rFonts w:ascii="宋体" w:hAnsi="宋体"/>
          <w:color w:val="auto"/>
          <w:sz w:val="32"/>
          <w:szCs w:val="32"/>
          <w:highlight w:val="none"/>
          <w:u w:val="single"/>
        </w:rPr>
      </w:pPr>
    </w:p>
    <w:p w14:paraId="338A1FDF">
      <w:pPr>
        <w:snapToGrid w:val="0"/>
        <w:spacing w:line="360" w:lineRule="auto"/>
        <w:ind w:firstLine="640" w:firstLineChars="200"/>
        <w:rPr>
          <w:rFonts w:ascii="宋体" w:hAnsi="宋体"/>
          <w:color w:val="auto"/>
          <w:sz w:val="32"/>
          <w:szCs w:val="32"/>
          <w:highlight w:val="none"/>
          <w:u w:val="single"/>
        </w:rPr>
      </w:pPr>
    </w:p>
    <w:p w14:paraId="797723CE">
      <w:pPr>
        <w:spacing w:line="360" w:lineRule="auto"/>
        <w:jc w:val="center"/>
        <w:rPr>
          <w:rFonts w:ascii="宋体" w:hAnsi="宋体"/>
          <w:b/>
          <w:color w:val="auto"/>
          <w:szCs w:val="21"/>
          <w:highlight w:val="none"/>
          <w:u w:val="single"/>
        </w:rPr>
        <w:sectPr>
          <w:footerReference r:id="rId9" w:type="first"/>
          <w:headerReference r:id="rId5" w:type="default"/>
          <w:footerReference r:id="rId7" w:type="default"/>
          <w:headerReference r:id="rId6" w:type="even"/>
          <w:footerReference r:id="rId8" w:type="even"/>
          <w:pgSz w:w="11907" w:h="16840"/>
          <w:pgMar w:top="1440" w:right="1077" w:bottom="1440" w:left="1077" w:header="851" w:footer="1021" w:gutter="454"/>
          <w:cols w:space="720" w:num="1"/>
          <w:titlePg/>
          <w:docGrid w:linePitch="326" w:charSpace="0"/>
        </w:sectPr>
      </w:pPr>
      <w:r>
        <w:rPr>
          <w:rFonts w:hint="eastAsia" w:ascii="宋体" w:hAnsi="宋体"/>
          <w:color w:val="auto"/>
          <w:sz w:val="32"/>
          <w:szCs w:val="32"/>
          <w:highlight w:val="none"/>
          <w:lang w:val="en-US" w:eastAsia="zh-CN"/>
        </w:rPr>
        <w:t>2026</w:t>
      </w:r>
      <w:r>
        <w:rPr>
          <w:rFonts w:ascii="宋体" w:hAnsi="宋体"/>
          <w:color w:val="auto"/>
          <w:sz w:val="32"/>
          <w:szCs w:val="32"/>
          <w:highlight w:val="none"/>
        </w:rPr>
        <w:t>年 月</w:t>
      </w:r>
    </w:p>
    <w:p w14:paraId="40D7CA7A">
      <w:pPr>
        <w:tabs>
          <w:tab w:val="right" w:pos="8306"/>
        </w:tabs>
        <w:spacing w:line="360" w:lineRule="auto"/>
        <w:rPr>
          <w:rFonts w:hint="eastAsia" w:ascii="宋体" w:hAnsi="宋体" w:cs="宋体"/>
          <w:snapToGrid w:val="0"/>
          <w:color w:val="auto"/>
          <w:sz w:val="21"/>
          <w:szCs w:val="21"/>
          <w:highlight w:val="none"/>
        </w:rPr>
      </w:pPr>
    </w:p>
    <w:p w14:paraId="1B56D525">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本合同双方根据《中华人民共和国民法典》、《中华人民共和国产品质量法》等有关法律、法规规定，经充分协商，现就甲方向乙方采购相关货物事宜达成以下协议：</w:t>
      </w:r>
    </w:p>
    <w:p w14:paraId="57B6B385">
      <w:pPr>
        <w:spacing w:line="360" w:lineRule="auto"/>
        <w:ind w:firstLine="420" w:firstLineChars="200"/>
        <w:rPr>
          <w:rFonts w:hint="eastAsia" w:ascii="宋体" w:hAnsi="宋体" w:cs="宋体"/>
          <w:color w:val="auto"/>
          <w:sz w:val="21"/>
          <w:szCs w:val="21"/>
          <w:highlight w:val="none"/>
        </w:rPr>
      </w:pPr>
    </w:p>
    <w:p w14:paraId="0A7649E3">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第一条  采购货物清单及合同价款</w:t>
      </w:r>
    </w:p>
    <w:tbl>
      <w:tblPr>
        <w:tblStyle w:val="22"/>
        <w:tblW w:w="52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382"/>
        <w:gridCol w:w="695"/>
        <w:gridCol w:w="1177"/>
        <w:gridCol w:w="1214"/>
        <w:gridCol w:w="1248"/>
        <w:gridCol w:w="1301"/>
        <w:gridCol w:w="2059"/>
      </w:tblGrid>
      <w:tr w14:paraId="3BD0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282" w:type="pct"/>
            <w:noWrap w:val="0"/>
            <w:vAlign w:val="center"/>
          </w:tcPr>
          <w:p w14:paraId="7112D580">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718" w:type="pct"/>
            <w:noWrap w:val="0"/>
            <w:vAlign w:val="center"/>
          </w:tcPr>
          <w:p w14:paraId="6857BB07">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货物名称</w:t>
            </w:r>
          </w:p>
        </w:tc>
        <w:tc>
          <w:tcPr>
            <w:tcW w:w="361" w:type="pct"/>
            <w:noWrap w:val="0"/>
            <w:vAlign w:val="center"/>
          </w:tcPr>
          <w:p w14:paraId="528A2B13">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单位</w:t>
            </w:r>
          </w:p>
        </w:tc>
        <w:tc>
          <w:tcPr>
            <w:tcW w:w="611" w:type="pct"/>
            <w:noWrap w:val="0"/>
            <w:vAlign w:val="center"/>
          </w:tcPr>
          <w:p w14:paraId="3C79D37B">
            <w:pPr>
              <w:spacing w:line="360" w:lineRule="auto"/>
              <w:jc w:val="center"/>
              <w:rPr>
                <w:rFonts w:hint="eastAsia" w:ascii="宋体" w:hAnsi="宋体" w:cs="宋体"/>
                <w:b/>
                <w:color w:val="auto"/>
                <w:szCs w:val="21"/>
                <w:highlight w:val="none"/>
              </w:rPr>
            </w:pPr>
            <w:r>
              <w:rPr>
                <w:rFonts w:hint="eastAsia" w:hAnsi="宋体"/>
                <w:b/>
                <w:color w:val="auto"/>
                <w:szCs w:val="21"/>
                <w:highlight w:val="none"/>
              </w:rPr>
              <w:t>计划采购供货量</w:t>
            </w:r>
          </w:p>
        </w:tc>
        <w:tc>
          <w:tcPr>
            <w:tcW w:w="631" w:type="pct"/>
            <w:noWrap w:val="0"/>
            <w:vAlign w:val="center"/>
          </w:tcPr>
          <w:p w14:paraId="4CDB51BD">
            <w:pPr>
              <w:spacing w:line="360" w:lineRule="auto"/>
              <w:jc w:val="center"/>
              <w:rPr>
                <w:rFonts w:hint="eastAsia" w:hAnsi="宋体"/>
                <w:b/>
                <w:color w:val="auto"/>
                <w:szCs w:val="21"/>
                <w:highlight w:val="none"/>
              </w:rPr>
            </w:pPr>
            <w:r>
              <w:rPr>
                <w:rFonts w:hint="eastAsia" w:hAnsi="宋体"/>
                <w:b/>
                <w:color w:val="auto"/>
                <w:szCs w:val="21"/>
                <w:highlight w:val="none"/>
              </w:rPr>
              <w:t>综合单价</w:t>
            </w:r>
          </w:p>
          <w:p w14:paraId="78C8874E">
            <w:pPr>
              <w:spacing w:line="360" w:lineRule="auto"/>
              <w:jc w:val="center"/>
              <w:rPr>
                <w:rFonts w:hint="eastAsia" w:ascii="宋体" w:hAnsi="宋体" w:cs="宋体"/>
                <w:b/>
                <w:color w:val="auto"/>
                <w:szCs w:val="21"/>
                <w:highlight w:val="none"/>
              </w:rPr>
            </w:pPr>
            <w:r>
              <w:rPr>
                <w:rFonts w:hint="eastAsia" w:hAnsi="宋体"/>
                <w:b/>
                <w:color w:val="auto"/>
                <w:szCs w:val="21"/>
                <w:highlight w:val="none"/>
              </w:rPr>
              <w:t>（元/吨）</w:t>
            </w:r>
          </w:p>
        </w:tc>
        <w:tc>
          <w:tcPr>
            <w:tcW w:w="648" w:type="pct"/>
            <w:noWrap w:val="0"/>
            <w:vAlign w:val="center"/>
          </w:tcPr>
          <w:p w14:paraId="4060B751">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暂定总价</w:t>
            </w:r>
          </w:p>
          <w:p w14:paraId="4506A914">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（含税）</w:t>
            </w:r>
          </w:p>
        </w:tc>
        <w:tc>
          <w:tcPr>
            <w:tcW w:w="676" w:type="pct"/>
            <w:noWrap w:val="0"/>
            <w:vAlign w:val="center"/>
          </w:tcPr>
          <w:p w14:paraId="1EBB1638">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暂定总价</w:t>
            </w:r>
          </w:p>
          <w:p w14:paraId="55972F9A">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不</w:t>
            </w:r>
            <w:r>
              <w:rPr>
                <w:rFonts w:hint="eastAsia" w:ascii="宋体" w:hAnsi="宋体" w:cs="宋体"/>
                <w:b/>
                <w:color w:val="auto"/>
                <w:szCs w:val="21"/>
                <w:highlight w:val="none"/>
              </w:rPr>
              <w:t>含税）</w:t>
            </w:r>
          </w:p>
        </w:tc>
        <w:tc>
          <w:tcPr>
            <w:tcW w:w="1070" w:type="pct"/>
            <w:noWrap w:val="0"/>
            <w:vAlign w:val="center"/>
          </w:tcPr>
          <w:p w14:paraId="72D5F3E9">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备注</w:t>
            </w:r>
          </w:p>
        </w:tc>
      </w:tr>
      <w:tr w14:paraId="2CC4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282" w:type="pct"/>
            <w:noWrap w:val="0"/>
            <w:vAlign w:val="center"/>
          </w:tcPr>
          <w:p w14:paraId="370D682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718" w:type="pct"/>
            <w:noWrap w:val="0"/>
            <w:vAlign w:val="center"/>
          </w:tcPr>
          <w:p w14:paraId="33760934">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高效消石灰</w:t>
            </w:r>
          </w:p>
        </w:tc>
        <w:tc>
          <w:tcPr>
            <w:tcW w:w="361" w:type="pct"/>
            <w:noWrap w:val="0"/>
            <w:vAlign w:val="center"/>
          </w:tcPr>
          <w:p w14:paraId="42AC126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吨</w:t>
            </w:r>
          </w:p>
        </w:tc>
        <w:tc>
          <w:tcPr>
            <w:tcW w:w="611" w:type="pct"/>
            <w:noWrap w:val="0"/>
            <w:vAlign w:val="center"/>
          </w:tcPr>
          <w:p w14:paraId="29E96BBC">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240</w:t>
            </w:r>
          </w:p>
        </w:tc>
        <w:tc>
          <w:tcPr>
            <w:tcW w:w="631" w:type="pct"/>
            <w:noWrap w:val="0"/>
            <w:vAlign w:val="center"/>
          </w:tcPr>
          <w:p w14:paraId="5BD11AA2">
            <w:pPr>
              <w:spacing w:line="360" w:lineRule="auto"/>
              <w:jc w:val="center"/>
              <w:rPr>
                <w:rFonts w:hint="default" w:ascii="宋体" w:hAnsi="宋体" w:eastAsia="宋体" w:cs="宋体"/>
                <w:color w:val="auto"/>
                <w:szCs w:val="21"/>
                <w:highlight w:val="none"/>
                <w:lang w:val="en-US" w:eastAsia="zh-CN"/>
              </w:rPr>
            </w:pPr>
          </w:p>
        </w:tc>
        <w:tc>
          <w:tcPr>
            <w:tcW w:w="648" w:type="pct"/>
            <w:noWrap w:val="0"/>
            <w:vAlign w:val="center"/>
          </w:tcPr>
          <w:p w14:paraId="00FF993A">
            <w:pPr>
              <w:spacing w:line="360" w:lineRule="auto"/>
              <w:jc w:val="center"/>
              <w:rPr>
                <w:rFonts w:hint="default" w:ascii="宋体" w:hAnsi="宋体" w:eastAsia="宋体" w:cs="宋体"/>
                <w:color w:val="auto"/>
                <w:szCs w:val="21"/>
                <w:highlight w:val="none"/>
                <w:lang w:val="en-US" w:eastAsia="zh-CN"/>
              </w:rPr>
            </w:pPr>
          </w:p>
        </w:tc>
        <w:tc>
          <w:tcPr>
            <w:tcW w:w="676" w:type="pct"/>
            <w:noWrap w:val="0"/>
            <w:vAlign w:val="center"/>
          </w:tcPr>
          <w:p w14:paraId="2C7567CF">
            <w:pPr>
              <w:spacing w:line="360" w:lineRule="auto"/>
              <w:jc w:val="center"/>
              <w:rPr>
                <w:rFonts w:hint="default" w:ascii="宋体" w:hAnsi="宋体" w:eastAsia="宋体" w:cs="宋体"/>
                <w:color w:val="auto"/>
                <w:szCs w:val="21"/>
                <w:highlight w:val="none"/>
                <w:lang w:val="en-US" w:eastAsia="zh-CN"/>
              </w:rPr>
            </w:pPr>
          </w:p>
        </w:tc>
        <w:tc>
          <w:tcPr>
            <w:tcW w:w="1070" w:type="pct"/>
            <w:noWrap w:val="0"/>
            <w:vAlign w:val="center"/>
          </w:tcPr>
          <w:p w14:paraId="1764FB3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eastAsia="zh-CN"/>
              </w:rPr>
              <w:t>提供</w:t>
            </w:r>
            <w:r>
              <w:rPr>
                <w:rFonts w:hint="eastAsia" w:ascii="宋体" w:hAnsi="宋体" w:cs="宋体"/>
                <w:color w:val="auto"/>
                <w:szCs w:val="21"/>
                <w:highlight w:val="none"/>
              </w:rPr>
              <w:t>出厂化验报告及送货单</w:t>
            </w:r>
          </w:p>
        </w:tc>
      </w:tr>
      <w:tr w14:paraId="5011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5" w:hRule="atLeast"/>
          <w:jc w:val="center"/>
        </w:trPr>
        <w:tc>
          <w:tcPr>
            <w:tcW w:w="5000" w:type="pct"/>
            <w:gridSpan w:val="8"/>
            <w:noWrap w:val="0"/>
            <w:vAlign w:val="top"/>
          </w:tcPr>
          <w:p w14:paraId="6D61FF6C">
            <w:pPr>
              <w:spacing w:line="360" w:lineRule="auto"/>
              <w:rPr>
                <w:rFonts w:hint="eastAsia" w:eastAsia="宋体"/>
                <w:color w:val="auto"/>
                <w:highlight w:val="none"/>
              </w:rPr>
            </w:pPr>
            <w:r>
              <w:rPr>
                <w:rFonts w:hint="eastAsia"/>
                <w:color w:val="auto"/>
                <w:highlight w:val="none"/>
              </w:rPr>
              <w:t xml:space="preserve">注：1.综合单价已包含  </w:t>
            </w:r>
            <w:r>
              <w:rPr>
                <w:rFonts w:hint="eastAsia"/>
                <w:color w:val="auto"/>
                <w:highlight w:val="none"/>
                <w:lang w:val="en-US" w:eastAsia="zh-CN"/>
              </w:rPr>
              <w:t xml:space="preserve">13 </w:t>
            </w:r>
            <w:r>
              <w:rPr>
                <w:rFonts w:hint="eastAsia"/>
                <w:color w:val="auto"/>
                <w:highlight w:val="none"/>
              </w:rPr>
              <w:t>% 增值税专用发票。综合单价包括但不限于货物生产前准备、生产、运输（运输到</w:t>
            </w:r>
            <w:r>
              <w:rPr>
                <w:rFonts w:hint="eastAsia"/>
                <w:color w:val="auto"/>
                <w:highlight w:val="none"/>
                <w:lang w:val="en-US" w:eastAsia="zh-CN"/>
              </w:rPr>
              <w:t>甲方</w:t>
            </w:r>
            <w:r>
              <w:rPr>
                <w:rFonts w:hint="eastAsia"/>
                <w:color w:val="auto"/>
                <w:highlight w:val="none"/>
              </w:rPr>
              <w:t>指定交货地点）、燃料费、司机人员工资、转运、保护、装卸、保险、相关税费、验收（含出厂及到货验收）、质量抽检、售后及技术服务（包括质保期保障等）等的全部费用。本合同不含税价格不因国家税率变化而变化，在合同履行期间，如遇国家的税率调整，则调整时点后尚未结算部分的价款（价税合计）应根据原不含税价和调整后的税率重新计算，相应发票</w:t>
            </w:r>
            <w:r>
              <w:rPr>
                <w:rFonts w:hint="eastAsia" w:eastAsia="宋体"/>
                <w:color w:val="auto"/>
                <w:highlight w:val="none"/>
              </w:rPr>
              <w:t xml:space="preserve">按调整后价格开具。 </w:t>
            </w:r>
          </w:p>
          <w:p w14:paraId="4BAD4617">
            <w:pPr>
              <w:spacing w:line="360" w:lineRule="auto"/>
              <w:rPr>
                <w:rFonts w:hint="eastAsia" w:eastAsia="宋体"/>
                <w:color w:val="auto"/>
                <w:highlight w:val="none"/>
              </w:rPr>
            </w:pPr>
            <w:r>
              <w:rPr>
                <w:rFonts w:hint="eastAsia" w:eastAsia="宋体"/>
                <w:color w:val="auto"/>
                <w:highlight w:val="none"/>
                <w:lang w:val="en-US" w:eastAsia="zh-CN"/>
              </w:rPr>
              <w:t>2、</w:t>
            </w:r>
            <w:r>
              <w:rPr>
                <w:rFonts w:hint="eastAsia" w:eastAsia="宋体"/>
                <w:color w:val="auto"/>
                <w:highlight w:val="none"/>
              </w:rPr>
              <w:t>此价格包括合同货物及相关的技术服务等费用，还包括合同货物的税费、所有货物包装费、运输费、装卸费、保险费等与本合同中乙方应承担的所有义务和所有工作的有关费用。</w:t>
            </w:r>
          </w:p>
          <w:p w14:paraId="44C94AA2">
            <w:pPr>
              <w:spacing w:line="360" w:lineRule="auto"/>
              <w:rPr>
                <w:rFonts w:hint="default"/>
                <w:color w:val="auto"/>
                <w:highlight w:val="none"/>
                <w:lang w:val="en-US"/>
              </w:rPr>
            </w:pPr>
            <w:r>
              <w:rPr>
                <w:rFonts w:hint="eastAsia" w:eastAsia="宋体"/>
                <w:color w:val="auto"/>
                <w:highlight w:val="none"/>
                <w:lang w:val="en-US" w:eastAsia="zh-CN"/>
              </w:rPr>
              <w:t>3.上述数量为乙方计划供应数量。实际采购数量以甲方实际需求为准。具体每批送货数量以甲方通知为准。</w:t>
            </w:r>
          </w:p>
        </w:tc>
      </w:tr>
    </w:tbl>
    <w:p w14:paraId="1E3469C3">
      <w:pPr>
        <w:spacing w:line="360" w:lineRule="auto"/>
        <w:ind w:firstLine="420" w:firstLineChars="200"/>
        <w:rPr>
          <w:rFonts w:hint="eastAsia" w:ascii="宋体" w:hAnsi="宋体" w:cs="宋体"/>
          <w:b/>
          <w:bCs/>
          <w:color w:val="auto"/>
          <w:sz w:val="21"/>
          <w:szCs w:val="21"/>
          <w:highlight w:val="none"/>
        </w:rPr>
      </w:pPr>
    </w:p>
    <w:p w14:paraId="33F341A4">
      <w:pPr>
        <w:spacing w:line="360" w:lineRule="auto"/>
        <w:ind w:firstLine="420"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第二条  质量标准及考核：货物的质量标准和性能应当同时满足下列要求：</w:t>
      </w:r>
    </w:p>
    <w:p w14:paraId="4807A205">
      <w:pPr>
        <w:tabs>
          <w:tab w:val="left" w:pos="7920"/>
        </w:tabs>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高效消石灰</w:t>
      </w:r>
      <w:r>
        <w:rPr>
          <w:rFonts w:hint="eastAsia" w:ascii="宋体" w:hAnsi="宋体" w:eastAsia="宋体" w:cs="宋体"/>
          <w:color w:val="auto"/>
          <w:sz w:val="21"/>
          <w:szCs w:val="21"/>
          <w:highlight w:val="none"/>
        </w:rPr>
        <w:t>技术参数需求：</w:t>
      </w:r>
    </w:p>
    <w:p w14:paraId="7CAED5FA">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Ca(OH)</w:t>
      </w:r>
      <w:r>
        <w:rPr>
          <w:rFonts w:hint="eastAsia" w:ascii="宋体" w:hAnsi="宋体" w:eastAsia="宋体" w:cs="宋体"/>
          <w:color w:val="auto"/>
          <w:sz w:val="21"/>
          <w:szCs w:val="21"/>
          <w:highlight w:val="none"/>
          <w:vertAlign w:val="subscript"/>
        </w:rPr>
        <w:t xml:space="preserve"> 2</w:t>
      </w:r>
      <w:r>
        <w:rPr>
          <w:rFonts w:hint="eastAsia" w:ascii="宋体" w:hAnsi="宋体" w:eastAsia="宋体" w:cs="宋体"/>
          <w:color w:val="auto"/>
          <w:sz w:val="21"/>
          <w:szCs w:val="21"/>
          <w:highlight w:val="none"/>
        </w:rPr>
        <w:t xml:space="preserve">纯度 </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9</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w:t>
      </w:r>
    </w:p>
    <w:p w14:paraId="1380D8ED">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粒度：325目筛通过率</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5%；</w:t>
      </w:r>
    </w:p>
    <w:p w14:paraId="5170450F">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比重</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0.50-0.65t/m³</w:t>
      </w:r>
      <w:r>
        <w:rPr>
          <w:rFonts w:hint="eastAsia" w:ascii="宋体" w:hAnsi="宋体" w:eastAsia="宋体" w:cs="宋体"/>
          <w:color w:val="auto"/>
          <w:sz w:val="21"/>
          <w:szCs w:val="21"/>
          <w:highlight w:val="none"/>
        </w:rPr>
        <w:t>；</w:t>
      </w:r>
    </w:p>
    <w:p w14:paraId="79E3C242">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比表面积（BET）</w:t>
      </w:r>
      <w:r>
        <w:rPr>
          <w:rFonts w:hint="eastAsia" w:ascii="宋体" w:hAnsi="宋体" w:cs="宋体"/>
          <w:color w:val="auto"/>
          <w:sz w:val="21"/>
          <w:szCs w:val="21"/>
          <w:highlight w:val="none"/>
          <w:lang w:val="en-US" w:eastAsia="zh-CN"/>
        </w:rPr>
        <w:t>＞</w:t>
      </w:r>
      <w:r>
        <w:rPr>
          <w:rFonts w:hint="eastAsia" w:ascii="宋体" w:hAnsi="宋体" w:cs="宋体"/>
          <w:bCs/>
          <w:color w:val="auto"/>
          <w:sz w:val="21"/>
          <w:szCs w:val="21"/>
          <w:highlight w:val="none"/>
          <w:lang w:val="en-US" w:eastAsia="zh-CN"/>
        </w:rPr>
        <w:t>40</w:t>
      </w:r>
      <w:r>
        <w:rPr>
          <w:rFonts w:hint="eastAsia" w:ascii="宋体" w:hAnsi="宋体" w:eastAsia="宋体" w:cs="宋体"/>
          <w:bCs/>
          <w:color w:val="auto"/>
          <w:sz w:val="21"/>
          <w:szCs w:val="21"/>
          <w:highlight w:val="none"/>
        </w:rPr>
        <w:t>㎡/g</w:t>
      </w:r>
      <w:r>
        <w:rPr>
          <w:rFonts w:hint="eastAsia" w:ascii="宋体" w:hAnsi="宋体" w:eastAsia="宋体" w:cs="宋体"/>
          <w:b/>
          <w:bCs/>
          <w:color w:val="auto"/>
          <w:sz w:val="21"/>
          <w:szCs w:val="21"/>
          <w:highlight w:val="none"/>
        </w:rPr>
        <w:t>；</w:t>
      </w:r>
    </w:p>
    <w:p w14:paraId="7B99AD23">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甲方有权对乙方所供货物进行化验，</w:t>
      </w:r>
      <w:r>
        <w:rPr>
          <w:rFonts w:hint="eastAsia" w:ascii="宋体" w:hAnsi="宋体" w:eastAsia="宋体" w:cs="宋体"/>
          <w:color w:val="auto"/>
          <w:sz w:val="21"/>
          <w:szCs w:val="21"/>
          <w:highlight w:val="none"/>
        </w:rPr>
        <w:t>若化验结果达不到双方合同约定的氢氧化钙含量标准，经供方要求,可协商收货,协商单价按氢氧化钙有效成分计价，即氢氧化钙含量每降低一个百分点，单价则减少50元/吨。但氢氧化钙含量低于</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甲方</w:t>
      </w:r>
      <w:r>
        <w:rPr>
          <w:rFonts w:hint="eastAsia" w:ascii="宋体" w:hAnsi="宋体" w:eastAsia="宋体" w:cs="宋体"/>
          <w:color w:val="auto"/>
          <w:sz w:val="21"/>
          <w:szCs w:val="21"/>
          <w:highlight w:val="none"/>
        </w:rPr>
        <w:t>拒绝收货。</w:t>
      </w:r>
    </w:p>
    <w:p w14:paraId="3669B00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、与双方确认的样品的质量相同。</w:t>
      </w:r>
    </w:p>
    <w:p w14:paraId="582C5440">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、国家标准、行业标准、地方标准、厂家标准中的最高标准。</w:t>
      </w:r>
    </w:p>
    <w:p w14:paraId="03A1E07A">
      <w:pPr>
        <w:spacing w:line="360" w:lineRule="auto"/>
        <w:ind w:firstLine="420" w:firstLineChars="200"/>
        <w:rPr>
          <w:rFonts w:hint="eastAsia" w:ascii="宋体" w:hAnsi="宋体" w:cs="宋体"/>
          <w:b/>
          <w:color w:val="auto"/>
          <w:sz w:val="21"/>
          <w:szCs w:val="21"/>
          <w:highlight w:val="none"/>
        </w:rPr>
      </w:pPr>
    </w:p>
    <w:p w14:paraId="2CC8CD7F">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第三条  质量保证期</w:t>
      </w:r>
    </w:p>
    <w:p w14:paraId="2B59A3FE">
      <w:pPr>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1.质量保证期按</w:t>
      </w:r>
      <w:r>
        <w:rPr>
          <w:rFonts w:hint="eastAsia" w:ascii="宋体" w:hAnsi="宋体" w:cs="宋体"/>
          <w:color w:val="auto"/>
          <w:sz w:val="21"/>
          <w:szCs w:val="21"/>
          <w:highlight w:val="none"/>
          <w:u w:val="single"/>
        </w:rPr>
        <w:t>（3）</w:t>
      </w:r>
      <w:r>
        <w:rPr>
          <w:rFonts w:hint="eastAsia" w:ascii="宋体" w:hAnsi="宋体" w:cs="宋体"/>
          <w:bCs/>
          <w:color w:val="auto"/>
          <w:sz w:val="21"/>
          <w:szCs w:val="21"/>
          <w:highlight w:val="none"/>
        </w:rPr>
        <w:t>执行。</w:t>
      </w:r>
    </w:p>
    <w:p w14:paraId="5117B94E">
      <w:pPr>
        <w:spacing w:line="360" w:lineRule="auto"/>
        <w:ind w:firstLine="420" w:firstLineChars="200"/>
        <w:rPr>
          <w:rFonts w:hint="eastAsia" w:ascii="宋体" w:hAnsi="宋体" w:cs="宋体"/>
          <w:color w:val="auto"/>
          <w:sz w:val="21"/>
          <w:szCs w:val="21"/>
          <w:highlight w:val="none"/>
        </w:rPr>
      </w:pPr>
      <w:r>
        <w:rPr>
          <w:rFonts w:hint="eastAsia" w:ascii="宋体" w:hAnsi="宋体" w:cs="宋体"/>
          <w:bCs/>
          <w:color w:val="auto"/>
          <w:sz w:val="21"/>
          <w:szCs w:val="21"/>
          <w:highlight w:val="none"/>
        </w:rPr>
        <w:t>（1）交付后</w:t>
      </w:r>
      <w:r>
        <w:rPr>
          <w:rFonts w:hint="eastAsia" w:ascii="宋体" w:hAnsi="宋体" w:cs="宋体"/>
          <w:color w:val="auto"/>
          <w:sz w:val="21"/>
          <w:szCs w:val="21"/>
          <w:highlight w:val="none"/>
          <w:u w:val="single"/>
        </w:rPr>
        <w:t>﹨</w:t>
      </w:r>
      <w:r>
        <w:rPr>
          <w:rFonts w:hint="eastAsia" w:ascii="宋体" w:hAnsi="宋体" w:cs="宋体"/>
          <w:bCs/>
          <w:color w:val="auto"/>
          <w:sz w:val="21"/>
          <w:szCs w:val="21"/>
          <w:highlight w:val="none"/>
        </w:rPr>
        <w:t>个月保质期；</w:t>
      </w:r>
      <w:r>
        <w:rPr>
          <w:rFonts w:hint="eastAsia" w:ascii="宋体" w:hAnsi="宋体" w:cs="宋体"/>
          <w:bCs/>
          <w:vanish/>
          <w:color w:val="auto"/>
          <w:sz w:val="21"/>
          <w:szCs w:val="21"/>
          <w:highlight w:val="none"/>
        </w:rPr>
        <w:t>(</w:t>
      </w:r>
      <w:r>
        <w:rPr>
          <w:rFonts w:hint="eastAsia" w:ascii="宋体" w:hAnsi="宋体" w:cs="宋体"/>
          <w:bCs/>
          <w:color w:val="auto"/>
          <w:sz w:val="21"/>
          <w:szCs w:val="21"/>
          <w:highlight w:val="none"/>
        </w:rPr>
        <w:t>2）</w:t>
      </w:r>
      <w:r>
        <w:rPr>
          <w:rFonts w:hint="eastAsia" w:ascii="宋体" w:hAnsi="宋体" w:cs="宋体"/>
          <w:color w:val="auto"/>
          <w:sz w:val="21"/>
          <w:szCs w:val="21"/>
          <w:highlight w:val="none"/>
        </w:rPr>
        <w:t>正常运行</w:t>
      </w:r>
      <w:r>
        <w:rPr>
          <w:rFonts w:hint="eastAsia" w:ascii="宋体" w:hAnsi="宋体" w:cs="宋体"/>
          <w:color w:val="auto"/>
          <w:sz w:val="21"/>
          <w:szCs w:val="21"/>
          <w:highlight w:val="none"/>
          <w:u w:val="single"/>
        </w:rPr>
        <w:t xml:space="preserve"> ﹨  </w:t>
      </w:r>
      <w:r>
        <w:rPr>
          <w:rFonts w:hint="eastAsia" w:ascii="宋体" w:hAnsi="宋体" w:cs="宋体"/>
          <w:color w:val="auto"/>
          <w:sz w:val="21"/>
          <w:szCs w:val="21"/>
          <w:highlight w:val="none"/>
        </w:rPr>
        <w:t>个月；（3）初步验收合格之日起</w:t>
      </w:r>
      <w:r>
        <w:rPr>
          <w:rFonts w:hint="eastAsia" w:ascii="宋体" w:hAnsi="宋体" w:cs="宋体"/>
          <w:color w:val="auto"/>
          <w:sz w:val="21"/>
          <w:szCs w:val="21"/>
          <w:highlight w:val="none"/>
          <w:u w:val="single"/>
        </w:rPr>
        <w:t>6</w:t>
      </w:r>
      <w:r>
        <w:rPr>
          <w:rFonts w:hint="eastAsia" w:ascii="宋体" w:hAnsi="宋体" w:cs="宋体"/>
          <w:color w:val="auto"/>
          <w:sz w:val="21"/>
          <w:szCs w:val="21"/>
          <w:highlight w:val="none"/>
        </w:rPr>
        <w:t>个月；</w:t>
      </w:r>
    </w:p>
    <w:p w14:paraId="5E6C5546">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2.如果乙方知道或者应当知道所出卖产品存在质量缺陷，所承担的质量保证期限不受前款质量负责期限的约束，应依法承担相应责任。</w:t>
      </w:r>
    </w:p>
    <w:p w14:paraId="51C0F394">
      <w:pPr>
        <w:spacing w:line="360" w:lineRule="auto"/>
        <w:ind w:firstLine="420" w:firstLineChars="200"/>
        <w:rPr>
          <w:rFonts w:hint="eastAsia" w:ascii="宋体" w:hAnsi="宋体" w:cs="宋体"/>
          <w:b/>
          <w:color w:val="auto"/>
          <w:sz w:val="21"/>
          <w:szCs w:val="21"/>
          <w:highlight w:val="none"/>
        </w:rPr>
      </w:pPr>
    </w:p>
    <w:p w14:paraId="629D17BF">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第四条  包装标准、包装物的供应与回收</w:t>
      </w:r>
    </w:p>
    <w:p w14:paraId="1A73CEBF">
      <w:pPr>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 xml:space="preserve">1.产品所需包装由乙方合理包装并符合技术附件的要求（如有），适合水运和/或长途内陆运输，防潮，防湿，防震，防锈，符合甲方使用要求。  </w:t>
      </w:r>
    </w:p>
    <w:p w14:paraId="4B7A3C88">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2.包装物由乙方提供，不计费、</w:t>
      </w:r>
      <w:r>
        <w:rPr>
          <w:rFonts w:hint="eastAsia" w:ascii="宋体" w:hAnsi="宋体" w:cs="宋体"/>
          <w:color w:val="auto"/>
          <w:sz w:val="21"/>
          <w:szCs w:val="21"/>
          <w:highlight w:val="none"/>
          <w:u w:val="single"/>
        </w:rPr>
        <w:t>乙方</w:t>
      </w:r>
      <w:r>
        <w:rPr>
          <w:rFonts w:hint="eastAsia" w:ascii="宋体" w:hAnsi="宋体" w:cs="宋体"/>
          <w:color w:val="auto"/>
          <w:sz w:val="21"/>
          <w:szCs w:val="21"/>
          <w:highlight w:val="none"/>
        </w:rPr>
        <w:t>回收。</w:t>
      </w:r>
    </w:p>
    <w:p w14:paraId="11F65B9F">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3.化学品的包装必须满足国家标准《化学品包装及标志》（GB15346-</w:t>
      </w:r>
      <w:r>
        <w:rPr>
          <w:rFonts w:ascii="宋体" w:hAnsi="宋体" w:cs="宋体"/>
          <w:color w:val="auto"/>
          <w:sz w:val="21"/>
          <w:szCs w:val="21"/>
          <w:highlight w:val="none"/>
        </w:rPr>
        <w:t>2012</w:t>
      </w:r>
      <w:r>
        <w:rPr>
          <w:rFonts w:hint="eastAsia" w:ascii="宋体" w:hAnsi="宋体" w:cs="宋体"/>
          <w:color w:val="auto"/>
          <w:sz w:val="21"/>
          <w:szCs w:val="21"/>
          <w:highlight w:val="none"/>
        </w:rPr>
        <w:t>）和《危险货物包装标志》（GB190-</w:t>
      </w:r>
      <w:r>
        <w:rPr>
          <w:rFonts w:ascii="宋体" w:hAnsi="宋体" w:cs="宋体"/>
          <w:color w:val="auto"/>
          <w:sz w:val="21"/>
          <w:szCs w:val="21"/>
          <w:highlight w:val="none"/>
        </w:rPr>
        <w:t>2009</w:t>
      </w:r>
      <w:r>
        <w:rPr>
          <w:rFonts w:hint="eastAsia" w:ascii="宋体" w:hAnsi="宋体" w:cs="宋体"/>
          <w:color w:val="auto"/>
          <w:sz w:val="21"/>
          <w:szCs w:val="21"/>
          <w:highlight w:val="none"/>
        </w:rPr>
        <w:t>）。对于瓶装或桶装的化学品，其标识必须包含化学品的名称、分子式、有效成分含量及等级、净重、危险标识、供货厂家、批号、生产日期、有效期、产品质量符合标准的证明和标准编号等信息。对于运送散装化学品的储槽上必须有标识，必须包含化学品的名称和危险标识等信息，运送人员同时提供产品质量检验报告。</w:t>
      </w:r>
    </w:p>
    <w:p w14:paraId="0442A8A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4.所采购品含腐蚀性、有毒成分，产品进厂后，将严格执行厂区的安全规定和政府部门的《危险化学品的安全管理》。</w:t>
      </w:r>
    </w:p>
    <w:p w14:paraId="230E0024">
      <w:pPr>
        <w:spacing w:line="360" w:lineRule="auto"/>
        <w:ind w:firstLine="420" w:firstLineChars="200"/>
        <w:rPr>
          <w:rFonts w:hint="eastAsia" w:ascii="宋体" w:hAnsi="宋体" w:cs="宋体"/>
          <w:b/>
          <w:color w:val="auto"/>
          <w:sz w:val="21"/>
          <w:szCs w:val="21"/>
          <w:highlight w:val="none"/>
        </w:rPr>
      </w:pPr>
    </w:p>
    <w:p w14:paraId="46B3249A">
      <w:pPr>
        <w:spacing w:line="360" w:lineRule="auto"/>
        <w:ind w:firstLine="420" w:firstLineChars="200"/>
        <w:rPr>
          <w:rFonts w:hint="default"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rPr>
        <w:t>第五条  交货时间、地点</w:t>
      </w:r>
      <w:r>
        <w:rPr>
          <w:rFonts w:hint="eastAsia" w:ascii="宋体" w:hAnsi="宋体" w:cs="宋体"/>
          <w:b/>
          <w:color w:val="auto"/>
          <w:sz w:val="21"/>
          <w:szCs w:val="21"/>
          <w:highlight w:val="none"/>
          <w:lang w:val="en-US" w:eastAsia="zh-CN"/>
        </w:rPr>
        <w:t>及供货期限</w:t>
      </w:r>
    </w:p>
    <w:p w14:paraId="6072DAB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1.交货地点：</w:t>
      </w:r>
      <w:r>
        <w:rPr>
          <w:rFonts w:hint="eastAsia" w:ascii="宋体" w:hAnsi="宋体" w:cs="宋体"/>
          <w:color w:val="auto"/>
          <w:sz w:val="21"/>
          <w:szCs w:val="21"/>
          <w:highlight w:val="none"/>
          <w:lang w:val="en-US" w:eastAsia="zh-CN"/>
        </w:rPr>
        <w:t>广东省阳江市江城区高新港口工业区海港二横路1号阳江开能环保能源有限公司（广青炼铁厂内）</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交货联系人：吕元才19928616173。</w:t>
      </w:r>
    </w:p>
    <w:p w14:paraId="31E6E772">
      <w:pPr>
        <w:tabs>
          <w:tab w:val="left" w:pos="0"/>
          <w:tab w:val="left" w:pos="709"/>
        </w:tabs>
        <w:spacing w:line="360" w:lineRule="auto"/>
        <w:ind w:firstLine="420" w:firstLineChars="200"/>
        <w:rPr>
          <w:rFonts w:hint="eastAsia" w:ascii="宋体" w:hAnsi="宋体" w:cs="宋体"/>
          <w:bCs/>
          <w:snapToGrid w:val="0"/>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交货时间及顺序：经甲方提前2日以书面、微信、电子邮件或短信通知后，乙方需确保在</w:t>
      </w:r>
      <w:r>
        <w:rPr>
          <w:rFonts w:hint="eastAsia" w:ascii="宋体" w:hAnsi="宋体" w:cs="宋体"/>
          <w:color w:val="auto"/>
          <w:sz w:val="21"/>
          <w:szCs w:val="21"/>
          <w:highlight w:val="none"/>
          <w:lang w:val="en-US" w:eastAsia="zh-CN"/>
        </w:rPr>
        <w:t>5天</w:t>
      </w:r>
      <w:r>
        <w:rPr>
          <w:rFonts w:hint="eastAsia" w:ascii="宋体" w:hAnsi="宋体" w:cs="宋体"/>
          <w:color w:val="auto"/>
          <w:sz w:val="21"/>
          <w:szCs w:val="21"/>
          <w:highlight w:val="none"/>
        </w:rPr>
        <w:t>内交货到厂。乙方在收到甲方书面、微信、电子邮件或短信等通知后应立即供货，如不能在约定时间内及时供货时，则承担逾期供货相关责任。</w:t>
      </w:r>
      <w:r>
        <w:rPr>
          <w:rFonts w:hint="eastAsia" w:ascii="宋体" w:hAnsi="宋体" w:cs="宋体"/>
          <w:bCs/>
          <w:snapToGrid w:val="0"/>
          <w:color w:val="auto"/>
          <w:sz w:val="21"/>
          <w:szCs w:val="21"/>
          <w:highlight w:val="none"/>
        </w:rPr>
        <w:t>本次采购不限定每次采购的时间、数量。乙方应当根据甲方的随时通知在上述期限内及时供货。乙方应当自行预估并且承担由此可能带来的风险。</w:t>
      </w:r>
    </w:p>
    <w:p w14:paraId="4EAD9C4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3.紧急供货：如甲方的任一项目因突发状况要求紧急供货，乙方应在收到甲方通知后根据甲方订单或电子邮件、短信等要求在</w:t>
      </w:r>
      <w:r>
        <w:rPr>
          <w:rFonts w:hint="eastAsia" w:ascii="宋体" w:hAnsi="宋体" w:cs="宋体"/>
          <w:color w:val="auto"/>
          <w:sz w:val="21"/>
          <w:szCs w:val="21"/>
          <w:highlight w:val="none"/>
          <w:lang w:val="en-US" w:eastAsia="zh-CN"/>
        </w:rPr>
        <w:t>48</w:t>
      </w:r>
      <w:r>
        <w:rPr>
          <w:rFonts w:hint="eastAsia" w:ascii="宋体" w:hAnsi="宋体" w:cs="宋体"/>
          <w:color w:val="auto"/>
          <w:sz w:val="21"/>
          <w:szCs w:val="21"/>
          <w:highlight w:val="none"/>
        </w:rPr>
        <w:t>个小时内交货到厂。如不能在约定时间交货到厂，则承担逾期交货相关责任。</w:t>
      </w:r>
    </w:p>
    <w:p w14:paraId="4C0F3D70">
      <w:pPr>
        <w:tabs>
          <w:tab w:val="left" w:pos="0"/>
          <w:tab w:val="left" w:pos="709"/>
        </w:tabs>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4.</w:t>
      </w:r>
      <w:r>
        <w:rPr>
          <w:rFonts w:hint="eastAsia" w:ascii="宋体" w:hAnsi="宋体" w:cs="宋体"/>
          <w:b/>
          <w:color w:val="auto"/>
          <w:sz w:val="21"/>
          <w:szCs w:val="21"/>
          <w:highlight w:val="none"/>
        </w:rPr>
        <w:t>供货期限：</w:t>
      </w:r>
    </w:p>
    <w:p w14:paraId="3691A706">
      <w:pPr>
        <w:tabs>
          <w:tab w:val="left" w:pos="0"/>
          <w:tab w:val="left" w:pos="709"/>
        </w:tabs>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供货期限为：自合同签订之日起满一年。开始送货时间以</w:t>
      </w:r>
      <w:r>
        <w:rPr>
          <w:rFonts w:hint="eastAsia" w:ascii="宋体" w:hAnsi="宋体" w:cs="宋体"/>
          <w:bCs/>
          <w:color w:val="auto"/>
          <w:sz w:val="21"/>
          <w:szCs w:val="21"/>
          <w:highlight w:val="none"/>
          <w:lang w:eastAsia="zh-CN"/>
        </w:rPr>
        <w:t>甲方</w:t>
      </w:r>
      <w:r>
        <w:rPr>
          <w:rFonts w:hint="eastAsia" w:ascii="宋体" w:hAnsi="宋体" w:cs="宋体"/>
          <w:bCs/>
          <w:color w:val="auto"/>
          <w:sz w:val="21"/>
          <w:szCs w:val="21"/>
          <w:highlight w:val="none"/>
        </w:rPr>
        <w:t>通知为准。</w:t>
      </w:r>
    </w:p>
    <w:p w14:paraId="08CD9755">
      <w:pPr>
        <w:tabs>
          <w:tab w:val="left" w:pos="0"/>
          <w:tab w:val="left" w:pos="709"/>
        </w:tabs>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 w:val="21"/>
          <w:szCs w:val="21"/>
          <w:highlight w:val="none"/>
        </w:rPr>
        <w:t>合同执行期间，甲方有权根据项目实际需求提前终止合同，选择不继续采购乙方货物，乙方不得要求甲方继续采购乙方货物或要求赔偿。</w:t>
      </w:r>
    </w:p>
    <w:p w14:paraId="65714152">
      <w:pPr>
        <w:spacing w:line="360" w:lineRule="auto"/>
        <w:rPr>
          <w:rFonts w:hint="eastAsia" w:ascii="宋体" w:hAnsi="宋体" w:cs="宋体"/>
          <w:b/>
          <w:color w:val="auto"/>
          <w:sz w:val="21"/>
          <w:szCs w:val="21"/>
          <w:highlight w:val="none"/>
        </w:rPr>
      </w:pPr>
    </w:p>
    <w:p w14:paraId="0FC3A839">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第六条  合理损耗标准及计算方法</w:t>
      </w:r>
    </w:p>
    <w:p w14:paraId="286F2DC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1.双方共同确定的计量方法，即</w:t>
      </w:r>
      <w:r>
        <w:rPr>
          <w:rFonts w:hint="eastAsia" w:ascii="宋体" w:hAnsi="宋体" w:cs="宋体"/>
          <w:color w:val="auto"/>
          <w:sz w:val="21"/>
          <w:szCs w:val="21"/>
          <w:highlight w:val="none"/>
          <w:u w:val="single"/>
        </w:rPr>
        <w:t>甲方指定送货</w:t>
      </w:r>
      <w:r>
        <w:rPr>
          <w:rFonts w:hint="eastAsia" w:ascii="宋体" w:hAnsi="宋体" w:cs="宋体"/>
          <w:color w:val="auto"/>
          <w:sz w:val="21"/>
          <w:szCs w:val="21"/>
          <w:highlight w:val="none"/>
          <w:u w:val="single"/>
          <w:lang w:val="en-US" w:eastAsia="zh-CN"/>
        </w:rPr>
        <w:t>地点</w:t>
      </w:r>
      <w:r>
        <w:rPr>
          <w:rFonts w:hint="eastAsia" w:ascii="宋体" w:hAnsi="宋体" w:cs="宋体"/>
          <w:color w:val="auto"/>
          <w:sz w:val="21"/>
          <w:szCs w:val="21"/>
          <w:highlight w:val="none"/>
          <w:u w:val="single"/>
        </w:rPr>
        <w:t>地磅计量法。</w:t>
      </w:r>
    </w:p>
    <w:p w14:paraId="624B0B55">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2.根据上述方法乙方向甲方实际交付的产品数量在本合同约定的合理损耗（</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%）的范围内，乙方不承担责任。</w:t>
      </w:r>
    </w:p>
    <w:p w14:paraId="61B22552">
      <w:pPr>
        <w:spacing w:line="360" w:lineRule="auto"/>
        <w:ind w:firstLine="420" w:firstLineChars="200"/>
        <w:rPr>
          <w:rFonts w:hint="eastAsia" w:ascii="宋体" w:hAnsi="宋体" w:cs="宋体"/>
          <w:color w:val="auto"/>
          <w:sz w:val="21"/>
          <w:szCs w:val="21"/>
          <w:highlight w:val="none"/>
        </w:rPr>
      </w:pPr>
    </w:p>
    <w:p w14:paraId="75D44C4F">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第七条  货物的保管风险及所有权的转移</w:t>
      </w:r>
    </w:p>
    <w:p w14:paraId="77214494">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1.货物的保管风险自交付至甲方指定的交货地点之时转移至甲方，即在约定时间、约定地点交付之前货物的保管风险由乙方承担，交付之后货物的保管风险由甲方承担。</w:t>
      </w:r>
    </w:p>
    <w:p w14:paraId="7B1B7E6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2.货物的所有权自</w:t>
      </w:r>
      <w:r>
        <w:rPr>
          <w:rFonts w:hint="eastAsia" w:ascii="宋体" w:hAnsi="宋体" w:cs="宋体"/>
          <w:color w:val="auto"/>
          <w:sz w:val="21"/>
          <w:szCs w:val="21"/>
          <w:highlight w:val="none"/>
          <w:u w:val="single"/>
        </w:rPr>
        <w:t>交付</w:t>
      </w:r>
      <w:r>
        <w:rPr>
          <w:rFonts w:hint="eastAsia" w:ascii="宋体" w:hAnsi="宋体" w:cs="宋体"/>
          <w:color w:val="auto"/>
          <w:sz w:val="21"/>
          <w:szCs w:val="21"/>
          <w:highlight w:val="none"/>
        </w:rPr>
        <w:t>起转移至甲方。</w:t>
      </w:r>
    </w:p>
    <w:p w14:paraId="3B3574C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3.乙方迟延交付的，承担迟延期间货物的风险责任。</w:t>
      </w:r>
    </w:p>
    <w:p w14:paraId="6C909E96">
      <w:pPr>
        <w:spacing w:line="360" w:lineRule="auto"/>
        <w:ind w:firstLine="420" w:firstLineChars="200"/>
        <w:rPr>
          <w:rFonts w:hint="eastAsia" w:ascii="宋体" w:hAnsi="宋体" w:cs="宋体"/>
          <w:color w:val="auto"/>
          <w:sz w:val="21"/>
          <w:szCs w:val="21"/>
          <w:highlight w:val="none"/>
        </w:rPr>
      </w:pPr>
    </w:p>
    <w:p w14:paraId="0D1F98ED">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第八条  运输方法</w:t>
      </w:r>
      <w:r>
        <w:rPr>
          <w:rFonts w:hint="eastAsia" w:ascii="宋体" w:hAnsi="宋体" w:cs="宋体"/>
          <w:color w:val="auto"/>
          <w:sz w:val="21"/>
          <w:szCs w:val="21"/>
          <w:highlight w:val="none"/>
        </w:rPr>
        <w:t>、</w:t>
      </w:r>
      <w:r>
        <w:rPr>
          <w:rFonts w:hint="eastAsia" w:ascii="宋体" w:hAnsi="宋体" w:cs="宋体"/>
          <w:b/>
          <w:color w:val="auto"/>
          <w:sz w:val="21"/>
          <w:szCs w:val="21"/>
          <w:highlight w:val="none"/>
        </w:rPr>
        <w:t>运费及运输保险负担、到达站（港）</w:t>
      </w:r>
      <w:r>
        <w:rPr>
          <w:rFonts w:hint="eastAsia" w:ascii="宋体" w:hAnsi="宋体" w:cs="宋体"/>
          <w:color w:val="auto"/>
          <w:sz w:val="21"/>
          <w:szCs w:val="21"/>
          <w:highlight w:val="none"/>
          <w:u w:val="single"/>
        </w:rPr>
        <w:t xml:space="preserve">   ﹨      </w:t>
      </w:r>
      <w:r>
        <w:rPr>
          <w:rFonts w:hint="eastAsia" w:ascii="宋体" w:hAnsi="宋体" w:cs="宋体"/>
          <w:b/>
          <w:color w:val="auto"/>
          <w:sz w:val="21"/>
          <w:szCs w:val="21"/>
          <w:highlight w:val="none"/>
        </w:rPr>
        <w:t>。</w:t>
      </w:r>
    </w:p>
    <w:p w14:paraId="1B241D2E">
      <w:pPr>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 xml:space="preserve">   1.运输方法：乙方须用合规格密封良好的槽罐车运输合同货物。槽罐必须注意防泄漏，注意环境保护。槽罐车实际容量可根据甲方实际送货需求调整。按最新交通运输法，载货后整车总质量必须</w:t>
      </w:r>
      <w:r>
        <w:rPr>
          <w:rFonts w:hint="eastAsia" w:ascii="宋体" w:hAnsi="宋体" w:cs="宋体"/>
          <w:color w:val="auto"/>
          <w:sz w:val="21"/>
          <w:szCs w:val="21"/>
          <w:highlight w:val="none"/>
          <w:shd w:val="clear" w:color="auto" w:fill="FFFFFF"/>
        </w:rPr>
        <w:t>＜</w:t>
      </w:r>
      <w:r>
        <w:rPr>
          <w:rFonts w:hint="eastAsia" w:ascii="宋体" w:hAnsi="宋体" w:cs="宋体"/>
          <w:color w:val="auto"/>
          <w:sz w:val="21"/>
          <w:szCs w:val="21"/>
          <w:highlight w:val="none"/>
        </w:rPr>
        <w:t>49吨。以上由乙方承担运输及装卸等费用，自行卸货。</w:t>
      </w:r>
    </w:p>
    <w:p w14:paraId="6643B4FE">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2.费用负担：按</w:t>
      </w:r>
      <w:r>
        <w:rPr>
          <w:rFonts w:hint="eastAsia" w:ascii="宋体" w:hAnsi="宋体" w:cs="宋体"/>
          <w:color w:val="auto"/>
          <w:sz w:val="21"/>
          <w:szCs w:val="21"/>
          <w:highlight w:val="none"/>
          <w:u w:val="single"/>
        </w:rPr>
        <w:t xml:space="preserve">   (1)  </w:t>
      </w:r>
      <w:r>
        <w:rPr>
          <w:rFonts w:hint="eastAsia" w:ascii="宋体" w:hAnsi="宋体" w:cs="宋体"/>
          <w:color w:val="auto"/>
          <w:sz w:val="21"/>
          <w:szCs w:val="21"/>
          <w:highlight w:val="none"/>
        </w:rPr>
        <w:t>执行。</w:t>
      </w:r>
    </w:p>
    <w:p w14:paraId="3821A0D1">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（1）运费已包含在本合同价款内；（2）运输费用</w:t>
      </w:r>
      <w:r>
        <w:rPr>
          <w:rFonts w:hint="eastAsia" w:ascii="宋体" w:hAnsi="宋体" w:cs="宋体"/>
          <w:color w:val="auto"/>
          <w:sz w:val="21"/>
          <w:szCs w:val="21"/>
          <w:highlight w:val="none"/>
          <w:u w:val="single"/>
        </w:rPr>
        <w:t xml:space="preserve">    ﹨   </w:t>
      </w:r>
      <w:r>
        <w:rPr>
          <w:rFonts w:hint="eastAsia" w:ascii="宋体" w:hAnsi="宋体" w:cs="宋体"/>
          <w:color w:val="auto"/>
          <w:sz w:val="21"/>
          <w:szCs w:val="21"/>
          <w:highlight w:val="none"/>
        </w:rPr>
        <w:t>元，由甲方另行支付。</w:t>
      </w:r>
    </w:p>
    <w:p w14:paraId="42A2C459">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3.由乙方代办托运的保险受益人为甲方。保险费已包含在本合同价款内。</w:t>
      </w:r>
    </w:p>
    <w:p w14:paraId="16B53BD8">
      <w:pPr>
        <w:spacing w:line="360" w:lineRule="auto"/>
        <w:ind w:firstLine="420" w:firstLineChars="200"/>
        <w:rPr>
          <w:rFonts w:hint="eastAsia" w:ascii="宋体" w:hAnsi="宋体" w:cs="宋体"/>
          <w:color w:val="auto"/>
          <w:sz w:val="21"/>
          <w:szCs w:val="21"/>
          <w:highlight w:val="none"/>
        </w:rPr>
      </w:pPr>
    </w:p>
    <w:p w14:paraId="3650AB4B">
      <w:pPr>
        <w:spacing w:line="360" w:lineRule="auto"/>
        <w:ind w:firstLine="420"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第九条  检验标准、方法</w:t>
      </w:r>
    </w:p>
    <w:p w14:paraId="24F128E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1.检验标准：按本合同第二条质量标准进行检验。</w:t>
      </w:r>
    </w:p>
    <w:p w14:paraId="2CB8EF2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2.验收方式：按</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以下标准</w:t>
      </w:r>
      <w:r>
        <w:rPr>
          <w:rFonts w:hint="eastAsia" w:ascii="宋体" w:hAnsi="宋体" w:cs="宋体"/>
          <w:color w:val="auto"/>
          <w:sz w:val="21"/>
          <w:szCs w:val="21"/>
          <w:highlight w:val="none"/>
        </w:rPr>
        <w:t>执行。</w:t>
      </w:r>
    </w:p>
    <w:p w14:paraId="7EBD2BE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在送货时，必须提供每一批货物的出厂化验报告及送货单，要求必须签字盖章。无出厂化验报告，禁止入厂。</w:t>
      </w:r>
    </w:p>
    <w:p w14:paraId="531D7417">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车次过磅后</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送达产品到</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指定地点进行抽样取样，每次取样时，供需双方应当共同见证取样，且取样单须经供需双方共同签字签章确认（</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拒绝派人参加取样或者拒绝签字盖章确认的，不影响</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取样的效力）。</w:t>
      </w:r>
    </w:p>
    <w:p w14:paraId="5745B1F4">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不予收货：</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货物经第三方检测机构</w:t>
      </w:r>
      <w:r>
        <w:rPr>
          <w:rFonts w:hint="eastAsia" w:ascii="宋体" w:hAnsi="宋体" w:cs="宋体"/>
          <w:color w:val="auto"/>
          <w:sz w:val="21"/>
          <w:szCs w:val="21"/>
          <w:highlight w:val="none"/>
          <w:lang w:val="en-US" w:eastAsia="zh-CN"/>
        </w:rPr>
        <w:t>检验</w:t>
      </w:r>
      <w:r>
        <w:rPr>
          <w:rFonts w:hint="eastAsia" w:ascii="宋体" w:hAnsi="宋体" w:eastAsia="宋体" w:cs="宋体"/>
          <w:color w:val="auto"/>
          <w:sz w:val="21"/>
          <w:szCs w:val="21"/>
          <w:highlight w:val="none"/>
        </w:rPr>
        <w:t>确认，Ca(OH)</w:t>
      </w:r>
      <w:r>
        <w:rPr>
          <w:rFonts w:hint="eastAsia" w:ascii="宋体" w:hAnsi="宋体" w:eastAsia="宋体" w:cs="宋体"/>
          <w:color w:val="auto"/>
          <w:sz w:val="21"/>
          <w:szCs w:val="21"/>
          <w:highlight w:val="none"/>
          <w:vertAlign w:val="subscript"/>
        </w:rPr>
        <w:t xml:space="preserve"> 2</w:t>
      </w:r>
      <w:r>
        <w:rPr>
          <w:rFonts w:hint="eastAsia" w:ascii="宋体" w:hAnsi="宋体" w:eastAsia="宋体" w:cs="宋体"/>
          <w:color w:val="auto"/>
          <w:sz w:val="21"/>
          <w:szCs w:val="21"/>
          <w:highlight w:val="none"/>
        </w:rPr>
        <w:t xml:space="preserve">纯度 </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%；粒度：325</w:t>
      </w:r>
      <w:r>
        <w:rPr>
          <w:rFonts w:hint="eastAsia" w:ascii="宋体" w:hAnsi="宋体" w:cs="宋体"/>
          <w:color w:val="auto"/>
          <w:sz w:val="21"/>
          <w:szCs w:val="21"/>
          <w:highlight w:val="none"/>
          <w:lang w:eastAsia="zh-CN"/>
        </w:rPr>
        <w:t>目过筛</w:t>
      </w:r>
      <w:r>
        <w:rPr>
          <w:rFonts w:hint="eastAsia" w:ascii="宋体" w:hAnsi="宋体" w:eastAsia="宋体" w:cs="宋体"/>
          <w:color w:val="auto"/>
          <w:sz w:val="21"/>
          <w:szCs w:val="21"/>
          <w:highlight w:val="none"/>
        </w:rPr>
        <w:t>通过率</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比重</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0.50-0.65t/m³</w:t>
      </w:r>
      <w:r>
        <w:rPr>
          <w:rFonts w:hint="eastAsia" w:ascii="宋体" w:hAnsi="宋体" w:eastAsia="宋体" w:cs="宋体"/>
          <w:color w:val="auto"/>
          <w:sz w:val="21"/>
          <w:szCs w:val="21"/>
          <w:highlight w:val="none"/>
        </w:rPr>
        <w:t>；比表面积（BET）</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㎡/g</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，任意一个要求没有达到则拒绝收货，且确认为本车次产品不合格。</w:t>
      </w:r>
    </w:p>
    <w:p w14:paraId="299B37EE">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若化验结果达不到双方合同约定的氢氧化钙含量标准，经</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要求,可协商收货,协商单价按氢氧化钙有效成分计价，即氢氧化钙含量每降低一个百分点，单价则减少50元/吨。但氢氧化钙含量低于</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有权拒绝收货。</w:t>
      </w:r>
    </w:p>
    <w:p w14:paraId="5A350AD4">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snapToGrid w:val="0"/>
          <w:color w:val="auto"/>
          <w:sz w:val="21"/>
          <w:szCs w:val="21"/>
          <w:highlight w:val="none"/>
        </w:rPr>
        <w:t>第三方检测：</w:t>
      </w:r>
    </w:p>
    <w:p w14:paraId="1A1CB978">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lang w:val="en-US" w:eastAsia="zh-CN"/>
        </w:rPr>
        <w:t>①</w:t>
      </w:r>
      <w:r>
        <w:rPr>
          <w:rFonts w:hint="eastAsia" w:ascii="宋体" w:hAnsi="宋体" w:eastAsia="宋体" w:cs="宋体"/>
          <w:snapToGrid w:val="0"/>
          <w:color w:val="auto"/>
          <w:sz w:val="21"/>
          <w:szCs w:val="21"/>
          <w:highlight w:val="none"/>
          <w:lang w:eastAsia="zh-CN"/>
        </w:rPr>
        <w:t>甲方</w:t>
      </w:r>
      <w:r>
        <w:rPr>
          <w:rFonts w:hint="eastAsia" w:ascii="宋体" w:hAnsi="宋体" w:cs="宋体"/>
          <w:snapToGrid w:val="0"/>
          <w:color w:val="auto"/>
          <w:sz w:val="21"/>
          <w:szCs w:val="21"/>
          <w:highlight w:val="none"/>
          <w:lang w:val="en-US" w:eastAsia="zh-CN"/>
        </w:rPr>
        <w:t>有权</w:t>
      </w:r>
      <w:r>
        <w:rPr>
          <w:rFonts w:hint="eastAsia" w:ascii="宋体" w:hAnsi="宋体" w:eastAsia="宋体" w:cs="宋体"/>
          <w:snapToGrid w:val="0"/>
          <w:color w:val="auto"/>
          <w:sz w:val="21"/>
          <w:szCs w:val="21"/>
          <w:highlight w:val="none"/>
        </w:rPr>
        <w:t>每月随机抽检</w:t>
      </w:r>
      <w:r>
        <w:rPr>
          <w:rFonts w:hint="eastAsia" w:ascii="宋体" w:hAnsi="宋体" w:cs="宋体"/>
          <w:snapToGrid w:val="0"/>
          <w:color w:val="auto"/>
          <w:sz w:val="21"/>
          <w:szCs w:val="21"/>
          <w:highlight w:val="none"/>
          <w:lang w:val="en-US" w:eastAsia="zh-CN"/>
        </w:rPr>
        <w:t>1</w:t>
      </w:r>
      <w:r>
        <w:rPr>
          <w:rFonts w:hint="eastAsia" w:ascii="宋体" w:hAnsi="宋体" w:eastAsia="宋体" w:cs="宋体"/>
          <w:snapToGrid w:val="0"/>
          <w:color w:val="auto"/>
          <w:sz w:val="21"/>
          <w:szCs w:val="21"/>
          <w:highlight w:val="none"/>
        </w:rPr>
        <w:t>次样品送第三方检测（检测项目为含量、粒度</w:t>
      </w:r>
      <w:r>
        <w:rPr>
          <w:rFonts w:hint="eastAsia" w:ascii="宋体" w:hAnsi="宋体" w:cs="宋体"/>
          <w:snapToGrid w:val="0"/>
          <w:color w:val="auto"/>
          <w:sz w:val="21"/>
          <w:szCs w:val="21"/>
          <w:highlight w:val="none"/>
          <w:lang w:val="en-US" w:eastAsia="zh-CN"/>
        </w:rPr>
        <w:t>等项目</w:t>
      </w:r>
      <w:r>
        <w:rPr>
          <w:rFonts w:hint="eastAsia" w:ascii="宋体" w:hAnsi="宋体" w:eastAsia="宋体" w:cs="宋体"/>
          <w:snapToGrid w:val="0"/>
          <w:color w:val="auto"/>
          <w:sz w:val="21"/>
          <w:szCs w:val="21"/>
          <w:highlight w:val="none"/>
        </w:rPr>
        <w:t>）：</w:t>
      </w:r>
      <w:r>
        <w:rPr>
          <w:rFonts w:hint="eastAsia" w:ascii="宋体" w:hAnsi="宋体" w:eastAsia="宋体" w:cs="宋体"/>
          <w:color w:val="auto"/>
          <w:sz w:val="21"/>
          <w:szCs w:val="21"/>
          <w:highlight w:val="none"/>
        </w:rPr>
        <w:t>双方明确三家具有省级或以上级别的计量认证资格证书（CMA）的第三方检测机构，由现场使用单位将样品随机送检</w:t>
      </w:r>
      <w:r>
        <w:rPr>
          <w:rFonts w:hint="eastAsia" w:ascii="宋体" w:hAnsi="宋体" w:eastAsia="宋体" w:cs="宋体"/>
          <w:snapToGrid w:val="0"/>
          <w:color w:val="auto"/>
          <w:sz w:val="21"/>
          <w:szCs w:val="21"/>
          <w:highlight w:val="none"/>
        </w:rPr>
        <w:t>，检验费用（含寄送费用、检测费用等）由</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承担（如</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拒付时，</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有权从应付</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的货款中直接扣除）。如因</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未按时支付检测费用导致检测报告滞后出结果影响到付款时间，由</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自行承担延误付款的不利后果，</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概不负责。</w:t>
      </w:r>
    </w:p>
    <w:p w14:paraId="0CFDB49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w:t>
      </w:r>
      <w:r>
        <w:rPr>
          <w:rFonts w:hint="eastAsia" w:ascii="宋体" w:hAnsi="宋体" w:cs="宋体"/>
          <w:snapToGrid w:val="0"/>
          <w:color w:val="auto"/>
          <w:sz w:val="21"/>
          <w:szCs w:val="21"/>
          <w:highlight w:val="none"/>
          <w:lang w:val="en-US" w:eastAsia="zh-CN"/>
        </w:rPr>
        <w:t>6</w:t>
      </w:r>
      <w:r>
        <w:rPr>
          <w:rFonts w:hint="eastAsia" w:ascii="宋体" w:hAnsi="宋体" w:eastAsia="宋体" w:cs="宋体"/>
          <w:snapToGrid w:val="0"/>
          <w:color w:val="auto"/>
          <w:sz w:val="21"/>
          <w:szCs w:val="21"/>
          <w:highlight w:val="none"/>
        </w:rPr>
        <w:t>）检测内容及结果的应用:</w:t>
      </w:r>
    </w:p>
    <w:p w14:paraId="6EA37AF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①每份检测报告内容包括但不限于：送检样品图片、样品封条（如有）、检验标准等技术需求书中规定的检测内容。</w:t>
      </w:r>
    </w:p>
    <w:p w14:paraId="3AD8509B">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②复检处理：若某车次货物第1份送检样品的第三方检测报告不合格，如</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要求复检，</w:t>
      </w:r>
      <w:r>
        <w:rPr>
          <w:rFonts w:hint="eastAsia" w:ascii="宋体" w:hAnsi="宋体" w:eastAsia="宋体" w:cs="宋体"/>
          <w:color w:val="auto"/>
          <w:sz w:val="21"/>
          <w:szCs w:val="21"/>
          <w:highlight w:val="none"/>
        </w:rPr>
        <w:t>则由</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将该车次2份备样在确定的三家检测单位中指定一家送检，</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先垫付检测费，最终检测费用由责任方承担（包括送检运费、检测费用等）。</w:t>
      </w:r>
      <w:r>
        <w:rPr>
          <w:rFonts w:hint="eastAsia" w:ascii="宋体" w:hAnsi="宋体" w:eastAsia="宋体" w:cs="宋体"/>
          <w:snapToGrid w:val="0"/>
          <w:color w:val="auto"/>
          <w:sz w:val="21"/>
          <w:szCs w:val="21"/>
          <w:highlight w:val="none"/>
        </w:rPr>
        <w:t xml:space="preserve"> 2份备样检测全部合格则视为该车次货物合格，</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免于处罚，合格检测报告作为该车次货物的结算依据；若有1份备样检测不合格，则视为该车次货物不合格，不予支付该不合格车次货款。</w:t>
      </w:r>
    </w:p>
    <w:p w14:paraId="08D79886">
      <w:pPr>
        <w:pStyle w:val="64"/>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③第三方检测报告（如有复检，按复检的第三方检测报告）作为货物结算依据。如每车次货物</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实验室初步检验报告、所有电厂项目中每月二次随机抽检的第三方检测报告及甲方对异议货物要求乙方委托第三方出具的合格检测报告（如有）作为</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进行结算的附件，若作为最终依据的第三方检测结果不合格，则视为该车次产品不合格。若</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在货物质量方面不能满足</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要求，事件发生一次，</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将出具整改单给</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，该不合格车次货款不予结算，且</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须向</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支付当月货款的2%作为违约金；累计不合格货物车次达三次或三次以上，</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将被</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列入严重不诚信行为名单，</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有权单方面解除本合同，且</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须向</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支付合同总价（计划供货量*中标单价）的2%作为违约金，并赔偿</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由此遭受的一切相关经济损失。</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有权从履约担保中扣除违约金，履约担保不足支付部分，</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有权另行向</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索赔。</w:t>
      </w:r>
    </w:p>
    <w:p w14:paraId="07312976">
      <w:pPr>
        <w:numPr>
          <w:ilvl w:val="0"/>
          <w:numId w:val="5"/>
        </w:numPr>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若</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在运行生产使用过程中，</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的产品被</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上级主管部门检查质量不</w:t>
      </w:r>
      <w:r>
        <w:rPr>
          <w:rFonts w:hint="eastAsia" w:ascii="宋体" w:hAnsi="宋体" w:eastAsia="宋体" w:cs="宋体"/>
          <w:color w:val="auto"/>
          <w:sz w:val="21"/>
          <w:szCs w:val="21"/>
          <w:highlight w:val="none"/>
        </w:rPr>
        <w:t>合格，并对</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进行做出相关处罚，由此所产生的责任及</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损失全由</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承担。</w:t>
      </w:r>
    </w:p>
    <w:p w14:paraId="2DE8D64A">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第十条  履约担保及退回</w:t>
      </w:r>
    </w:p>
    <w:p w14:paraId="7685AC7C">
      <w:pPr>
        <w:adjustRightInd w:val="0"/>
        <w:snapToGrid w:val="0"/>
        <w:spacing w:line="400" w:lineRule="exact"/>
        <w:ind w:firstLine="440" w:firstLineChars="200"/>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1、</w:t>
      </w:r>
      <w:r>
        <w:rPr>
          <w:rFonts w:hint="eastAsia" w:ascii="宋体" w:hAnsi="宋体" w:cs="宋体"/>
          <w:color w:val="auto"/>
          <w:kern w:val="2"/>
          <w:sz w:val="22"/>
          <w:szCs w:val="22"/>
          <w:highlight w:val="none"/>
          <w:lang w:val="en-US" w:eastAsia="zh-CN"/>
        </w:rPr>
        <w:t>本合同的履约担保金额为人民币￥7900.00元 （大写：柒仟玖佰元整），由乙方所缴纳的投标保证金转化</w:t>
      </w:r>
      <w:r>
        <w:rPr>
          <w:rFonts w:hint="eastAsia" w:ascii="宋体" w:hAnsi="宋体" w:cs="宋体"/>
          <w:color w:val="auto"/>
          <w:kern w:val="44"/>
          <w:sz w:val="22"/>
          <w:szCs w:val="22"/>
          <w:highlight w:val="none"/>
        </w:rPr>
        <w:t>。</w:t>
      </w:r>
      <w:r>
        <w:rPr>
          <w:rFonts w:hint="eastAsia" w:ascii="宋体" w:hAnsi="宋体" w:cs="宋体"/>
          <w:color w:val="auto"/>
          <w:kern w:val="2"/>
          <w:sz w:val="22"/>
          <w:szCs w:val="22"/>
          <w:highlight w:val="none"/>
        </w:rPr>
        <w:t>作为甲方对乙方合约履行的保证，如乙方违约，甲方则有权从该履约保证金中扣除。</w:t>
      </w:r>
    </w:p>
    <w:p w14:paraId="2109888F">
      <w:pPr>
        <w:adjustRightInd w:val="0"/>
        <w:snapToGrid w:val="0"/>
        <w:spacing w:line="400" w:lineRule="exact"/>
        <w:ind w:firstLine="440" w:firstLineChars="200"/>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2、如乙方未依照本合同项下约定全面履行义务，甲方有权在书面通知乙方后，从履约保证金中支付因乙方违约行为所导致的一切损失（包括但不限于违约金，损害赔偿金及甲方因此而发生的全部费用，包括诉讼费、仲裁费、评估费、律师费等）。</w:t>
      </w:r>
    </w:p>
    <w:p w14:paraId="022EC94B">
      <w:pPr>
        <w:adjustRightInd w:val="0"/>
        <w:snapToGrid w:val="0"/>
        <w:spacing w:line="400" w:lineRule="exact"/>
        <w:ind w:firstLine="440" w:firstLineChars="200"/>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3、履约保证金不足支付部分，甲方有权另行向乙方索赔。</w:t>
      </w:r>
    </w:p>
    <w:p w14:paraId="073393E8">
      <w:pPr>
        <w:spacing w:line="360" w:lineRule="auto"/>
        <w:ind w:firstLine="440" w:firstLineChars="200"/>
        <w:rPr>
          <w:rFonts w:hint="eastAsia" w:eastAsia="宋体"/>
          <w:color w:val="auto"/>
          <w:highlight w:val="none"/>
          <w:lang w:eastAsia="zh-CN"/>
        </w:rPr>
      </w:pPr>
      <w:r>
        <w:rPr>
          <w:rFonts w:hint="eastAsia" w:ascii="宋体" w:hAnsi="宋体" w:cs="宋体"/>
          <w:color w:val="auto"/>
          <w:kern w:val="2"/>
          <w:sz w:val="22"/>
          <w:szCs w:val="22"/>
          <w:highlight w:val="none"/>
        </w:rPr>
        <w:t>4、乙方依照本合同约定全面履行义务，并经甲方书面同意后，</w:t>
      </w:r>
      <w:r>
        <w:rPr>
          <w:rFonts w:hint="eastAsia" w:ascii="宋体" w:hAnsi="宋体" w:cs="宋体"/>
          <w:color w:val="auto"/>
          <w:kern w:val="44"/>
          <w:sz w:val="22"/>
          <w:szCs w:val="22"/>
          <w:highlight w:val="none"/>
        </w:rPr>
        <w:t>履约担保在完成本合同全部义务且质保期（如有）满后二十八天内无息退还</w:t>
      </w:r>
      <w:r>
        <w:rPr>
          <w:rFonts w:hint="eastAsia" w:ascii="宋体" w:hAnsi="宋体" w:cs="宋体"/>
          <w:color w:val="auto"/>
          <w:kern w:val="44"/>
          <w:sz w:val="22"/>
          <w:szCs w:val="22"/>
          <w:highlight w:val="none"/>
          <w:lang w:eastAsia="zh-CN"/>
        </w:rPr>
        <w:t>。</w:t>
      </w:r>
    </w:p>
    <w:p w14:paraId="0CFD14CB">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一</w:t>
      </w:r>
      <w:r>
        <w:rPr>
          <w:rFonts w:hint="eastAsia" w:ascii="宋体" w:hAnsi="宋体" w:cs="宋体"/>
          <w:b/>
          <w:color w:val="auto"/>
          <w:sz w:val="21"/>
          <w:szCs w:val="21"/>
          <w:highlight w:val="none"/>
        </w:rPr>
        <w:t>条 付款方式及付款条件</w:t>
      </w:r>
    </w:p>
    <w:p w14:paraId="59A8CA2F">
      <w:pPr>
        <w:spacing w:line="36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 在合同供货期内，乙方每次供货完成并经甲方验收合格后的一个月内支付以电汇/转账/银行承兑汇票等方式对应款项。每次结算付款金额按照固定综合单价×实际供货数量进行确定。</w:t>
      </w:r>
    </w:p>
    <w:p w14:paraId="115EAABA">
      <w:pPr>
        <w:spacing w:line="36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款项支付前，乙方应向甲方提交以下资料：</w:t>
      </w:r>
    </w:p>
    <w:p w14:paraId="3ACF1D5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A．标的货物经甲方地磅计量的实际重量；</w:t>
      </w:r>
    </w:p>
    <w:p w14:paraId="2D1552F0">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B．开具金额为该月验收合格货物总价100%的增值税专用发票；</w:t>
      </w:r>
    </w:p>
    <w:p w14:paraId="300C60A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C．乙方向甲方缴纳的履约担保证明资料（首次支付时需要）；</w:t>
      </w:r>
    </w:p>
    <w:p w14:paraId="04DE5AC6">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D</w:t>
      </w:r>
      <w:r>
        <w:rPr>
          <w:rFonts w:hint="eastAsia" w:ascii="宋体" w:hAnsi="宋体" w:cs="宋体"/>
          <w:color w:val="auto"/>
          <w:sz w:val="21"/>
          <w:szCs w:val="21"/>
          <w:highlight w:val="none"/>
        </w:rPr>
        <w:t>．送货清单（甲方指定收货人签字确认）；</w:t>
      </w:r>
    </w:p>
    <w:p w14:paraId="57E1B20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E</w:t>
      </w:r>
      <w:r>
        <w:rPr>
          <w:rFonts w:hint="eastAsia" w:ascii="宋体" w:hAnsi="宋体" w:cs="宋体"/>
          <w:color w:val="auto"/>
          <w:sz w:val="21"/>
          <w:szCs w:val="21"/>
          <w:highlight w:val="none"/>
        </w:rPr>
        <w:t>．每车次货物出厂化验报告；</w:t>
      </w:r>
    </w:p>
    <w:p w14:paraId="6398544C">
      <w:pPr>
        <w:spacing w:line="360" w:lineRule="auto"/>
        <w:ind w:firstLine="420" w:firstLineChars="200"/>
        <w:rPr>
          <w:rFonts w:hint="eastAsia"/>
          <w:color w:val="auto"/>
          <w:highlight w:val="none"/>
        </w:rPr>
      </w:pP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．开具金额为</w:t>
      </w:r>
      <w:r>
        <w:rPr>
          <w:rFonts w:hint="eastAsia" w:ascii="宋体" w:hAnsi="宋体" w:cs="宋体"/>
          <w:color w:val="auto"/>
          <w:sz w:val="21"/>
          <w:szCs w:val="21"/>
          <w:highlight w:val="none"/>
          <w:lang w:val="en-US" w:eastAsia="zh-CN"/>
        </w:rPr>
        <w:t>该批次</w:t>
      </w:r>
      <w:r>
        <w:rPr>
          <w:rFonts w:hint="eastAsia" w:ascii="宋体" w:hAnsi="宋体" w:cs="宋体"/>
          <w:color w:val="auto"/>
          <w:sz w:val="21"/>
          <w:szCs w:val="21"/>
          <w:highlight w:val="none"/>
        </w:rPr>
        <w:t>验收合格货物总价100％的</w:t>
      </w:r>
      <w:r>
        <w:rPr>
          <w:rFonts w:hint="eastAsia" w:ascii="宋体" w:hAnsi="宋体" w:cs="宋体"/>
          <w:color w:val="auto"/>
          <w:sz w:val="21"/>
          <w:szCs w:val="21"/>
          <w:highlight w:val="none"/>
          <w:lang w:val="en-US" w:eastAsia="zh-CN"/>
        </w:rPr>
        <w:t>13%的</w:t>
      </w:r>
      <w:r>
        <w:rPr>
          <w:rFonts w:hint="eastAsia" w:ascii="宋体" w:hAnsi="宋体" w:cs="宋体"/>
          <w:color w:val="auto"/>
          <w:sz w:val="21"/>
          <w:szCs w:val="21"/>
          <w:highlight w:val="none"/>
        </w:rPr>
        <w:t>增值税专用发票（在合同履行期间，如遇国家的税率调整，则货款（价税合计）应根据原不含税价和调整后的税率重新计算，相应发票按调整后价格开具）；</w:t>
      </w:r>
    </w:p>
    <w:p w14:paraId="6281504E">
      <w:pPr>
        <w:tabs>
          <w:tab w:val="left" w:pos="6597"/>
        </w:tabs>
        <w:autoSpaceDE w:val="0"/>
        <w:autoSpaceDN w:val="0"/>
        <w:spacing w:line="360" w:lineRule="auto"/>
        <w:ind w:firstLine="420" w:firstLineChars="200"/>
        <w:textAlignment w:val="bottom"/>
        <w:rPr>
          <w:rFonts w:hint="eastAsia" w:ascii="宋体" w:hAnsi="宋体" w:cs="宋体"/>
          <w:color w:val="auto"/>
          <w:sz w:val="21"/>
          <w:szCs w:val="21"/>
          <w:highlight w:val="none"/>
        </w:rPr>
      </w:pPr>
      <w:r>
        <w:rPr>
          <w:rFonts w:hint="eastAsia" w:ascii="宋体" w:hAnsi="宋体" w:cs="宋体"/>
          <w:color w:val="auto"/>
          <w:sz w:val="21"/>
          <w:szCs w:val="21"/>
          <w:highlight w:val="none"/>
        </w:rPr>
        <w:t>2．乙方确认其收款银行账户如下：</w:t>
      </w:r>
    </w:p>
    <w:p w14:paraId="66540616">
      <w:pPr>
        <w:pStyle w:val="64"/>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账户名称：</w:t>
      </w:r>
    </w:p>
    <w:p w14:paraId="63C6A56D">
      <w:pPr>
        <w:pStyle w:val="64"/>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开户银行：</w:t>
      </w:r>
    </w:p>
    <w:p w14:paraId="5B1A04B9">
      <w:pPr>
        <w:pStyle w:val="64"/>
        <w:spacing w:line="360" w:lineRule="auto"/>
        <w:ind w:firstLine="420" w:firstLineChars="200"/>
        <w:rPr>
          <w:rFonts w:hint="eastAsia"/>
          <w:color w:val="auto"/>
          <w:highlight w:val="none"/>
          <w:lang w:val="en-US" w:eastAsia="zh-CN"/>
        </w:rPr>
      </w:pPr>
      <w:r>
        <w:rPr>
          <w:rFonts w:hint="eastAsia" w:ascii="宋体" w:hAnsi="宋体" w:cs="宋体"/>
          <w:color w:val="auto"/>
          <w:sz w:val="21"/>
          <w:szCs w:val="21"/>
          <w:highlight w:val="none"/>
        </w:rPr>
        <w:t>银行账号：</w:t>
      </w:r>
    </w:p>
    <w:p w14:paraId="50CE17A1">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二</w:t>
      </w:r>
      <w:r>
        <w:rPr>
          <w:rFonts w:hint="eastAsia" w:ascii="宋体" w:hAnsi="宋体" w:cs="宋体"/>
          <w:b/>
          <w:color w:val="auto"/>
          <w:sz w:val="21"/>
          <w:szCs w:val="21"/>
          <w:highlight w:val="none"/>
        </w:rPr>
        <w:t>条  不可抗力</w:t>
      </w:r>
    </w:p>
    <w:p w14:paraId="073172A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不可抗力”是指不能预见、不能避免并不能克服的客观情况，包括但不限于：天灾、水灾、地震或其他灾难，战争或暴乱，以及其他在受影响的一方合理控制范围以外且经该方合理努力后也不能防止或避免的类似事件。</w:t>
      </w:r>
    </w:p>
    <w:p w14:paraId="378916D9">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2.由于不可抗力的原因，而不能履行合同或延迟履行合同的一方可视不可抗力的实际影响免除部分或全部违约责任。但受不可抗力影响的一方应在通知可能的情况下立即通知对方,并在不可抗力发生后</w:t>
      </w:r>
      <w:r>
        <w:rPr>
          <w:rFonts w:hint="eastAsia" w:ascii="宋体" w:hAnsi="宋体" w:cs="宋体"/>
          <w:color w:val="auto"/>
          <w:sz w:val="21"/>
          <w:szCs w:val="21"/>
          <w:highlight w:val="none"/>
          <w:u w:val="single"/>
        </w:rPr>
        <w:t>7</w:t>
      </w:r>
      <w:r>
        <w:rPr>
          <w:rFonts w:hint="eastAsia" w:ascii="宋体" w:hAnsi="宋体" w:cs="宋体"/>
          <w:color w:val="auto"/>
          <w:sz w:val="21"/>
          <w:szCs w:val="21"/>
          <w:highlight w:val="none"/>
        </w:rPr>
        <w:t>日内特快专递邮寄相关的主管部门签发的证明文件,以便其他各方审查、确认。</w:t>
      </w:r>
    </w:p>
    <w:p w14:paraId="2AAF8EC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3.发生不可抗力事件终止或消除后，受不可抗力影响的一方，应立即通知对方, 发生不可抗力事件终止或消除后</w:t>
      </w:r>
      <w:r>
        <w:rPr>
          <w:rFonts w:hint="eastAsia" w:ascii="宋体" w:hAnsi="宋体" w:cs="宋体"/>
          <w:color w:val="auto"/>
          <w:sz w:val="21"/>
          <w:szCs w:val="21"/>
          <w:highlight w:val="none"/>
          <w:u w:val="single"/>
        </w:rPr>
        <w:t>7</w:t>
      </w:r>
      <w:r>
        <w:rPr>
          <w:rFonts w:hint="eastAsia" w:ascii="宋体" w:hAnsi="宋体" w:cs="宋体"/>
          <w:color w:val="auto"/>
          <w:sz w:val="21"/>
          <w:szCs w:val="21"/>
          <w:highlight w:val="none"/>
        </w:rPr>
        <w:t>日内特快专递邮寄相关的主管部门签发的证明文件确认不可抗力事件的终止或消除。</w:t>
      </w:r>
    </w:p>
    <w:p w14:paraId="053FBA2E">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4.如果不可抗力的影响持续超过</w:t>
      </w:r>
      <w:r>
        <w:rPr>
          <w:rFonts w:hint="eastAsia" w:ascii="宋体" w:hAnsi="宋体" w:cs="宋体"/>
          <w:color w:val="auto"/>
          <w:sz w:val="21"/>
          <w:szCs w:val="21"/>
          <w:highlight w:val="none"/>
          <w:u w:val="single"/>
        </w:rPr>
        <w:t>3个</w:t>
      </w:r>
      <w:r>
        <w:rPr>
          <w:rFonts w:hint="eastAsia" w:ascii="宋体" w:hAnsi="宋体" w:cs="宋体"/>
          <w:color w:val="auto"/>
          <w:sz w:val="21"/>
          <w:szCs w:val="21"/>
          <w:highlight w:val="none"/>
        </w:rPr>
        <w:t>月，受不可抗力影响的一方应与对方取得联系，以便解决进一步履行合同的问题。</w:t>
      </w:r>
    </w:p>
    <w:p w14:paraId="1E8C4555">
      <w:pPr>
        <w:spacing w:line="360" w:lineRule="auto"/>
        <w:ind w:firstLine="420" w:firstLineChars="200"/>
        <w:rPr>
          <w:rFonts w:hint="eastAsia" w:ascii="宋体" w:hAnsi="宋体" w:cs="宋体"/>
          <w:bCs/>
          <w:color w:val="auto"/>
          <w:sz w:val="21"/>
          <w:szCs w:val="21"/>
          <w:highlight w:val="none"/>
        </w:rPr>
      </w:pPr>
      <w:r>
        <w:rPr>
          <w:rFonts w:hint="eastAsia" w:ascii="宋体" w:hAnsi="宋体" w:cs="宋体"/>
          <w:color w:val="auto"/>
          <w:sz w:val="21"/>
          <w:szCs w:val="21"/>
          <w:highlight w:val="none"/>
        </w:rPr>
        <w:t>5.</w:t>
      </w:r>
      <w:r>
        <w:rPr>
          <w:rFonts w:hint="eastAsia" w:ascii="宋体" w:hAnsi="宋体" w:cs="宋体"/>
          <w:bCs/>
          <w:color w:val="auto"/>
          <w:sz w:val="21"/>
          <w:szCs w:val="21"/>
          <w:highlight w:val="none"/>
        </w:rPr>
        <w:t xml:space="preserve"> 乙方应考虑因不可抗力或安全事故等突发因素导致甲方项目延期或停产而不能完成年度采购计划总量的情况，并自行承担风险。</w:t>
      </w:r>
    </w:p>
    <w:p w14:paraId="4D893B63">
      <w:pPr>
        <w:spacing w:line="360" w:lineRule="auto"/>
        <w:ind w:firstLine="420" w:firstLineChars="200"/>
        <w:rPr>
          <w:rFonts w:hint="eastAsia" w:ascii="宋体" w:hAnsi="宋体" w:cs="宋体"/>
          <w:color w:val="auto"/>
          <w:sz w:val="21"/>
          <w:szCs w:val="21"/>
          <w:highlight w:val="none"/>
        </w:rPr>
      </w:pPr>
    </w:p>
    <w:p w14:paraId="7701E62B">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三</w:t>
      </w:r>
      <w:r>
        <w:rPr>
          <w:rFonts w:hint="eastAsia" w:ascii="宋体" w:hAnsi="宋体" w:cs="宋体"/>
          <w:b/>
          <w:color w:val="auto"/>
          <w:sz w:val="21"/>
          <w:szCs w:val="21"/>
          <w:highlight w:val="none"/>
        </w:rPr>
        <w:t>条  合同的变更和解除</w:t>
      </w:r>
    </w:p>
    <w:p w14:paraId="522C927C">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1.双方协商一致可变更或解除本合同。合同变更或解除应采取书面形式。</w:t>
      </w:r>
    </w:p>
    <w:p w14:paraId="39E3251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有下列情形之一者，守约方可单方解除合同：（1）因不可抗力持续时间超过【3】个月，不能实现合同目的；（2）未经对方书面同意，将合同部分或全部权利义务转让给第三方；（3）在履行期限届满之前，一方明确表示或者以自己的行为表明不履行主要债务；（4）一方迟延履行主要债务，经催告后在合理期限内仍未履行，包括乙方任何一批货物逾期交货超过三天，甲方有权单方解除本合同；（5）一方迟延履行债务或者有其他违约行为致使不能实现合同目的；（6）货物质量指标不符合甲方所需技术要求者，包括乙方累计不合格货物车次达三次或以上的，甲方有权单方解除本合同；（7）法律规定的其他情形。</w:t>
      </w:r>
    </w:p>
    <w:p w14:paraId="2BF9ADC1">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3.解除合同方在解除合同时，应履行通知对方义务。</w:t>
      </w:r>
    </w:p>
    <w:p w14:paraId="7F0A46D5">
      <w:pPr>
        <w:spacing w:line="360" w:lineRule="auto"/>
        <w:ind w:firstLine="420" w:firstLineChars="200"/>
        <w:rPr>
          <w:rFonts w:hint="eastAsia" w:ascii="宋体" w:hAnsi="宋体" w:cs="宋体"/>
          <w:b/>
          <w:color w:val="auto"/>
          <w:sz w:val="21"/>
          <w:szCs w:val="21"/>
          <w:highlight w:val="none"/>
        </w:rPr>
      </w:pPr>
    </w:p>
    <w:p w14:paraId="270EEDB6">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四</w:t>
      </w:r>
      <w:r>
        <w:rPr>
          <w:rFonts w:hint="eastAsia" w:ascii="宋体" w:hAnsi="宋体" w:cs="宋体"/>
          <w:b/>
          <w:color w:val="auto"/>
          <w:sz w:val="21"/>
          <w:szCs w:val="21"/>
          <w:highlight w:val="none"/>
        </w:rPr>
        <w:t>条  违约责任</w:t>
      </w:r>
    </w:p>
    <w:p w14:paraId="44FDED21">
      <w:pPr>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1、乙方必须严格按照合同及采购订单约定的品名、数量、价格、规格、型号、质量以及交货期限等向甲方提供货物。因乙方原因逾期交货或者货物质量不符合约定的，乙方应以如下方式向甲方承担违约责任：</w:t>
      </w:r>
    </w:p>
    <w:p w14:paraId="100053F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每逾期交货一天，支付逾期交货部分价款0.5%的违约金；不满一天按一天计算；逾期违约金的支付不影响乙方交货义务的履行；任何一批货物逾期交货超过三天，甲方有权单方面取消对应订单或者终止本合同，并追究乙方的违约责任。甲方有权从履约担保中扣除违约金，履约担保不足支付部分，甲方有权另行向乙方索赔。</w:t>
      </w:r>
    </w:p>
    <w:p w14:paraId="42C3B54B">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因乙方违约或者乙方交付的货物不符合本合同约定要求，甲方要求退货或者解除合同的，乙方应当退还甲方支付的全部货款（如有）及按中国人民银行同期同类贷款利率计算的利息、向甲方支付合同总价款2%的违约金并且赔偿甲方的全部损失。甲方有权从履约担保中扣除违约金，履约担保不足支付部分，甲方有权另行向乙方索赔。若乙方已经交付货物的，乙方应当自甲方通知解除合同之日起5个工作日内自行将所退货物运离，否则视为乙方放弃对货物的一切权利，甲方有权自行处置。由此产生的保管费、运费、处置费等一切费用及货物的损毁、灭失风险均由乙方承担。</w:t>
      </w:r>
    </w:p>
    <w:p w14:paraId="101436F2">
      <w:pPr>
        <w:pStyle w:val="64"/>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.如乙方配送伪劣假冒的产品，一经查出，甲方有权立即终止本合同并追究乙方的违约责任，由此而引起的安全事故责任，由乙方承担全部责任。</w:t>
      </w:r>
    </w:p>
    <w:p w14:paraId="0EE0ACE9">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.发生其他违约情形，违约方应赔偿由此给对方造成的损失。如属双方过错，应各自承担相应责任。</w:t>
      </w:r>
    </w:p>
    <w:p w14:paraId="305B5FE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.乙方交付的货物不符合合同约定的数量，乙方应按甲方要求在</w:t>
      </w:r>
      <w:r>
        <w:rPr>
          <w:rFonts w:hint="eastAsia" w:ascii="宋体" w:hAnsi="宋体" w:cs="宋体"/>
          <w:color w:val="auto"/>
          <w:sz w:val="21"/>
          <w:szCs w:val="21"/>
          <w:highlight w:val="none"/>
          <w:u w:val="single"/>
        </w:rPr>
        <w:t xml:space="preserve"> 两 </w:t>
      </w:r>
      <w:r>
        <w:rPr>
          <w:rFonts w:hint="eastAsia" w:ascii="宋体" w:hAnsi="宋体" w:cs="宋体"/>
          <w:color w:val="auto"/>
          <w:sz w:val="21"/>
          <w:szCs w:val="21"/>
          <w:highlight w:val="none"/>
        </w:rPr>
        <w:t>日内补足货物数量，如在甲方通知的期限内，乙方未能进行更换或补足，则乙方应承担本合同第十四条第1款逾期交货的违约责任。同时甲方有权要求乙方赔偿因其不完全履约而造成的损失。</w:t>
      </w:r>
    </w:p>
    <w:p w14:paraId="214F2B80">
      <w:pPr>
        <w:pStyle w:val="65"/>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.乙方擅自解除合同或者因乙方违约造成甲方解除合同的，乙方应当向甲方支付合同暂定总价（</w:t>
      </w:r>
      <w:r>
        <w:rPr>
          <w:rFonts w:hint="eastAsia" w:ascii="宋体" w:hAnsi="宋体" w:cs="宋体"/>
          <w:snapToGrid w:val="0"/>
          <w:color w:val="auto"/>
          <w:sz w:val="21"/>
          <w:szCs w:val="21"/>
          <w:highlight w:val="none"/>
        </w:rPr>
        <w:t>计划供货量×中标综合单价</w:t>
      </w:r>
      <w:r>
        <w:rPr>
          <w:rFonts w:hint="eastAsia" w:ascii="宋体" w:hAnsi="宋体" w:cs="宋体"/>
          <w:color w:val="auto"/>
          <w:sz w:val="21"/>
          <w:szCs w:val="21"/>
          <w:highlight w:val="none"/>
        </w:rPr>
        <w:t>）2%的违约金并且赔偿甲方全部损失，同时甲方没收乙方的履约保证金。</w:t>
      </w:r>
    </w:p>
    <w:p w14:paraId="3C2835B2">
      <w:pPr>
        <w:tabs>
          <w:tab w:val="left" w:pos="7920"/>
        </w:tabs>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.如乙方交付的货物质量不符合合同约定标准，导致甲方设备故障，甲方有权解除合同，并且乙方应当向甲方支付合同暂定总价（</w:t>
      </w:r>
      <w:r>
        <w:rPr>
          <w:rFonts w:hint="eastAsia" w:ascii="宋体" w:hAnsi="宋体" w:cs="宋体"/>
          <w:snapToGrid w:val="0"/>
          <w:color w:val="auto"/>
          <w:sz w:val="21"/>
          <w:szCs w:val="21"/>
          <w:highlight w:val="none"/>
        </w:rPr>
        <w:t>计划供货量×中标综合单价</w:t>
      </w:r>
      <w:r>
        <w:rPr>
          <w:rFonts w:hint="eastAsia" w:ascii="宋体" w:hAnsi="宋体" w:cs="宋体"/>
          <w:color w:val="auto"/>
          <w:sz w:val="21"/>
          <w:szCs w:val="21"/>
          <w:highlight w:val="none"/>
        </w:rPr>
        <w:t>）2%的违约金，如该费用不足抵扣设备维修费，甲方有权继续追偿。</w:t>
      </w:r>
    </w:p>
    <w:p w14:paraId="517A0B5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.乙方违约金的支付不免除乙方在本合同项下的各项义务。</w:t>
      </w:r>
    </w:p>
    <w:p w14:paraId="6FEB364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本合同中所写的全部损失皆指所造成的一切实际损失与可得利益损失、甲方另外采购的货物价格高于本合同约定价格而产生的差额，并包含承担守约方为维护自身权益所产生的一切费用，包括但不限于律师费、诉讼费、保全费、公证费、公告费等。</w:t>
      </w:r>
    </w:p>
    <w:p w14:paraId="7591E2BA">
      <w:pPr>
        <w:spacing w:line="360" w:lineRule="auto"/>
        <w:ind w:firstLine="420" w:firstLineChars="200"/>
        <w:rPr>
          <w:rFonts w:hint="eastAsia" w:ascii="宋体" w:hAnsi="宋体" w:cs="宋体"/>
          <w:b/>
          <w:bCs/>
          <w:color w:val="auto"/>
          <w:sz w:val="21"/>
          <w:szCs w:val="21"/>
          <w:highlight w:val="none"/>
        </w:rPr>
      </w:pPr>
    </w:p>
    <w:p w14:paraId="5257DA8E">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五</w:t>
      </w:r>
      <w:r>
        <w:rPr>
          <w:rFonts w:hint="eastAsia" w:ascii="宋体" w:hAnsi="宋体" w:cs="宋体"/>
          <w:b/>
          <w:color w:val="auto"/>
          <w:sz w:val="21"/>
          <w:szCs w:val="21"/>
          <w:highlight w:val="none"/>
        </w:rPr>
        <w:t>条  法律适用及争议解决</w:t>
      </w:r>
    </w:p>
    <w:p w14:paraId="21E2BBC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1.本合同的订立、履行、变更、争议解决均适用中华人民共和国法律。</w:t>
      </w:r>
    </w:p>
    <w:p w14:paraId="3B5D182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2.因本合同引起的或者在履行本合同过程中产生的任何争议，双方应当协商解决。双方协商不成时，任何一方均可向甲方所在地人民法院提起诉讼。</w:t>
      </w:r>
    </w:p>
    <w:p w14:paraId="2362A1EF">
      <w:pPr>
        <w:spacing w:line="360" w:lineRule="auto"/>
        <w:ind w:firstLine="420" w:firstLineChars="200"/>
        <w:rPr>
          <w:rFonts w:hint="eastAsia" w:ascii="宋体" w:hAnsi="宋体" w:cs="宋体"/>
          <w:b/>
          <w:color w:val="auto"/>
          <w:sz w:val="21"/>
          <w:szCs w:val="21"/>
          <w:highlight w:val="none"/>
        </w:rPr>
      </w:pPr>
    </w:p>
    <w:p w14:paraId="4E829A4D">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第十六条  合同生效及其他</w:t>
      </w:r>
    </w:p>
    <w:p w14:paraId="289896CC">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乙方应当保证甲方在使用货物、服务及其任何部份时不受到任何第三方关于侵犯专利权、商标权或其他知识产权的指控。任何第三方如果提出侵权指控，乙方须与第三方交涉，并承担由此而发生的一切法律责任和费用。乙方同意自费解决相关问题，同时保证甲方的利益免受损失，并且对销售和使用此设备引起的侵权导致的对甲方的一切损失和额外费用承担赔偿责任。</w:t>
      </w:r>
    </w:p>
    <w:p w14:paraId="6B4D22DA">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2.任何一方对因履行本合同而获悉的对方的商业秘密负有保密义务，未经对方书面允许，不得向任何第三方披露。违反上述约定，泄露对方商业秘密的一方应当赔偿对方的全部损失。</w:t>
      </w:r>
    </w:p>
    <w:p w14:paraId="5666F1FE">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3.本合同未尽事项，由甲、乙双方另行议定并签订补充协议。补充协议与本合同具有同等法律效力。谈判过程中形成的资料、意向与本合同不一致的一律以本合同为准。</w:t>
      </w:r>
    </w:p>
    <w:p w14:paraId="45EDAEDE">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4.任何一方向对方发出的通知和文件，应按照本合同记载的对方地址，用EMS特快专递或专人送达或电子邮件方式发出。如果使用EMS特快专递方式，在发出后第三日视为通知已到达对方；如果使用专人送达方式，则在对方法定代表人或授权代表或收件部门签收之日视为通知已到达对方；如果使用电子邮件方式，除电子邮件因技术问题被退回外，在通知方发出电子邮件时即视为通知已到达对方；如果同时使用几种通知方式的，以其中较快到达接收方者为准。</w:t>
      </w:r>
    </w:p>
    <w:p w14:paraId="04DA722B">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5.任何一方联络方法发生变更的，应当及时书面通知另一方。在另一方收到对方变更通讯地址的通知之前，另一方根据变更前的地址所发出的通知应视为有效。</w:t>
      </w:r>
    </w:p>
    <w:p w14:paraId="08DF31FF">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6.本合同包括下列附件：</w:t>
      </w:r>
      <w:r>
        <w:rPr>
          <w:rFonts w:hint="eastAsia" w:ascii="宋体" w:hAnsi="宋体" w:cs="宋体"/>
          <w:color w:val="auto"/>
          <w:sz w:val="21"/>
          <w:szCs w:val="21"/>
          <w:highlight w:val="none"/>
          <w:u w:val="single"/>
        </w:rPr>
        <w:t>合同签订时补充以及技术协议书、用户需求书、规格书、</w:t>
      </w:r>
      <w:r>
        <w:rPr>
          <w:rFonts w:hint="eastAsia" w:ascii="宋体" w:hAnsi="宋体" w:cs="宋体"/>
          <w:color w:val="auto"/>
          <w:sz w:val="21"/>
          <w:szCs w:val="21"/>
          <w:highlight w:val="none"/>
          <w:u w:val="single"/>
          <w:lang w:eastAsia="zh-CN"/>
        </w:rPr>
        <w:t>采购文件</w:t>
      </w:r>
      <w:r>
        <w:rPr>
          <w:rFonts w:hint="eastAsia" w:ascii="宋体" w:hAnsi="宋体" w:cs="宋体"/>
          <w:color w:val="auto"/>
          <w:sz w:val="21"/>
          <w:szCs w:val="21"/>
          <w:highlight w:val="none"/>
          <w:u w:val="single"/>
        </w:rPr>
        <w:t>及投标文件（如有）等</w:t>
      </w:r>
      <w:r>
        <w:rPr>
          <w:rFonts w:hint="eastAsia" w:ascii="宋体" w:hAnsi="宋体" w:cs="宋体"/>
          <w:color w:val="auto"/>
          <w:sz w:val="21"/>
          <w:szCs w:val="21"/>
          <w:highlight w:val="none"/>
        </w:rPr>
        <w:t>。该等附件均为本合同不可分割的组成部分，与本合同具有同等法律效力。合同附件与本合同内容发生冲突时，以对甲方有利的内容为准。</w:t>
      </w:r>
    </w:p>
    <w:p w14:paraId="6DAEF9B2">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7. 本合同一式</w:t>
      </w:r>
      <w:r>
        <w:rPr>
          <w:rFonts w:hint="eastAsia" w:ascii="宋体" w:hAnsi="宋体" w:cs="宋体"/>
          <w:color w:val="auto"/>
          <w:sz w:val="21"/>
          <w:szCs w:val="21"/>
          <w:highlight w:val="none"/>
          <w:u w:val="single"/>
          <w:lang w:eastAsia="zh-CN"/>
        </w:rPr>
        <w:t>肆</w:t>
      </w:r>
      <w:r>
        <w:rPr>
          <w:rFonts w:hint="eastAsia" w:ascii="宋体" w:hAnsi="宋体" w:cs="宋体"/>
          <w:color w:val="auto"/>
          <w:sz w:val="21"/>
          <w:szCs w:val="21"/>
          <w:highlight w:val="none"/>
        </w:rPr>
        <w:t>份，甲方执</w:t>
      </w:r>
      <w:r>
        <w:rPr>
          <w:rFonts w:hint="eastAsia" w:ascii="宋体" w:hAnsi="宋体" w:cs="宋体"/>
          <w:color w:val="auto"/>
          <w:sz w:val="21"/>
          <w:szCs w:val="21"/>
          <w:highlight w:val="none"/>
          <w:u w:val="single"/>
          <w:lang w:eastAsia="zh-CN"/>
        </w:rPr>
        <w:t>贰</w:t>
      </w:r>
      <w:r>
        <w:rPr>
          <w:rFonts w:hint="eastAsia" w:ascii="宋体" w:hAnsi="宋体" w:cs="宋体"/>
          <w:color w:val="auto"/>
          <w:sz w:val="21"/>
          <w:szCs w:val="21"/>
          <w:highlight w:val="none"/>
        </w:rPr>
        <w:t>份，乙方执</w:t>
      </w:r>
      <w:r>
        <w:rPr>
          <w:rFonts w:hint="eastAsia" w:ascii="宋体" w:hAnsi="宋体" w:cs="宋体"/>
          <w:color w:val="auto"/>
          <w:sz w:val="21"/>
          <w:szCs w:val="21"/>
          <w:highlight w:val="none"/>
          <w:u w:val="single"/>
          <w:lang w:eastAsia="zh-CN"/>
        </w:rPr>
        <w:t>贰</w:t>
      </w:r>
      <w:r>
        <w:rPr>
          <w:rFonts w:hint="eastAsia" w:ascii="宋体" w:hAnsi="宋体" w:cs="宋体"/>
          <w:color w:val="auto"/>
          <w:sz w:val="21"/>
          <w:szCs w:val="21"/>
          <w:highlight w:val="none"/>
        </w:rPr>
        <w:t>份，具有同等法律效力。</w:t>
      </w:r>
    </w:p>
    <w:p w14:paraId="2233C025">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8.双方在签署本合同前已经认真研究了合同各条内容，对合同内容无异议，同意签署。</w:t>
      </w:r>
    </w:p>
    <w:p w14:paraId="37E1EC44">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9.本合同自双方签字并盖章之日起生效，合同有效期自生效之日起至达到供货量止。</w:t>
      </w:r>
    </w:p>
    <w:p w14:paraId="454CC43C">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10.其他约定：</w:t>
      </w:r>
      <w:r>
        <w:rPr>
          <w:rFonts w:hint="eastAsia" w:ascii="宋体" w:hAnsi="宋体" w:cs="宋体"/>
          <w:color w:val="auto"/>
          <w:sz w:val="21"/>
          <w:szCs w:val="21"/>
          <w:highlight w:val="none"/>
          <w:u w:val="single"/>
        </w:rPr>
        <w:t>无</w:t>
      </w:r>
      <w:r>
        <w:rPr>
          <w:rFonts w:hint="eastAsia" w:ascii="宋体" w:hAnsi="宋体" w:cs="宋体"/>
          <w:color w:val="auto"/>
          <w:sz w:val="21"/>
          <w:szCs w:val="21"/>
          <w:highlight w:val="none"/>
        </w:rPr>
        <w:t>。</w:t>
      </w:r>
    </w:p>
    <w:p w14:paraId="117062B1">
      <w:pPr>
        <w:tabs>
          <w:tab w:val="right" w:pos="8306"/>
        </w:tabs>
        <w:spacing w:line="360" w:lineRule="auto"/>
        <w:ind w:firstLine="420" w:firstLineChars="200"/>
        <w:rPr>
          <w:rFonts w:hint="eastAsia" w:ascii="宋体" w:hAnsi="宋体" w:cs="宋体"/>
          <w:b/>
          <w:bCs/>
          <w:snapToGrid w:val="0"/>
          <w:color w:val="auto"/>
          <w:sz w:val="21"/>
          <w:szCs w:val="21"/>
          <w:highlight w:val="none"/>
        </w:rPr>
      </w:pPr>
    </w:p>
    <w:p w14:paraId="5A1E26A5">
      <w:pPr>
        <w:tabs>
          <w:tab w:val="right" w:pos="8306"/>
        </w:tabs>
        <w:spacing w:line="360" w:lineRule="auto"/>
        <w:ind w:firstLine="420" w:firstLineChars="200"/>
        <w:rPr>
          <w:rFonts w:hint="eastAsia" w:ascii="宋体" w:hAnsi="宋体" w:cs="宋体"/>
          <w:b/>
          <w:bCs/>
          <w:snapToGrid w:val="0"/>
          <w:color w:val="auto"/>
          <w:sz w:val="21"/>
          <w:szCs w:val="21"/>
          <w:highlight w:val="none"/>
        </w:rPr>
      </w:pPr>
      <w:r>
        <w:rPr>
          <w:rFonts w:hint="eastAsia" w:ascii="宋体" w:hAnsi="宋体" w:cs="宋体"/>
          <w:b/>
          <w:bCs/>
          <w:snapToGrid w:val="0"/>
          <w:color w:val="auto"/>
          <w:sz w:val="21"/>
          <w:szCs w:val="21"/>
          <w:highlight w:val="none"/>
        </w:rPr>
        <w:t>第十</w:t>
      </w:r>
      <w:r>
        <w:rPr>
          <w:rFonts w:hint="eastAsia" w:ascii="宋体" w:hAnsi="宋体" w:cs="宋体"/>
          <w:b/>
          <w:bCs/>
          <w:snapToGrid w:val="0"/>
          <w:color w:val="auto"/>
          <w:sz w:val="21"/>
          <w:szCs w:val="21"/>
          <w:highlight w:val="none"/>
          <w:lang w:val="en-US" w:eastAsia="zh-CN"/>
        </w:rPr>
        <w:t>七</w:t>
      </w:r>
      <w:r>
        <w:rPr>
          <w:rFonts w:hint="eastAsia" w:ascii="宋体" w:hAnsi="宋体" w:cs="宋体"/>
          <w:b/>
          <w:bCs/>
          <w:snapToGrid w:val="0"/>
          <w:color w:val="auto"/>
          <w:sz w:val="21"/>
          <w:szCs w:val="21"/>
          <w:highlight w:val="none"/>
        </w:rPr>
        <w:t>条  附件</w:t>
      </w:r>
    </w:p>
    <w:p w14:paraId="6EF896A7">
      <w:pPr>
        <w:tabs>
          <w:tab w:val="right" w:pos="8306"/>
        </w:tabs>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一</w:t>
      </w:r>
      <w:r>
        <w:rPr>
          <w:rFonts w:hint="eastAsia" w:ascii="宋体" w:hAnsi="宋体" w:cs="宋体"/>
          <w:color w:val="auto"/>
          <w:sz w:val="21"/>
          <w:szCs w:val="21"/>
          <w:highlight w:val="none"/>
        </w:rPr>
        <w:t>、阳光</w:t>
      </w:r>
      <w:r>
        <w:rPr>
          <w:rFonts w:hint="eastAsia" w:ascii="宋体" w:hAnsi="宋体" w:cs="宋体"/>
          <w:color w:val="auto"/>
          <w:sz w:val="21"/>
          <w:szCs w:val="21"/>
          <w:highlight w:val="none"/>
          <w:lang w:val="en-US" w:eastAsia="zh-CN"/>
        </w:rPr>
        <w:t>合作</w:t>
      </w:r>
      <w:r>
        <w:rPr>
          <w:rFonts w:hint="eastAsia" w:ascii="宋体" w:hAnsi="宋体" w:cs="宋体"/>
          <w:color w:val="auto"/>
          <w:sz w:val="21"/>
          <w:szCs w:val="21"/>
          <w:highlight w:val="none"/>
        </w:rPr>
        <w:t>协议</w:t>
      </w:r>
    </w:p>
    <w:p w14:paraId="729FE2CE">
      <w:pPr>
        <w:tabs>
          <w:tab w:val="right" w:pos="8306"/>
        </w:tabs>
        <w:spacing w:line="360" w:lineRule="auto"/>
        <w:ind w:firstLine="420" w:firstLineChars="200"/>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（以下为各方签署页，无正文）</w:t>
      </w:r>
    </w:p>
    <w:p w14:paraId="1E4DEAA1">
      <w:pPr>
        <w:spacing w:line="360" w:lineRule="auto"/>
        <w:rPr>
          <w:rFonts w:hint="eastAsia" w:ascii="宋体" w:hAnsi="宋体" w:cs="宋体"/>
          <w:b/>
          <w:color w:val="auto"/>
          <w:sz w:val="21"/>
          <w:szCs w:val="21"/>
          <w:highlight w:val="none"/>
        </w:rPr>
      </w:pPr>
      <w:r>
        <w:rPr>
          <w:rFonts w:ascii="宋体" w:hAnsi="宋体" w:cs="宋体"/>
          <w:b/>
          <w:color w:val="auto"/>
          <w:sz w:val="21"/>
          <w:szCs w:val="21"/>
          <w:highlight w:val="none"/>
        </w:rPr>
        <w:br w:type="page"/>
      </w:r>
      <w:r>
        <w:rPr>
          <w:rFonts w:hint="eastAsia" w:ascii="宋体" w:hAnsi="宋体" w:cs="宋体"/>
          <w:b/>
          <w:color w:val="auto"/>
          <w:sz w:val="21"/>
          <w:szCs w:val="21"/>
          <w:highlight w:val="none"/>
        </w:rPr>
        <w:t>（盖章页）</w:t>
      </w:r>
    </w:p>
    <w:p w14:paraId="224D3BDC">
      <w:pPr>
        <w:spacing w:line="360" w:lineRule="auto"/>
        <w:ind w:firstLine="420" w:firstLineChars="200"/>
        <w:rPr>
          <w:rFonts w:hint="eastAsia" w:ascii="宋体" w:hAnsi="宋体" w:cs="宋体"/>
          <w:b/>
          <w:color w:val="auto"/>
          <w:sz w:val="21"/>
          <w:szCs w:val="21"/>
          <w:highlight w:val="none"/>
        </w:rPr>
      </w:pPr>
    </w:p>
    <w:p w14:paraId="06C312A1">
      <w:pPr>
        <w:spacing w:line="360" w:lineRule="exact"/>
        <w:ind w:left="-182" w:leftChars="-87" w:right="-512" w:rightChars="-244"/>
        <w:rPr>
          <w:rFonts w:hint="eastAsia" w:ascii="宋体" w:hAnsi="宋体" w:cs="宋体"/>
          <w:b/>
          <w:color w:val="auto"/>
          <w:szCs w:val="21"/>
          <w:highlight w:val="none"/>
          <w:lang w:val="en-US" w:eastAsia="zh-CN"/>
        </w:rPr>
      </w:pPr>
      <w:r>
        <w:rPr>
          <w:rFonts w:hint="eastAsia" w:ascii="宋体" w:hAnsi="宋体" w:cs="宋体"/>
          <w:b/>
          <w:color w:val="auto"/>
          <w:szCs w:val="21"/>
          <w:highlight w:val="none"/>
        </w:rPr>
        <w:t>甲方：</w:t>
      </w:r>
      <w:r>
        <w:rPr>
          <w:rFonts w:hint="eastAsia" w:ascii="宋体" w:hAnsi="宋体" w:cs="宋体"/>
          <w:b/>
          <w:color w:val="auto"/>
          <w:szCs w:val="21"/>
          <w:highlight w:val="none"/>
          <w:lang w:val="en-US" w:eastAsia="zh-CN"/>
        </w:rPr>
        <w:t>阳江</w:t>
      </w:r>
      <w:r>
        <w:rPr>
          <w:rFonts w:hint="eastAsia" w:ascii="宋体" w:hAnsi="宋体" w:cs="宋体"/>
          <w:b/>
          <w:color w:val="auto"/>
          <w:szCs w:val="21"/>
          <w:highlight w:val="none"/>
        </w:rPr>
        <w:t xml:space="preserve">开能环保能源有限公司                   </w:t>
      </w: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乙方：</w:t>
      </w:r>
    </w:p>
    <w:p w14:paraId="398A653C">
      <w:pPr>
        <w:spacing w:line="360" w:lineRule="exact"/>
        <w:ind w:left="-182" w:leftChars="-87" w:right="-512" w:rightChars="-244"/>
        <w:rPr>
          <w:rFonts w:hint="eastAsia" w:ascii="宋体" w:hAnsi="宋体" w:cs="宋体"/>
          <w:b/>
          <w:color w:val="auto"/>
          <w:szCs w:val="21"/>
          <w:highlight w:val="none"/>
        </w:rPr>
      </w:pPr>
      <w:r>
        <w:rPr>
          <w:rFonts w:hint="eastAsia" w:ascii="宋体" w:hAnsi="宋体" w:cs="宋体"/>
          <w:b/>
          <w:color w:val="auto"/>
          <w:szCs w:val="21"/>
          <w:highlight w:val="none"/>
        </w:rPr>
        <w:t>代表（签字）：                                    代表（签字）：</w:t>
      </w:r>
    </w:p>
    <w:p w14:paraId="297653AD">
      <w:pPr>
        <w:spacing w:line="360" w:lineRule="exact"/>
        <w:ind w:left="-182" w:leftChars="-87" w:right="-512" w:rightChars="-244"/>
        <w:rPr>
          <w:rFonts w:hint="eastAsia" w:ascii="宋体" w:hAnsi="宋体" w:cs="宋体"/>
          <w:b/>
          <w:color w:val="auto"/>
          <w:szCs w:val="21"/>
          <w:highlight w:val="none"/>
        </w:rPr>
      </w:pPr>
    </w:p>
    <w:p w14:paraId="51109CAD">
      <w:pPr>
        <w:spacing w:line="360" w:lineRule="exact"/>
        <w:ind w:left="-182" w:leftChars="-87" w:right="-512" w:rightChars="-244"/>
        <w:rPr>
          <w:rFonts w:ascii="宋体" w:hAnsi="宋体" w:cs="宋体"/>
          <w:b/>
          <w:color w:val="auto"/>
          <w:szCs w:val="21"/>
          <w:highlight w:val="none"/>
        </w:rPr>
      </w:pPr>
      <w:r>
        <w:rPr>
          <w:rFonts w:hint="eastAsia" w:ascii="宋体" w:hAnsi="宋体" w:cs="宋体"/>
          <w:b/>
          <w:color w:val="auto"/>
          <w:szCs w:val="21"/>
          <w:highlight w:val="none"/>
        </w:rPr>
        <w:t>签订时间：                                        签订时间：</w:t>
      </w:r>
    </w:p>
    <w:p w14:paraId="73F6DBC8">
      <w:pPr>
        <w:spacing w:line="360" w:lineRule="exact"/>
        <w:ind w:left="-182" w:leftChars="-87" w:right="-512" w:rightChars="-244"/>
        <w:rPr>
          <w:rFonts w:hint="default" w:ascii="宋体" w:hAnsi="宋体" w:cs="宋体"/>
          <w:b/>
          <w:color w:val="auto"/>
          <w:szCs w:val="21"/>
          <w:highlight w:val="none"/>
          <w:lang w:val="en-US" w:eastAsia="zh-CN"/>
        </w:rPr>
      </w:pPr>
    </w:p>
    <w:p w14:paraId="0AD48EBF">
      <w:pPr>
        <w:spacing w:line="360" w:lineRule="exact"/>
        <w:ind w:left="-182" w:leftChars="-87" w:right="-512" w:rightChars="-244"/>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电话：  0662-3828335</w:t>
      </w:r>
      <w:r>
        <w:rPr>
          <w:rFonts w:hint="eastAsia" w:ascii="宋体" w:hAnsi="宋体" w:eastAsia="宋体" w:cs="宋体"/>
          <w:b/>
          <w:color w:val="auto"/>
          <w:sz w:val="21"/>
          <w:szCs w:val="21"/>
          <w:highlight w:val="none"/>
        </w:rPr>
        <w:t xml:space="preserve"> </w:t>
      </w: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电话：</w:t>
      </w:r>
    </w:p>
    <w:p w14:paraId="3DD730B5">
      <w:pPr>
        <w:spacing w:line="360" w:lineRule="exact"/>
        <w:ind w:left="5698" w:leftChars="-87" w:right="-512" w:rightChars="-244" w:hanging="5880" w:hangingChars="2800"/>
        <w:jc w:val="left"/>
        <w:rPr>
          <w:rFonts w:hint="eastAsia" w:ascii="宋体" w:hAnsi="宋体" w:eastAsia="宋体" w:cs="宋体"/>
          <w:b/>
          <w:bCs/>
          <w:color w:val="auto"/>
          <w:szCs w:val="21"/>
          <w:highlight w:val="none"/>
          <w:lang w:val="en-US" w:eastAsia="zh-CN"/>
        </w:rPr>
      </w:pPr>
      <w:r>
        <w:rPr>
          <w:rFonts w:hint="eastAsia" w:ascii="宋体" w:hAnsi="宋体" w:cs="宋体"/>
          <w:b/>
          <w:color w:val="auto"/>
          <w:szCs w:val="21"/>
          <w:highlight w:val="none"/>
        </w:rPr>
        <w:t>地址：</w:t>
      </w:r>
      <w:r>
        <w:rPr>
          <w:rFonts w:hint="eastAsia" w:ascii="宋体" w:hAnsi="宋体" w:cs="宋体"/>
          <w:b/>
          <w:bCs/>
          <w:color w:val="auto"/>
          <w:szCs w:val="21"/>
          <w:highlight w:val="none"/>
        </w:rPr>
        <w:t>阳江高新区港口工业区海港二横路1号</w:t>
      </w:r>
      <w:r>
        <w:rPr>
          <w:rFonts w:hint="eastAsia" w:ascii="宋体" w:hAnsi="宋体" w:cs="宋体"/>
          <w:b/>
          <w:color w:val="auto"/>
          <w:szCs w:val="21"/>
          <w:highlight w:val="none"/>
        </w:rPr>
        <w:t xml:space="preserve">          地址</w:t>
      </w:r>
      <w:r>
        <w:rPr>
          <w:rFonts w:hint="eastAsia" w:ascii="宋体" w:hAnsi="宋体" w:cs="宋体"/>
          <w:b/>
          <w:color w:val="auto"/>
          <w:szCs w:val="21"/>
          <w:highlight w:val="none"/>
          <w:lang w:eastAsia="zh-CN"/>
        </w:rPr>
        <w:t>：</w:t>
      </w:r>
    </w:p>
    <w:p w14:paraId="5150EBD5">
      <w:pPr>
        <w:spacing w:line="360" w:lineRule="exact"/>
        <w:ind w:left="5698" w:leftChars="-87" w:right="-512" w:rightChars="-244" w:hanging="5880" w:hangingChars="2800"/>
        <w:jc w:val="left"/>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 xml:space="preserve"> 广青科技研发中心308室</w:t>
      </w:r>
      <w:r>
        <w:rPr>
          <w:rFonts w:hint="eastAsia" w:ascii="宋体" w:hAnsi="宋体" w:cs="宋体"/>
          <w:b/>
          <w:bCs/>
          <w:color w:val="auto"/>
          <w:szCs w:val="21"/>
          <w:highlight w:val="none"/>
          <w:lang w:val="en-US" w:eastAsia="zh-CN"/>
        </w:rPr>
        <w:t xml:space="preserve">                                                          </w:t>
      </w:r>
    </w:p>
    <w:p w14:paraId="06A3040D">
      <w:pPr>
        <w:spacing w:line="360" w:lineRule="exact"/>
        <w:ind w:left="5698" w:leftChars="-87" w:right="-512" w:rightChars="-244" w:hanging="5880" w:hangingChars="2800"/>
        <w:jc w:val="left"/>
        <w:rPr>
          <w:rFonts w:hint="eastAsia" w:ascii="宋体" w:hAnsi="宋体" w:eastAsia="宋体" w:cs="宋体"/>
          <w:b/>
          <w:color w:val="auto"/>
          <w:sz w:val="21"/>
          <w:szCs w:val="21"/>
          <w:highlight w:val="none"/>
          <w:lang w:val="en-US" w:eastAsia="zh-CN"/>
        </w:rPr>
      </w:pPr>
      <w:r>
        <w:rPr>
          <w:rFonts w:hint="eastAsia" w:ascii="宋体" w:hAnsi="宋体" w:cs="宋体"/>
          <w:b/>
          <w:bCs/>
          <w:color w:val="auto"/>
          <w:szCs w:val="21"/>
          <w:highlight w:val="none"/>
          <w:lang w:val="en-US" w:eastAsia="zh-CN"/>
        </w:rPr>
        <w:t xml:space="preserve">                                                 </w:t>
      </w:r>
    </w:p>
    <w:p w14:paraId="0EECE2D6">
      <w:pPr>
        <w:spacing w:line="360" w:lineRule="exact"/>
        <w:ind w:right="-512" w:rightChars="-244"/>
        <w:jc w:val="left"/>
        <w:rPr>
          <w:rFonts w:hint="default" w:ascii="宋体" w:hAnsi="宋体" w:cs="宋体"/>
          <w:b/>
          <w:bCs/>
          <w:color w:val="auto"/>
          <w:szCs w:val="21"/>
          <w:highlight w:val="none"/>
          <w:lang w:val="en-US" w:eastAsia="zh-CN"/>
        </w:rPr>
      </w:pPr>
    </w:p>
    <w:p w14:paraId="3CB341D8">
      <w:pPr>
        <w:spacing w:line="360" w:lineRule="exact"/>
        <w:ind w:left="5068" w:leftChars="-87" w:right="-512" w:rightChars="-244" w:hanging="5250" w:hangingChars="2500"/>
        <w:rPr>
          <w:rFonts w:ascii="宋体" w:hAnsi="宋体" w:cs="宋体"/>
          <w:b/>
          <w:color w:val="auto"/>
          <w:szCs w:val="21"/>
          <w:highlight w:val="none"/>
        </w:rPr>
      </w:pPr>
      <w:r>
        <w:rPr>
          <w:rFonts w:hint="eastAsia" w:ascii="宋体" w:hAnsi="宋体" w:cs="宋体"/>
          <w:b/>
          <w:color w:val="auto"/>
          <w:szCs w:val="21"/>
          <w:highlight w:val="none"/>
        </w:rPr>
        <w:t>开户行：</w:t>
      </w:r>
      <w:r>
        <w:rPr>
          <w:rFonts w:hint="eastAsia" w:ascii="宋体" w:hAnsi="宋体" w:cs="宋体"/>
          <w:b/>
          <w:bCs/>
          <w:color w:val="auto"/>
          <w:szCs w:val="21"/>
          <w:highlight w:val="none"/>
        </w:rPr>
        <w:t xml:space="preserve">广发银行股份有限公司阳江分行 </w:t>
      </w: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 xml:space="preserve">开户行：                                            </w:t>
      </w:r>
    </w:p>
    <w:p w14:paraId="799D936E">
      <w:pPr>
        <w:spacing w:line="360" w:lineRule="exact"/>
        <w:ind w:left="-182" w:leftChars="-87" w:right="-512" w:rightChars="-244"/>
        <w:rPr>
          <w:rFonts w:hint="eastAsia" w:ascii="宋体" w:hAnsi="宋体" w:cs="宋体"/>
          <w:b/>
          <w:color w:val="auto"/>
          <w:szCs w:val="21"/>
          <w:highlight w:val="none"/>
        </w:rPr>
      </w:pPr>
    </w:p>
    <w:p w14:paraId="14919DEB">
      <w:pPr>
        <w:spacing w:line="360" w:lineRule="exact"/>
        <w:ind w:left="-182" w:leftChars="-87" w:right="-512" w:rightChars="-244"/>
        <w:rPr>
          <w:rFonts w:hint="default" w:ascii="宋体" w:hAnsi="宋体" w:eastAsia="宋体" w:cs="宋体"/>
          <w:b/>
          <w:color w:val="auto"/>
          <w:sz w:val="21"/>
          <w:szCs w:val="21"/>
          <w:highlight w:val="none"/>
          <w:lang w:val="en-US" w:eastAsia="zh-CN"/>
        </w:rPr>
      </w:pPr>
      <w:r>
        <w:rPr>
          <w:rFonts w:hint="eastAsia" w:ascii="宋体" w:hAnsi="宋体" w:cs="宋体"/>
          <w:b/>
          <w:color w:val="auto"/>
          <w:szCs w:val="21"/>
          <w:highlight w:val="none"/>
        </w:rPr>
        <w:t xml:space="preserve">账号：9550880200634500171                    </w:t>
      </w: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 xml:space="preserve"> 账号：</w:t>
      </w:r>
    </w:p>
    <w:p w14:paraId="6E313481">
      <w:pPr>
        <w:rPr>
          <w:rFonts w:eastAsia="宋体"/>
          <w:color w:val="auto"/>
          <w:highlight w:val="none"/>
          <w:lang w:bidi="zh-CN"/>
        </w:rPr>
      </w:pPr>
    </w:p>
    <w:p w14:paraId="0B030DCC">
      <w:pPr>
        <w:rPr>
          <w:rFonts w:eastAsia="宋体"/>
          <w:color w:val="auto"/>
          <w:highlight w:val="none"/>
          <w:lang w:bidi="zh-CN"/>
        </w:rPr>
      </w:pPr>
    </w:p>
    <w:p w14:paraId="0D95AF87">
      <w:pPr>
        <w:rPr>
          <w:rFonts w:eastAsia="宋体"/>
          <w:color w:val="auto"/>
          <w:highlight w:val="none"/>
          <w:lang w:bidi="zh-CN"/>
        </w:rPr>
      </w:pPr>
    </w:p>
    <w:p w14:paraId="199D2A52">
      <w:pPr>
        <w:rPr>
          <w:rFonts w:eastAsia="宋体"/>
          <w:color w:val="auto"/>
          <w:highlight w:val="none"/>
          <w:lang w:bidi="zh-CN"/>
        </w:rPr>
      </w:pPr>
    </w:p>
    <w:p w14:paraId="7C3359E9">
      <w:pPr>
        <w:rPr>
          <w:rFonts w:eastAsia="宋体"/>
          <w:color w:val="auto"/>
          <w:highlight w:val="none"/>
          <w:lang w:bidi="zh-CN"/>
        </w:rPr>
      </w:pPr>
    </w:p>
    <w:p w14:paraId="1C34ACBA">
      <w:pPr>
        <w:rPr>
          <w:rFonts w:eastAsia="宋体"/>
          <w:color w:val="auto"/>
          <w:highlight w:val="none"/>
          <w:lang w:bidi="zh-CN"/>
        </w:rPr>
      </w:pPr>
    </w:p>
    <w:p w14:paraId="54B41D3B">
      <w:pPr>
        <w:rPr>
          <w:rFonts w:eastAsia="宋体"/>
          <w:color w:val="auto"/>
          <w:highlight w:val="none"/>
          <w:lang w:bidi="zh-CN"/>
        </w:rPr>
      </w:pPr>
    </w:p>
    <w:p w14:paraId="67D18BEB">
      <w:pPr>
        <w:rPr>
          <w:rFonts w:eastAsia="宋体"/>
          <w:color w:val="auto"/>
          <w:highlight w:val="none"/>
          <w:lang w:bidi="zh-CN"/>
        </w:rPr>
      </w:pPr>
    </w:p>
    <w:p w14:paraId="45775B19">
      <w:pPr>
        <w:rPr>
          <w:rFonts w:eastAsia="宋体"/>
          <w:color w:val="auto"/>
          <w:highlight w:val="none"/>
          <w:lang w:bidi="zh-CN"/>
        </w:rPr>
      </w:pPr>
    </w:p>
    <w:p w14:paraId="7A31FBA8">
      <w:pPr>
        <w:rPr>
          <w:rFonts w:eastAsia="宋体"/>
          <w:color w:val="auto"/>
          <w:highlight w:val="none"/>
          <w:lang w:bidi="zh-CN"/>
        </w:rPr>
      </w:pPr>
    </w:p>
    <w:p w14:paraId="3A310EB0">
      <w:pPr>
        <w:rPr>
          <w:rFonts w:eastAsia="宋体"/>
          <w:color w:val="auto"/>
          <w:highlight w:val="none"/>
          <w:lang w:bidi="zh-CN"/>
        </w:rPr>
      </w:pPr>
    </w:p>
    <w:p w14:paraId="4EA183D5">
      <w:pPr>
        <w:rPr>
          <w:rFonts w:eastAsia="宋体"/>
          <w:color w:val="auto"/>
          <w:highlight w:val="none"/>
          <w:lang w:bidi="zh-CN"/>
        </w:rPr>
      </w:pPr>
    </w:p>
    <w:p w14:paraId="5075F19F">
      <w:pPr>
        <w:rPr>
          <w:rFonts w:eastAsia="宋体"/>
          <w:color w:val="auto"/>
          <w:highlight w:val="none"/>
          <w:lang w:bidi="zh-CN"/>
        </w:rPr>
      </w:pPr>
    </w:p>
    <w:p w14:paraId="63D04F49">
      <w:pPr>
        <w:rPr>
          <w:rFonts w:eastAsia="宋体"/>
          <w:color w:val="auto"/>
          <w:highlight w:val="none"/>
          <w:lang w:bidi="zh-CN"/>
        </w:rPr>
      </w:pPr>
    </w:p>
    <w:p w14:paraId="7F2ECC69">
      <w:pPr>
        <w:rPr>
          <w:rFonts w:eastAsia="宋体"/>
          <w:color w:val="auto"/>
          <w:highlight w:val="none"/>
          <w:lang w:bidi="zh-CN"/>
        </w:rPr>
      </w:pPr>
    </w:p>
    <w:p w14:paraId="009C4CFB">
      <w:pPr>
        <w:spacing w:line="360" w:lineRule="auto"/>
        <w:rPr>
          <w:rFonts w:ascii="宋体" w:hAnsi="宋体" w:cs="宋体"/>
          <w:b/>
          <w:bCs/>
          <w:color w:val="auto"/>
          <w:sz w:val="30"/>
          <w:szCs w:val="30"/>
          <w:highlight w:val="none"/>
        </w:rPr>
      </w:pPr>
      <w:r>
        <w:rPr>
          <w:rFonts w:eastAsia="宋体"/>
          <w:color w:val="auto"/>
          <w:highlight w:val="none"/>
          <w:lang w:bidi="zh-CN"/>
        </w:rPr>
        <w:br w:type="page"/>
      </w:r>
      <w:r>
        <w:rPr>
          <w:rFonts w:hint="eastAsia" w:ascii="宋体" w:hAnsi="宋体" w:cs="宋体"/>
          <w:b/>
          <w:bCs/>
          <w:color w:val="auto"/>
          <w:sz w:val="30"/>
          <w:szCs w:val="30"/>
          <w:highlight w:val="none"/>
        </w:rPr>
        <w:t>附件1</w:t>
      </w:r>
    </w:p>
    <w:p w14:paraId="34DAA63C">
      <w:pPr>
        <w:spacing w:line="360" w:lineRule="auto"/>
        <w:jc w:val="center"/>
        <w:rPr>
          <w:rFonts w:hint="eastAsia" w:ascii="微软雅黑" w:hAnsi="微软雅黑" w:eastAsia="微软雅黑" w:cs="微软雅黑"/>
          <w:b/>
          <w:bCs/>
          <w:color w:val="auto"/>
          <w:sz w:val="44"/>
          <w:szCs w:val="44"/>
          <w:highlight w:val="none"/>
        </w:rPr>
      </w:pPr>
      <w:r>
        <w:rPr>
          <w:rFonts w:hint="eastAsia" w:ascii="宋体" w:hAnsi="宋体" w:cs="宋体"/>
          <w:b/>
          <w:bCs/>
          <w:color w:val="auto"/>
          <w:sz w:val="30"/>
          <w:szCs w:val="30"/>
          <w:highlight w:val="none"/>
        </w:rPr>
        <w:t>阳光合作协议</w:t>
      </w:r>
    </w:p>
    <w:p w14:paraId="3D9AD545">
      <w:pPr>
        <w:spacing w:line="360" w:lineRule="auto"/>
        <w:ind w:firstLine="440" w:firstLineChars="200"/>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甲方（全称）：</w:t>
      </w:r>
      <w:r>
        <w:rPr>
          <w:rFonts w:hint="eastAsia" w:ascii="宋体" w:hAnsi="宋体" w:cs="宋体"/>
          <w:color w:val="auto"/>
          <w:sz w:val="22"/>
          <w:szCs w:val="22"/>
          <w:highlight w:val="none"/>
          <w:u w:val="single"/>
          <w:lang w:val="en-US" w:eastAsia="zh-CN"/>
        </w:rPr>
        <w:t>阳江</w:t>
      </w:r>
      <w:r>
        <w:rPr>
          <w:rFonts w:hint="eastAsia" w:ascii="宋体" w:hAnsi="宋体" w:cs="宋体"/>
          <w:color w:val="auto"/>
          <w:sz w:val="22"/>
          <w:szCs w:val="22"/>
          <w:highlight w:val="none"/>
          <w:u w:val="single"/>
        </w:rPr>
        <w:t xml:space="preserve">开能环保能源有限公司                              </w:t>
      </w:r>
    </w:p>
    <w:p w14:paraId="387EFD1F">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乙方（全称）：</w:t>
      </w:r>
      <w:r>
        <w:rPr>
          <w:rFonts w:hint="eastAsia" w:ascii="宋体" w:hAnsi="宋体" w:cs="宋体"/>
          <w:color w:val="auto"/>
          <w:sz w:val="22"/>
          <w:szCs w:val="22"/>
          <w:highlight w:val="none"/>
          <w:u w:val="single"/>
        </w:rPr>
        <w:t xml:space="preserve">北京予知环保科技有限公司        </w:t>
      </w:r>
      <w:r>
        <w:rPr>
          <w:rFonts w:hint="eastAsia" w:ascii="宋体" w:hAnsi="宋体" w:cs="宋体"/>
          <w:color w:val="auto"/>
          <w:sz w:val="22"/>
          <w:szCs w:val="22"/>
          <w:highlight w:val="none"/>
          <w:u w:val="single"/>
          <w:lang w:val="en-US" w:eastAsia="zh-CN"/>
        </w:rPr>
        <w:t xml:space="preserve">                   </w:t>
      </w:r>
      <w:r>
        <w:rPr>
          <w:rFonts w:hint="eastAsia" w:ascii="宋体" w:hAnsi="宋体" w:cs="宋体"/>
          <w:color w:val="auto"/>
          <w:sz w:val="22"/>
          <w:szCs w:val="22"/>
          <w:highlight w:val="none"/>
          <w:u w:val="single"/>
        </w:rPr>
        <w:t xml:space="preserve">   </w:t>
      </w:r>
    </w:p>
    <w:p w14:paraId="601E73D5">
      <w:pPr>
        <w:spacing w:line="400" w:lineRule="exact"/>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甲乙双方于  </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 xml:space="preserve"> 年  </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 xml:space="preserve">月  </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日签署了</w:t>
      </w:r>
      <w:r>
        <w:rPr>
          <w:rFonts w:hint="eastAsia" w:ascii="宋体" w:hAnsi="宋体" w:cs="宋体"/>
          <w:color w:val="auto"/>
          <w:sz w:val="22"/>
          <w:szCs w:val="22"/>
          <w:highlight w:val="none"/>
          <w:u w:val="single"/>
          <w:lang w:val="en-US" w:eastAsia="zh-CN"/>
        </w:rPr>
        <w:t>阳江</w:t>
      </w:r>
      <w:r>
        <w:rPr>
          <w:rFonts w:hint="eastAsia" w:ascii="宋体" w:hAnsi="宋体" w:cs="宋体"/>
          <w:color w:val="auto"/>
          <w:sz w:val="22"/>
          <w:szCs w:val="22"/>
          <w:highlight w:val="none"/>
          <w:u w:val="single"/>
        </w:rPr>
        <w:t>开能环保能源有限公司</w:t>
      </w:r>
      <w:r>
        <w:rPr>
          <w:rFonts w:hint="eastAsia" w:ascii="宋体" w:hAnsi="宋体" w:cs="宋体"/>
          <w:color w:val="auto"/>
          <w:sz w:val="22"/>
          <w:szCs w:val="22"/>
          <w:highlight w:val="none"/>
          <w:u w:val="single"/>
          <w:lang w:val="en-US" w:eastAsia="zh-CN"/>
        </w:rPr>
        <w:t>2026年高效消石灰采购</w:t>
      </w:r>
      <w:r>
        <w:rPr>
          <w:rFonts w:hint="eastAsia" w:ascii="宋体" w:hAnsi="宋体" w:cs="宋体"/>
          <w:color w:val="auto"/>
          <w:sz w:val="22"/>
          <w:szCs w:val="22"/>
          <w:highlight w:val="none"/>
          <w:u w:val="single"/>
        </w:rPr>
        <w:t>合同</w:t>
      </w:r>
      <w:r>
        <w:rPr>
          <w:rFonts w:hint="eastAsia" w:ascii="宋体" w:hAnsi="宋体" w:cs="宋体"/>
          <w:color w:val="auto"/>
          <w:sz w:val="22"/>
          <w:szCs w:val="22"/>
          <w:highlight w:val="none"/>
        </w:rPr>
        <w:t>（以下简称原合同），为加强双方阳光合作，保证职员职业安全，甲乙双方经协商签订本协议并作为双方共同遵守的阳光合作行为准则。</w:t>
      </w:r>
    </w:p>
    <w:p w14:paraId="2B42ABA3">
      <w:pPr>
        <w:numPr>
          <w:ilvl w:val="0"/>
          <w:numId w:val="6"/>
        </w:numPr>
        <w:spacing w:line="360" w:lineRule="auto"/>
        <w:ind w:firstLine="440" w:firstLineChars="2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甲方责任</w:t>
      </w:r>
    </w:p>
    <w:p w14:paraId="39660E8A">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1.甲方有责任向乙方介绍本单位有关采购管理通用原则和本协议的规定。</w:t>
      </w:r>
    </w:p>
    <w:p w14:paraId="321350CB">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2.甲方有责任对本单位相关人员进行阳光合作教育。</w:t>
      </w:r>
    </w:p>
    <w:p w14:paraId="1D3CF725">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3.甲方人员应严格遵守本单位有关阳光合作管理的规定，不得接受乙方任何形式的回扣、实物、现金、有价证券、礼券等有价物品，不得参与乙方提供的旅游或其他可能影响职务行为公正履行的活动。</w:t>
      </w:r>
    </w:p>
    <w:p w14:paraId="1788BE8C">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4.甲方人员如违反阳光合作管理制度及本协议规定，甲方视情节轻重、影响大小给予行政及经济处罚。</w:t>
      </w:r>
    </w:p>
    <w:p w14:paraId="745CAD17">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5.对于乙方举报甲方人员违反阳光合作规定的情况，甲方应及时进行调查，根据调查情况进行处理，并将调查结果向乙方反馈。</w:t>
      </w:r>
    </w:p>
    <w:p w14:paraId="1BFBE96C">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6.接受举报的一方应为举报方保密，不得对举报方进行报复，对举报属实和严格遵守《阳光合作协议》的合作方，在同等条件下给予后续合作的优先权。</w:t>
      </w:r>
    </w:p>
    <w:p w14:paraId="2EF9B817">
      <w:pPr>
        <w:spacing w:line="360" w:lineRule="auto"/>
        <w:ind w:firstLine="440" w:firstLineChars="2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二、乙方责任</w:t>
      </w:r>
    </w:p>
    <w:p w14:paraId="3F102F57">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1.乙方应保证乙方人员了解甲方有关采购管理通用原则和本协议的规定，并遵照执行。</w:t>
      </w:r>
    </w:p>
    <w:p w14:paraId="0C926662">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2.乙方不得以任何形式给予甲方人员回扣、赠送实物、现金、有价证券、礼券等有价物品或提供旅游等其他可能影响职务行为公正履行的活动（以下统称“财物”）。</w:t>
      </w:r>
    </w:p>
    <w:p w14:paraId="167C9FA2">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3.乙方有责任接受甲方对乙方在合作期间阳光合作管理执行情况的监督，并对甲方相关调查工作主动配合。</w:t>
      </w:r>
    </w:p>
    <w:p w14:paraId="1DA55F9A">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4.乙方有义务就甲方人员任何形式的索取或收受财物的行为及时向甲方（直接联系人为东莞实业投资控股集团有限公司</w:t>
      </w:r>
      <w:r>
        <w:rPr>
          <w:rFonts w:hint="eastAsia" w:ascii="宋体" w:hAnsi="宋体" w:cs="宋体"/>
          <w:color w:val="auto"/>
          <w:sz w:val="22"/>
          <w:szCs w:val="22"/>
          <w:highlight w:val="none"/>
          <w:lang w:val="en-US" w:eastAsia="zh-CN"/>
        </w:rPr>
        <w:t>风控法务</w:t>
      </w:r>
      <w:r>
        <w:rPr>
          <w:rFonts w:hint="eastAsia" w:ascii="宋体" w:hAnsi="宋体" w:cs="宋体"/>
          <w:color w:val="auto"/>
          <w:sz w:val="22"/>
          <w:szCs w:val="22"/>
          <w:highlight w:val="none"/>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以上及类似情况或者如因乙方在合作期间贿赂甲方人员，被司法机关立案查处核实属实的，甲方有权解除原合同，如甲方解除原合同的，则乙方应退还甲方所支付的所有款项并按原合同和本合同约定承担违约责任，且五年之内不得作为东实集团（东莞实业投资控股集团有限公司及下属子公司）合格供应商。</w:t>
      </w:r>
    </w:p>
    <w:p w14:paraId="719BC491">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5.甲方接受乙方匿名举报，保证为举报者的信息保密，常设举报部门及电话：</w:t>
      </w:r>
    </w:p>
    <w:p w14:paraId="13E7FD6D">
      <w:pPr>
        <w:spacing w:line="360" w:lineRule="auto"/>
        <w:ind w:firstLine="440" w:firstLineChars="200"/>
        <w:rPr>
          <w:rFonts w:hint="default" w:ascii="宋体" w:hAnsi="宋体" w:cs="宋体"/>
          <w:color w:val="auto"/>
          <w:sz w:val="22"/>
          <w:szCs w:val="22"/>
          <w:highlight w:val="none"/>
          <w:lang w:val="en-US"/>
        </w:rPr>
      </w:pPr>
      <w:r>
        <w:rPr>
          <w:rFonts w:hint="eastAsia" w:ascii="宋体" w:hAnsi="宋体" w:cs="宋体"/>
          <w:color w:val="auto"/>
          <w:sz w:val="22"/>
          <w:szCs w:val="22"/>
          <w:highlight w:val="none"/>
        </w:rPr>
        <w:t>举报受理部门:东莞实业投资控股集团有限公司</w:t>
      </w:r>
      <w:r>
        <w:rPr>
          <w:rFonts w:hint="eastAsia" w:ascii="宋体" w:hAnsi="宋体" w:cs="宋体"/>
          <w:color w:val="auto"/>
          <w:sz w:val="22"/>
          <w:szCs w:val="22"/>
          <w:highlight w:val="none"/>
          <w:lang w:val="en-US" w:eastAsia="zh-CN"/>
        </w:rPr>
        <w:t>法律风控法务部</w:t>
      </w:r>
    </w:p>
    <w:p w14:paraId="0221C9AA">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东实集团举报邮箱：dgsyxf@163.com</w:t>
      </w:r>
    </w:p>
    <w:p w14:paraId="643BD1A3">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东实集团举报电话：0769-28820703（周一至周五9:00-12:00和14:00-18:00）</w:t>
      </w:r>
    </w:p>
    <w:p w14:paraId="57180AD5">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邮寄地址：东莞市东城区八一路1号机关二号大院9号楼321室，东莞实业投资控股集团有限公司</w:t>
      </w:r>
      <w:r>
        <w:rPr>
          <w:rFonts w:hint="eastAsia" w:ascii="宋体" w:hAnsi="宋体" w:cs="宋体"/>
          <w:color w:val="auto"/>
          <w:sz w:val="22"/>
          <w:szCs w:val="22"/>
          <w:highlight w:val="none"/>
          <w:lang w:val="en-US" w:eastAsia="zh-CN"/>
        </w:rPr>
        <w:t>风控法务</w:t>
      </w:r>
      <w:r>
        <w:rPr>
          <w:rFonts w:hint="eastAsia" w:ascii="宋体" w:hAnsi="宋体" w:cs="宋体"/>
          <w:color w:val="auto"/>
          <w:sz w:val="22"/>
          <w:szCs w:val="22"/>
          <w:highlight w:val="none"/>
        </w:rPr>
        <w:t>部收，邮编523000。</w:t>
      </w:r>
    </w:p>
    <w:p w14:paraId="2A1E29EA">
      <w:pPr>
        <w:spacing w:line="360" w:lineRule="auto"/>
        <w:ind w:firstLine="440" w:firstLineChars="2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三、其他</w:t>
      </w:r>
    </w:p>
    <w:p w14:paraId="6C1DC6FF">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1.本协议是原合同的补充协议，与原合同有同等的法律效力。</w:t>
      </w:r>
    </w:p>
    <w:p w14:paraId="199630C9">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2.本协议一式</w:t>
      </w:r>
      <w:r>
        <w:rPr>
          <w:rFonts w:hint="eastAsia" w:ascii="宋体" w:hAnsi="宋体" w:cs="宋体"/>
          <w:color w:val="auto"/>
          <w:sz w:val="22"/>
          <w:szCs w:val="22"/>
          <w:highlight w:val="none"/>
          <w:lang w:val="en-US" w:eastAsia="zh-CN"/>
        </w:rPr>
        <w:t>肆</w:t>
      </w:r>
      <w:r>
        <w:rPr>
          <w:rFonts w:hint="eastAsia" w:ascii="宋体" w:hAnsi="宋体" w:cs="宋体"/>
          <w:color w:val="auto"/>
          <w:sz w:val="22"/>
          <w:szCs w:val="22"/>
          <w:highlight w:val="none"/>
        </w:rPr>
        <w:t>份，甲方</w:t>
      </w:r>
      <w:r>
        <w:rPr>
          <w:rFonts w:hint="eastAsia" w:ascii="宋体" w:hAnsi="宋体" w:cs="宋体"/>
          <w:color w:val="auto"/>
          <w:sz w:val="22"/>
          <w:szCs w:val="22"/>
          <w:highlight w:val="none"/>
          <w:lang w:val="en-US" w:eastAsia="zh-CN"/>
        </w:rPr>
        <w:t>贰</w:t>
      </w:r>
      <w:r>
        <w:rPr>
          <w:rFonts w:hint="eastAsia" w:ascii="宋体" w:hAnsi="宋体" w:cs="宋体"/>
          <w:color w:val="auto"/>
          <w:sz w:val="22"/>
          <w:szCs w:val="22"/>
          <w:highlight w:val="none"/>
        </w:rPr>
        <w:t>份，乙方</w:t>
      </w:r>
      <w:r>
        <w:rPr>
          <w:rFonts w:hint="eastAsia" w:ascii="宋体" w:hAnsi="宋体" w:cs="宋体"/>
          <w:color w:val="auto"/>
          <w:sz w:val="22"/>
          <w:szCs w:val="22"/>
          <w:highlight w:val="none"/>
          <w:lang w:val="en-US" w:eastAsia="zh-CN"/>
        </w:rPr>
        <w:t>贰</w:t>
      </w:r>
      <w:r>
        <w:rPr>
          <w:rFonts w:hint="eastAsia" w:ascii="宋体" w:hAnsi="宋体" w:cs="宋体"/>
          <w:color w:val="auto"/>
          <w:sz w:val="22"/>
          <w:szCs w:val="22"/>
          <w:highlight w:val="none"/>
        </w:rPr>
        <w:t>份，具有同等法律效力。</w:t>
      </w:r>
    </w:p>
    <w:p w14:paraId="46A1F468">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3.本协议经双方签署后生效。</w:t>
      </w:r>
    </w:p>
    <w:p w14:paraId="4B80E7E3">
      <w:pPr>
        <w:spacing w:line="360" w:lineRule="auto"/>
        <w:rPr>
          <w:rFonts w:hint="eastAsia" w:ascii="宋体" w:hAnsi="宋体" w:cs="宋体"/>
          <w:color w:val="auto"/>
          <w:sz w:val="22"/>
          <w:szCs w:val="22"/>
          <w:highlight w:val="none"/>
        </w:rPr>
      </w:pPr>
    </w:p>
    <w:p w14:paraId="03F1C2EB">
      <w:pPr>
        <w:spacing w:line="360" w:lineRule="auto"/>
        <w:rPr>
          <w:rFonts w:hint="eastAsia" w:ascii="宋体" w:hAnsi="宋体" w:cs="宋体"/>
          <w:color w:val="auto"/>
          <w:sz w:val="22"/>
          <w:szCs w:val="22"/>
          <w:highlight w:val="none"/>
        </w:rPr>
      </w:pPr>
    </w:p>
    <w:p w14:paraId="39A40816">
      <w:pP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甲方（公章）：                         乙方（公章）：</w:t>
      </w:r>
    </w:p>
    <w:p w14:paraId="4DCB8DA6">
      <w:pP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法定代表人（授权代表）：                 法定代表人（授权代表）：</w:t>
      </w:r>
    </w:p>
    <w:p w14:paraId="344669FB">
      <w:pPr>
        <w:spacing w:line="360" w:lineRule="auto"/>
        <w:rPr>
          <w:rFonts w:hint="eastAsia" w:ascii="宋体" w:hAnsi="宋体" w:cs="宋体"/>
          <w:color w:val="auto"/>
          <w:sz w:val="22"/>
          <w:szCs w:val="22"/>
          <w:highlight w:val="none"/>
        </w:rPr>
      </w:pPr>
    </w:p>
    <w:p w14:paraId="19C678FC">
      <w:pPr>
        <w:spacing w:line="360" w:lineRule="auto"/>
        <w:rPr>
          <w:rFonts w:hint="eastAsia" w:ascii="宋体" w:hAnsi="宋体" w:cs="宋体"/>
          <w:color w:val="auto"/>
          <w:sz w:val="28"/>
          <w:szCs w:val="28"/>
          <w:highlight w:val="none"/>
        </w:rPr>
      </w:pPr>
      <w:r>
        <w:rPr>
          <w:rFonts w:hint="eastAsia" w:ascii="宋体" w:hAnsi="宋体" w:cs="宋体"/>
          <w:color w:val="auto"/>
          <w:sz w:val="22"/>
          <w:szCs w:val="22"/>
          <w:highlight w:val="none"/>
        </w:rPr>
        <w:t>签约日期： 年  月  日                    签约日期： 年  月  日</w:t>
      </w:r>
    </w:p>
    <w:p w14:paraId="6EFAA3F6">
      <w:pPr>
        <w:spacing w:line="360" w:lineRule="auto"/>
        <w:rPr>
          <w:rFonts w:hint="eastAsia" w:ascii="宋体" w:hAnsi="宋体" w:cs="宋体"/>
          <w:color w:val="auto"/>
          <w:sz w:val="28"/>
          <w:szCs w:val="28"/>
          <w:highlight w:val="none"/>
        </w:rPr>
      </w:pPr>
    </w:p>
    <w:p w14:paraId="6391505D">
      <w:pPr>
        <w:rPr>
          <w:rFonts w:eastAsia="宋体"/>
          <w:color w:val="auto"/>
          <w:highlight w:val="none"/>
          <w:lang w:bidi="zh-CN"/>
        </w:rPr>
      </w:pPr>
    </w:p>
    <w:p w14:paraId="738EEEA0">
      <w:pPr>
        <w:spacing w:line="360" w:lineRule="auto"/>
        <w:rPr>
          <w:rFonts w:hint="eastAsia" w:ascii="宋体" w:hAnsi="宋体" w:cs="宋体"/>
          <w:b/>
          <w:bCs/>
          <w:color w:val="auto"/>
          <w:kern w:val="2"/>
          <w:sz w:val="36"/>
          <w:szCs w:val="36"/>
          <w:highlight w:val="none"/>
        </w:rPr>
      </w:pPr>
    </w:p>
    <w:p w14:paraId="55C7EFC1">
      <w:pPr>
        <w:snapToGrid w:val="0"/>
        <w:spacing w:line="360" w:lineRule="auto"/>
        <w:rPr>
          <w:rFonts w:hint="eastAsia" w:ascii="宋体" w:hAnsi="宋体"/>
          <w:color w:val="auto"/>
          <w:highlight w:val="none"/>
        </w:rPr>
      </w:pPr>
    </w:p>
    <w:p w14:paraId="5149E21A">
      <w:pPr>
        <w:pStyle w:val="42"/>
        <w:spacing w:line="360" w:lineRule="auto"/>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附件八 报价保证金汇入情况说明</w:t>
      </w:r>
    </w:p>
    <w:p w14:paraId="7C0384EF">
      <w:pPr>
        <w:widowControl/>
        <w:spacing w:line="360" w:lineRule="auto"/>
        <w:jc w:val="center"/>
        <w:rPr>
          <w:rFonts w:ascii="仿宋" w:hAnsi="仿宋" w:eastAsia="仿宋" w:cs="仿宋"/>
          <w:b/>
          <w:bCs/>
          <w:color w:val="auto"/>
          <w:sz w:val="32"/>
          <w:szCs w:val="32"/>
          <w:highlight w:val="none"/>
        </w:rPr>
      </w:pPr>
      <w:bookmarkStart w:id="9" w:name="_Toc3217"/>
      <w:bookmarkStart w:id="10" w:name="_Toc30323"/>
      <w:bookmarkStart w:id="11" w:name="_Toc5428"/>
      <w:bookmarkStart w:id="12" w:name="_Toc28801"/>
      <w:bookmarkStart w:id="13" w:name="_Toc12220"/>
      <w:bookmarkStart w:id="14" w:name="_Toc10037"/>
      <w:bookmarkStart w:id="15" w:name="_Toc30346"/>
      <w:bookmarkStart w:id="16" w:name="_Toc32088"/>
      <w:bookmarkStart w:id="17" w:name="_Toc1367"/>
      <w:bookmarkStart w:id="18" w:name="_Toc3118"/>
      <w:r>
        <w:rPr>
          <w:rFonts w:hint="eastAsia" w:ascii="仿宋" w:hAnsi="仿宋" w:eastAsia="仿宋" w:cs="仿宋"/>
          <w:b/>
          <w:bCs/>
          <w:color w:val="auto"/>
          <w:sz w:val="32"/>
          <w:szCs w:val="32"/>
          <w:highlight w:val="none"/>
        </w:rPr>
        <w:t>报价保证金汇入情况说明</w:t>
      </w:r>
      <w:bookmarkEnd w:id="9"/>
      <w:bookmarkEnd w:id="10"/>
      <w:bookmarkEnd w:id="11"/>
      <w:bookmarkEnd w:id="12"/>
      <w:bookmarkEnd w:id="13"/>
      <w:bookmarkEnd w:id="14"/>
      <w:bookmarkEnd w:id="15"/>
      <w:bookmarkEnd w:id="16"/>
      <w:bookmarkEnd w:id="17"/>
      <w:bookmarkEnd w:id="18"/>
    </w:p>
    <w:p w14:paraId="5A25D29A">
      <w:pPr>
        <w:spacing w:line="360" w:lineRule="auto"/>
        <w:ind w:firstLine="420" w:firstLineChars="200"/>
        <w:rPr>
          <w:rFonts w:ascii="仿宋" w:hAnsi="仿宋" w:eastAsia="仿宋" w:cs="仿宋"/>
          <w:b/>
          <w:color w:val="auto"/>
          <w:szCs w:val="21"/>
          <w:highlight w:val="none"/>
        </w:rPr>
      </w:pPr>
      <w:r>
        <w:rPr>
          <w:rFonts w:hint="eastAsia" w:ascii="仿宋" w:hAnsi="仿宋" w:eastAsia="仿宋" w:cs="仿宋"/>
          <w:b/>
          <w:color w:val="auto"/>
          <w:szCs w:val="21"/>
          <w:highlight w:val="none"/>
        </w:rPr>
        <w:t>致：阳江开能环保能源有限公司</w:t>
      </w:r>
    </w:p>
    <w:p w14:paraId="40BFEB71">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本单位已按</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zh-CN"/>
        </w:rPr>
        <w:t>项目名称）</w:t>
      </w:r>
      <w:r>
        <w:rPr>
          <w:rFonts w:hint="eastAsia" w:ascii="仿宋" w:hAnsi="仿宋" w:eastAsia="仿宋" w:cs="仿宋"/>
          <w:color w:val="auto"/>
          <w:szCs w:val="21"/>
          <w:highlight w:val="none"/>
        </w:rPr>
        <w:t>的采购文件要求，于</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日前以</w:t>
      </w:r>
      <w:r>
        <w:rPr>
          <w:rFonts w:hint="eastAsia" w:ascii="仿宋" w:hAnsi="仿宋" w:eastAsia="仿宋" w:cs="仿宋"/>
          <w:color w:val="auto"/>
          <w:szCs w:val="21"/>
          <w:highlight w:val="none"/>
          <w:u w:val="single"/>
        </w:rPr>
        <w:t xml:space="preserve">    （付款形式）  </w:t>
      </w:r>
      <w:r>
        <w:rPr>
          <w:rFonts w:hint="eastAsia" w:ascii="仿宋" w:hAnsi="仿宋" w:eastAsia="仿宋" w:cs="仿宋"/>
          <w:color w:val="auto"/>
          <w:szCs w:val="21"/>
          <w:highlight w:val="none"/>
        </w:rPr>
        <w:t>方式汇入指定帐户（帐户名称：</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，帐号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,开户银行：</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56F1080B">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本单位报价保证金的汇款情况：（详见附件－报价保证金进帐单）</w:t>
      </w:r>
    </w:p>
    <w:p w14:paraId="616B7254">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汇出时间：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6ECF377C">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汇款金额：（大写）人民币</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元（小写：￥</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元）</w:t>
      </w:r>
    </w:p>
    <w:p w14:paraId="6B6E29EE">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汇款帐户名称：</w:t>
      </w:r>
      <w:r>
        <w:rPr>
          <w:rFonts w:hint="eastAsia" w:ascii="仿宋" w:hAnsi="仿宋" w:eastAsia="仿宋" w:cs="仿宋"/>
          <w:color w:val="auto"/>
          <w:szCs w:val="21"/>
          <w:highlight w:val="none"/>
          <w:u w:val="single"/>
        </w:rPr>
        <w:t xml:space="preserve">  （必须是报价时使用的帐户名）   </w:t>
      </w:r>
    </w:p>
    <w:p w14:paraId="3400E2BD">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帐    号：</w:t>
      </w:r>
      <w:r>
        <w:rPr>
          <w:rFonts w:hint="eastAsia" w:ascii="仿宋" w:hAnsi="仿宋" w:eastAsia="仿宋" w:cs="仿宋"/>
          <w:color w:val="auto"/>
          <w:szCs w:val="21"/>
          <w:highlight w:val="none"/>
          <w:u w:val="single"/>
        </w:rPr>
        <w:t xml:space="preserve">      （必须是报价时使用的帐号）     </w:t>
      </w:r>
    </w:p>
    <w:p w14:paraId="49BC099D">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u w:val="single"/>
        </w:rPr>
        <w:t xml:space="preserve">         省    市                    </w:t>
      </w:r>
    </w:p>
    <w:p w14:paraId="5D15B92B">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本单位谨承诺上述资料是正确、真实的，如因上述证明与事实不符导致的一切损失，本单位保证承担赔偿等一切法律责任。</w:t>
      </w:r>
    </w:p>
    <w:p w14:paraId="4660645E">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报价保证金退回时，请按上述资料退回。</w:t>
      </w:r>
    </w:p>
    <w:p w14:paraId="6CA0B235">
      <w:pPr>
        <w:spacing w:line="360" w:lineRule="auto"/>
        <w:ind w:right="844" w:rightChars="402" w:firstLine="420" w:firstLineChars="200"/>
        <w:jc w:val="right"/>
        <w:rPr>
          <w:rFonts w:ascii="仿宋" w:hAnsi="仿宋" w:eastAsia="仿宋" w:cs="仿宋"/>
          <w:color w:val="auto"/>
          <w:szCs w:val="21"/>
          <w:highlight w:val="none"/>
        </w:rPr>
      </w:pPr>
      <w:r>
        <w:rPr>
          <w:rFonts w:hint="eastAsia" w:ascii="仿宋" w:hAnsi="仿宋" w:eastAsia="仿宋" w:cs="仿宋"/>
          <w:color w:val="auto"/>
          <w:szCs w:val="21"/>
          <w:highlight w:val="none"/>
        </w:rPr>
        <w:t>（单位公章）</w:t>
      </w:r>
    </w:p>
    <w:p w14:paraId="4F0165DF">
      <w:pPr>
        <w:spacing w:line="360" w:lineRule="auto"/>
        <w:ind w:right="627" w:rightChars="299" w:firstLine="420" w:firstLineChars="200"/>
        <w:jc w:val="right"/>
        <w:rPr>
          <w:rFonts w:ascii="仿宋" w:hAnsi="仿宋" w:eastAsia="仿宋" w:cs="仿宋"/>
          <w:color w:val="auto"/>
          <w:szCs w:val="21"/>
          <w:highlight w:val="none"/>
        </w:rPr>
      </w:pPr>
      <w:r>
        <w:rPr>
          <w:rFonts w:hint="eastAsia" w:ascii="仿宋" w:hAnsi="仿宋" w:eastAsia="仿宋" w:cs="仿宋"/>
          <w:color w:val="auto"/>
          <w:szCs w:val="21"/>
          <w:highlight w:val="none"/>
        </w:rPr>
        <w:t>年  月  日</w:t>
      </w:r>
    </w:p>
    <w:p w14:paraId="03EE9E3A">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单位名称：</w:t>
      </w:r>
      <w:r>
        <w:rPr>
          <w:rFonts w:hint="eastAsia" w:ascii="仿宋" w:hAnsi="仿宋" w:eastAsia="仿宋" w:cs="仿宋"/>
          <w:color w:val="auto"/>
          <w:szCs w:val="21"/>
          <w:highlight w:val="none"/>
          <w:u w:val="single"/>
        </w:rPr>
        <w:t xml:space="preserve">                   </w:t>
      </w:r>
    </w:p>
    <w:p w14:paraId="7C4D37DF">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联系人：</w:t>
      </w:r>
      <w:r>
        <w:rPr>
          <w:rFonts w:hint="eastAsia" w:ascii="仿宋" w:hAnsi="仿宋" w:eastAsia="仿宋" w:cs="仿宋"/>
          <w:color w:val="auto"/>
          <w:szCs w:val="21"/>
          <w:highlight w:val="none"/>
          <w:u w:val="single"/>
        </w:rPr>
        <w:t xml:space="preserve">                     </w:t>
      </w:r>
    </w:p>
    <w:p w14:paraId="73BBD136">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单位电话：</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5E83F2AA">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联系人手机：</w:t>
      </w:r>
      <w:r>
        <w:rPr>
          <w:rFonts w:hint="eastAsia" w:ascii="仿宋" w:hAnsi="仿宋" w:eastAsia="仿宋" w:cs="仿宋"/>
          <w:color w:val="auto"/>
          <w:szCs w:val="21"/>
          <w:highlight w:val="none"/>
          <w:u w:val="single"/>
        </w:rPr>
        <w:t xml:space="preserve">                </w:t>
      </w:r>
    </w:p>
    <w:p w14:paraId="5EADB6AB">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附：我方报价保证金汇款凭证</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7"/>
      </w:tblGrid>
      <w:tr w14:paraId="412D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3" w:hRule="atLeast"/>
        </w:trPr>
        <w:tc>
          <w:tcPr>
            <w:tcW w:w="5000" w:type="pct"/>
            <w:tcBorders>
              <w:top w:val="single" w:color="auto" w:sz="4" w:space="0"/>
              <w:left w:val="single" w:color="auto" w:sz="4" w:space="0"/>
              <w:bottom w:val="single" w:color="auto" w:sz="4" w:space="0"/>
              <w:right w:val="single" w:color="auto" w:sz="4" w:space="0"/>
            </w:tcBorders>
            <w:vAlign w:val="center"/>
          </w:tcPr>
          <w:p w14:paraId="163870A7">
            <w:pPr>
              <w:tabs>
                <w:tab w:val="left" w:pos="3885"/>
              </w:tabs>
              <w:spacing w:line="360" w:lineRule="auto"/>
              <w:ind w:firstLine="420" w:firstLineChars="200"/>
              <w:jc w:val="center"/>
              <w:rPr>
                <w:rFonts w:ascii="仿宋" w:hAnsi="仿宋" w:eastAsia="仿宋" w:cs="仿宋"/>
                <w:color w:val="auto"/>
                <w:szCs w:val="21"/>
                <w:highlight w:val="none"/>
              </w:rPr>
            </w:pPr>
            <w:r>
              <w:rPr>
                <w:rFonts w:hint="eastAsia" w:ascii="仿宋" w:hAnsi="仿宋" w:eastAsia="仿宋" w:cs="仿宋"/>
                <w:color w:val="auto"/>
                <w:szCs w:val="21"/>
                <w:highlight w:val="none"/>
              </w:rPr>
              <w:t>（粘贴汇款单或转账凭证复印件，并在骑缝上加盖公章，或是直接把转账凭证复印到此张纸上）</w:t>
            </w:r>
          </w:p>
        </w:tc>
      </w:tr>
    </w:tbl>
    <w:p w14:paraId="04B2D51A">
      <w:pPr>
        <w:pStyle w:val="42"/>
        <w:numPr>
          <w:ilvl w:val="255"/>
          <w:numId w:val="0"/>
        </w:numPr>
        <w:spacing w:line="360" w:lineRule="auto"/>
        <w:jc w:val="left"/>
        <w:outlineLvl w:val="1"/>
        <w:rPr>
          <w:rFonts w:eastAsia="黑体"/>
          <w:color w:val="auto"/>
          <w:sz w:val="28"/>
          <w:szCs w:val="44"/>
          <w:highlight w:val="none"/>
        </w:rPr>
      </w:pPr>
    </w:p>
    <w:p w14:paraId="6F701E37">
      <w:pPr>
        <w:pStyle w:val="42"/>
        <w:numPr>
          <w:ilvl w:val="255"/>
          <w:numId w:val="0"/>
        </w:numPr>
        <w:spacing w:line="360" w:lineRule="auto"/>
        <w:jc w:val="left"/>
        <w:outlineLvl w:val="1"/>
        <w:rPr>
          <w:rFonts w:eastAsia="黑体"/>
          <w:color w:val="auto"/>
          <w:sz w:val="28"/>
          <w:szCs w:val="44"/>
          <w:highlight w:val="none"/>
        </w:rPr>
      </w:pPr>
      <w:r>
        <w:rPr>
          <w:rFonts w:hint="eastAsia" w:eastAsia="黑体"/>
          <w:color w:val="auto"/>
          <w:sz w:val="28"/>
          <w:szCs w:val="44"/>
          <w:highlight w:val="none"/>
        </w:rPr>
        <w:t>附件九 营业执照复印件（加盖公章）</w:t>
      </w:r>
    </w:p>
    <w:p w14:paraId="3578A659">
      <w:pPr>
        <w:pStyle w:val="11"/>
        <w:ind w:firstLine="640"/>
        <w:rPr>
          <w:rFonts w:eastAsia="仿宋_GB2312"/>
          <w:color w:val="auto"/>
          <w:sz w:val="32"/>
          <w:szCs w:val="32"/>
          <w:highlight w:val="none"/>
        </w:rPr>
      </w:pPr>
    </w:p>
    <w:p w14:paraId="1401E4B7">
      <w:pPr>
        <w:rPr>
          <w:color w:val="auto"/>
          <w:highlight w:val="none"/>
        </w:rPr>
      </w:pPr>
    </w:p>
    <w:p w14:paraId="6BF50D01">
      <w:pPr>
        <w:pStyle w:val="9"/>
        <w:rPr>
          <w:color w:val="auto"/>
          <w:highlight w:val="none"/>
        </w:rPr>
      </w:pPr>
    </w:p>
    <w:p w14:paraId="39160352">
      <w:pPr>
        <w:pStyle w:val="10"/>
        <w:ind w:firstLine="210"/>
        <w:rPr>
          <w:color w:val="auto"/>
          <w:highlight w:val="none"/>
        </w:rPr>
      </w:pPr>
    </w:p>
    <w:p w14:paraId="6AA64ED9">
      <w:pPr>
        <w:pStyle w:val="11"/>
        <w:ind w:firstLine="420"/>
        <w:rPr>
          <w:color w:val="auto"/>
          <w:highlight w:val="none"/>
        </w:rPr>
      </w:pPr>
    </w:p>
    <w:p w14:paraId="153946D0">
      <w:pPr>
        <w:rPr>
          <w:color w:val="auto"/>
          <w:highlight w:val="none"/>
        </w:rPr>
      </w:pPr>
    </w:p>
    <w:p w14:paraId="0DE5B72C">
      <w:pPr>
        <w:pStyle w:val="9"/>
        <w:rPr>
          <w:color w:val="auto"/>
          <w:highlight w:val="none"/>
        </w:rPr>
      </w:pPr>
    </w:p>
    <w:p w14:paraId="7E89EE75">
      <w:pPr>
        <w:pStyle w:val="10"/>
        <w:ind w:firstLine="210"/>
        <w:rPr>
          <w:color w:val="auto"/>
          <w:highlight w:val="none"/>
        </w:rPr>
      </w:pPr>
    </w:p>
    <w:p w14:paraId="0B2174FB">
      <w:pPr>
        <w:pStyle w:val="11"/>
        <w:ind w:firstLine="420"/>
        <w:rPr>
          <w:color w:val="auto"/>
          <w:highlight w:val="none"/>
        </w:rPr>
      </w:pPr>
    </w:p>
    <w:p w14:paraId="452EB6FC">
      <w:pPr>
        <w:rPr>
          <w:color w:val="auto"/>
          <w:highlight w:val="none"/>
        </w:rPr>
      </w:pPr>
    </w:p>
    <w:p w14:paraId="13D37D49">
      <w:pPr>
        <w:pStyle w:val="9"/>
        <w:rPr>
          <w:color w:val="auto"/>
          <w:highlight w:val="none"/>
        </w:rPr>
      </w:pPr>
    </w:p>
    <w:p w14:paraId="6B8F4886">
      <w:pPr>
        <w:pStyle w:val="10"/>
        <w:ind w:firstLine="210"/>
        <w:rPr>
          <w:color w:val="auto"/>
          <w:highlight w:val="none"/>
        </w:rPr>
      </w:pPr>
    </w:p>
    <w:p w14:paraId="6FB1391F">
      <w:pPr>
        <w:pStyle w:val="11"/>
        <w:ind w:firstLine="420"/>
        <w:rPr>
          <w:color w:val="auto"/>
          <w:highlight w:val="none"/>
        </w:rPr>
      </w:pPr>
    </w:p>
    <w:p w14:paraId="00F87145">
      <w:pPr>
        <w:rPr>
          <w:color w:val="auto"/>
          <w:highlight w:val="none"/>
        </w:rPr>
      </w:pPr>
    </w:p>
    <w:p w14:paraId="3966E0CE">
      <w:pPr>
        <w:pStyle w:val="9"/>
        <w:rPr>
          <w:color w:val="auto"/>
          <w:highlight w:val="none"/>
        </w:rPr>
      </w:pPr>
    </w:p>
    <w:p w14:paraId="5D4B1111">
      <w:pPr>
        <w:pStyle w:val="11"/>
        <w:ind w:left="0" w:leftChars="0" w:firstLine="0" w:firstLineChars="0"/>
        <w:rPr>
          <w:color w:val="auto"/>
          <w:highlight w:val="none"/>
        </w:rPr>
      </w:pPr>
    </w:p>
    <w:p w14:paraId="18EA5823">
      <w:pPr>
        <w:pStyle w:val="42"/>
        <w:numPr>
          <w:ilvl w:val="255"/>
          <w:numId w:val="0"/>
        </w:numPr>
        <w:spacing w:line="360" w:lineRule="auto"/>
        <w:jc w:val="left"/>
        <w:outlineLvl w:val="1"/>
        <w:rPr>
          <w:rFonts w:eastAsia="黑体"/>
          <w:color w:val="auto"/>
          <w:sz w:val="28"/>
          <w:szCs w:val="44"/>
          <w:highlight w:val="none"/>
        </w:rPr>
      </w:pPr>
      <w:r>
        <w:rPr>
          <w:rFonts w:hint="eastAsia" w:eastAsia="黑体"/>
          <w:color w:val="auto"/>
          <w:sz w:val="28"/>
          <w:szCs w:val="44"/>
          <w:highlight w:val="none"/>
        </w:rPr>
        <w:t>附件十 同类项目业绩合同（加盖公章）</w:t>
      </w:r>
    </w:p>
    <w:p w14:paraId="26020283">
      <w:pPr>
        <w:pStyle w:val="42"/>
        <w:spacing w:line="360" w:lineRule="auto"/>
        <w:ind w:firstLine="0" w:firstLineChars="0"/>
        <w:jc w:val="left"/>
        <w:outlineLvl w:val="1"/>
        <w:rPr>
          <w:rFonts w:eastAsia="黑体"/>
          <w:color w:val="auto"/>
          <w:sz w:val="28"/>
          <w:szCs w:val="44"/>
          <w:highlight w:val="none"/>
        </w:rPr>
      </w:pPr>
      <w:r>
        <w:rPr>
          <w:rFonts w:hint="eastAsia" w:ascii="仿宋_GB2312" w:hAnsi="仿宋_GB2312" w:eastAsia="仿宋_GB2312" w:cs="仿宋_GB2312"/>
          <w:color w:val="auto"/>
          <w:sz w:val="32"/>
          <w:szCs w:val="32"/>
          <w:highlight w:val="none"/>
        </w:rPr>
        <w:t>提供过往业绩合同主要页复印件（包含但不限于合同首页、合同金额页、合同盖章签字页等）及该项目任意一期已开具的发票复印件（加盖公章）】；</w:t>
      </w:r>
    </w:p>
    <w:p w14:paraId="1366844F">
      <w:pPr>
        <w:rPr>
          <w:color w:val="auto"/>
          <w:highlight w:val="none"/>
        </w:rPr>
      </w:pPr>
    </w:p>
    <w:p w14:paraId="28C4E5D7">
      <w:pPr>
        <w:pStyle w:val="9"/>
        <w:rPr>
          <w:color w:val="auto"/>
          <w:highlight w:val="none"/>
        </w:rPr>
      </w:pPr>
    </w:p>
    <w:p w14:paraId="27C0EEC1">
      <w:pPr>
        <w:pStyle w:val="10"/>
        <w:ind w:firstLine="210"/>
        <w:rPr>
          <w:color w:val="auto"/>
          <w:highlight w:val="none"/>
        </w:rPr>
      </w:pPr>
    </w:p>
    <w:p w14:paraId="7B47704D">
      <w:pPr>
        <w:pStyle w:val="11"/>
        <w:ind w:firstLine="420"/>
        <w:rPr>
          <w:color w:val="auto"/>
          <w:highlight w:val="none"/>
        </w:rPr>
      </w:pPr>
    </w:p>
    <w:p w14:paraId="304D7781">
      <w:pPr>
        <w:rPr>
          <w:color w:val="auto"/>
          <w:highlight w:val="none"/>
        </w:rPr>
      </w:pPr>
    </w:p>
    <w:p w14:paraId="4900FB9C">
      <w:pPr>
        <w:pStyle w:val="9"/>
        <w:rPr>
          <w:color w:val="auto"/>
          <w:highlight w:val="none"/>
        </w:rPr>
      </w:pPr>
    </w:p>
    <w:p w14:paraId="2D59F708">
      <w:pPr>
        <w:pStyle w:val="10"/>
        <w:ind w:firstLine="210"/>
        <w:rPr>
          <w:color w:val="auto"/>
          <w:highlight w:val="none"/>
        </w:rPr>
      </w:pPr>
    </w:p>
    <w:p w14:paraId="639DD376">
      <w:pPr>
        <w:pStyle w:val="10"/>
        <w:ind w:left="0" w:leftChars="0" w:firstLine="0" w:firstLineChars="0"/>
        <w:rPr>
          <w:color w:val="auto"/>
          <w:highlight w:val="none"/>
        </w:rPr>
      </w:pPr>
    </w:p>
    <w:p w14:paraId="4932B171">
      <w:pPr>
        <w:spacing w:before="332" w:beforeLines="100" w:after="332" w:afterLines="100"/>
        <w:outlineLvl w:val="1"/>
        <w:rPr>
          <w:rFonts w:ascii="宋体" w:hAnsi="宋体" w:eastAsia="黑体" w:cs="宋体"/>
          <w:b/>
          <w:bCs/>
          <w:color w:val="auto"/>
          <w:sz w:val="44"/>
          <w:szCs w:val="44"/>
          <w:highlight w:val="none"/>
        </w:rPr>
      </w:pPr>
      <w:r>
        <w:rPr>
          <w:rFonts w:eastAsia="黑体"/>
          <w:color w:val="auto"/>
          <w:sz w:val="28"/>
          <w:szCs w:val="44"/>
          <w:highlight w:val="none"/>
        </w:rPr>
        <w:t>附件</w:t>
      </w:r>
      <w:r>
        <w:rPr>
          <w:rFonts w:hint="eastAsia" w:eastAsia="黑体"/>
          <w:color w:val="auto"/>
          <w:sz w:val="28"/>
          <w:szCs w:val="44"/>
          <w:highlight w:val="none"/>
        </w:rPr>
        <w:t>十一商务偏离表</w:t>
      </w:r>
    </w:p>
    <w:p w14:paraId="6711DFF8">
      <w:pPr>
        <w:spacing w:before="332" w:beforeLines="100" w:after="332" w:afterLines="100"/>
        <w:jc w:val="center"/>
        <w:outlineLvl w:val="1"/>
        <w:rPr>
          <w:rFonts w:ascii="宋体" w:hAnsi="宋体" w:cs="宋体"/>
          <w:b/>
          <w:bCs/>
          <w:color w:val="auto"/>
          <w:sz w:val="44"/>
          <w:szCs w:val="44"/>
          <w:highlight w:val="none"/>
        </w:rPr>
      </w:pPr>
      <w:r>
        <w:rPr>
          <w:rFonts w:hint="eastAsia" w:ascii="宋体" w:hAnsi="宋体" w:cs="宋体"/>
          <w:b/>
          <w:bCs/>
          <w:color w:val="auto"/>
          <w:sz w:val="44"/>
          <w:szCs w:val="44"/>
          <w:highlight w:val="none"/>
        </w:rPr>
        <w:t>商务/技术条款偏离表</w:t>
      </w:r>
    </w:p>
    <w:p w14:paraId="2D23E645">
      <w:pPr>
        <w:spacing w:line="360" w:lineRule="auto"/>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采购编号：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2120"/>
        <w:gridCol w:w="1958"/>
        <w:gridCol w:w="1955"/>
        <w:gridCol w:w="832"/>
        <w:gridCol w:w="831"/>
      </w:tblGrid>
      <w:tr w14:paraId="2094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14493840">
            <w:pPr>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2120" w:type="dxa"/>
            <w:vAlign w:val="center"/>
          </w:tcPr>
          <w:p w14:paraId="2C4EC2C0">
            <w:pPr>
              <w:jc w:val="center"/>
              <w:rPr>
                <w:rFonts w:ascii="宋体" w:hAnsi="宋体" w:cs="宋体"/>
                <w:b/>
                <w:color w:val="auto"/>
                <w:sz w:val="24"/>
                <w:highlight w:val="none"/>
              </w:rPr>
            </w:pPr>
            <w:r>
              <w:rPr>
                <w:rFonts w:hint="eastAsia" w:ascii="宋体" w:hAnsi="宋体" w:cs="宋体"/>
                <w:b/>
                <w:color w:val="auto"/>
                <w:sz w:val="24"/>
                <w:highlight w:val="none"/>
              </w:rPr>
              <w:t>项目名称</w:t>
            </w:r>
          </w:p>
        </w:tc>
        <w:tc>
          <w:tcPr>
            <w:tcW w:w="1958" w:type="dxa"/>
            <w:vAlign w:val="center"/>
          </w:tcPr>
          <w:p w14:paraId="2372A0F9">
            <w:pPr>
              <w:jc w:val="center"/>
              <w:rPr>
                <w:rFonts w:ascii="宋体" w:hAnsi="宋体" w:cs="宋体"/>
                <w:b/>
                <w:color w:val="auto"/>
                <w:sz w:val="24"/>
                <w:highlight w:val="none"/>
              </w:rPr>
            </w:pPr>
            <w:r>
              <w:rPr>
                <w:rFonts w:hint="eastAsia" w:ascii="宋体" w:hAnsi="宋体" w:cs="宋体"/>
                <w:b/>
                <w:color w:val="auto"/>
                <w:sz w:val="24"/>
                <w:highlight w:val="none"/>
              </w:rPr>
              <w:t>询价文件商务/技术条款</w:t>
            </w:r>
          </w:p>
        </w:tc>
        <w:tc>
          <w:tcPr>
            <w:tcW w:w="1955" w:type="dxa"/>
            <w:vAlign w:val="center"/>
          </w:tcPr>
          <w:p w14:paraId="6EE7991E">
            <w:pPr>
              <w:jc w:val="center"/>
              <w:rPr>
                <w:rFonts w:ascii="宋体" w:hAnsi="宋体" w:cs="宋体"/>
                <w:b/>
                <w:color w:val="auto"/>
                <w:sz w:val="24"/>
                <w:highlight w:val="none"/>
              </w:rPr>
            </w:pPr>
            <w:r>
              <w:rPr>
                <w:rFonts w:hint="eastAsia" w:ascii="宋体" w:hAnsi="宋体" w:cs="宋体"/>
                <w:b/>
                <w:color w:val="auto"/>
                <w:sz w:val="24"/>
                <w:highlight w:val="none"/>
              </w:rPr>
              <w:t>报价文件商务/技术条款</w:t>
            </w:r>
          </w:p>
        </w:tc>
        <w:tc>
          <w:tcPr>
            <w:tcW w:w="832" w:type="dxa"/>
            <w:vAlign w:val="center"/>
          </w:tcPr>
          <w:p w14:paraId="06302398">
            <w:pPr>
              <w:jc w:val="center"/>
              <w:rPr>
                <w:rFonts w:ascii="宋体" w:hAnsi="宋体" w:cs="宋体"/>
                <w:b/>
                <w:color w:val="auto"/>
                <w:sz w:val="24"/>
                <w:highlight w:val="none"/>
              </w:rPr>
            </w:pPr>
            <w:r>
              <w:rPr>
                <w:rFonts w:hint="eastAsia" w:ascii="宋体" w:hAnsi="宋体" w:cs="宋体"/>
                <w:b/>
                <w:color w:val="auto"/>
                <w:sz w:val="24"/>
                <w:highlight w:val="none"/>
              </w:rPr>
              <w:t>偏离</w:t>
            </w:r>
          </w:p>
        </w:tc>
        <w:tc>
          <w:tcPr>
            <w:tcW w:w="831" w:type="dxa"/>
            <w:vAlign w:val="center"/>
          </w:tcPr>
          <w:p w14:paraId="4189FDDA">
            <w:pPr>
              <w:jc w:val="center"/>
              <w:rPr>
                <w:rFonts w:ascii="宋体" w:hAnsi="宋体" w:cs="宋体"/>
                <w:b/>
                <w:color w:val="auto"/>
                <w:sz w:val="24"/>
                <w:highlight w:val="none"/>
              </w:rPr>
            </w:pPr>
            <w:r>
              <w:rPr>
                <w:rFonts w:hint="eastAsia" w:ascii="宋体" w:hAnsi="宋体" w:cs="宋体"/>
                <w:b/>
                <w:color w:val="auto"/>
                <w:sz w:val="24"/>
                <w:highlight w:val="none"/>
              </w:rPr>
              <w:t>说明</w:t>
            </w:r>
          </w:p>
        </w:tc>
      </w:tr>
      <w:tr w14:paraId="1E4D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20E84BAD">
            <w:pPr>
              <w:jc w:val="center"/>
              <w:rPr>
                <w:rFonts w:ascii="宋体" w:hAnsi="宋体" w:cs="宋体"/>
                <w:color w:val="auto"/>
                <w:sz w:val="24"/>
                <w:highlight w:val="none"/>
              </w:rPr>
            </w:pPr>
          </w:p>
        </w:tc>
        <w:tc>
          <w:tcPr>
            <w:tcW w:w="2120" w:type="dxa"/>
            <w:vAlign w:val="center"/>
          </w:tcPr>
          <w:p w14:paraId="59B87F84">
            <w:pPr>
              <w:jc w:val="center"/>
              <w:rPr>
                <w:rFonts w:ascii="宋体" w:hAnsi="宋体" w:cs="宋体"/>
                <w:color w:val="auto"/>
                <w:sz w:val="24"/>
                <w:highlight w:val="none"/>
              </w:rPr>
            </w:pPr>
          </w:p>
        </w:tc>
        <w:tc>
          <w:tcPr>
            <w:tcW w:w="1958" w:type="dxa"/>
            <w:vAlign w:val="center"/>
          </w:tcPr>
          <w:p w14:paraId="08316BE7">
            <w:pPr>
              <w:jc w:val="center"/>
              <w:rPr>
                <w:rFonts w:ascii="宋体" w:hAnsi="宋体" w:cs="宋体"/>
                <w:color w:val="auto"/>
                <w:sz w:val="24"/>
                <w:highlight w:val="none"/>
              </w:rPr>
            </w:pPr>
          </w:p>
        </w:tc>
        <w:tc>
          <w:tcPr>
            <w:tcW w:w="1955" w:type="dxa"/>
            <w:vAlign w:val="center"/>
          </w:tcPr>
          <w:p w14:paraId="6D5A9E98">
            <w:pPr>
              <w:jc w:val="center"/>
              <w:rPr>
                <w:rFonts w:ascii="宋体" w:hAnsi="宋体" w:cs="宋体"/>
                <w:color w:val="auto"/>
                <w:sz w:val="24"/>
                <w:highlight w:val="none"/>
              </w:rPr>
            </w:pPr>
          </w:p>
        </w:tc>
        <w:tc>
          <w:tcPr>
            <w:tcW w:w="832" w:type="dxa"/>
            <w:vAlign w:val="center"/>
          </w:tcPr>
          <w:p w14:paraId="5B371B48">
            <w:pPr>
              <w:jc w:val="center"/>
              <w:rPr>
                <w:rFonts w:ascii="宋体" w:hAnsi="宋体" w:cs="宋体"/>
                <w:color w:val="auto"/>
                <w:sz w:val="24"/>
                <w:highlight w:val="none"/>
              </w:rPr>
            </w:pPr>
          </w:p>
        </w:tc>
        <w:tc>
          <w:tcPr>
            <w:tcW w:w="831" w:type="dxa"/>
            <w:vAlign w:val="center"/>
          </w:tcPr>
          <w:p w14:paraId="5B0E4885">
            <w:pPr>
              <w:jc w:val="center"/>
              <w:rPr>
                <w:rFonts w:ascii="宋体" w:hAnsi="宋体" w:cs="宋体"/>
                <w:color w:val="auto"/>
                <w:sz w:val="24"/>
                <w:highlight w:val="none"/>
              </w:rPr>
            </w:pPr>
          </w:p>
        </w:tc>
      </w:tr>
      <w:tr w14:paraId="35AA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7E484DAB">
            <w:pPr>
              <w:jc w:val="center"/>
              <w:rPr>
                <w:rFonts w:ascii="宋体" w:hAnsi="宋体" w:cs="宋体"/>
                <w:color w:val="auto"/>
                <w:sz w:val="24"/>
                <w:highlight w:val="none"/>
              </w:rPr>
            </w:pPr>
          </w:p>
        </w:tc>
        <w:tc>
          <w:tcPr>
            <w:tcW w:w="2120" w:type="dxa"/>
            <w:vAlign w:val="center"/>
          </w:tcPr>
          <w:p w14:paraId="25E3B516">
            <w:pPr>
              <w:jc w:val="center"/>
              <w:rPr>
                <w:rFonts w:ascii="宋体" w:hAnsi="宋体" w:cs="宋体"/>
                <w:color w:val="auto"/>
                <w:sz w:val="24"/>
                <w:highlight w:val="none"/>
              </w:rPr>
            </w:pPr>
          </w:p>
        </w:tc>
        <w:tc>
          <w:tcPr>
            <w:tcW w:w="1958" w:type="dxa"/>
            <w:vAlign w:val="center"/>
          </w:tcPr>
          <w:p w14:paraId="69F14770">
            <w:pPr>
              <w:jc w:val="center"/>
              <w:rPr>
                <w:rFonts w:ascii="宋体" w:hAnsi="宋体" w:cs="宋体"/>
                <w:color w:val="auto"/>
                <w:sz w:val="24"/>
                <w:highlight w:val="none"/>
              </w:rPr>
            </w:pPr>
          </w:p>
        </w:tc>
        <w:tc>
          <w:tcPr>
            <w:tcW w:w="1955" w:type="dxa"/>
            <w:vAlign w:val="center"/>
          </w:tcPr>
          <w:p w14:paraId="4FDAF428">
            <w:pPr>
              <w:jc w:val="center"/>
              <w:rPr>
                <w:rFonts w:ascii="宋体" w:hAnsi="宋体" w:cs="宋体"/>
                <w:color w:val="auto"/>
                <w:sz w:val="24"/>
                <w:highlight w:val="none"/>
              </w:rPr>
            </w:pPr>
          </w:p>
        </w:tc>
        <w:tc>
          <w:tcPr>
            <w:tcW w:w="832" w:type="dxa"/>
            <w:vAlign w:val="center"/>
          </w:tcPr>
          <w:p w14:paraId="78C77CD5">
            <w:pPr>
              <w:jc w:val="center"/>
              <w:rPr>
                <w:rFonts w:ascii="宋体" w:hAnsi="宋体" w:cs="宋体"/>
                <w:color w:val="auto"/>
                <w:sz w:val="24"/>
                <w:highlight w:val="none"/>
              </w:rPr>
            </w:pPr>
          </w:p>
        </w:tc>
        <w:tc>
          <w:tcPr>
            <w:tcW w:w="831" w:type="dxa"/>
            <w:vAlign w:val="center"/>
          </w:tcPr>
          <w:p w14:paraId="3637E05C">
            <w:pPr>
              <w:jc w:val="center"/>
              <w:rPr>
                <w:rFonts w:ascii="宋体" w:hAnsi="宋体" w:cs="宋体"/>
                <w:color w:val="auto"/>
                <w:sz w:val="24"/>
                <w:highlight w:val="none"/>
              </w:rPr>
            </w:pPr>
          </w:p>
        </w:tc>
      </w:tr>
      <w:tr w14:paraId="493C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064C8844">
            <w:pPr>
              <w:jc w:val="center"/>
              <w:rPr>
                <w:rFonts w:ascii="宋体" w:hAnsi="宋体" w:cs="宋体"/>
                <w:color w:val="auto"/>
                <w:sz w:val="24"/>
                <w:highlight w:val="none"/>
              </w:rPr>
            </w:pPr>
          </w:p>
        </w:tc>
        <w:tc>
          <w:tcPr>
            <w:tcW w:w="2120" w:type="dxa"/>
            <w:vAlign w:val="center"/>
          </w:tcPr>
          <w:p w14:paraId="2099CDB6">
            <w:pPr>
              <w:jc w:val="center"/>
              <w:rPr>
                <w:rFonts w:ascii="宋体" w:hAnsi="宋体" w:cs="宋体"/>
                <w:color w:val="auto"/>
                <w:sz w:val="24"/>
                <w:highlight w:val="none"/>
              </w:rPr>
            </w:pPr>
          </w:p>
        </w:tc>
        <w:tc>
          <w:tcPr>
            <w:tcW w:w="1958" w:type="dxa"/>
            <w:vAlign w:val="center"/>
          </w:tcPr>
          <w:p w14:paraId="1D5B7B5C">
            <w:pPr>
              <w:jc w:val="center"/>
              <w:rPr>
                <w:rFonts w:ascii="宋体" w:hAnsi="宋体" w:cs="宋体"/>
                <w:color w:val="auto"/>
                <w:sz w:val="24"/>
                <w:highlight w:val="none"/>
              </w:rPr>
            </w:pPr>
          </w:p>
        </w:tc>
        <w:tc>
          <w:tcPr>
            <w:tcW w:w="1955" w:type="dxa"/>
            <w:vAlign w:val="center"/>
          </w:tcPr>
          <w:p w14:paraId="6CDE7069">
            <w:pPr>
              <w:jc w:val="center"/>
              <w:rPr>
                <w:rFonts w:ascii="宋体" w:hAnsi="宋体" w:cs="宋体"/>
                <w:color w:val="auto"/>
                <w:sz w:val="24"/>
                <w:highlight w:val="none"/>
              </w:rPr>
            </w:pPr>
          </w:p>
        </w:tc>
        <w:tc>
          <w:tcPr>
            <w:tcW w:w="832" w:type="dxa"/>
            <w:vAlign w:val="center"/>
          </w:tcPr>
          <w:p w14:paraId="5A89BA44">
            <w:pPr>
              <w:jc w:val="center"/>
              <w:rPr>
                <w:rFonts w:ascii="宋体" w:hAnsi="宋体" w:cs="宋体"/>
                <w:color w:val="auto"/>
                <w:sz w:val="24"/>
                <w:highlight w:val="none"/>
              </w:rPr>
            </w:pPr>
          </w:p>
        </w:tc>
        <w:tc>
          <w:tcPr>
            <w:tcW w:w="831" w:type="dxa"/>
            <w:vAlign w:val="center"/>
          </w:tcPr>
          <w:p w14:paraId="4515778D">
            <w:pPr>
              <w:jc w:val="center"/>
              <w:rPr>
                <w:rFonts w:ascii="宋体" w:hAnsi="宋体" w:cs="宋体"/>
                <w:color w:val="auto"/>
                <w:sz w:val="24"/>
                <w:highlight w:val="none"/>
              </w:rPr>
            </w:pPr>
          </w:p>
        </w:tc>
      </w:tr>
      <w:tr w14:paraId="7CBD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64B17BEB">
            <w:pPr>
              <w:jc w:val="center"/>
              <w:rPr>
                <w:rFonts w:ascii="宋体" w:hAnsi="宋体" w:cs="宋体"/>
                <w:color w:val="auto"/>
                <w:sz w:val="24"/>
                <w:highlight w:val="none"/>
              </w:rPr>
            </w:pPr>
          </w:p>
        </w:tc>
        <w:tc>
          <w:tcPr>
            <w:tcW w:w="2120" w:type="dxa"/>
            <w:vAlign w:val="center"/>
          </w:tcPr>
          <w:p w14:paraId="15AE7D60">
            <w:pPr>
              <w:jc w:val="center"/>
              <w:rPr>
                <w:rFonts w:ascii="宋体" w:hAnsi="宋体" w:cs="宋体"/>
                <w:color w:val="auto"/>
                <w:sz w:val="24"/>
                <w:highlight w:val="none"/>
              </w:rPr>
            </w:pPr>
          </w:p>
        </w:tc>
        <w:tc>
          <w:tcPr>
            <w:tcW w:w="1958" w:type="dxa"/>
            <w:vAlign w:val="center"/>
          </w:tcPr>
          <w:p w14:paraId="28151176">
            <w:pPr>
              <w:jc w:val="center"/>
              <w:rPr>
                <w:rFonts w:ascii="宋体" w:hAnsi="宋体" w:cs="宋体"/>
                <w:color w:val="auto"/>
                <w:sz w:val="24"/>
                <w:highlight w:val="none"/>
              </w:rPr>
            </w:pPr>
          </w:p>
        </w:tc>
        <w:tc>
          <w:tcPr>
            <w:tcW w:w="1955" w:type="dxa"/>
            <w:vAlign w:val="center"/>
          </w:tcPr>
          <w:p w14:paraId="3418036F">
            <w:pPr>
              <w:jc w:val="center"/>
              <w:rPr>
                <w:rFonts w:ascii="宋体" w:hAnsi="宋体" w:cs="宋体"/>
                <w:color w:val="auto"/>
                <w:sz w:val="24"/>
                <w:highlight w:val="none"/>
              </w:rPr>
            </w:pPr>
          </w:p>
        </w:tc>
        <w:tc>
          <w:tcPr>
            <w:tcW w:w="832" w:type="dxa"/>
            <w:vAlign w:val="center"/>
          </w:tcPr>
          <w:p w14:paraId="1322566D">
            <w:pPr>
              <w:jc w:val="center"/>
              <w:rPr>
                <w:rFonts w:ascii="宋体" w:hAnsi="宋体" w:cs="宋体"/>
                <w:color w:val="auto"/>
                <w:sz w:val="24"/>
                <w:highlight w:val="none"/>
              </w:rPr>
            </w:pPr>
          </w:p>
        </w:tc>
        <w:tc>
          <w:tcPr>
            <w:tcW w:w="831" w:type="dxa"/>
            <w:vAlign w:val="center"/>
          </w:tcPr>
          <w:p w14:paraId="34B62807">
            <w:pPr>
              <w:jc w:val="center"/>
              <w:rPr>
                <w:rFonts w:ascii="宋体" w:hAnsi="宋体" w:cs="宋体"/>
                <w:color w:val="auto"/>
                <w:sz w:val="24"/>
                <w:highlight w:val="none"/>
              </w:rPr>
            </w:pPr>
          </w:p>
        </w:tc>
      </w:tr>
      <w:tr w14:paraId="68D1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6D2369BB">
            <w:pPr>
              <w:jc w:val="center"/>
              <w:rPr>
                <w:rFonts w:ascii="宋体" w:hAnsi="宋体" w:cs="宋体"/>
                <w:color w:val="auto"/>
                <w:sz w:val="24"/>
                <w:highlight w:val="none"/>
              </w:rPr>
            </w:pPr>
          </w:p>
        </w:tc>
        <w:tc>
          <w:tcPr>
            <w:tcW w:w="2120" w:type="dxa"/>
            <w:vAlign w:val="center"/>
          </w:tcPr>
          <w:p w14:paraId="7A33144E">
            <w:pPr>
              <w:jc w:val="center"/>
              <w:rPr>
                <w:rFonts w:ascii="宋体" w:hAnsi="宋体" w:cs="宋体"/>
                <w:color w:val="auto"/>
                <w:sz w:val="24"/>
                <w:highlight w:val="none"/>
              </w:rPr>
            </w:pPr>
          </w:p>
        </w:tc>
        <w:tc>
          <w:tcPr>
            <w:tcW w:w="1958" w:type="dxa"/>
            <w:vAlign w:val="center"/>
          </w:tcPr>
          <w:p w14:paraId="65F75A93">
            <w:pPr>
              <w:jc w:val="center"/>
              <w:rPr>
                <w:rFonts w:ascii="宋体" w:hAnsi="宋体" w:cs="宋体"/>
                <w:color w:val="auto"/>
                <w:sz w:val="24"/>
                <w:highlight w:val="none"/>
              </w:rPr>
            </w:pPr>
          </w:p>
        </w:tc>
        <w:tc>
          <w:tcPr>
            <w:tcW w:w="1955" w:type="dxa"/>
            <w:vAlign w:val="center"/>
          </w:tcPr>
          <w:p w14:paraId="2C259463">
            <w:pPr>
              <w:jc w:val="center"/>
              <w:rPr>
                <w:rFonts w:ascii="宋体" w:hAnsi="宋体" w:cs="宋体"/>
                <w:color w:val="auto"/>
                <w:sz w:val="24"/>
                <w:highlight w:val="none"/>
              </w:rPr>
            </w:pPr>
          </w:p>
        </w:tc>
        <w:tc>
          <w:tcPr>
            <w:tcW w:w="832" w:type="dxa"/>
            <w:vAlign w:val="center"/>
          </w:tcPr>
          <w:p w14:paraId="2CF28609">
            <w:pPr>
              <w:jc w:val="center"/>
              <w:rPr>
                <w:rFonts w:ascii="宋体" w:hAnsi="宋体" w:cs="宋体"/>
                <w:color w:val="auto"/>
                <w:sz w:val="24"/>
                <w:highlight w:val="none"/>
              </w:rPr>
            </w:pPr>
          </w:p>
        </w:tc>
        <w:tc>
          <w:tcPr>
            <w:tcW w:w="831" w:type="dxa"/>
            <w:vAlign w:val="center"/>
          </w:tcPr>
          <w:p w14:paraId="6AD1BBA2">
            <w:pPr>
              <w:jc w:val="center"/>
              <w:rPr>
                <w:rFonts w:ascii="宋体" w:hAnsi="宋体" w:cs="宋体"/>
                <w:color w:val="auto"/>
                <w:sz w:val="24"/>
                <w:highlight w:val="none"/>
              </w:rPr>
            </w:pPr>
          </w:p>
        </w:tc>
      </w:tr>
      <w:tr w14:paraId="295A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26E423C4">
            <w:pPr>
              <w:jc w:val="center"/>
              <w:rPr>
                <w:rFonts w:ascii="宋体" w:hAnsi="宋体" w:cs="宋体"/>
                <w:color w:val="auto"/>
                <w:sz w:val="24"/>
                <w:highlight w:val="none"/>
              </w:rPr>
            </w:pPr>
          </w:p>
        </w:tc>
        <w:tc>
          <w:tcPr>
            <w:tcW w:w="2120" w:type="dxa"/>
            <w:vAlign w:val="center"/>
          </w:tcPr>
          <w:p w14:paraId="4A9C7A99">
            <w:pPr>
              <w:jc w:val="center"/>
              <w:rPr>
                <w:rFonts w:ascii="宋体" w:hAnsi="宋体" w:cs="宋体"/>
                <w:color w:val="auto"/>
                <w:sz w:val="24"/>
                <w:highlight w:val="none"/>
              </w:rPr>
            </w:pPr>
          </w:p>
        </w:tc>
        <w:tc>
          <w:tcPr>
            <w:tcW w:w="1958" w:type="dxa"/>
            <w:vAlign w:val="center"/>
          </w:tcPr>
          <w:p w14:paraId="2DFCA494">
            <w:pPr>
              <w:jc w:val="center"/>
              <w:rPr>
                <w:rFonts w:ascii="宋体" w:hAnsi="宋体" w:cs="宋体"/>
                <w:color w:val="auto"/>
                <w:sz w:val="24"/>
                <w:highlight w:val="none"/>
              </w:rPr>
            </w:pPr>
          </w:p>
        </w:tc>
        <w:tc>
          <w:tcPr>
            <w:tcW w:w="1955" w:type="dxa"/>
            <w:vAlign w:val="center"/>
          </w:tcPr>
          <w:p w14:paraId="4F47BBF7">
            <w:pPr>
              <w:jc w:val="center"/>
              <w:rPr>
                <w:rFonts w:ascii="宋体" w:hAnsi="宋体" w:cs="宋体"/>
                <w:color w:val="auto"/>
                <w:sz w:val="24"/>
                <w:highlight w:val="none"/>
              </w:rPr>
            </w:pPr>
          </w:p>
        </w:tc>
        <w:tc>
          <w:tcPr>
            <w:tcW w:w="832" w:type="dxa"/>
            <w:vAlign w:val="center"/>
          </w:tcPr>
          <w:p w14:paraId="42E861FD">
            <w:pPr>
              <w:jc w:val="center"/>
              <w:rPr>
                <w:rFonts w:ascii="宋体" w:hAnsi="宋体" w:cs="宋体"/>
                <w:color w:val="auto"/>
                <w:sz w:val="24"/>
                <w:highlight w:val="none"/>
              </w:rPr>
            </w:pPr>
          </w:p>
        </w:tc>
        <w:tc>
          <w:tcPr>
            <w:tcW w:w="831" w:type="dxa"/>
            <w:vAlign w:val="center"/>
          </w:tcPr>
          <w:p w14:paraId="254E3548">
            <w:pPr>
              <w:jc w:val="center"/>
              <w:rPr>
                <w:rFonts w:ascii="宋体" w:hAnsi="宋体" w:cs="宋体"/>
                <w:color w:val="auto"/>
                <w:sz w:val="24"/>
                <w:highlight w:val="none"/>
              </w:rPr>
            </w:pPr>
          </w:p>
        </w:tc>
      </w:tr>
      <w:tr w14:paraId="1CBC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0340845C">
            <w:pPr>
              <w:jc w:val="center"/>
              <w:rPr>
                <w:rFonts w:ascii="宋体" w:hAnsi="宋体" w:cs="宋体"/>
                <w:color w:val="auto"/>
                <w:sz w:val="24"/>
                <w:highlight w:val="none"/>
              </w:rPr>
            </w:pPr>
          </w:p>
        </w:tc>
        <w:tc>
          <w:tcPr>
            <w:tcW w:w="2120" w:type="dxa"/>
            <w:vAlign w:val="center"/>
          </w:tcPr>
          <w:p w14:paraId="2D67918C">
            <w:pPr>
              <w:jc w:val="center"/>
              <w:rPr>
                <w:rFonts w:ascii="宋体" w:hAnsi="宋体" w:cs="宋体"/>
                <w:color w:val="auto"/>
                <w:sz w:val="24"/>
                <w:highlight w:val="none"/>
              </w:rPr>
            </w:pPr>
          </w:p>
        </w:tc>
        <w:tc>
          <w:tcPr>
            <w:tcW w:w="1958" w:type="dxa"/>
            <w:vAlign w:val="center"/>
          </w:tcPr>
          <w:p w14:paraId="0DC8E0CD">
            <w:pPr>
              <w:jc w:val="center"/>
              <w:rPr>
                <w:rFonts w:ascii="宋体" w:hAnsi="宋体" w:cs="宋体"/>
                <w:color w:val="auto"/>
                <w:sz w:val="24"/>
                <w:highlight w:val="none"/>
              </w:rPr>
            </w:pPr>
          </w:p>
        </w:tc>
        <w:tc>
          <w:tcPr>
            <w:tcW w:w="1955" w:type="dxa"/>
            <w:vAlign w:val="center"/>
          </w:tcPr>
          <w:p w14:paraId="779B0533">
            <w:pPr>
              <w:jc w:val="center"/>
              <w:rPr>
                <w:rFonts w:ascii="宋体" w:hAnsi="宋体" w:cs="宋体"/>
                <w:color w:val="auto"/>
                <w:sz w:val="24"/>
                <w:highlight w:val="none"/>
              </w:rPr>
            </w:pPr>
          </w:p>
        </w:tc>
        <w:tc>
          <w:tcPr>
            <w:tcW w:w="832" w:type="dxa"/>
            <w:vAlign w:val="center"/>
          </w:tcPr>
          <w:p w14:paraId="7BF79C81">
            <w:pPr>
              <w:jc w:val="center"/>
              <w:rPr>
                <w:rFonts w:ascii="宋体" w:hAnsi="宋体" w:cs="宋体"/>
                <w:color w:val="auto"/>
                <w:sz w:val="24"/>
                <w:highlight w:val="none"/>
              </w:rPr>
            </w:pPr>
          </w:p>
        </w:tc>
        <w:tc>
          <w:tcPr>
            <w:tcW w:w="831" w:type="dxa"/>
            <w:vAlign w:val="center"/>
          </w:tcPr>
          <w:p w14:paraId="1E343E04">
            <w:pPr>
              <w:jc w:val="center"/>
              <w:rPr>
                <w:rFonts w:ascii="宋体" w:hAnsi="宋体" w:cs="宋体"/>
                <w:color w:val="auto"/>
                <w:sz w:val="24"/>
                <w:highlight w:val="none"/>
              </w:rPr>
            </w:pPr>
          </w:p>
        </w:tc>
      </w:tr>
      <w:tr w14:paraId="724F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1C58163D">
            <w:pPr>
              <w:jc w:val="center"/>
              <w:rPr>
                <w:rFonts w:ascii="宋体" w:hAnsi="宋体" w:cs="宋体"/>
                <w:color w:val="auto"/>
                <w:sz w:val="24"/>
                <w:highlight w:val="none"/>
              </w:rPr>
            </w:pPr>
          </w:p>
        </w:tc>
        <w:tc>
          <w:tcPr>
            <w:tcW w:w="2120" w:type="dxa"/>
            <w:vAlign w:val="center"/>
          </w:tcPr>
          <w:p w14:paraId="3B41E3FB">
            <w:pPr>
              <w:jc w:val="center"/>
              <w:rPr>
                <w:rFonts w:ascii="宋体" w:hAnsi="宋体" w:cs="宋体"/>
                <w:color w:val="auto"/>
                <w:sz w:val="24"/>
                <w:highlight w:val="none"/>
              </w:rPr>
            </w:pPr>
          </w:p>
        </w:tc>
        <w:tc>
          <w:tcPr>
            <w:tcW w:w="1958" w:type="dxa"/>
            <w:vAlign w:val="center"/>
          </w:tcPr>
          <w:p w14:paraId="4732E3E6">
            <w:pPr>
              <w:jc w:val="center"/>
              <w:rPr>
                <w:rFonts w:ascii="宋体" w:hAnsi="宋体" w:cs="宋体"/>
                <w:color w:val="auto"/>
                <w:sz w:val="24"/>
                <w:highlight w:val="none"/>
              </w:rPr>
            </w:pPr>
          </w:p>
        </w:tc>
        <w:tc>
          <w:tcPr>
            <w:tcW w:w="1955" w:type="dxa"/>
            <w:vAlign w:val="center"/>
          </w:tcPr>
          <w:p w14:paraId="6DB41025">
            <w:pPr>
              <w:jc w:val="center"/>
              <w:rPr>
                <w:rFonts w:ascii="宋体" w:hAnsi="宋体" w:cs="宋体"/>
                <w:color w:val="auto"/>
                <w:sz w:val="24"/>
                <w:highlight w:val="none"/>
              </w:rPr>
            </w:pPr>
          </w:p>
        </w:tc>
        <w:tc>
          <w:tcPr>
            <w:tcW w:w="832" w:type="dxa"/>
            <w:vAlign w:val="center"/>
          </w:tcPr>
          <w:p w14:paraId="10545B3E">
            <w:pPr>
              <w:jc w:val="center"/>
              <w:rPr>
                <w:rFonts w:ascii="宋体" w:hAnsi="宋体" w:cs="宋体"/>
                <w:color w:val="auto"/>
                <w:sz w:val="24"/>
                <w:highlight w:val="none"/>
              </w:rPr>
            </w:pPr>
          </w:p>
        </w:tc>
        <w:tc>
          <w:tcPr>
            <w:tcW w:w="831" w:type="dxa"/>
            <w:vAlign w:val="center"/>
          </w:tcPr>
          <w:p w14:paraId="142C62C7">
            <w:pPr>
              <w:jc w:val="center"/>
              <w:rPr>
                <w:rFonts w:ascii="宋体" w:hAnsi="宋体" w:cs="宋体"/>
                <w:color w:val="auto"/>
                <w:sz w:val="24"/>
                <w:highlight w:val="none"/>
              </w:rPr>
            </w:pPr>
          </w:p>
        </w:tc>
      </w:tr>
      <w:tr w14:paraId="462B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3D3D5E75">
            <w:pPr>
              <w:jc w:val="center"/>
              <w:rPr>
                <w:rFonts w:ascii="宋体" w:hAnsi="宋体" w:cs="宋体"/>
                <w:color w:val="auto"/>
                <w:sz w:val="24"/>
                <w:highlight w:val="none"/>
              </w:rPr>
            </w:pPr>
          </w:p>
        </w:tc>
        <w:tc>
          <w:tcPr>
            <w:tcW w:w="2120" w:type="dxa"/>
            <w:vAlign w:val="center"/>
          </w:tcPr>
          <w:p w14:paraId="3397EBE5">
            <w:pPr>
              <w:jc w:val="center"/>
              <w:rPr>
                <w:rFonts w:ascii="宋体" w:hAnsi="宋体" w:cs="宋体"/>
                <w:color w:val="auto"/>
                <w:sz w:val="24"/>
                <w:highlight w:val="none"/>
              </w:rPr>
            </w:pPr>
          </w:p>
        </w:tc>
        <w:tc>
          <w:tcPr>
            <w:tcW w:w="1958" w:type="dxa"/>
            <w:vAlign w:val="center"/>
          </w:tcPr>
          <w:p w14:paraId="7E158FAE">
            <w:pPr>
              <w:jc w:val="center"/>
              <w:rPr>
                <w:rFonts w:ascii="宋体" w:hAnsi="宋体" w:cs="宋体"/>
                <w:color w:val="auto"/>
                <w:sz w:val="24"/>
                <w:highlight w:val="none"/>
              </w:rPr>
            </w:pPr>
          </w:p>
        </w:tc>
        <w:tc>
          <w:tcPr>
            <w:tcW w:w="1955" w:type="dxa"/>
            <w:vAlign w:val="center"/>
          </w:tcPr>
          <w:p w14:paraId="7D67F85C">
            <w:pPr>
              <w:jc w:val="center"/>
              <w:rPr>
                <w:rFonts w:ascii="宋体" w:hAnsi="宋体" w:cs="宋体"/>
                <w:color w:val="auto"/>
                <w:sz w:val="24"/>
                <w:highlight w:val="none"/>
              </w:rPr>
            </w:pPr>
          </w:p>
        </w:tc>
        <w:tc>
          <w:tcPr>
            <w:tcW w:w="832" w:type="dxa"/>
            <w:vAlign w:val="center"/>
          </w:tcPr>
          <w:p w14:paraId="655031C2">
            <w:pPr>
              <w:jc w:val="center"/>
              <w:rPr>
                <w:rFonts w:ascii="宋体" w:hAnsi="宋体" w:cs="宋体"/>
                <w:color w:val="auto"/>
                <w:sz w:val="24"/>
                <w:highlight w:val="none"/>
              </w:rPr>
            </w:pPr>
          </w:p>
        </w:tc>
        <w:tc>
          <w:tcPr>
            <w:tcW w:w="831" w:type="dxa"/>
            <w:vAlign w:val="center"/>
          </w:tcPr>
          <w:p w14:paraId="135C03A3">
            <w:pPr>
              <w:jc w:val="center"/>
              <w:rPr>
                <w:rFonts w:ascii="宋体" w:hAnsi="宋体" w:cs="宋体"/>
                <w:color w:val="auto"/>
                <w:sz w:val="24"/>
                <w:highlight w:val="none"/>
              </w:rPr>
            </w:pPr>
          </w:p>
        </w:tc>
      </w:tr>
    </w:tbl>
    <w:p w14:paraId="18C89454">
      <w:pPr>
        <w:ind w:firstLine="480" w:firstLineChars="200"/>
        <w:jc w:val="left"/>
        <w:rPr>
          <w:rFonts w:ascii="宋体" w:hAnsi="宋体" w:cs="宋体"/>
          <w:color w:val="auto"/>
          <w:sz w:val="24"/>
          <w:highlight w:val="none"/>
        </w:rPr>
      </w:pPr>
    </w:p>
    <w:p w14:paraId="08C744AA">
      <w:pPr>
        <w:spacing w:line="360" w:lineRule="exact"/>
        <w:jc w:val="left"/>
        <w:rPr>
          <w:rFonts w:ascii="宋体" w:hAnsi="宋体" w:cs="宋体"/>
          <w:color w:val="auto"/>
          <w:sz w:val="24"/>
          <w:highlight w:val="none"/>
        </w:rPr>
      </w:pPr>
      <w:r>
        <w:rPr>
          <w:rFonts w:hint="eastAsia" w:ascii="宋体" w:hAnsi="宋体" w:cs="宋体"/>
          <w:color w:val="auto"/>
          <w:sz w:val="24"/>
          <w:highlight w:val="none"/>
        </w:rPr>
        <w:t>注：</w:t>
      </w:r>
    </w:p>
    <w:p w14:paraId="34F9B014">
      <w:pPr>
        <w:spacing w:line="3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1、响应人应对照询价文件商务要求，在“偏离”项中填写“正”、“负”或“无”，逐条说明已对询价文件的商务内容做出了实质性的报价，并申明与询价文件的偏差和例外。</w:t>
      </w:r>
    </w:p>
    <w:p w14:paraId="6332E90B">
      <w:pPr>
        <w:spacing w:line="3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2、商务条款包括但不限于合格供应商条件、</w:t>
      </w:r>
      <w:r>
        <w:rPr>
          <w:rFonts w:hint="eastAsia" w:ascii="宋体" w:hAnsi="宋体" w:cs="宋体"/>
          <w:color w:val="auto"/>
          <w:sz w:val="24"/>
          <w:highlight w:val="none"/>
          <w:lang w:val="en-US" w:eastAsia="zh-CN"/>
        </w:rPr>
        <w:t>供货时间</w:t>
      </w:r>
      <w:r>
        <w:rPr>
          <w:rFonts w:hint="eastAsia" w:ascii="宋体" w:hAnsi="宋体" w:cs="宋体"/>
          <w:color w:val="auto"/>
          <w:sz w:val="24"/>
          <w:highlight w:val="none"/>
        </w:rPr>
        <w:t>、付款方式、品牌等要求。</w:t>
      </w:r>
    </w:p>
    <w:p w14:paraId="0E8ABFCE">
      <w:pPr>
        <w:pStyle w:val="9"/>
        <w:rPr>
          <w:color w:val="auto"/>
          <w:highlight w:val="none"/>
        </w:rPr>
      </w:pPr>
      <w:r>
        <w:rPr>
          <w:rFonts w:hint="eastAsia"/>
          <w:color w:val="auto"/>
          <w:highlight w:val="none"/>
        </w:rPr>
        <w:t xml:space="preserve">  </w:t>
      </w:r>
      <w:r>
        <w:rPr>
          <w:rFonts w:hint="eastAsia" w:ascii="宋体" w:hAnsi="宋体" w:cs="宋体"/>
          <w:color w:val="auto"/>
          <w:sz w:val="24"/>
          <w:highlight w:val="none"/>
        </w:rPr>
        <w:t xml:space="preserve">  3、技术条款包括但不限于</w:t>
      </w:r>
      <w:r>
        <w:rPr>
          <w:rFonts w:hint="eastAsia" w:ascii="宋体" w:hAnsi="宋体" w:cs="宋体"/>
          <w:color w:val="auto"/>
          <w:sz w:val="24"/>
          <w:highlight w:val="none"/>
          <w:lang w:val="en-US" w:eastAsia="zh-CN"/>
        </w:rPr>
        <w:t>询价文件中技术需求书相关</w:t>
      </w:r>
      <w:r>
        <w:rPr>
          <w:rFonts w:hint="eastAsia" w:ascii="宋体" w:hAnsi="宋体" w:cs="宋体"/>
          <w:color w:val="auto"/>
          <w:sz w:val="24"/>
          <w:highlight w:val="none"/>
        </w:rPr>
        <w:t>要求。</w:t>
      </w:r>
    </w:p>
    <w:p w14:paraId="1C76B208">
      <w:pPr>
        <w:spacing w:line="360" w:lineRule="exact"/>
        <w:ind w:firstLine="480" w:firstLineChars="200"/>
        <w:jc w:val="left"/>
        <w:rPr>
          <w:rFonts w:ascii="宋体" w:hAnsi="宋体" w:cs="宋体"/>
          <w:color w:val="auto"/>
          <w:sz w:val="24"/>
          <w:highlight w:val="none"/>
        </w:rPr>
      </w:pPr>
    </w:p>
    <w:p w14:paraId="791B61A9">
      <w:pPr>
        <w:spacing w:line="360" w:lineRule="exact"/>
        <w:ind w:firstLine="480" w:firstLineChars="200"/>
        <w:jc w:val="left"/>
        <w:rPr>
          <w:rFonts w:ascii="宋体" w:hAnsi="宋体" w:cs="宋体"/>
          <w:color w:val="auto"/>
          <w:sz w:val="24"/>
          <w:highlight w:val="none"/>
        </w:rPr>
      </w:pPr>
    </w:p>
    <w:p w14:paraId="14B2B389">
      <w:pPr>
        <w:spacing w:line="360" w:lineRule="exact"/>
        <w:ind w:firstLine="480" w:firstLineChars="200"/>
        <w:jc w:val="left"/>
        <w:rPr>
          <w:rFonts w:ascii="宋体" w:hAnsi="宋体" w:cs="宋体"/>
          <w:color w:val="auto"/>
          <w:sz w:val="24"/>
          <w:highlight w:val="none"/>
        </w:rPr>
      </w:pPr>
    </w:p>
    <w:p w14:paraId="34B4F0BF">
      <w:pPr>
        <w:pStyle w:val="9"/>
        <w:spacing w:after="0" w:line="36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响应人名称（加盖公章）：</w:t>
      </w:r>
    </w:p>
    <w:p w14:paraId="65B716A4">
      <w:pPr>
        <w:pStyle w:val="9"/>
        <w:spacing w:after="0" w:line="36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响应人法定代表人或受委托人（签名或盖私章）：</w:t>
      </w:r>
    </w:p>
    <w:p w14:paraId="433D40C9">
      <w:pPr>
        <w:spacing w:line="360" w:lineRule="exact"/>
        <w:ind w:firstLine="480" w:firstLineChars="200"/>
        <w:jc w:val="left"/>
        <w:rPr>
          <w:rFonts w:eastAsia="黑体"/>
          <w:color w:val="auto"/>
          <w:sz w:val="28"/>
          <w:szCs w:val="44"/>
          <w:highlight w:val="none"/>
        </w:rPr>
      </w:pPr>
      <w:r>
        <w:rPr>
          <w:rFonts w:hint="eastAsia" w:ascii="宋体" w:hAnsi="宋体" w:cs="宋体"/>
          <w:color w:val="auto"/>
          <w:sz w:val="24"/>
          <w:highlight w:val="none"/>
        </w:rPr>
        <w:t>日      期：</w:t>
      </w:r>
    </w:p>
    <w:p w14:paraId="67BD0C69">
      <w:pPr>
        <w:pStyle w:val="42"/>
        <w:spacing w:line="360" w:lineRule="auto"/>
        <w:ind w:firstLine="0" w:firstLineChars="0"/>
        <w:jc w:val="left"/>
        <w:outlineLvl w:val="1"/>
        <w:rPr>
          <w:rFonts w:hint="eastAsia" w:eastAsia="黑体"/>
          <w:color w:val="auto"/>
          <w:sz w:val="28"/>
          <w:szCs w:val="44"/>
          <w:highlight w:val="none"/>
        </w:rPr>
      </w:pPr>
    </w:p>
    <w:p w14:paraId="434616F9">
      <w:pPr>
        <w:spacing w:before="332" w:beforeLines="100" w:after="332" w:afterLines="100"/>
        <w:outlineLvl w:val="1"/>
        <w:rPr>
          <w:rFonts w:ascii="宋体" w:hAnsi="宋体" w:eastAsia="黑体" w:cs="宋体"/>
          <w:b/>
          <w:bCs/>
          <w:color w:val="auto"/>
          <w:sz w:val="44"/>
          <w:szCs w:val="44"/>
          <w:highlight w:val="none"/>
        </w:rPr>
      </w:pPr>
      <w:r>
        <w:rPr>
          <w:rFonts w:eastAsia="黑体"/>
          <w:color w:val="auto"/>
          <w:sz w:val="28"/>
          <w:szCs w:val="44"/>
          <w:highlight w:val="none"/>
        </w:rPr>
        <w:t>附件</w:t>
      </w:r>
      <w:r>
        <w:rPr>
          <w:rFonts w:hint="eastAsia" w:eastAsia="黑体"/>
          <w:color w:val="auto"/>
          <w:sz w:val="28"/>
          <w:szCs w:val="44"/>
          <w:highlight w:val="none"/>
        </w:rPr>
        <w:t>十</w:t>
      </w:r>
      <w:r>
        <w:rPr>
          <w:rFonts w:hint="eastAsia" w:eastAsia="黑体"/>
          <w:color w:val="auto"/>
          <w:sz w:val="28"/>
          <w:szCs w:val="44"/>
          <w:highlight w:val="none"/>
          <w:lang w:val="en-US" w:eastAsia="zh-CN"/>
        </w:rPr>
        <w:t>二</w:t>
      </w:r>
      <w:r>
        <w:rPr>
          <w:rFonts w:hint="eastAsia" w:eastAsia="黑体"/>
          <w:color w:val="auto"/>
          <w:sz w:val="28"/>
          <w:szCs w:val="44"/>
          <w:highlight w:val="none"/>
        </w:rPr>
        <w:t xml:space="preserve"> 投标人未到场声明</w:t>
      </w:r>
      <w:r>
        <w:rPr>
          <w:rFonts w:hint="eastAsia" w:eastAsia="黑体"/>
          <w:color w:val="auto"/>
          <w:sz w:val="28"/>
          <w:szCs w:val="44"/>
          <w:highlight w:val="none"/>
          <w:lang w:eastAsia="zh-CN"/>
        </w:rPr>
        <w:t>（</w:t>
      </w:r>
      <w:r>
        <w:rPr>
          <w:rFonts w:hint="eastAsia" w:eastAsia="黑体"/>
          <w:color w:val="auto"/>
          <w:sz w:val="28"/>
          <w:szCs w:val="44"/>
          <w:highlight w:val="none"/>
          <w:lang w:val="en-US" w:eastAsia="zh-CN"/>
        </w:rPr>
        <w:t>由寄送报价文件方式的响应人填写提交</w:t>
      </w:r>
      <w:r>
        <w:rPr>
          <w:rFonts w:hint="eastAsia" w:eastAsia="黑体"/>
          <w:color w:val="auto"/>
          <w:sz w:val="28"/>
          <w:szCs w:val="44"/>
          <w:highlight w:val="none"/>
          <w:lang w:eastAsia="zh-CN"/>
        </w:rPr>
        <w:t>）</w:t>
      </w:r>
    </w:p>
    <w:p w14:paraId="6E25143F">
      <w:pPr>
        <w:rPr>
          <w:rFonts w:eastAsia="仿宋_GB2312"/>
          <w:color w:val="auto"/>
          <w:sz w:val="32"/>
          <w:szCs w:val="32"/>
          <w:highlight w:val="none"/>
        </w:rPr>
      </w:pPr>
      <w:r>
        <w:rPr>
          <w:rFonts w:hint="eastAsia" w:eastAsia="仿宋_GB2312"/>
          <w:color w:val="auto"/>
          <w:sz w:val="32"/>
          <w:szCs w:val="32"/>
          <w:highlight w:val="none"/>
          <w:u w:val="none"/>
          <w:lang w:val="en-US" w:eastAsia="zh-CN"/>
        </w:rPr>
        <w:t>阳江开能环保能源</w:t>
      </w:r>
      <w:r>
        <w:rPr>
          <w:rFonts w:hint="eastAsia" w:eastAsia="仿宋_GB2312"/>
          <w:color w:val="auto"/>
          <w:sz w:val="32"/>
          <w:szCs w:val="32"/>
          <w:highlight w:val="none"/>
          <w:u w:val="none"/>
        </w:rPr>
        <w:t>有限公司</w:t>
      </w:r>
      <w:r>
        <w:rPr>
          <w:rFonts w:hint="eastAsia" w:eastAsia="仿宋_GB2312"/>
          <w:color w:val="auto"/>
          <w:sz w:val="32"/>
          <w:szCs w:val="32"/>
          <w:highlight w:val="none"/>
        </w:rPr>
        <w:t>：</w:t>
      </w:r>
    </w:p>
    <w:p w14:paraId="02877E72">
      <w:pPr>
        <w:pStyle w:val="41"/>
        <w:ind w:firstLine="659"/>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我司就参加</w:t>
      </w:r>
      <w:r>
        <w:rPr>
          <w:rFonts w:hint="eastAsia" w:ascii="Times New Roman" w:hAnsi="Times New Roman"/>
          <w:color w:val="auto"/>
          <w:sz w:val="32"/>
          <w:szCs w:val="32"/>
          <w:highlight w:val="none"/>
          <w:u w:val="single"/>
        </w:rPr>
        <w:t>阳江开能环保能源有限公司20</w:t>
      </w:r>
      <w:r>
        <w:rPr>
          <w:rFonts w:hint="eastAsia" w:ascii="Times New Roman" w:hAnsi="Times New Roman"/>
          <w:color w:val="auto"/>
          <w:sz w:val="32"/>
          <w:szCs w:val="32"/>
          <w:highlight w:val="none"/>
          <w:u w:val="single"/>
          <w:lang w:val="en-US" w:eastAsia="zh-CN"/>
        </w:rPr>
        <w:t>26</w:t>
      </w:r>
      <w:r>
        <w:rPr>
          <w:rFonts w:hint="eastAsia" w:ascii="Times New Roman" w:hAnsi="Times New Roman"/>
          <w:color w:val="auto"/>
          <w:sz w:val="32"/>
          <w:szCs w:val="32"/>
          <w:highlight w:val="none"/>
          <w:u w:val="single"/>
        </w:rPr>
        <w:t>年高效消石灰采购</w:t>
      </w:r>
      <w:r>
        <w:rPr>
          <w:rFonts w:hint="eastAsia" w:ascii="Times New Roman" w:hAnsi="Times New Roman"/>
          <w:color w:val="auto"/>
          <w:sz w:val="32"/>
          <w:szCs w:val="32"/>
          <w:highlight w:val="none"/>
          <w:u w:val="single"/>
          <w:lang w:val="en-US" w:eastAsia="zh-CN"/>
        </w:rPr>
        <w:t>项目</w:t>
      </w:r>
      <w:r>
        <w:rPr>
          <w:rFonts w:hint="eastAsia" w:ascii="Times New Roman" w:hAnsi="Times New Roman"/>
          <w:color w:val="auto"/>
          <w:sz w:val="32"/>
          <w:szCs w:val="32"/>
          <w:highlight w:val="none"/>
        </w:rPr>
        <w:t>，作出郑重说明：</w:t>
      </w:r>
    </w:p>
    <w:p w14:paraId="28AB4D21">
      <w:pPr>
        <w:pStyle w:val="41"/>
        <w:ind w:firstLine="659"/>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我司保证投标资格审查材料及其后提供的一切材料都是真实的；</w:t>
      </w:r>
    </w:p>
    <w:p w14:paraId="7CDE41BF">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我司承诺未能参加开标工作皆我司原因导致，我司对开标结果不存在任何异议。</w:t>
      </w:r>
    </w:p>
    <w:p w14:paraId="19BBD85D">
      <w:pPr>
        <w:pStyle w:val="41"/>
        <w:ind w:firstLine="0" w:firstLineChars="0"/>
        <w:jc w:val="left"/>
        <w:rPr>
          <w:rFonts w:ascii="Times New Roman" w:hAnsi="Times New Roman"/>
          <w:color w:val="auto"/>
          <w:sz w:val="32"/>
          <w:szCs w:val="32"/>
          <w:highlight w:val="none"/>
        </w:rPr>
      </w:pPr>
    </w:p>
    <w:p w14:paraId="4EE59C2A">
      <w:pPr>
        <w:jc w:val="left"/>
        <w:rPr>
          <w:rFonts w:eastAsia="仿宋"/>
          <w:color w:val="auto"/>
          <w:sz w:val="32"/>
          <w:szCs w:val="32"/>
          <w:highlight w:val="none"/>
        </w:rPr>
      </w:pPr>
    </w:p>
    <w:p w14:paraId="65911E00">
      <w:pPr>
        <w:spacing w:line="360" w:lineRule="auto"/>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响应人</w:t>
      </w:r>
      <w:r>
        <w:rPr>
          <w:rFonts w:hint="eastAsia" w:eastAsia="仿宋_GB2312"/>
          <w:color w:val="auto"/>
          <w:sz w:val="32"/>
          <w:szCs w:val="32"/>
          <w:highlight w:val="none"/>
        </w:rPr>
        <w:t>名称（加盖公章）：</w:t>
      </w:r>
    </w:p>
    <w:p w14:paraId="5E9A403F">
      <w:pPr>
        <w:spacing w:line="360" w:lineRule="auto"/>
        <w:ind w:firstLine="640" w:firstLineChars="200"/>
        <w:rPr>
          <w:rFonts w:eastAsia="仿宋_GB2312"/>
          <w:color w:val="auto"/>
          <w:sz w:val="32"/>
          <w:szCs w:val="32"/>
          <w:highlight w:val="none"/>
        </w:rPr>
      </w:pPr>
      <w:r>
        <w:rPr>
          <w:rFonts w:hint="eastAsia" w:eastAsia="仿宋_GB2312"/>
          <w:color w:val="auto"/>
          <w:sz w:val="32"/>
          <w:szCs w:val="32"/>
          <w:highlight w:val="none"/>
        </w:rPr>
        <w:t>法定代表人（签字或盖章）：</w:t>
      </w:r>
    </w:p>
    <w:p w14:paraId="09D48D18">
      <w:pPr>
        <w:spacing w:line="360" w:lineRule="auto"/>
        <w:ind w:firstLine="640" w:firstLineChars="200"/>
        <w:rPr>
          <w:rFonts w:hint="eastAsia" w:eastAsia="仿宋_GB2312"/>
          <w:color w:val="auto"/>
          <w:sz w:val="32"/>
          <w:szCs w:val="32"/>
          <w:highlight w:val="none"/>
        </w:rPr>
      </w:pPr>
      <w:r>
        <w:rPr>
          <w:rFonts w:hint="eastAsia" w:eastAsia="仿宋_GB2312"/>
          <w:color w:val="auto"/>
          <w:sz w:val="32"/>
          <w:szCs w:val="32"/>
          <w:highlight w:val="none"/>
        </w:rPr>
        <w:t>日期：</w:t>
      </w:r>
    </w:p>
    <w:p w14:paraId="74EAD730">
      <w:pPr>
        <w:spacing w:line="360" w:lineRule="auto"/>
        <w:rPr>
          <w:rFonts w:eastAsia="仿宋_GB2312"/>
          <w:color w:val="auto"/>
          <w:sz w:val="32"/>
          <w:szCs w:val="32"/>
          <w:highlight w:val="none"/>
        </w:rPr>
      </w:pPr>
    </w:p>
    <w:p w14:paraId="59DC877D">
      <w:pPr>
        <w:pStyle w:val="21"/>
        <w:ind w:left="0" w:leftChars="0" w:firstLine="0" w:firstLineChars="0"/>
        <w:rPr>
          <w:rFonts w:eastAsia="仿宋_GB2312"/>
          <w:color w:val="0C0C0C" w:themeColor="text1" w:themeTint="F2"/>
          <w:sz w:val="32"/>
          <w:szCs w:val="32"/>
          <w:highlight w:val="none"/>
        </w:rPr>
      </w:pPr>
    </w:p>
    <w:sectPr>
      <w:pgSz w:w="11907" w:h="16840"/>
      <w:pgMar w:top="1531" w:right="1588"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D3881">
    <w:pPr>
      <w:pStyle w:val="16"/>
    </w:pPr>
    <w:r>
      <w:rPr>
        <w:sz w:val="18"/>
      </w:rP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29D16EC">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B5B0D">
    <w:pPr>
      <w:pStyle w:val="16"/>
    </w:pPr>
    <w:r>
      <w:rPr>
        <w:sz w:val="18"/>
      </w:rPr>
      <w:pict>
        <v:shape id="_x0000_s4101" o:spid="_x0000_s410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A145DE3">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p w14:paraId="1CC1D35C">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C11F8">
    <w:pPr>
      <w:framePr w:wrap="around" w:vAnchor="text" w:hAnchor="margin" w:xAlign="right" w:y="1"/>
      <w:tabs>
        <w:tab w:val="center" w:pos="4153"/>
        <w:tab w:val="right" w:pos="8306"/>
      </w:tabs>
      <w:autoSpaceDE w:val="0"/>
      <w:autoSpaceDN w:val="0"/>
      <w:adjustRightInd w:val="0"/>
      <w:snapToGrid w:val="0"/>
      <w:jc w:val="left"/>
      <w:textAlignment w:val="baseline"/>
      <w:rPr>
        <w:rFonts w:ascii="宋体"/>
        <w:sz w:val="18"/>
      </w:rPr>
    </w:pPr>
    <w:r>
      <w:rPr>
        <w:rFonts w:ascii="宋体"/>
        <w:sz w:val="18"/>
      </w:rPr>
      <w:fldChar w:fldCharType="begin"/>
    </w:r>
    <w:r>
      <w:rPr>
        <w:rFonts w:ascii="Tahoma" w:hAnsi="Tahoma"/>
        <w:sz w:val="24"/>
      </w:rPr>
      <w:instrText xml:space="preserve">PAGE  </w:instrText>
    </w:r>
    <w:r>
      <w:rPr>
        <w:rFonts w:ascii="宋体"/>
        <w:sz w:val="18"/>
      </w:rPr>
      <w:fldChar w:fldCharType="end"/>
    </w:r>
  </w:p>
  <w:p w14:paraId="763129AB">
    <w:pPr>
      <w:tabs>
        <w:tab w:val="center" w:pos="4153"/>
        <w:tab w:val="right" w:pos="8306"/>
      </w:tabs>
      <w:autoSpaceDE w:val="0"/>
      <w:autoSpaceDN w:val="0"/>
      <w:adjustRightInd w:val="0"/>
      <w:snapToGrid w:val="0"/>
      <w:ind w:right="360"/>
      <w:jc w:val="left"/>
      <w:textAlignment w:val="baseline"/>
      <w:rPr>
        <w:rFonts w:ascii="宋体"/>
        <w:sz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ECCCB">
    <w:pPr>
      <w:pStyle w:val="16"/>
    </w:pPr>
    <w:r>
      <w:rPr>
        <w:sz w:val="18"/>
      </w:rPr>
      <w:pict>
        <v:shape id="_x0000_s4102" o:spid="_x0000_s4102"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053CC346">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36184">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D086">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6D73C">
    <w:pPr>
      <w:pBdr>
        <w:bottom w:val="single" w:color="auto" w:sz="6" w:space="1"/>
      </w:pBdr>
      <w:tabs>
        <w:tab w:val="center" w:pos="4153"/>
        <w:tab w:val="right" w:pos="8306"/>
      </w:tabs>
      <w:autoSpaceDE w:val="0"/>
      <w:autoSpaceDN w:val="0"/>
      <w:adjustRightInd w:val="0"/>
      <w:snapToGrid w:val="0"/>
      <w:jc w:val="center"/>
      <w:textAlignment w:val="baseline"/>
      <w:rPr>
        <w:rFonts w:ascii="宋体"/>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8948FA"/>
    <w:multiLevelType w:val="singleLevel"/>
    <w:tmpl w:val="BE8948FA"/>
    <w:lvl w:ilvl="0" w:tentative="0">
      <w:start w:val="7"/>
      <w:numFmt w:val="decimal"/>
      <w:suff w:val="nothing"/>
      <w:lvlText w:val="（%1）"/>
      <w:lvlJc w:val="left"/>
    </w:lvl>
  </w:abstractNum>
  <w:abstractNum w:abstractNumId="1">
    <w:nsid w:val="BECFF6BA"/>
    <w:multiLevelType w:val="singleLevel"/>
    <w:tmpl w:val="BECFF6BA"/>
    <w:lvl w:ilvl="0" w:tentative="0">
      <w:start w:val="1"/>
      <w:numFmt w:val="chineseCounting"/>
      <w:suff w:val="nothing"/>
      <w:lvlText w:val="%1、"/>
      <w:lvlJc w:val="left"/>
      <w:rPr>
        <w:rFonts w:hint="eastAsia"/>
      </w:rPr>
    </w:lvl>
  </w:abstractNum>
  <w:abstractNum w:abstractNumId="2">
    <w:nsid w:val="EF4A274B"/>
    <w:multiLevelType w:val="singleLevel"/>
    <w:tmpl w:val="EF4A274B"/>
    <w:lvl w:ilvl="0" w:tentative="0">
      <w:start w:val="1"/>
      <w:numFmt w:val="decimal"/>
      <w:suff w:val="nothing"/>
      <w:lvlText w:val="(%1)"/>
      <w:lvlJc w:val="left"/>
      <w:pPr>
        <w:ind w:left="233" w:firstLine="397"/>
      </w:pPr>
      <w:rPr>
        <w:rFonts w:hint="default"/>
        <w:color w:val="FF0000"/>
      </w:rPr>
    </w:lvl>
  </w:abstractNum>
  <w:abstractNum w:abstractNumId="3">
    <w:nsid w:val="02BA4E6F"/>
    <w:multiLevelType w:val="multilevel"/>
    <w:tmpl w:val="02BA4E6F"/>
    <w:lvl w:ilvl="0" w:tentative="0">
      <w:start w:val="1"/>
      <w:numFmt w:val="bullet"/>
      <w:pStyle w:val="59"/>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6099A159"/>
    <w:multiLevelType w:val="singleLevel"/>
    <w:tmpl w:val="6099A159"/>
    <w:lvl w:ilvl="0" w:tentative="0">
      <w:start w:val="1"/>
      <w:numFmt w:val="decimal"/>
      <w:suff w:val="nothing"/>
      <w:lvlText w:val="%1、"/>
      <w:lvlJc w:val="left"/>
      <w:rPr>
        <w:rFonts w:cs="Times New Roman"/>
      </w:rPr>
    </w:lvl>
  </w:abstractNum>
  <w:abstractNum w:abstractNumId="5">
    <w:nsid w:val="68B40337"/>
    <w:multiLevelType w:val="multilevel"/>
    <w:tmpl w:val="68B40337"/>
    <w:lvl w:ilvl="0" w:tentative="0">
      <w:start w:val="1"/>
      <w:numFmt w:val="japaneseCounting"/>
      <w:pStyle w:val="50"/>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5"/>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Tk5OWQ3ZDEyNmY4MzRmZmQ5M2M0YTlhM2ZkOGE0ZjYifQ=="/>
  </w:docVars>
  <w:rsids>
    <w:rsidRoot w:val="00BD5ED0"/>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179C9"/>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15679D0"/>
    <w:rsid w:val="022141A6"/>
    <w:rsid w:val="028F0228"/>
    <w:rsid w:val="035D4211"/>
    <w:rsid w:val="03667363"/>
    <w:rsid w:val="037D5EE3"/>
    <w:rsid w:val="04CF6E29"/>
    <w:rsid w:val="05111DAD"/>
    <w:rsid w:val="059366CF"/>
    <w:rsid w:val="05D00163"/>
    <w:rsid w:val="064275A1"/>
    <w:rsid w:val="068D2A48"/>
    <w:rsid w:val="06F15928"/>
    <w:rsid w:val="077C34B8"/>
    <w:rsid w:val="07A209C4"/>
    <w:rsid w:val="080D26DA"/>
    <w:rsid w:val="08284245"/>
    <w:rsid w:val="086F1260"/>
    <w:rsid w:val="0880226D"/>
    <w:rsid w:val="089F2BDE"/>
    <w:rsid w:val="08A952DB"/>
    <w:rsid w:val="08BB2505"/>
    <w:rsid w:val="099A07E1"/>
    <w:rsid w:val="0A9B4FED"/>
    <w:rsid w:val="0B0C0A79"/>
    <w:rsid w:val="0B451F6A"/>
    <w:rsid w:val="0BA14D3A"/>
    <w:rsid w:val="0BD701D2"/>
    <w:rsid w:val="0C6F4C8D"/>
    <w:rsid w:val="0CE30BFD"/>
    <w:rsid w:val="0D0E0EB6"/>
    <w:rsid w:val="0D706506"/>
    <w:rsid w:val="0DE142CB"/>
    <w:rsid w:val="0FDC1CDC"/>
    <w:rsid w:val="10223C48"/>
    <w:rsid w:val="11A97DFC"/>
    <w:rsid w:val="11B57830"/>
    <w:rsid w:val="12475EA9"/>
    <w:rsid w:val="133360BD"/>
    <w:rsid w:val="137F7471"/>
    <w:rsid w:val="140C0CAF"/>
    <w:rsid w:val="146E4633"/>
    <w:rsid w:val="150412EA"/>
    <w:rsid w:val="171438BA"/>
    <w:rsid w:val="17230955"/>
    <w:rsid w:val="172309AA"/>
    <w:rsid w:val="180F5427"/>
    <w:rsid w:val="182770BA"/>
    <w:rsid w:val="187E2975"/>
    <w:rsid w:val="18863017"/>
    <w:rsid w:val="18AC6D73"/>
    <w:rsid w:val="1A947B3A"/>
    <w:rsid w:val="1B4716B4"/>
    <w:rsid w:val="1B69793D"/>
    <w:rsid w:val="1BEE7E74"/>
    <w:rsid w:val="1C08419D"/>
    <w:rsid w:val="1C8C71B8"/>
    <w:rsid w:val="1D4D5FFD"/>
    <w:rsid w:val="1EB43554"/>
    <w:rsid w:val="1F245F41"/>
    <w:rsid w:val="1F7A0970"/>
    <w:rsid w:val="209E2C67"/>
    <w:rsid w:val="21581D11"/>
    <w:rsid w:val="216F32CA"/>
    <w:rsid w:val="22124112"/>
    <w:rsid w:val="225C19C8"/>
    <w:rsid w:val="23643F6C"/>
    <w:rsid w:val="23C81EED"/>
    <w:rsid w:val="23F57352"/>
    <w:rsid w:val="249A7996"/>
    <w:rsid w:val="261C543B"/>
    <w:rsid w:val="267E2359"/>
    <w:rsid w:val="267E2989"/>
    <w:rsid w:val="26BC7CBC"/>
    <w:rsid w:val="26BD437F"/>
    <w:rsid w:val="27447ED5"/>
    <w:rsid w:val="275F3A77"/>
    <w:rsid w:val="284F0253"/>
    <w:rsid w:val="28644870"/>
    <w:rsid w:val="28941B11"/>
    <w:rsid w:val="28C36138"/>
    <w:rsid w:val="2A891206"/>
    <w:rsid w:val="2AC5216B"/>
    <w:rsid w:val="2AE949DF"/>
    <w:rsid w:val="2B2C3F7A"/>
    <w:rsid w:val="2B3B474B"/>
    <w:rsid w:val="2B8D044E"/>
    <w:rsid w:val="2B8E43CA"/>
    <w:rsid w:val="2C016BB8"/>
    <w:rsid w:val="2D62205D"/>
    <w:rsid w:val="2D77461B"/>
    <w:rsid w:val="2E015014"/>
    <w:rsid w:val="2E1D1BA2"/>
    <w:rsid w:val="2E400C5F"/>
    <w:rsid w:val="2E5209E3"/>
    <w:rsid w:val="2EB01AFE"/>
    <w:rsid w:val="2F02606D"/>
    <w:rsid w:val="2F3B3CD8"/>
    <w:rsid w:val="30592C7B"/>
    <w:rsid w:val="30D1119A"/>
    <w:rsid w:val="30D91EED"/>
    <w:rsid w:val="30F12F4C"/>
    <w:rsid w:val="3112402E"/>
    <w:rsid w:val="313D3E38"/>
    <w:rsid w:val="324C6A81"/>
    <w:rsid w:val="32611BF0"/>
    <w:rsid w:val="33A83294"/>
    <w:rsid w:val="33DA68C0"/>
    <w:rsid w:val="34011E26"/>
    <w:rsid w:val="341B4D23"/>
    <w:rsid w:val="345C5D91"/>
    <w:rsid w:val="35363278"/>
    <w:rsid w:val="35613714"/>
    <w:rsid w:val="358C4411"/>
    <w:rsid w:val="36A81FB2"/>
    <w:rsid w:val="3722158D"/>
    <w:rsid w:val="375E09FC"/>
    <w:rsid w:val="38525FA9"/>
    <w:rsid w:val="39003F1D"/>
    <w:rsid w:val="39276876"/>
    <w:rsid w:val="392B2930"/>
    <w:rsid w:val="3AB56764"/>
    <w:rsid w:val="3AC853CC"/>
    <w:rsid w:val="3ADE0138"/>
    <w:rsid w:val="3AE82B86"/>
    <w:rsid w:val="3B66136D"/>
    <w:rsid w:val="3C1029C7"/>
    <w:rsid w:val="3C582CD8"/>
    <w:rsid w:val="3CAB5734"/>
    <w:rsid w:val="3E094E14"/>
    <w:rsid w:val="3E2546CD"/>
    <w:rsid w:val="3E5874B7"/>
    <w:rsid w:val="3F953281"/>
    <w:rsid w:val="40531C58"/>
    <w:rsid w:val="405D53B5"/>
    <w:rsid w:val="41192D98"/>
    <w:rsid w:val="413E5CD9"/>
    <w:rsid w:val="433264B9"/>
    <w:rsid w:val="43425F9D"/>
    <w:rsid w:val="43F465D0"/>
    <w:rsid w:val="442A053D"/>
    <w:rsid w:val="44440739"/>
    <w:rsid w:val="446F65B8"/>
    <w:rsid w:val="44F057A6"/>
    <w:rsid w:val="45923555"/>
    <w:rsid w:val="45A95346"/>
    <w:rsid w:val="46416F41"/>
    <w:rsid w:val="467D6748"/>
    <w:rsid w:val="46C4203A"/>
    <w:rsid w:val="470E29AE"/>
    <w:rsid w:val="48BC411A"/>
    <w:rsid w:val="496C09B9"/>
    <w:rsid w:val="49CB0CCD"/>
    <w:rsid w:val="4AA610D6"/>
    <w:rsid w:val="4AB51FA3"/>
    <w:rsid w:val="4AD618B2"/>
    <w:rsid w:val="4B0C055A"/>
    <w:rsid w:val="4BC24F8C"/>
    <w:rsid w:val="4C1B7A56"/>
    <w:rsid w:val="4C610D2E"/>
    <w:rsid w:val="4C8B4A7C"/>
    <w:rsid w:val="4CFC368B"/>
    <w:rsid w:val="4E7D412D"/>
    <w:rsid w:val="4EBE4481"/>
    <w:rsid w:val="4F086AAF"/>
    <w:rsid w:val="5069668A"/>
    <w:rsid w:val="50A83CB2"/>
    <w:rsid w:val="51147285"/>
    <w:rsid w:val="512B42F2"/>
    <w:rsid w:val="51AA58C4"/>
    <w:rsid w:val="5247520B"/>
    <w:rsid w:val="525E3DD9"/>
    <w:rsid w:val="538E5DEC"/>
    <w:rsid w:val="55E27D0D"/>
    <w:rsid w:val="56D076DF"/>
    <w:rsid w:val="56E34736"/>
    <w:rsid w:val="56FB15A3"/>
    <w:rsid w:val="572C3C94"/>
    <w:rsid w:val="576203AF"/>
    <w:rsid w:val="57806BBC"/>
    <w:rsid w:val="58963DA7"/>
    <w:rsid w:val="58C402CB"/>
    <w:rsid w:val="592618AC"/>
    <w:rsid w:val="592C3305"/>
    <w:rsid w:val="5A2C7551"/>
    <w:rsid w:val="5A400720"/>
    <w:rsid w:val="5B33669F"/>
    <w:rsid w:val="5C072B21"/>
    <w:rsid w:val="5CF4139A"/>
    <w:rsid w:val="5D693C9C"/>
    <w:rsid w:val="5D9D7735"/>
    <w:rsid w:val="5DE973D6"/>
    <w:rsid w:val="5E5E457D"/>
    <w:rsid w:val="5E8D2D21"/>
    <w:rsid w:val="5EBD1212"/>
    <w:rsid w:val="5F1D6CF6"/>
    <w:rsid w:val="5F616FA8"/>
    <w:rsid w:val="5FAD0DCB"/>
    <w:rsid w:val="60C82A21"/>
    <w:rsid w:val="61EE5BEB"/>
    <w:rsid w:val="623F329A"/>
    <w:rsid w:val="62695E27"/>
    <w:rsid w:val="628242DE"/>
    <w:rsid w:val="62BE7007"/>
    <w:rsid w:val="636127C3"/>
    <w:rsid w:val="637528F4"/>
    <w:rsid w:val="6381342F"/>
    <w:rsid w:val="650B601A"/>
    <w:rsid w:val="651C2317"/>
    <w:rsid w:val="6541100E"/>
    <w:rsid w:val="654C0BA8"/>
    <w:rsid w:val="664352EB"/>
    <w:rsid w:val="67173EFD"/>
    <w:rsid w:val="672079BD"/>
    <w:rsid w:val="683E7EE4"/>
    <w:rsid w:val="69356912"/>
    <w:rsid w:val="696610E4"/>
    <w:rsid w:val="697C3181"/>
    <w:rsid w:val="6A023854"/>
    <w:rsid w:val="6A83721D"/>
    <w:rsid w:val="6AE21101"/>
    <w:rsid w:val="6B0C558D"/>
    <w:rsid w:val="6B4F3B9E"/>
    <w:rsid w:val="6B59484F"/>
    <w:rsid w:val="6BD63153"/>
    <w:rsid w:val="6BFE0B4D"/>
    <w:rsid w:val="6C124214"/>
    <w:rsid w:val="6C5B55DC"/>
    <w:rsid w:val="6CA565D4"/>
    <w:rsid w:val="6CAE03DD"/>
    <w:rsid w:val="6CE56E6B"/>
    <w:rsid w:val="6D032DAA"/>
    <w:rsid w:val="6E005A26"/>
    <w:rsid w:val="6E6329C5"/>
    <w:rsid w:val="6EFF345A"/>
    <w:rsid w:val="6F0E41D6"/>
    <w:rsid w:val="6F4F7C8F"/>
    <w:rsid w:val="6FB4540B"/>
    <w:rsid w:val="70C73255"/>
    <w:rsid w:val="70C81923"/>
    <w:rsid w:val="71126C39"/>
    <w:rsid w:val="715F328E"/>
    <w:rsid w:val="71610FBE"/>
    <w:rsid w:val="725008FF"/>
    <w:rsid w:val="72760778"/>
    <w:rsid w:val="743104E3"/>
    <w:rsid w:val="74320C3C"/>
    <w:rsid w:val="744D0596"/>
    <w:rsid w:val="74513162"/>
    <w:rsid w:val="74EC2A72"/>
    <w:rsid w:val="75431AF8"/>
    <w:rsid w:val="757B75BC"/>
    <w:rsid w:val="76A665D3"/>
    <w:rsid w:val="776150BB"/>
    <w:rsid w:val="78932DAB"/>
    <w:rsid w:val="78BD1F9D"/>
    <w:rsid w:val="79201CE1"/>
    <w:rsid w:val="79B14724"/>
    <w:rsid w:val="7B3450D7"/>
    <w:rsid w:val="7B3E0A41"/>
    <w:rsid w:val="7C323980"/>
    <w:rsid w:val="7D4607F9"/>
    <w:rsid w:val="7D730629"/>
    <w:rsid w:val="7E01395C"/>
    <w:rsid w:val="7E1815B6"/>
    <w:rsid w:val="7EDB48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9"/>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0"/>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31"/>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32"/>
    <w:qFormat/>
    <w:uiPriority w:val="99"/>
    <w:pPr>
      <w:keepNext/>
      <w:keepLines/>
      <w:spacing w:before="280" w:after="290" w:line="376" w:lineRule="auto"/>
      <w:outlineLvl w:val="3"/>
    </w:pPr>
    <w:rPr>
      <w:rFonts w:ascii="Arial" w:hAnsi="Arial" w:eastAsia="黑体"/>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9"/>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3"/>
    <w:qFormat/>
    <w:uiPriority w:val="99"/>
    <w:rPr>
      <w:rFonts w:ascii="宋体"/>
      <w:sz w:val="18"/>
      <w:szCs w:val="18"/>
    </w:rPr>
  </w:style>
  <w:style w:type="paragraph" w:styleId="8">
    <w:name w:val="annotation text"/>
    <w:basedOn w:val="1"/>
    <w:link w:val="34"/>
    <w:qFormat/>
    <w:uiPriority w:val="99"/>
    <w:pPr>
      <w:jc w:val="left"/>
    </w:pPr>
  </w:style>
  <w:style w:type="paragraph" w:styleId="9">
    <w:name w:val="Body Text"/>
    <w:basedOn w:val="1"/>
    <w:next w:val="10"/>
    <w:link w:val="35"/>
    <w:qFormat/>
    <w:uiPriority w:val="99"/>
    <w:pPr>
      <w:spacing w:after="120"/>
    </w:pPr>
  </w:style>
  <w:style w:type="paragraph" w:styleId="10">
    <w:name w:val="Body Text First Indent"/>
    <w:basedOn w:val="9"/>
    <w:next w:val="11"/>
    <w:link w:val="39"/>
    <w:qFormat/>
    <w:uiPriority w:val="99"/>
    <w:pPr>
      <w:widowControl/>
      <w:ind w:firstLine="420" w:firstLineChars="100"/>
    </w:pPr>
    <w:rPr>
      <w:rFonts w:ascii="Calibri" w:hAnsi="Calibri" w:cs="宋体"/>
      <w:szCs w:val="22"/>
    </w:rPr>
  </w:style>
  <w:style w:type="paragraph" w:customStyle="1" w:styleId="11">
    <w:name w:val="样式 正文首行缩进 + 首行缩进:  1 字符"/>
    <w:basedOn w:val="1"/>
    <w:next w:val="1"/>
    <w:qFormat/>
    <w:uiPriority w:val="0"/>
    <w:pPr>
      <w:ind w:firstLine="200" w:firstLineChars="200"/>
    </w:pPr>
    <w:rPr>
      <w:rFonts w:cs="宋体"/>
      <w:szCs w:val="20"/>
    </w:rPr>
  </w:style>
  <w:style w:type="paragraph" w:styleId="12">
    <w:name w:val="Body Text Indent"/>
    <w:basedOn w:val="1"/>
    <w:next w:val="13"/>
    <w:qFormat/>
    <w:uiPriority w:val="0"/>
    <w:pPr>
      <w:spacing w:after="120"/>
      <w:ind w:left="420" w:leftChars="200"/>
    </w:pPr>
  </w:style>
  <w:style w:type="paragraph" w:styleId="13">
    <w:name w:val="envelope return"/>
    <w:basedOn w:val="1"/>
    <w:unhideWhenUsed/>
    <w:qFormat/>
    <w:uiPriority w:val="99"/>
    <w:rPr>
      <w:rFonts w:hint="eastAsia" w:ascii="Arial" w:hAnsi="Arial"/>
    </w:rPr>
  </w:style>
  <w:style w:type="paragraph" w:styleId="14">
    <w:name w:val="Plain Text"/>
    <w:basedOn w:val="1"/>
    <w:link w:val="51"/>
    <w:qFormat/>
    <w:uiPriority w:val="99"/>
    <w:pPr>
      <w:tabs>
        <w:tab w:val="left" w:pos="-105"/>
      </w:tabs>
      <w:spacing w:line="440" w:lineRule="exact"/>
      <w:ind w:right="-147" w:rightChars="-70"/>
      <w:outlineLvl w:val="2"/>
    </w:pPr>
    <w:rPr>
      <w:rFonts w:ascii="宋体" w:hAnsi="Courier New"/>
      <w:sz w:val="24"/>
      <w:szCs w:val="21"/>
    </w:rPr>
  </w:style>
  <w:style w:type="paragraph" w:styleId="15">
    <w:name w:val="Balloon Text"/>
    <w:basedOn w:val="1"/>
    <w:link w:val="36"/>
    <w:qFormat/>
    <w:uiPriority w:val="99"/>
    <w:rPr>
      <w:sz w:val="18"/>
      <w:szCs w:val="18"/>
    </w:rPr>
  </w:style>
  <w:style w:type="paragraph" w:styleId="16">
    <w:name w:val="footer"/>
    <w:basedOn w:val="1"/>
    <w:link w:val="37"/>
    <w:qFormat/>
    <w:uiPriority w:val="99"/>
    <w:pPr>
      <w:tabs>
        <w:tab w:val="center" w:pos="4153"/>
        <w:tab w:val="right" w:pos="8306"/>
      </w:tabs>
      <w:snapToGrid w:val="0"/>
      <w:jc w:val="left"/>
    </w:pPr>
    <w:rPr>
      <w:sz w:val="18"/>
      <w:szCs w:val="18"/>
    </w:rPr>
  </w:style>
  <w:style w:type="paragraph" w:styleId="17">
    <w:name w:val="header"/>
    <w:basedOn w:val="1"/>
    <w:link w:val="38"/>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9">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20">
    <w:name w:val="annotation subject"/>
    <w:basedOn w:val="8"/>
    <w:next w:val="8"/>
    <w:link w:val="56"/>
    <w:semiHidden/>
    <w:qFormat/>
    <w:uiPriority w:val="99"/>
    <w:rPr>
      <w:b/>
      <w:bCs/>
    </w:rPr>
  </w:style>
  <w:style w:type="paragraph" w:styleId="21">
    <w:name w:val="Body Text First Indent 2"/>
    <w:basedOn w:val="12"/>
    <w:qFormat/>
    <w:uiPriority w:val="99"/>
    <w:pPr>
      <w:ind w:left="567" w:leftChars="270" w:firstLine="420" w:firstLineChars="200"/>
    </w:pPr>
    <w:rPr>
      <w:color w:val="000000"/>
    </w:rPr>
  </w:style>
  <w:style w:type="table" w:styleId="23">
    <w:name w:val="Table Grid"/>
    <w:basedOn w:val="22"/>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locked/>
    <w:uiPriority w:val="22"/>
    <w:rPr>
      <w:b/>
    </w:rPr>
  </w:style>
  <w:style w:type="character" w:styleId="26">
    <w:name w:val="Hyperlink"/>
    <w:basedOn w:val="24"/>
    <w:qFormat/>
    <w:uiPriority w:val="99"/>
    <w:rPr>
      <w:rFonts w:cs="Times New Roman"/>
      <w:color w:val="0000FF"/>
      <w:u w:val="single"/>
    </w:rPr>
  </w:style>
  <w:style w:type="character" w:styleId="27">
    <w:name w:val="annotation reference"/>
    <w:basedOn w:val="24"/>
    <w:qFormat/>
    <w:uiPriority w:val="99"/>
    <w:rPr>
      <w:rFonts w:cs="Times New Roman"/>
      <w:sz w:val="21"/>
      <w:szCs w:val="21"/>
    </w:rPr>
  </w:style>
  <w:style w:type="paragraph" w:customStyle="1" w:styleId="28">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9">
    <w:name w:val="标题 1 Char"/>
    <w:basedOn w:val="24"/>
    <w:link w:val="2"/>
    <w:qFormat/>
    <w:locked/>
    <w:uiPriority w:val="99"/>
    <w:rPr>
      <w:rFonts w:ascii="Times New Roman" w:hAnsi="Times New Roman" w:eastAsia="宋体" w:cs="Times New Roman"/>
      <w:b/>
      <w:bCs/>
      <w:kern w:val="44"/>
      <w:sz w:val="44"/>
      <w:szCs w:val="44"/>
    </w:rPr>
  </w:style>
  <w:style w:type="character" w:customStyle="1" w:styleId="30">
    <w:name w:val="标题 2 Char"/>
    <w:basedOn w:val="24"/>
    <w:link w:val="3"/>
    <w:qFormat/>
    <w:locked/>
    <w:uiPriority w:val="99"/>
    <w:rPr>
      <w:rFonts w:ascii="Cambria" w:hAnsi="Cambria" w:eastAsia="宋体" w:cs="Times New Roman"/>
      <w:b/>
      <w:bCs/>
      <w:kern w:val="2"/>
      <w:sz w:val="32"/>
      <w:szCs w:val="32"/>
    </w:rPr>
  </w:style>
  <w:style w:type="character" w:customStyle="1" w:styleId="31">
    <w:name w:val="标题 3 Char"/>
    <w:basedOn w:val="24"/>
    <w:link w:val="4"/>
    <w:qFormat/>
    <w:locked/>
    <w:uiPriority w:val="99"/>
    <w:rPr>
      <w:rFonts w:eastAsia="宋体" w:cs="Times New Roman"/>
      <w:b/>
      <w:sz w:val="32"/>
    </w:rPr>
  </w:style>
  <w:style w:type="character" w:customStyle="1" w:styleId="32">
    <w:name w:val="标题 4 Char"/>
    <w:basedOn w:val="24"/>
    <w:link w:val="5"/>
    <w:qFormat/>
    <w:locked/>
    <w:uiPriority w:val="99"/>
    <w:rPr>
      <w:rFonts w:ascii="Arial" w:hAnsi="Arial" w:eastAsia="黑体" w:cs="Times New Roman"/>
      <w:b/>
      <w:bCs/>
      <w:kern w:val="2"/>
      <w:sz w:val="28"/>
      <w:szCs w:val="28"/>
    </w:rPr>
  </w:style>
  <w:style w:type="character" w:customStyle="1" w:styleId="33">
    <w:name w:val="文档结构图 Char"/>
    <w:basedOn w:val="24"/>
    <w:link w:val="7"/>
    <w:qFormat/>
    <w:locked/>
    <w:uiPriority w:val="99"/>
    <w:rPr>
      <w:rFonts w:ascii="宋体" w:hAnsi="Times New Roman" w:eastAsia="宋体" w:cs="Times New Roman"/>
      <w:kern w:val="2"/>
      <w:sz w:val="18"/>
      <w:szCs w:val="18"/>
    </w:rPr>
  </w:style>
  <w:style w:type="character" w:customStyle="1" w:styleId="34">
    <w:name w:val="批注文字 Char"/>
    <w:basedOn w:val="24"/>
    <w:link w:val="8"/>
    <w:qFormat/>
    <w:locked/>
    <w:uiPriority w:val="99"/>
    <w:rPr>
      <w:rFonts w:ascii="Times New Roman" w:hAnsi="Times New Roman" w:cs="Times New Roman"/>
      <w:kern w:val="2"/>
      <w:sz w:val="21"/>
    </w:rPr>
  </w:style>
  <w:style w:type="character" w:customStyle="1" w:styleId="35">
    <w:name w:val="正文文本 Char"/>
    <w:basedOn w:val="24"/>
    <w:link w:val="9"/>
    <w:qFormat/>
    <w:locked/>
    <w:uiPriority w:val="99"/>
    <w:rPr>
      <w:rFonts w:ascii="Times New Roman" w:hAnsi="Times New Roman" w:eastAsia="宋体" w:cs="Times New Roman"/>
      <w:sz w:val="20"/>
      <w:szCs w:val="20"/>
    </w:rPr>
  </w:style>
  <w:style w:type="character" w:customStyle="1" w:styleId="36">
    <w:name w:val="批注框文本 Char"/>
    <w:basedOn w:val="24"/>
    <w:link w:val="15"/>
    <w:qFormat/>
    <w:locked/>
    <w:uiPriority w:val="99"/>
    <w:rPr>
      <w:rFonts w:ascii="Times New Roman" w:hAnsi="Times New Roman" w:eastAsia="宋体" w:cs="Times New Roman"/>
      <w:kern w:val="2"/>
      <w:sz w:val="18"/>
      <w:szCs w:val="18"/>
    </w:rPr>
  </w:style>
  <w:style w:type="character" w:customStyle="1" w:styleId="37">
    <w:name w:val="页脚 Char"/>
    <w:basedOn w:val="24"/>
    <w:link w:val="16"/>
    <w:qFormat/>
    <w:locked/>
    <w:uiPriority w:val="99"/>
    <w:rPr>
      <w:rFonts w:ascii="Times New Roman" w:hAnsi="Times New Roman" w:eastAsia="宋体" w:cs="Times New Roman"/>
      <w:sz w:val="18"/>
      <w:szCs w:val="18"/>
    </w:rPr>
  </w:style>
  <w:style w:type="character" w:customStyle="1" w:styleId="38">
    <w:name w:val="页眉 Char"/>
    <w:basedOn w:val="24"/>
    <w:link w:val="17"/>
    <w:qFormat/>
    <w:locked/>
    <w:uiPriority w:val="99"/>
    <w:rPr>
      <w:rFonts w:ascii="Times New Roman" w:hAnsi="Times New Roman" w:eastAsia="宋体" w:cs="Times New Roman"/>
      <w:sz w:val="18"/>
      <w:szCs w:val="18"/>
    </w:rPr>
  </w:style>
  <w:style w:type="character" w:customStyle="1" w:styleId="39">
    <w:name w:val="正文首行缩进 Char"/>
    <w:basedOn w:val="35"/>
    <w:link w:val="10"/>
    <w:qFormat/>
    <w:locked/>
    <w:uiPriority w:val="99"/>
    <w:rPr>
      <w:rFonts w:ascii="Times New Roman" w:hAnsi="Times New Roman" w:eastAsia="宋体" w:cs="Times New Roman"/>
      <w:sz w:val="20"/>
      <w:szCs w:val="20"/>
    </w:rPr>
  </w:style>
  <w:style w:type="character" w:customStyle="1" w:styleId="40">
    <w:name w:val="正文缩进2格 Char"/>
    <w:link w:val="41"/>
    <w:qFormat/>
    <w:locked/>
    <w:uiPriority w:val="99"/>
    <w:rPr>
      <w:rFonts w:ascii="仿宋_GB2312" w:hAnsi="宋体" w:eastAsia="仿宋_GB2312"/>
      <w:sz w:val="31"/>
    </w:rPr>
  </w:style>
  <w:style w:type="paragraph" w:customStyle="1" w:styleId="41">
    <w:name w:val="正文缩进2格"/>
    <w:basedOn w:val="1"/>
    <w:next w:val="1"/>
    <w:link w:val="40"/>
    <w:qFormat/>
    <w:uiPriority w:val="99"/>
    <w:pPr>
      <w:spacing w:line="600" w:lineRule="exact"/>
      <w:ind w:firstLine="639" w:firstLineChars="206"/>
    </w:pPr>
    <w:rPr>
      <w:rFonts w:ascii="仿宋_GB2312" w:hAnsi="宋体" w:eastAsia="仿宋_GB2312"/>
      <w:kern w:val="0"/>
      <w:sz w:val="31"/>
      <w:szCs w:val="31"/>
    </w:rPr>
  </w:style>
  <w:style w:type="paragraph" w:customStyle="1" w:styleId="42">
    <w:name w:val="列出段落1"/>
    <w:basedOn w:val="1"/>
    <w:qFormat/>
    <w:uiPriority w:val="99"/>
    <w:pPr>
      <w:ind w:firstLine="420" w:firstLineChars="200"/>
    </w:pPr>
  </w:style>
  <w:style w:type="paragraph" w:customStyle="1" w:styleId="43">
    <w:name w:val="列出段落2"/>
    <w:basedOn w:val="1"/>
    <w:qFormat/>
    <w:uiPriority w:val="99"/>
    <w:pPr>
      <w:ind w:firstLine="420" w:firstLineChars="200"/>
    </w:pPr>
  </w:style>
  <w:style w:type="paragraph" w:styleId="44">
    <w:name w:val="List Paragraph"/>
    <w:basedOn w:val="1"/>
    <w:qFormat/>
    <w:uiPriority w:val="99"/>
    <w:pPr>
      <w:ind w:firstLine="420" w:firstLineChars="200"/>
    </w:pPr>
  </w:style>
  <w:style w:type="character" w:customStyle="1" w:styleId="45">
    <w:name w:val="fontstyle01"/>
    <w:basedOn w:val="24"/>
    <w:qFormat/>
    <w:uiPriority w:val="99"/>
    <w:rPr>
      <w:rFonts w:ascii="仿宋" w:hAnsi="仿宋" w:eastAsia="仿宋" w:cs="Times New Roman"/>
      <w:color w:val="000000"/>
      <w:sz w:val="28"/>
      <w:szCs w:val="28"/>
    </w:rPr>
  </w:style>
  <w:style w:type="character" w:customStyle="1" w:styleId="46">
    <w:name w:val="！正文 Char"/>
    <w:link w:val="47"/>
    <w:qFormat/>
    <w:locked/>
    <w:uiPriority w:val="99"/>
    <w:rPr>
      <w:rFonts w:ascii="Arial" w:hAnsi="Arial"/>
      <w:sz w:val="24"/>
    </w:rPr>
  </w:style>
  <w:style w:type="paragraph" w:customStyle="1" w:styleId="47">
    <w:name w:val="！正文"/>
    <w:basedOn w:val="1"/>
    <w:link w:val="46"/>
    <w:qFormat/>
    <w:uiPriority w:val="99"/>
    <w:pPr>
      <w:spacing w:line="360" w:lineRule="auto"/>
      <w:ind w:firstLine="200" w:firstLineChars="200"/>
    </w:pPr>
    <w:rPr>
      <w:rFonts w:ascii="Arial" w:hAnsi="Arial" w:eastAsia="等线"/>
      <w:kern w:val="0"/>
      <w:sz w:val="24"/>
      <w:szCs w:val="24"/>
    </w:rPr>
  </w:style>
  <w:style w:type="paragraph" w:customStyle="1" w:styleId="48">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9">
    <w:name w:val="正文缩进 Char"/>
    <w:link w:val="6"/>
    <w:qFormat/>
    <w:locked/>
    <w:uiPriority w:val="99"/>
    <w:rPr>
      <w:sz w:val="24"/>
    </w:rPr>
  </w:style>
  <w:style w:type="paragraph" w:customStyle="1" w:styleId="50">
    <w:name w:val="标准书脚_奇数页"/>
    <w:qFormat/>
    <w:uiPriority w:val="99"/>
    <w:pPr>
      <w:numPr>
        <w:ilvl w:val="0"/>
        <w:numId w:val="1"/>
      </w:numPr>
      <w:spacing w:before="120"/>
      <w:ind w:left="0" w:firstLine="0"/>
      <w:jc w:val="right"/>
    </w:pPr>
    <w:rPr>
      <w:rFonts w:ascii="Times New Roman" w:hAnsi="Times New Roman" w:eastAsia="宋体" w:cs="Times New Roman"/>
      <w:kern w:val="0"/>
      <w:sz w:val="18"/>
      <w:szCs w:val="20"/>
      <w:lang w:val="en-US" w:eastAsia="zh-CN" w:bidi="ar-SA"/>
    </w:rPr>
  </w:style>
  <w:style w:type="character" w:customStyle="1" w:styleId="51">
    <w:name w:val="纯文本 Char"/>
    <w:basedOn w:val="24"/>
    <w:link w:val="14"/>
    <w:qFormat/>
    <w:locked/>
    <w:uiPriority w:val="99"/>
    <w:rPr>
      <w:rFonts w:ascii="宋体" w:hAnsi="Courier New" w:eastAsia="宋体" w:cs="Times New Roman"/>
      <w:kern w:val="2"/>
      <w:sz w:val="21"/>
      <w:szCs w:val="21"/>
    </w:rPr>
  </w:style>
  <w:style w:type="character" w:customStyle="1" w:styleId="52">
    <w:name w:val="未处理的提及1"/>
    <w:basedOn w:val="24"/>
    <w:semiHidden/>
    <w:qFormat/>
    <w:uiPriority w:val="99"/>
    <w:rPr>
      <w:rFonts w:cs="Times New Roman"/>
      <w:color w:val="605E5C"/>
      <w:shd w:val="clear" w:color="auto" w:fill="E1DFDD"/>
    </w:rPr>
  </w:style>
  <w:style w:type="paragraph" w:customStyle="1" w:styleId="53">
    <w:name w:val="样式"/>
    <w:basedOn w:val="1"/>
    <w:next w:val="44"/>
    <w:qFormat/>
    <w:uiPriority w:val="99"/>
    <w:pPr>
      <w:ind w:firstLine="420" w:firstLineChars="200"/>
    </w:pPr>
    <w:rPr>
      <w:rFonts w:ascii="Calibri" w:hAnsi="Calibri"/>
      <w:szCs w:val="22"/>
    </w:rPr>
  </w:style>
  <w:style w:type="character" w:customStyle="1" w:styleId="54">
    <w:name w:val="Body Text Indent 2 Char Char"/>
    <w:link w:val="55"/>
    <w:qFormat/>
    <w:locked/>
    <w:uiPriority w:val="99"/>
  </w:style>
  <w:style w:type="paragraph" w:customStyle="1" w:styleId="55">
    <w:name w:val="正文文本缩进 21"/>
    <w:basedOn w:val="1"/>
    <w:link w:val="54"/>
    <w:qFormat/>
    <w:uiPriority w:val="99"/>
    <w:pPr>
      <w:adjustRightInd w:val="0"/>
      <w:spacing w:line="480" w:lineRule="auto"/>
      <w:ind w:firstLine="540"/>
    </w:pPr>
    <w:rPr>
      <w:rFonts w:ascii="Calibri" w:hAnsi="Calibri" w:eastAsia="等线"/>
      <w:kern w:val="0"/>
      <w:sz w:val="20"/>
    </w:rPr>
  </w:style>
  <w:style w:type="character" w:customStyle="1" w:styleId="56">
    <w:name w:val="批注主题 Char"/>
    <w:basedOn w:val="34"/>
    <w:link w:val="20"/>
    <w:semiHidden/>
    <w:qFormat/>
    <w:locked/>
    <w:uiPriority w:val="99"/>
    <w:rPr>
      <w:rFonts w:ascii="Times New Roman" w:hAnsi="Times New Roman" w:eastAsia="宋体" w:cs="Times New Roman"/>
      <w:b/>
      <w:bCs/>
      <w:kern w:val="2"/>
      <w:sz w:val="21"/>
    </w:rPr>
  </w:style>
  <w:style w:type="character" w:customStyle="1" w:styleId="57">
    <w:name w:val="标题 4 字符"/>
    <w:basedOn w:val="24"/>
    <w:semiHidden/>
    <w:qFormat/>
    <w:uiPriority w:val="99"/>
    <w:rPr>
      <w:rFonts w:ascii="Cambria" w:hAnsi="Cambria" w:eastAsia="宋体" w:cs="Times New Roman"/>
      <w:b/>
      <w:bCs/>
      <w:kern w:val="2"/>
      <w:sz w:val="28"/>
      <w:szCs w:val="28"/>
    </w:rPr>
  </w:style>
  <w:style w:type="paragraph" w:customStyle="1" w:styleId="58">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9">
    <w:name w:val="致远要点"/>
    <w:basedOn w:val="44"/>
    <w:link w:val="60"/>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0">
    <w:name w:val="致远要点 字符"/>
    <w:basedOn w:val="24"/>
    <w:link w:val="59"/>
    <w:qFormat/>
    <w:locked/>
    <w:uiPriority w:val="99"/>
    <w:rPr>
      <w:rFonts w:ascii="黑体" w:hAnsi="黑体" w:eastAsia="黑体" w:cs="宋体"/>
      <w:kern w:val="2"/>
      <w:sz w:val="22"/>
      <w:szCs w:val="22"/>
    </w:rPr>
  </w:style>
  <w:style w:type="paragraph" w:customStyle="1" w:styleId="61">
    <w:name w:val="SANGFOR_6_正文"/>
    <w:basedOn w:val="1"/>
    <w:qFormat/>
    <w:uiPriority w:val="99"/>
    <w:pPr>
      <w:spacing w:line="360" w:lineRule="auto"/>
    </w:pPr>
    <w:rPr>
      <w:szCs w:val="24"/>
    </w:rPr>
  </w:style>
  <w:style w:type="character" w:customStyle="1" w:styleId="62">
    <w:name w:val="font01"/>
    <w:basedOn w:val="24"/>
    <w:qFormat/>
    <w:uiPriority w:val="0"/>
    <w:rPr>
      <w:rFonts w:hint="eastAsia" w:ascii="宋体" w:hAnsi="宋体" w:eastAsia="宋体" w:cs="宋体"/>
      <w:color w:val="FF0000"/>
      <w:sz w:val="24"/>
      <w:szCs w:val="24"/>
      <w:u w:val="none"/>
    </w:rPr>
  </w:style>
  <w:style w:type="character" w:customStyle="1" w:styleId="63">
    <w:name w:val="font21"/>
    <w:basedOn w:val="24"/>
    <w:qFormat/>
    <w:uiPriority w:val="0"/>
    <w:rPr>
      <w:rFonts w:hint="eastAsia" w:ascii="宋体" w:hAnsi="宋体" w:eastAsia="宋体" w:cs="宋体"/>
      <w:color w:val="000000"/>
      <w:sz w:val="24"/>
      <w:szCs w:val="24"/>
      <w:u w:val="none"/>
    </w:rPr>
  </w:style>
  <w:style w:type="paragraph" w:customStyle="1" w:styleId="64">
    <w:name w:val="Char Char Char"/>
    <w:basedOn w:val="1"/>
    <w:qFormat/>
    <w:uiPriority w:val="0"/>
    <w:rPr>
      <w:rFonts w:ascii="Tahoma" w:hAnsi="Tahoma"/>
      <w:sz w:val="24"/>
    </w:rPr>
  </w:style>
  <w:style w:type="paragraph" w:customStyle="1" w:styleId="65">
    <w:name w:val="标书正文文本"/>
    <w:qFormat/>
    <w:uiPriority w:val="0"/>
    <w:pPr>
      <w:spacing w:line="360" w:lineRule="auto"/>
      <w:ind w:firstLine="200" w:firstLineChars="200"/>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100" textRotate="1"/>
    <customShpInfo spid="_x0000_s4101" textRotate="1"/>
    <customShpInfo spid="_x0000_s4102"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kesin.Com</Company>
  <Pages>37</Pages>
  <Words>499</Words>
  <Characters>538</Characters>
  <Lines>4</Lines>
  <Paragraphs>7</Paragraphs>
  <TotalTime>25</TotalTime>
  <ScaleCrop>false</ScaleCrop>
  <LinksUpToDate>false</LinksUpToDate>
  <CharactersWithSpaces>552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2020-08-17T04:07:00Z</dcterms:created>
  <dc:creator>86138</dc:creator>
  <cp:lastModifiedBy>LV</cp:lastModifiedBy>
  <cp:lastPrinted>2020-06-08T08:11:00Z</cp:lastPrinted>
  <dcterms:modified xsi:type="dcterms:W3CDTF">2026-10-09T02:26:46Z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9C06B65765CB4A429B468F47EEFAB073</vt:lpwstr>
  </property>
  <property fmtid="{D5CDD505-2E9C-101B-9397-08002B2CF9AE}" pid="4" name="KSOTemplateDocerSaveRecord">
    <vt:lpwstr>eyJoZGlkIjoiOTkzMDA0YzdhNWQ3ODdiM2JmYjJjYmFjNjQwMjA4MDkiLCJ1c2VySWQiOiI5NDA4NDc3MTEifQ==</vt:lpwstr>
  </property>
</Properties>
</file>