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3A4C4">
      <w:pPr>
        <w:adjustRightInd w:val="0"/>
        <w:snapToGrid w:val="0"/>
        <w:spacing w:before="120" w:after="120" w:line="276" w:lineRule="auto"/>
        <w:jc w:val="center"/>
        <w:rPr>
          <w:rFonts w:hint="default" w:eastAsia="华文中宋"/>
          <w:color w:val="auto"/>
          <w:sz w:val="44"/>
          <w:szCs w:val="44"/>
          <w:highlight w:val="none"/>
          <w:lang w:val="en-US" w:eastAsia="zh-CN"/>
        </w:rPr>
      </w:pPr>
      <w:bookmarkStart w:id="8" w:name="_GoBack"/>
      <w:r>
        <w:rPr>
          <w:rFonts w:hint="eastAsia" w:eastAsia="华文中宋"/>
          <w:color w:val="auto"/>
          <w:sz w:val="44"/>
          <w:szCs w:val="44"/>
          <w:highlight w:val="none"/>
        </w:rPr>
        <w:t>询价文件</w:t>
      </w:r>
      <w:r>
        <w:rPr>
          <w:rFonts w:hint="eastAsia" w:eastAsia="华文中宋"/>
          <w:color w:val="auto"/>
          <w:sz w:val="44"/>
          <w:szCs w:val="44"/>
          <w:highlight w:val="none"/>
          <w:lang w:eastAsia="zh-CN"/>
        </w:rPr>
        <w:t>（</w:t>
      </w:r>
      <w:r>
        <w:rPr>
          <w:rFonts w:hint="eastAsia" w:eastAsia="华文中宋"/>
          <w:color w:val="auto"/>
          <w:sz w:val="44"/>
          <w:szCs w:val="44"/>
          <w:highlight w:val="none"/>
          <w:lang w:val="en-US" w:eastAsia="zh-CN"/>
        </w:rPr>
        <w:t>重新采购）</w:t>
      </w:r>
    </w:p>
    <w:p w14:paraId="6157A017">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lang w:val="en-US" w:eastAsia="zh-CN"/>
        </w:rPr>
        <w:t>东莞市能源投资集团有限公司</w:t>
      </w:r>
      <w:r>
        <w:rPr>
          <w:rFonts w:hint="eastAsia" w:eastAsia="仿宋_GB2312"/>
          <w:color w:val="auto"/>
          <w:sz w:val="32"/>
          <w:szCs w:val="32"/>
          <w:highlight w:val="none"/>
          <w:u w:val="none"/>
        </w:rPr>
        <w:t>需采购一家</w:t>
      </w:r>
      <w:r>
        <w:rPr>
          <w:rFonts w:hint="eastAsia" w:eastAsia="仿宋_GB2312"/>
          <w:color w:val="auto"/>
          <w:sz w:val="32"/>
          <w:szCs w:val="32"/>
          <w:highlight w:val="none"/>
          <w:u w:val="none"/>
          <w:lang w:val="en-US" w:eastAsia="zh-CN"/>
        </w:rPr>
        <w:t>办公家具供应</w:t>
      </w:r>
      <w:r>
        <w:rPr>
          <w:rFonts w:hint="eastAsia" w:eastAsia="仿宋_GB2312"/>
          <w:color w:val="auto"/>
          <w:sz w:val="32"/>
          <w:szCs w:val="32"/>
          <w:highlight w:val="none"/>
          <w:u w:val="none"/>
        </w:rPr>
        <w:t>单位，现将相关情况介绍如下：</w:t>
      </w:r>
    </w:p>
    <w:p w14:paraId="725146FB">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一、项目名称及内容</w:t>
      </w:r>
    </w:p>
    <w:p w14:paraId="6BBA3E94">
      <w:pPr>
        <w:adjustRightInd w:val="0"/>
        <w:snapToGrid w:val="0"/>
        <w:spacing w:line="600" w:lineRule="exact"/>
        <w:ind w:firstLine="640" w:firstLineChars="200"/>
        <w:rPr>
          <w:rFonts w:hint="eastAsia" w:eastAsia="仿宋_GB2312"/>
          <w:color w:val="auto"/>
          <w:sz w:val="32"/>
          <w:szCs w:val="32"/>
          <w:highlight w:val="none"/>
          <w:u w:val="none"/>
          <w:lang w:val="en-US" w:eastAsia="zh-CN"/>
        </w:rPr>
      </w:pPr>
      <w:r>
        <w:rPr>
          <w:rFonts w:eastAsia="仿宋_GB2312"/>
          <w:color w:val="auto"/>
          <w:sz w:val="32"/>
          <w:szCs w:val="32"/>
          <w:highlight w:val="none"/>
          <w:u w:val="none"/>
        </w:rPr>
        <w:t>1</w:t>
      </w:r>
      <w:r>
        <w:rPr>
          <w:rFonts w:hint="eastAsia" w:eastAsia="仿宋_GB2312"/>
          <w:color w:val="auto"/>
          <w:sz w:val="32"/>
          <w:szCs w:val="32"/>
          <w:highlight w:val="none"/>
          <w:u w:val="none"/>
        </w:rPr>
        <w:t>、项目名称：</w:t>
      </w:r>
      <w:r>
        <w:rPr>
          <w:rFonts w:hint="eastAsia" w:eastAsia="仿宋_GB2312"/>
          <w:color w:val="auto"/>
          <w:sz w:val="32"/>
          <w:szCs w:val="32"/>
          <w:highlight w:val="none"/>
          <w:u w:val="none"/>
          <w:lang w:val="en-US" w:eastAsia="zh-CN"/>
        </w:rPr>
        <w:t>东莞能源集团二楼公共区域办公家具采购项目</w:t>
      </w:r>
      <w:r>
        <w:rPr>
          <w:rFonts w:hint="eastAsia" w:eastAsia="仿宋_GB2312"/>
          <w:color w:val="auto"/>
          <w:sz w:val="32"/>
          <w:szCs w:val="32"/>
          <w:highlight w:val="none"/>
          <w:u w:val="none"/>
        </w:rPr>
        <w:t>；</w:t>
      </w:r>
    </w:p>
    <w:p w14:paraId="4EB3D01F">
      <w:pPr>
        <w:adjustRightInd w:val="0"/>
        <w:snapToGrid w:val="0"/>
        <w:spacing w:line="600" w:lineRule="exact"/>
        <w:ind w:firstLine="640" w:firstLineChars="200"/>
        <w:rPr>
          <w:rFonts w:hint="eastAsia" w:eastAsia="仿宋_GB2312"/>
          <w:color w:val="auto"/>
          <w:sz w:val="32"/>
          <w:szCs w:val="32"/>
          <w:highlight w:val="none"/>
          <w:u w:val="none"/>
          <w:lang w:val="en-US" w:eastAsia="zh-CN"/>
        </w:rPr>
      </w:pPr>
      <w:r>
        <w:rPr>
          <w:rFonts w:eastAsia="仿宋_GB2312"/>
          <w:color w:val="auto"/>
          <w:sz w:val="32"/>
          <w:szCs w:val="32"/>
          <w:highlight w:val="none"/>
          <w:u w:val="none"/>
        </w:rPr>
        <w:t>2</w:t>
      </w:r>
      <w:r>
        <w:rPr>
          <w:rFonts w:hint="eastAsia" w:eastAsia="仿宋_GB2312"/>
          <w:color w:val="auto"/>
          <w:sz w:val="32"/>
          <w:szCs w:val="32"/>
          <w:highlight w:val="none"/>
          <w:u w:val="none"/>
        </w:rPr>
        <w:t>、采购范围：</w:t>
      </w:r>
      <w:r>
        <w:rPr>
          <w:rFonts w:hint="eastAsia" w:eastAsia="仿宋_GB2312"/>
          <w:color w:val="auto"/>
          <w:sz w:val="32"/>
          <w:szCs w:val="32"/>
          <w:highlight w:val="none"/>
          <w:u w:val="none"/>
          <w:lang w:val="en-US" w:eastAsia="zh-CN"/>
        </w:rPr>
        <w:t>详见附件五《用户需求书》</w:t>
      </w:r>
      <w:r>
        <w:rPr>
          <w:rFonts w:eastAsia="仿宋_GB2312"/>
          <w:color w:val="auto"/>
          <w:sz w:val="32"/>
          <w:szCs w:val="32"/>
          <w:highlight w:val="none"/>
          <w:u w:val="none"/>
        </w:rPr>
        <w:t xml:space="preserve"> </w:t>
      </w:r>
      <w:r>
        <w:rPr>
          <w:rFonts w:hint="eastAsia" w:eastAsia="仿宋_GB2312"/>
          <w:color w:val="auto"/>
          <w:sz w:val="32"/>
          <w:szCs w:val="32"/>
          <w:highlight w:val="none"/>
          <w:u w:val="none"/>
        </w:rPr>
        <w:t>；</w:t>
      </w:r>
    </w:p>
    <w:p w14:paraId="6D18EB4D">
      <w:pPr>
        <w:adjustRightInd w:val="0"/>
        <w:snapToGrid w:val="0"/>
        <w:spacing w:line="600" w:lineRule="exact"/>
        <w:ind w:firstLine="640" w:firstLineChars="200"/>
        <w:rPr>
          <w:rFonts w:hint="default" w:eastAsia="仿宋_GB2312"/>
          <w:color w:val="auto"/>
          <w:sz w:val="32"/>
          <w:szCs w:val="32"/>
          <w:highlight w:val="none"/>
          <w:u w:val="none"/>
          <w:lang w:val="en-US" w:eastAsia="zh-CN"/>
        </w:rPr>
      </w:pPr>
      <w:r>
        <w:rPr>
          <w:rFonts w:eastAsia="仿宋_GB2312"/>
          <w:color w:val="auto"/>
          <w:sz w:val="32"/>
          <w:szCs w:val="32"/>
          <w:highlight w:val="none"/>
          <w:u w:val="none"/>
        </w:rPr>
        <w:t>3</w:t>
      </w:r>
      <w:r>
        <w:rPr>
          <w:rFonts w:hint="eastAsia" w:eastAsia="仿宋_GB2312"/>
          <w:color w:val="auto"/>
          <w:sz w:val="32"/>
          <w:szCs w:val="32"/>
          <w:highlight w:val="none"/>
          <w:u w:val="none"/>
        </w:rPr>
        <w:t>、项目地点：</w:t>
      </w:r>
      <w:r>
        <w:rPr>
          <w:rFonts w:hint="eastAsia" w:ascii="仿宋_GB2312" w:hAnsi="仿宋_GB2312" w:eastAsia="仿宋_GB2312" w:cs="仿宋_GB2312"/>
          <w:color w:val="auto"/>
          <w:sz w:val="32"/>
          <w:szCs w:val="32"/>
          <w:highlight w:val="none"/>
          <w:u w:val="none"/>
          <w:lang w:val="en-US" w:eastAsia="zh-CN"/>
        </w:rPr>
        <w:t>广东省东莞市松山湖园区新城路5号4栋。</w:t>
      </w:r>
    </w:p>
    <w:p w14:paraId="449BD01B">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二、项目发布</w:t>
      </w:r>
    </w:p>
    <w:p w14:paraId="14C138FF">
      <w:pPr>
        <w:adjustRightInd w:val="0"/>
        <w:snapToGrid w:val="0"/>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本采购项目信息在东莞实业投资控股集团有限公司网站（</w:t>
      </w:r>
      <w:r>
        <w:rPr>
          <w:rFonts w:eastAsia="仿宋_GB2312"/>
          <w:color w:val="auto"/>
          <w:sz w:val="32"/>
          <w:szCs w:val="32"/>
          <w:highlight w:val="none"/>
          <w:u w:val="none"/>
        </w:rPr>
        <w:t>http://www.dgsy.com.cn/</w:t>
      </w:r>
      <w:r>
        <w:rPr>
          <w:rFonts w:hint="eastAsia" w:eastAsia="仿宋_GB2312"/>
          <w:color w:val="auto"/>
          <w:sz w:val="32"/>
          <w:szCs w:val="32"/>
          <w:highlight w:val="none"/>
          <w:u w:val="none"/>
        </w:rPr>
        <w:t>）发布（参照《东实集团招标采购管理办法》、《工程招标实施细则》、《采购实施细则》要求执行）。</w:t>
      </w:r>
    </w:p>
    <w:p w14:paraId="5567C2C2">
      <w:pPr>
        <w:adjustRightInd w:val="0"/>
        <w:snapToGrid w:val="0"/>
        <w:spacing w:line="600" w:lineRule="exact"/>
        <w:ind w:firstLine="640" w:firstLineChars="200"/>
        <w:outlineLvl w:val="1"/>
        <w:rPr>
          <w:rFonts w:eastAsia="黑体"/>
          <w:color w:val="auto"/>
          <w:sz w:val="32"/>
          <w:szCs w:val="32"/>
          <w:highlight w:val="none"/>
          <w:u w:val="none"/>
        </w:rPr>
      </w:pPr>
      <w:r>
        <w:rPr>
          <w:rFonts w:eastAsia="黑体"/>
          <w:color w:val="auto"/>
          <w:sz w:val="32"/>
          <w:szCs w:val="32"/>
          <w:highlight w:val="none"/>
          <w:u w:val="none"/>
        </w:rPr>
        <w:sym w:font="Wingdings" w:char="F0AB"/>
      </w:r>
      <w:r>
        <w:rPr>
          <w:rFonts w:hint="eastAsia" w:eastAsia="黑体"/>
          <w:color w:val="auto"/>
          <w:sz w:val="32"/>
          <w:szCs w:val="32"/>
          <w:highlight w:val="none"/>
          <w:u w:val="none"/>
        </w:rPr>
        <w:t>三、响应人资格要求</w:t>
      </w:r>
    </w:p>
    <w:p w14:paraId="657EFA43">
      <w:pPr>
        <w:adjustRightInd w:val="0"/>
        <w:snapToGrid w:val="0"/>
        <w:spacing w:line="600" w:lineRule="exact"/>
        <w:ind w:firstLine="640" w:firstLineChars="200"/>
        <w:rPr>
          <w:rFonts w:hint="eastAsia" w:ascii="Times New Roman" w:hAnsi="Times New Roman" w:eastAsia="仿宋_GB2312"/>
          <w:color w:val="auto"/>
          <w:sz w:val="32"/>
          <w:szCs w:val="32"/>
          <w:highlight w:val="none"/>
          <w:u w:val="none"/>
        </w:rPr>
      </w:pPr>
      <w:r>
        <w:rPr>
          <w:rFonts w:hint="eastAsia" w:ascii="Times New Roman" w:hAnsi="Times New Roman" w:eastAsia="仿宋_GB2312"/>
          <w:color w:val="auto"/>
          <w:sz w:val="32"/>
          <w:szCs w:val="32"/>
          <w:highlight w:val="none"/>
          <w:u w:val="none"/>
        </w:rPr>
        <w:t>1、响应人须为在中华人民共和国境内登记注册的具有独立承担民事责任能力的法人或其他组织。【提供《营业执照》复印件（加盖公章）或《事业单位法人证书》复印件（加盖公章）或其他主体证书复印件（加盖公章）】</w:t>
      </w:r>
    </w:p>
    <w:p w14:paraId="7152F963">
      <w:pPr>
        <w:adjustRightInd w:val="0"/>
        <w:snapToGrid w:val="0"/>
        <w:spacing w:line="600" w:lineRule="exact"/>
        <w:ind w:firstLine="640" w:firstLineChars="200"/>
        <w:rPr>
          <w:rFonts w:hint="eastAsia" w:ascii="Times New Roman" w:hAnsi="Times New Roman" w:eastAsia="仿宋_GB2312"/>
          <w:color w:val="auto"/>
          <w:sz w:val="32"/>
          <w:szCs w:val="32"/>
          <w:highlight w:val="none"/>
          <w:u w:val="none"/>
        </w:rPr>
      </w:pPr>
      <w:r>
        <w:rPr>
          <w:rFonts w:hint="eastAsia" w:ascii="Times New Roman" w:hAnsi="Times New Roman" w:eastAsia="仿宋_GB2312"/>
          <w:color w:val="auto"/>
          <w:sz w:val="32"/>
          <w:szCs w:val="32"/>
          <w:highlight w:val="none"/>
          <w:u w:val="none"/>
        </w:rPr>
        <w:t>2、业绩要求：具备</w:t>
      </w:r>
      <w:r>
        <w:rPr>
          <w:rFonts w:hint="eastAsia" w:ascii="Times New Roman" w:hAnsi="Times New Roman" w:eastAsia="仿宋_GB2312"/>
          <w:color w:val="auto"/>
          <w:sz w:val="32"/>
          <w:szCs w:val="32"/>
          <w:highlight w:val="none"/>
          <w:u w:val="none"/>
          <w:lang w:val="en-US" w:eastAsia="zh-CN"/>
        </w:rPr>
        <w:t>办公家具供应</w:t>
      </w:r>
      <w:r>
        <w:rPr>
          <w:rFonts w:hint="eastAsia" w:ascii="Times New Roman" w:hAnsi="Times New Roman" w:eastAsia="仿宋_GB2312"/>
          <w:color w:val="auto"/>
          <w:sz w:val="32"/>
          <w:szCs w:val="32"/>
          <w:highlight w:val="none"/>
          <w:u w:val="none"/>
        </w:rPr>
        <w:t>项目经验，要求</w:t>
      </w:r>
      <w:r>
        <w:rPr>
          <w:rFonts w:hint="eastAsia" w:ascii="Times New Roman" w:hAnsi="Times New Roman" w:eastAsia="仿宋_GB2312"/>
          <w:color w:val="auto"/>
          <w:sz w:val="32"/>
          <w:szCs w:val="32"/>
          <w:highlight w:val="none"/>
          <w:u w:val="none"/>
          <w:lang w:val="en-US" w:eastAsia="zh-CN"/>
        </w:rPr>
        <w:t>2023</w:t>
      </w:r>
      <w:r>
        <w:rPr>
          <w:rFonts w:hint="eastAsia" w:ascii="Times New Roman" w:hAnsi="Times New Roman" w:eastAsia="仿宋_GB2312"/>
          <w:color w:val="auto"/>
          <w:sz w:val="32"/>
          <w:szCs w:val="32"/>
          <w:highlight w:val="none"/>
          <w:u w:val="none"/>
        </w:rPr>
        <w:t>年</w:t>
      </w:r>
      <w:r>
        <w:rPr>
          <w:rFonts w:hint="eastAsia" w:ascii="Times New Roman" w:hAnsi="Times New Roman" w:eastAsia="仿宋_GB2312"/>
          <w:color w:val="auto"/>
          <w:sz w:val="32"/>
          <w:szCs w:val="32"/>
          <w:highlight w:val="none"/>
          <w:u w:val="none"/>
          <w:lang w:val="en-US" w:eastAsia="zh-CN"/>
        </w:rPr>
        <w:t>1</w:t>
      </w:r>
      <w:r>
        <w:rPr>
          <w:rFonts w:hint="eastAsia" w:ascii="Times New Roman" w:hAnsi="Times New Roman" w:eastAsia="仿宋_GB2312"/>
          <w:color w:val="auto"/>
          <w:sz w:val="32"/>
          <w:szCs w:val="32"/>
          <w:highlight w:val="none"/>
          <w:u w:val="none"/>
        </w:rPr>
        <w:t>月</w:t>
      </w:r>
      <w:r>
        <w:rPr>
          <w:rFonts w:hint="eastAsia" w:ascii="Times New Roman" w:hAnsi="Times New Roman" w:eastAsia="仿宋_GB2312"/>
          <w:color w:val="auto"/>
          <w:sz w:val="32"/>
          <w:szCs w:val="32"/>
          <w:highlight w:val="none"/>
          <w:u w:val="none"/>
          <w:lang w:val="en-US" w:eastAsia="zh-CN"/>
        </w:rPr>
        <w:t>1</w:t>
      </w:r>
      <w:r>
        <w:rPr>
          <w:rFonts w:hint="eastAsia" w:ascii="Times New Roman" w:hAnsi="Times New Roman" w:eastAsia="仿宋_GB2312"/>
          <w:color w:val="auto"/>
          <w:sz w:val="32"/>
          <w:szCs w:val="32"/>
          <w:highlight w:val="none"/>
          <w:u w:val="none"/>
        </w:rPr>
        <w:t>日起至</w:t>
      </w:r>
      <w:r>
        <w:rPr>
          <w:rFonts w:hint="eastAsia" w:ascii="Times New Roman" w:hAnsi="Times New Roman" w:eastAsia="仿宋_GB2312"/>
          <w:color w:val="auto"/>
          <w:sz w:val="32"/>
          <w:szCs w:val="32"/>
          <w:highlight w:val="none"/>
          <w:u w:val="none"/>
          <w:lang w:val="en-US" w:eastAsia="zh-CN"/>
        </w:rPr>
        <w:t>开标截止日期</w:t>
      </w:r>
      <w:r>
        <w:rPr>
          <w:rFonts w:hint="eastAsia" w:ascii="Times New Roman" w:hAnsi="Times New Roman" w:eastAsia="仿宋_GB2312"/>
          <w:color w:val="auto"/>
          <w:sz w:val="32"/>
          <w:szCs w:val="32"/>
          <w:highlight w:val="none"/>
          <w:u w:val="none"/>
        </w:rPr>
        <w:t>，完成至少</w:t>
      </w:r>
      <w:r>
        <w:rPr>
          <w:rFonts w:hint="eastAsia" w:ascii="Times New Roman" w:hAnsi="Times New Roman" w:eastAsia="仿宋_GB2312"/>
          <w:color w:val="auto"/>
          <w:sz w:val="32"/>
          <w:szCs w:val="32"/>
          <w:highlight w:val="none"/>
          <w:u w:val="none"/>
          <w:lang w:val="en-US" w:eastAsia="zh-CN"/>
        </w:rPr>
        <w:t>3</w:t>
      </w:r>
      <w:r>
        <w:rPr>
          <w:rFonts w:hint="eastAsia" w:ascii="Times New Roman" w:hAnsi="Times New Roman" w:eastAsia="仿宋_GB2312"/>
          <w:color w:val="auto"/>
          <w:sz w:val="32"/>
          <w:szCs w:val="32"/>
          <w:highlight w:val="none"/>
          <w:u w:val="none"/>
        </w:rPr>
        <w:t>个</w:t>
      </w:r>
      <w:r>
        <w:rPr>
          <w:rFonts w:hint="eastAsia" w:ascii="Times New Roman" w:hAnsi="Times New Roman" w:eastAsia="仿宋_GB2312"/>
          <w:color w:val="auto"/>
          <w:sz w:val="32"/>
          <w:szCs w:val="32"/>
          <w:highlight w:val="none"/>
          <w:u w:val="none"/>
          <w:lang w:val="en-US" w:eastAsia="zh-CN"/>
        </w:rPr>
        <w:t>办公家具供应同类</w:t>
      </w:r>
      <w:r>
        <w:rPr>
          <w:rFonts w:hint="eastAsia" w:ascii="Times New Roman" w:hAnsi="Times New Roman" w:eastAsia="仿宋_GB2312"/>
          <w:color w:val="auto"/>
          <w:sz w:val="32"/>
          <w:szCs w:val="32"/>
          <w:highlight w:val="none"/>
          <w:u w:val="none"/>
        </w:rPr>
        <w:t>业绩。【按合同签订时间为准，须提供合同关键页复印件（包含但不限于合同首页、合同金额页、合同签字页等）、</w:t>
      </w:r>
      <w:r>
        <w:rPr>
          <w:rFonts w:hint="eastAsia" w:ascii="Times New Roman" w:hAnsi="Times New Roman" w:eastAsia="仿宋_GB2312"/>
          <w:color w:val="auto"/>
          <w:sz w:val="32"/>
          <w:szCs w:val="32"/>
          <w:highlight w:val="none"/>
          <w:u w:val="none"/>
          <w:lang w:val="en-US" w:eastAsia="zh-CN"/>
        </w:rPr>
        <w:t>验收报告、</w:t>
      </w:r>
      <w:r>
        <w:rPr>
          <w:rFonts w:hint="eastAsia" w:ascii="Times New Roman" w:hAnsi="Times New Roman" w:eastAsia="仿宋_GB2312"/>
          <w:color w:val="auto"/>
          <w:sz w:val="32"/>
          <w:szCs w:val="32"/>
          <w:highlight w:val="none"/>
          <w:u w:val="none"/>
        </w:rPr>
        <w:t>该合同期内任意一期发票复印件</w:t>
      </w:r>
      <w:r>
        <w:rPr>
          <w:rFonts w:hint="eastAsia" w:ascii="Times New Roman" w:hAnsi="Times New Roman" w:eastAsia="仿宋_GB2312"/>
          <w:color w:val="auto"/>
          <w:sz w:val="32"/>
          <w:szCs w:val="32"/>
          <w:highlight w:val="none"/>
          <w:u w:val="none"/>
          <w:lang w:eastAsia="zh-CN"/>
        </w:rPr>
        <w:t>，</w:t>
      </w:r>
      <w:r>
        <w:rPr>
          <w:rFonts w:hint="eastAsia" w:ascii="Times New Roman" w:hAnsi="Times New Roman" w:eastAsia="仿宋_GB2312"/>
          <w:color w:val="auto"/>
          <w:sz w:val="32"/>
          <w:szCs w:val="32"/>
          <w:highlight w:val="none"/>
          <w:u w:val="none"/>
        </w:rPr>
        <w:t>并加盖投标人公章。】</w:t>
      </w:r>
    </w:p>
    <w:p w14:paraId="6490665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eastAsia="仿宋_GB2312"/>
          <w:color w:val="auto"/>
          <w:sz w:val="32"/>
          <w:szCs w:val="32"/>
          <w:highlight w:val="none"/>
          <w:u w:val="none"/>
        </w:rPr>
      </w:pPr>
      <w:r>
        <w:rPr>
          <w:rFonts w:hint="eastAsia" w:eastAsia="仿宋_GB2312"/>
          <w:color w:val="auto"/>
          <w:sz w:val="32"/>
          <w:szCs w:val="32"/>
          <w:highlight w:val="none"/>
          <w:u w:val="none"/>
          <w:lang w:val="en-US" w:eastAsia="zh-CN"/>
        </w:rPr>
        <w:t>3</w:t>
      </w:r>
      <w:r>
        <w:rPr>
          <w:rFonts w:hint="eastAsia" w:eastAsia="仿宋_GB2312"/>
          <w:color w:val="auto"/>
          <w:sz w:val="32"/>
          <w:szCs w:val="32"/>
          <w:highlight w:val="none"/>
          <w:u w:val="none"/>
        </w:rPr>
        <w:t>、未被列入东实集团及下属企业</w:t>
      </w:r>
      <w:r>
        <w:rPr>
          <w:rFonts w:hint="eastAsia" w:ascii="仿宋" w:hAnsi="仿宋" w:eastAsia="仿宋"/>
          <w:color w:val="auto"/>
          <w:sz w:val="32"/>
          <w:szCs w:val="32"/>
          <w:highlight w:val="none"/>
          <w:u w:val="none"/>
          <w:lang w:val="en-US" w:eastAsia="zh-CN"/>
        </w:rPr>
        <w:t>相关</w:t>
      </w:r>
      <w:r>
        <w:rPr>
          <w:rFonts w:hint="eastAsia" w:eastAsia="仿宋_GB2312"/>
          <w:color w:val="auto"/>
          <w:sz w:val="32"/>
          <w:szCs w:val="32"/>
          <w:highlight w:val="none"/>
          <w:u w:val="none"/>
        </w:rPr>
        <w:t>领域黑名单。【以东莞实业投资控股集团</w:t>
      </w:r>
      <w:r>
        <w:rPr>
          <w:rFonts w:hint="default" w:ascii="Times New Roman" w:hAnsi="Times New Roman" w:eastAsia="仿宋_GB2312" w:cs="Times New Roman"/>
          <w:color w:val="auto"/>
          <w:sz w:val="32"/>
          <w:szCs w:val="32"/>
          <w:highlight w:val="none"/>
          <w:u w:val="none"/>
        </w:rPr>
        <w:t>有限公司发文（东实通〔2021〕44号）、（东实通〔2021〕98号）</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 w:cs="Times New Roman"/>
          <w:color w:val="auto"/>
          <w:sz w:val="32"/>
          <w:szCs w:val="32"/>
          <w:highlight w:val="none"/>
          <w:u w:val="none"/>
          <w:lang w:val="en-US" w:eastAsia="zh-CN"/>
        </w:rPr>
        <w:t>（东实通〔2022〕75号）（东实通〔2023〕37号）</w:t>
      </w:r>
      <w:r>
        <w:rPr>
          <w:rFonts w:hint="default" w:ascii="Times New Roman" w:hAnsi="Times New Roman" w:eastAsia="仿宋_GB2312" w:cs="Times New Roman"/>
          <w:color w:val="auto"/>
          <w:sz w:val="32"/>
          <w:szCs w:val="32"/>
          <w:highlight w:val="none"/>
          <w:u w:val="none"/>
        </w:rPr>
        <w:t>为准</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 w:cs="Times New Roman"/>
          <w:color w:val="auto"/>
          <w:sz w:val="32"/>
          <w:szCs w:val="32"/>
          <w:highlight w:val="none"/>
          <w:u w:val="none"/>
          <w:lang w:val="en-US" w:eastAsia="zh-CN"/>
        </w:rPr>
        <w:t>如有最新发文通知，按最新文件执行。</w:t>
      </w:r>
      <w:r>
        <w:rPr>
          <w:rFonts w:hint="default" w:ascii="Times New Roman" w:hAnsi="Times New Roman" w:eastAsia="仿宋_GB2312" w:cs="Times New Roman"/>
          <w:color w:val="auto"/>
          <w:sz w:val="32"/>
          <w:szCs w:val="32"/>
          <w:highlight w:val="none"/>
          <w:u w:val="none"/>
        </w:rPr>
        <w:t>】</w:t>
      </w:r>
    </w:p>
    <w:p w14:paraId="3B8B78CB">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四、采购内容及要求</w:t>
      </w:r>
    </w:p>
    <w:p w14:paraId="2D57AC2A">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具体要求详见本询价文件《</w:t>
      </w:r>
      <w:r>
        <w:rPr>
          <w:rFonts w:hint="eastAsia" w:eastAsia="仿宋_GB2312"/>
          <w:color w:val="auto"/>
          <w:sz w:val="32"/>
          <w:szCs w:val="32"/>
          <w:highlight w:val="none"/>
          <w:u w:val="none"/>
          <w:lang w:val="en-US" w:eastAsia="zh-CN"/>
        </w:rPr>
        <w:t>用户需求</w:t>
      </w:r>
      <w:r>
        <w:rPr>
          <w:rFonts w:hint="eastAsia" w:eastAsia="仿宋_GB2312"/>
          <w:color w:val="auto"/>
          <w:sz w:val="32"/>
          <w:szCs w:val="32"/>
          <w:highlight w:val="none"/>
          <w:u w:val="none"/>
        </w:rPr>
        <w:t>书》。响应人须仔细阅读本技术规范书，因未详细了解本技术规范书造成报价项目遗漏，由响应人自行负责。</w:t>
      </w:r>
    </w:p>
    <w:p w14:paraId="21528CE8">
      <w:pPr>
        <w:adjustRightInd w:val="0"/>
        <w:snapToGrid w:val="0"/>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所有提供的产品必须符合国家相关规定及行业相关规范的要求。</w:t>
      </w:r>
    </w:p>
    <w:p w14:paraId="6B91A8FE">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五、完成时间</w:t>
      </w:r>
    </w:p>
    <w:p w14:paraId="0F42472E">
      <w:pPr>
        <w:spacing w:line="600" w:lineRule="exact"/>
        <w:ind w:firstLine="640" w:firstLineChars="200"/>
        <w:rPr>
          <w:rFonts w:eastAsia="仿宋_GB2312"/>
          <w:color w:val="auto"/>
          <w:sz w:val="32"/>
          <w:szCs w:val="32"/>
          <w:highlight w:val="none"/>
          <w:u w:val="none"/>
        </w:rPr>
      </w:pPr>
      <w:bookmarkStart w:id="0" w:name="_Hlk38897553"/>
      <w:r>
        <w:rPr>
          <w:rFonts w:hint="eastAsia" w:eastAsia="仿宋_GB2312"/>
          <w:color w:val="auto"/>
          <w:sz w:val="32"/>
          <w:szCs w:val="32"/>
          <w:highlight w:val="none"/>
          <w:u w:val="none"/>
          <w:lang w:val="en-US" w:eastAsia="zh-CN"/>
        </w:rPr>
        <w:t>合同签订后15个工作日内完成送货</w:t>
      </w:r>
      <w:r>
        <w:rPr>
          <w:rFonts w:hint="eastAsia" w:eastAsia="仿宋_GB2312"/>
          <w:color w:val="auto"/>
          <w:sz w:val="32"/>
          <w:szCs w:val="32"/>
          <w:highlight w:val="none"/>
          <w:u w:val="none"/>
        </w:rPr>
        <w:t>。</w:t>
      </w:r>
      <w:bookmarkEnd w:id="0"/>
    </w:p>
    <w:p w14:paraId="282DFB54">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六、支付方式</w:t>
      </w:r>
    </w:p>
    <w:p w14:paraId="73CB59FF">
      <w:pPr>
        <w:spacing w:line="600" w:lineRule="exact"/>
        <w:ind w:firstLine="640" w:firstLineChars="200"/>
        <w:rPr>
          <w:rFonts w:eastAsia="仿宋_GB2312"/>
          <w:color w:val="auto"/>
          <w:sz w:val="32"/>
          <w:szCs w:val="32"/>
          <w:highlight w:val="none"/>
          <w:u w:val="none"/>
        </w:rPr>
      </w:pPr>
      <w:bookmarkStart w:id="1" w:name="_Hlk38897977"/>
      <w:r>
        <w:rPr>
          <w:rFonts w:hint="eastAsia" w:eastAsia="仿宋_GB2312"/>
          <w:color w:val="auto"/>
          <w:sz w:val="32"/>
          <w:szCs w:val="32"/>
          <w:highlight w:val="none"/>
          <w:u w:val="none"/>
          <w:lang w:val="en-US" w:eastAsia="zh-CN"/>
        </w:rPr>
        <w:t>到货验收合格后支付全额款项，付款前成交人应向采购人提交合法有效的增值税专用发票，税率13%。</w:t>
      </w:r>
    </w:p>
    <w:bookmarkEnd w:id="1"/>
    <w:p w14:paraId="056C9C5A">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七、报价</w:t>
      </w:r>
    </w:p>
    <w:p w14:paraId="261B3C02">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采购限价：</w:t>
      </w:r>
      <w:r>
        <w:rPr>
          <w:rFonts w:eastAsia="仿宋_GB2312"/>
          <w:color w:val="auto"/>
          <w:sz w:val="32"/>
          <w:szCs w:val="32"/>
          <w:highlight w:val="none"/>
          <w:u w:val="none"/>
        </w:rPr>
        <w:t xml:space="preserve">¥ </w:t>
      </w:r>
      <w:r>
        <w:rPr>
          <w:rFonts w:hint="eastAsia" w:eastAsia="仿宋_GB2312"/>
          <w:color w:val="auto"/>
          <w:sz w:val="32"/>
          <w:szCs w:val="32"/>
          <w:highlight w:val="none"/>
          <w:u w:val="none"/>
          <w:lang w:val="en-US" w:eastAsia="zh-CN"/>
        </w:rPr>
        <w:t>35,000.00</w:t>
      </w:r>
      <w:r>
        <w:rPr>
          <w:rFonts w:hint="eastAsia" w:eastAsia="仿宋_GB2312"/>
          <w:color w:val="auto"/>
          <w:sz w:val="32"/>
          <w:szCs w:val="32"/>
          <w:highlight w:val="none"/>
          <w:u w:val="none"/>
        </w:rPr>
        <w:t>元（含税）。</w:t>
      </w:r>
    </w:p>
    <w:p w14:paraId="05D4769F">
      <w:pPr>
        <w:spacing w:line="600" w:lineRule="exact"/>
        <w:ind w:firstLine="640" w:firstLineChars="200"/>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3F21603D">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八、定标</w:t>
      </w:r>
    </w:p>
    <w:p w14:paraId="2C47B86C">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本次项目采用询价方式进行采购，询价小组对各供应商响应文件进行审核，并根据质量和服务均能满足采购文件实质性响应要求且报价最低的原则，推荐成交候选供应商。</w:t>
      </w:r>
    </w:p>
    <w:p w14:paraId="0ABE565D">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出现下列四种情形之一的，视为存在异常低价问题：一是投标（响应）报价低于全部通过符合性审查供应商投标（响应）报价平均值50％的；二是投标（响应）报价低于通过符合性审查且报价次低供应商投标（响应）报价50％的；三是投标（响应）报价低于采购项目最高限价45％的，项目没有设定最高限价的，采购预算视为最高限价；四是询价小组认为供应商报价过低，有可能影响产品质量或者不能诚信履约的其他情形。</w:t>
      </w:r>
    </w:p>
    <w:p w14:paraId="2E8091C7">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经询价小组资格性、符合性审查确认具有有效响应文件的响应人不足三家时：</w:t>
      </w:r>
    </w:p>
    <w:p w14:paraId="45481CE3">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（1）当具有有效响应文件的响应人只有两家时，现场可正常进行评审。</w:t>
      </w:r>
    </w:p>
    <w:p w14:paraId="4FAE7DD8">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（2）当具有有效响应文件的响应人只有一家时，需重新采购。</w:t>
      </w:r>
    </w:p>
    <w:p w14:paraId="79EC0B48">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询价结束后，招标采购工作小组将相关询价情况按程序审批并确定成交人。</w:t>
      </w:r>
    </w:p>
    <w:p w14:paraId="74357164">
      <w:pPr>
        <w:spacing w:line="600" w:lineRule="exact"/>
        <w:ind w:firstLine="640" w:firstLineChars="200"/>
        <w:rPr>
          <w:rFonts w:hint="eastAsia" w:eastAsia="仿宋_GB2312"/>
          <w:color w:val="auto"/>
          <w:sz w:val="32"/>
          <w:szCs w:val="32"/>
          <w:highlight w:val="none"/>
          <w:u w:val="none"/>
        </w:rPr>
      </w:pPr>
      <w:r>
        <w:rPr>
          <w:rFonts w:hint="eastAsia" w:eastAsia="仿宋_GB2312"/>
          <w:color w:val="auto"/>
          <w:sz w:val="32"/>
          <w:szCs w:val="32"/>
          <w:highlight w:val="none"/>
          <w:u w:val="none"/>
        </w:rPr>
        <w:t>成交供应商放弃中标或被取消中标资格的，采购人可以选择按评审结果推荐名单顺延确定第二候选人（第二低价）为成交供应商，也可以重新开展采购活动。</w:t>
      </w:r>
    </w:p>
    <w:p w14:paraId="1716926C">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九、采取的合同文本</w:t>
      </w:r>
    </w:p>
    <w:p w14:paraId="0A837AF0">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合同签订的依据为询价函、响应文件及补充说明等。确定成交单位后，成交单位在</w:t>
      </w:r>
      <w:r>
        <w:rPr>
          <w:rFonts w:eastAsia="仿宋_GB2312"/>
          <w:color w:val="auto"/>
          <w:sz w:val="32"/>
          <w:szCs w:val="32"/>
          <w:highlight w:val="none"/>
          <w:u w:val="none"/>
        </w:rPr>
        <w:t>10</w:t>
      </w:r>
      <w:r>
        <w:rPr>
          <w:rFonts w:hint="eastAsia" w:eastAsia="仿宋_GB2312"/>
          <w:color w:val="auto"/>
          <w:sz w:val="32"/>
          <w:szCs w:val="32"/>
          <w:highlight w:val="none"/>
          <w:u w:val="none"/>
        </w:rPr>
        <w:t>天内与采购人签订合同。</w:t>
      </w:r>
    </w:p>
    <w:p w14:paraId="324CD760">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响应人收款前需向采购人提供请款材料和开具合法有效等额的增值税专用发票，否则采购人有权拒绝付款。</w:t>
      </w:r>
    </w:p>
    <w:p w14:paraId="140B6D07">
      <w:pPr>
        <w:adjustRightInd w:val="0"/>
        <w:snapToGrid w:val="0"/>
        <w:spacing w:line="600" w:lineRule="exact"/>
        <w:ind w:firstLine="640" w:firstLineChars="200"/>
        <w:outlineLvl w:val="1"/>
        <w:rPr>
          <w:rFonts w:eastAsia="黑体"/>
          <w:color w:val="auto"/>
          <w:sz w:val="32"/>
          <w:szCs w:val="32"/>
          <w:highlight w:val="none"/>
          <w:u w:val="none"/>
        </w:rPr>
      </w:pPr>
      <w:r>
        <w:rPr>
          <w:rFonts w:eastAsia="黑体"/>
          <w:color w:val="auto"/>
          <w:sz w:val="32"/>
          <w:szCs w:val="32"/>
          <w:highlight w:val="none"/>
          <w:u w:val="none"/>
        </w:rPr>
        <w:sym w:font="Wingdings" w:char="F0AB"/>
      </w:r>
      <w:r>
        <w:rPr>
          <w:rFonts w:hint="eastAsia" w:eastAsia="黑体"/>
          <w:color w:val="auto"/>
          <w:sz w:val="32"/>
          <w:szCs w:val="32"/>
          <w:highlight w:val="none"/>
          <w:u w:val="none"/>
        </w:rPr>
        <w:t>十、响应文件的组成部分（响应文件本项资料如有不全，则作无效报价处理）</w:t>
      </w:r>
    </w:p>
    <w:p w14:paraId="77D2B023">
      <w:pPr>
        <w:numPr>
          <w:ilvl w:val="0"/>
          <w:numId w:val="3"/>
        </w:num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报价函（模板）及报价清单（清单自拟）；</w:t>
      </w:r>
    </w:p>
    <w:p w14:paraId="24E443E8">
      <w:pPr>
        <w:spacing w:line="600" w:lineRule="exact"/>
        <w:ind w:firstLine="640" w:firstLineChars="200"/>
        <w:rPr>
          <w:rFonts w:eastAsia="仿宋_GB2312"/>
          <w:color w:val="auto"/>
          <w:sz w:val="32"/>
          <w:szCs w:val="32"/>
          <w:highlight w:val="none"/>
          <w:u w:val="none"/>
        </w:rPr>
      </w:pPr>
      <w:r>
        <w:rPr>
          <w:rFonts w:eastAsia="仿宋_GB2312"/>
          <w:color w:val="auto"/>
          <w:sz w:val="32"/>
          <w:szCs w:val="32"/>
          <w:highlight w:val="none"/>
          <w:u w:val="none"/>
        </w:rPr>
        <w:t>2</w:t>
      </w:r>
      <w:r>
        <w:rPr>
          <w:rFonts w:hint="eastAsia" w:eastAsia="仿宋_GB2312"/>
          <w:color w:val="auto"/>
          <w:sz w:val="32"/>
          <w:szCs w:val="32"/>
          <w:highlight w:val="none"/>
          <w:u w:val="none"/>
        </w:rPr>
        <w:t>、</w:t>
      </w:r>
      <w:r>
        <w:rPr>
          <w:rFonts w:hint="eastAsia" w:eastAsia="仿宋_GB2312"/>
          <w:color w:val="auto"/>
          <w:sz w:val="32"/>
          <w:szCs w:val="32"/>
          <w:highlight w:val="none"/>
          <w:u w:val="none"/>
          <w:lang w:val="en-US" w:eastAsia="zh-CN"/>
        </w:rPr>
        <w:t>法定代表人身份</w:t>
      </w:r>
      <w:r>
        <w:rPr>
          <w:rFonts w:hint="eastAsia" w:eastAsia="仿宋_GB2312"/>
          <w:color w:val="auto"/>
          <w:sz w:val="32"/>
          <w:szCs w:val="32"/>
          <w:highlight w:val="none"/>
          <w:u w:val="none"/>
        </w:rPr>
        <w:t>证明（模板）以及</w:t>
      </w:r>
      <w:r>
        <w:rPr>
          <w:rFonts w:hint="eastAsia" w:eastAsia="仿宋_GB2312"/>
          <w:color w:val="auto"/>
          <w:sz w:val="32"/>
          <w:szCs w:val="32"/>
          <w:highlight w:val="none"/>
          <w:u w:val="none"/>
          <w:lang w:val="en-US" w:eastAsia="zh-CN"/>
        </w:rPr>
        <w:t>法定代表人</w:t>
      </w:r>
      <w:r>
        <w:rPr>
          <w:rFonts w:hint="eastAsia" w:eastAsia="仿宋_GB2312"/>
          <w:color w:val="auto"/>
          <w:sz w:val="32"/>
          <w:szCs w:val="32"/>
          <w:highlight w:val="none"/>
          <w:u w:val="none"/>
        </w:rPr>
        <w:t>身份证复印件；</w:t>
      </w:r>
    </w:p>
    <w:p w14:paraId="2AD62D50">
      <w:pPr>
        <w:spacing w:line="600" w:lineRule="exact"/>
        <w:ind w:firstLine="640" w:firstLineChars="200"/>
        <w:rPr>
          <w:rFonts w:eastAsia="仿宋_GB2312"/>
          <w:color w:val="auto"/>
          <w:sz w:val="32"/>
          <w:szCs w:val="32"/>
          <w:highlight w:val="none"/>
          <w:u w:val="none"/>
        </w:rPr>
      </w:pPr>
      <w:r>
        <w:rPr>
          <w:rFonts w:eastAsia="仿宋_GB2312"/>
          <w:color w:val="auto"/>
          <w:sz w:val="32"/>
          <w:szCs w:val="32"/>
          <w:highlight w:val="none"/>
          <w:u w:val="none"/>
        </w:rPr>
        <w:t>3</w:t>
      </w:r>
      <w:r>
        <w:rPr>
          <w:rFonts w:hint="eastAsia" w:eastAsia="仿宋_GB2312"/>
          <w:color w:val="auto"/>
          <w:sz w:val="32"/>
          <w:szCs w:val="32"/>
          <w:highlight w:val="none"/>
          <w:u w:val="none"/>
        </w:rPr>
        <w:t>、法人授权书（模板）及被委托人身份证复印件；</w:t>
      </w:r>
    </w:p>
    <w:p w14:paraId="1F1C013D">
      <w:pPr>
        <w:spacing w:line="600" w:lineRule="exact"/>
        <w:ind w:firstLine="640" w:firstLineChars="200"/>
        <w:rPr>
          <w:rFonts w:eastAsia="仿宋_GB2312"/>
          <w:color w:val="auto"/>
          <w:sz w:val="32"/>
          <w:szCs w:val="32"/>
          <w:highlight w:val="none"/>
          <w:u w:val="none"/>
        </w:rPr>
      </w:pPr>
      <w:r>
        <w:rPr>
          <w:rFonts w:eastAsia="仿宋_GB2312"/>
          <w:color w:val="auto"/>
          <w:sz w:val="32"/>
          <w:szCs w:val="32"/>
          <w:highlight w:val="none"/>
          <w:u w:val="none"/>
        </w:rPr>
        <w:t>4</w:t>
      </w:r>
      <w:r>
        <w:rPr>
          <w:rFonts w:hint="eastAsia" w:eastAsia="仿宋_GB2312"/>
          <w:color w:val="auto"/>
          <w:sz w:val="32"/>
          <w:szCs w:val="32"/>
          <w:highlight w:val="none"/>
          <w:u w:val="none"/>
        </w:rPr>
        <w:t>、承诺函（模板）；</w:t>
      </w:r>
    </w:p>
    <w:p w14:paraId="179CCAF9">
      <w:pPr>
        <w:spacing w:line="600" w:lineRule="exact"/>
        <w:ind w:firstLine="640" w:firstLineChars="200"/>
        <w:rPr>
          <w:rFonts w:hint="eastAsia" w:eastAsia="仿宋_GB2312"/>
          <w:color w:val="auto"/>
          <w:sz w:val="32"/>
          <w:szCs w:val="32"/>
          <w:highlight w:val="none"/>
          <w:u w:val="none"/>
          <w:lang w:val="en-US" w:eastAsia="zh-CN"/>
        </w:rPr>
      </w:pPr>
      <w:r>
        <w:rPr>
          <w:rFonts w:eastAsia="仿宋_GB2312"/>
          <w:color w:val="auto"/>
          <w:sz w:val="32"/>
          <w:szCs w:val="32"/>
          <w:highlight w:val="none"/>
          <w:u w:val="none"/>
        </w:rPr>
        <w:t>5</w:t>
      </w:r>
      <w:r>
        <w:rPr>
          <w:rFonts w:hint="eastAsia" w:eastAsia="仿宋_GB2312"/>
          <w:color w:val="auto"/>
          <w:sz w:val="32"/>
          <w:szCs w:val="32"/>
          <w:highlight w:val="none"/>
          <w:u w:val="none"/>
        </w:rPr>
        <w:t>、</w:t>
      </w:r>
      <w:r>
        <w:rPr>
          <w:rFonts w:hint="eastAsia" w:eastAsia="仿宋_GB2312"/>
          <w:color w:val="auto"/>
          <w:sz w:val="32"/>
          <w:szCs w:val="32"/>
          <w:highlight w:val="none"/>
          <w:u w:val="none"/>
          <w:lang w:val="en-US" w:eastAsia="zh-CN"/>
        </w:rPr>
        <w:t>符合“响应人资格要求”对应的证明资料；</w:t>
      </w:r>
    </w:p>
    <w:p w14:paraId="33352C7D">
      <w:pPr>
        <w:spacing w:line="600" w:lineRule="exact"/>
        <w:ind w:firstLine="640" w:firstLineChars="200"/>
        <w:rPr>
          <w:rFonts w:eastAsia="仿宋_GB2312"/>
          <w:b/>
          <w:color w:val="auto"/>
          <w:sz w:val="32"/>
          <w:szCs w:val="32"/>
          <w:highlight w:val="none"/>
          <w:u w:val="none"/>
        </w:rPr>
      </w:pPr>
      <w:r>
        <w:rPr>
          <w:rFonts w:hint="eastAsia" w:eastAsia="仿宋_GB2312"/>
          <w:color w:val="auto"/>
          <w:sz w:val="32"/>
          <w:szCs w:val="32"/>
          <w:highlight w:val="none"/>
          <w:u w:val="none"/>
          <w:lang w:val="en-US" w:eastAsia="zh-CN"/>
        </w:rPr>
        <w:t>6、</w:t>
      </w:r>
      <w:r>
        <w:rPr>
          <w:rFonts w:hint="eastAsia" w:eastAsia="仿宋_GB2312"/>
          <w:color w:val="auto"/>
          <w:sz w:val="32"/>
          <w:szCs w:val="32"/>
          <w:highlight w:val="none"/>
          <w:u w:val="none"/>
        </w:rPr>
        <w:t>响应人认为需要提供的其他资料。</w:t>
      </w:r>
    </w:p>
    <w:p w14:paraId="0740371B">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响应人须严格按照采购人提供的表单格式报价，响应文件必须装订完整，于骑缝处加盖投标单位企业公章。</w:t>
      </w:r>
      <w:r>
        <w:rPr>
          <w:rFonts w:hint="eastAsia" w:eastAsia="仿宋_GB2312"/>
          <w:b/>
          <w:bCs/>
          <w:color w:val="auto"/>
          <w:sz w:val="32"/>
          <w:szCs w:val="32"/>
          <w:highlight w:val="none"/>
          <w:u w:val="none"/>
        </w:rPr>
        <w:t>装有响应文件的文件袋须贴有密封条，于骑缝处加盖企业公章</w:t>
      </w:r>
      <w:r>
        <w:rPr>
          <w:rFonts w:hint="eastAsia" w:eastAsia="仿宋_GB2312"/>
          <w:color w:val="auto"/>
          <w:sz w:val="32"/>
          <w:szCs w:val="32"/>
          <w:highlight w:val="none"/>
          <w:u w:val="none"/>
        </w:rPr>
        <w:t>。</w:t>
      </w:r>
    </w:p>
    <w:p w14:paraId="1EAA3204">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十一、响应文件份数</w:t>
      </w:r>
    </w:p>
    <w:p w14:paraId="27A36470">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正本一份，并提供响应文件扫描件电子版（U盘</w:t>
      </w:r>
      <w:r>
        <w:rPr>
          <w:rFonts w:hint="eastAsia" w:eastAsia="仿宋_GB2312"/>
          <w:color w:val="auto"/>
          <w:sz w:val="32"/>
          <w:szCs w:val="32"/>
          <w:highlight w:val="none"/>
          <w:u w:val="none"/>
          <w:lang w:val="en-US" w:eastAsia="zh-CN"/>
        </w:rPr>
        <w:t>/光盘</w:t>
      </w:r>
      <w:r>
        <w:rPr>
          <w:rFonts w:hint="eastAsia" w:eastAsia="仿宋_GB2312"/>
          <w:color w:val="auto"/>
          <w:sz w:val="32"/>
          <w:szCs w:val="32"/>
          <w:highlight w:val="none"/>
          <w:u w:val="none"/>
        </w:rPr>
        <w:t>）。</w:t>
      </w:r>
    </w:p>
    <w:p w14:paraId="2D3DEA43">
      <w:pPr>
        <w:adjustRightInd w:val="0"/>
        <w:snapToGrid w:val="0"/>
        <w:spacing w:line="600" w:lineRule="exact"/>
        <w:ind w:firstLine="640" w:firstLineChars="200"/>
        <w:outlineLvl w:val="1"/>
        <w:rPr>
          <w:rFonts w:eastAsia="黑体"/>
          <w:color w:val="auto"/>
          <w:sz w:val="32"/>
          <w:szCs w:val="32"/>
          <w:highlight w:val="none"/>
          <w:u w:val="none"/>
        </w:rPr>
      </w:pPr>
      <w:r>
        <w:rPr>
          <w:rFonts w:hint="eastAsia" w:ascii="黑体" w:hAnsi="黑体" w:eastAsia="黑体" w:cs="黑体"/>
          <w:i w:val="0"/>
          <w:iCs w:val="0"/>
          <w:caps w:val="0"/>
          <w:color w:val="auto"/>
          <w:spacing w:val="0"/>
          <w:sz w:val="32"/>
          <w:szCs w:val="32"/>
          <w:highlight w:val="none"/>
          <w:u w:val="none"/>
          <w:lang w:val="en-US" w:eastAsia="zh-CN"/>
        </w:rPr>
        <w:t>十二</w:t>
      </w:r>
      <w:r>
        <w:rPr>
          <w:rFonts w:hint="eastAsia" w:eastAsia="黑体"/>
          <w:color w:val="auto"/>
          <w:sz w:val="32"/>
          <w:szCs w:val="32"/>
          <w:highlight w:val="none"/>
          <w:u w:val="none"/>
        </w:rPr>
        <w:t>、开标时间及地址</w:t>
      </w:r>
    </w:p>
    <w:p w14:paraId="08563534">
      <w:pPr>
        <w:spacing w:line="600" w:lineRule="exact"/>
        <w:ind w:firstLine="643" w:firstLineChars="200"/>
        <w:rPr>
          <w:rFonts w:eastAsia="仿宋_GB2312"/>
          <w:b/>
          <w:color w:val="auto"/>
          <w:sz w:val="32"/>
          <w:szCs w:val="32"/>
          <w:highlight w:val="none"/>
          <w:u w:val="none"/>
        </w:rPr>
      </w:pPr>
      <w:r>
        <w:rPr>
          <w:rFonts w:eastAsia="仿宋_GB2312"/>
          <w:b/>
          <w:color w:val="auto"/>
          <w:sz w:val="32"/>
          <w:szCs w:val="32"/>
          <w:highlight w:val="none"/>
          <w:u w:val="none"/>
        </w:rPr>
        <w:t>1</w:t>
      </w:r>
      <w:r>
        <w:rPr>
          <w:rFonts w:hint="eastAsia" w:eastAsia="仿宋_GB2312"/>
          <w:b/>
          <w:color w:val="auto"/>
          <w:sz w:val="32"/>
          <w:szCs w:val="32"/>
          <w:highlight w:val="none"/>
          <w:u w:val="none"/>
        </w:rPr>
        <w:t>、开标时间：</w:t>
      </w:r>
      <w:r>
        <w:rPr>
          <w:rFonts w:eastAsia="仿宋_GB2312"/>
          <w:b/>
          <w:color w:val="auto"/>
          <w:sz w:val="32"/>
          <w:szCs w:val="32"/>
          <w:highlight w:val="none"/>
          <w:u w:val="none"/>
        </w:rPr>
        <w:t>20</w:t>
      </w:r>
      <w:r>
        <w:rPr>
          <w:rFonts w:hint="eastAsia" w:eastAsia="仿宋_GB2312"/>
          <w:b/>
          <w:color w:val="auto"/>
          <w:sz w:val="32"/>
          <w:szCs w:val="32"/>
          <w:highlight w:val="none"/>
          <w:u w:val="none"/>
          <w:lang w:val="en-US" w:eastAsia="zh-CN"/>
        </w:rPr>
        <w:t>26</w:t>
      </w:r>
      <w:r>
        <w:rPr>
          <w:rFonts w:hint="eastAsia" w:eastAsia="仿宋_GB2312"/>
          <w:b/>
          <w:color w:val="auto"/>
          <w:sz w:val="32"/>
          <w:szCs w:val="32"/>
          <w:highlight w:val="none"/>
          <w:u w:val="none"/>
        </w:rPr>
        <w:t>年</w:t>
      </w:r>
      <w:r>
        <w:rPr>
          <w:rFonts w:hint="eastAsia" w:eastAsia="仿宋_GB2312"/>
          <w:b/>
          <w:color w:val="auto"/>
          <w:sz w:val="32"/>
          <w:szCs w:val="32"/>
          <w:highlight w:val="none"/>
          <w:u w:val="none"/>
          <w:lang w:val="en-US" w:eastAsia="zh-CN"/>
        </w:rPr>
        <w:t>10</w:t>
      </w:r>
      <w:r>
        <w:rPr>
          <w:rFonts w:hint="eastAsia" w:eastAsia="仿宋_GB2312"/>
          <w:b/>
          <w:color w:val="auto"/>
          <w:sz w:val="32"/>
          <w:szCs w:val="32"/>
          <w:highlight w:val="none"/>
          <w:u w:val="none"/>
        </w:rPr>
        <w:t>月</w:t>
      </w:r>
      <w:r>
        <w:rPr>
          <w:rFonts w:hint="eastAsia" w:eastAsia="仿宋_GB2312"/>
          <w:b/>
          <w:color w:val="auto"/>
          <w:sz w:val="32"/>
          <w:szCs w:val="32"/>
          <w:highlight w:val="none"/>
          <w:u w:val="none"/>
          <w:lang w:val="en-US" w:eastAsia="zh-CN"/>
        </w:rPr>
        <w:t>12</w:t>
      </w:r>
      <w:r>
        <w:rPr>
          <w:rFonts w:hint="eastAsia" w:eastAsia="仿宋_GB2312"/>
          <w:b/>
          <w:color w:val="auto"/>
          <w:sz w:val="32"/>
          <w:szCs w:val="32"/>
          <w:highlight w:val="none"/>
          <w:u w:val="none"/>
        </w:rPr>
        <w:t>日（星期</w:t>
      </w:r>
      <w:r>
        <w:rPr>
          <w:rFonts w:hint="eastAsia" w:eastAsia="仿宋_GB2312"/>
          <w:b/>
          <w:color w:val="auto"/>
          <w:sz w:val="32"/>
          <w:szCs w:val="32"/>
          <w:highlight w:val="none"/>
          <w:u w:val="none"/>
          <w:lang w:val="en-US" w:eastAsia="zh-CN"/>
        </w:rPr>
        <w:t>一</w:t>
      </w:r>
      <w:r>
        <w:rPr>
          <w:rFonts w:hint="eastAsia" w:eastAsia="仿宋_GB2312"/>
          <w:b/>
          <w:color w:val="auto"/>
          <w:sz w:val="32"/>
          <w:szCs w:val="32"/>
          <w:highlight w:val="none"/>
          <w:u w:val="none"/>
        </w:rPr>
        <w:t>）</w:t>
      </w:r>
      <w:r>
        <w:rPr>
          <w:rFonts w:hint="eastAsia" w:eastAsia="仿宋_GB2312"/>
          <w:b/>
          <w:color w:val="auto"/>
          <w:sz w:val="32"/>
          <w:szCs w:val="32"/>
          <w:highlight w:val="none"/>
          <w:u w:val="none"/>
          <w:lang w:val="en-US" w:eastAsia="zh-CN"/>
        </w:rPr>
        <w:t>下</w:t>
      </w:r>
      <w:r>
        <w:rPr>
          <w:rFonts w:hint="eastAsia" w:eastAsia="仿宋_GB2312"/>
          <w:b/>
          <w:color w:val="auto"/>
          <w:sz w:val="32"/>
          <w:szCs w:val="32"/>
          <w:highlight w:val="none"/>
          <w:u w:val="none"/>
        </w:rPr>
        <w:t>午</w:t>
      </w:r>
      <w:r>
        <w:rPr>
          <w:rFonts w:hint="eastAsia" w:eastAsia="仿宋_GB2312"/>
          <w:b/>
          <w:color w:val="auto"/>
          <w:sz w:val="32"/>
          <w:szCs w:val="32"/>
          <w:highlight w:val="none"/>
          <w:u w:val="none"/>
          <w:lang w:val="en-US" w:eastAsia="zh-CN"/>
        </w:rPr>
        <w:t>14</w:t>
      </w:r>
      <w:r>
        <w:rPr>
          <w:rFonts w:eastAsia="仿宋_GB2312"/>
          <w:b/>
          <w:color w:val="auto"/>
          <w:sz w:val="32"/>
          <w:szCs w:val="32"/>
          <w:highlight w:val="none"/>
          <w:u w:val="none"/>
        </w:rPr>
        <w:t>:30</w:t>
      </w:r>
      <w:r>
        <w:rPr>
          <w:rFonts w:hint="eastAsia" w:eastAsia="仿宋_GB2312"/>
          <w:b/>
          <w:color w:val="auto"/>
          <w:sz w:val="32"/>
          <w:szCs w:val="32"/>
          <w:highlight w:val="none"/>
          <w:u w:val="none"/>
        </w:rPr>
        <w:t>。</w:t>
      </w:r>
    </w:p>
    <w:p w14:paraId="6FCABF4A">
      <w:pPr>
        <w:spacing w:line="600" w:lineRule="exact"/>
        <w:ind w:firstLine="643" w:firstLineChars="200"/>
        <w:rPr>
          <w:rFonts w:eastAsia="仿宋_GB2312"/>
          <w:b/>
          <w:color w:val="auto"/>
          <w:sz w:val="32"/>
          <w:szCs w:val="32"/>
          <w:highlight w:val="none"/>
          <w:u w:val="none"/>
        </w:rPr>
      </w:pPr>
      <w:r>
        <w:rPr>
          <w:rFonts w:eastAsia="仿宋_GB2312"/>
          <w:b/>
          <w:color w:val="auto"/>
          <w:sz w:val="32"/>
          <w:szCs w:val="32"/>
          <w:highlight w:val="none"/>
          <w:u w:val="none"/>
        </w:rPr>
        <w:t>2</w:t>
      </w:r>
      <w:r>
        <w:rPr>
          <w:rFonts w:hint="eastAsia" w:eastAsia="仿宋_GB2312"/>
          <w:b/>
          <w:color w:val="auto"/>
          <w:sz w:val="32"/>
          <w:szCs w:val="32"/>
          <w:highlight w:val="none"/>
          <w:u w:val="none"/>
        </w:rPr>
        <w:t>、开标地址：广东省东莞市松山湖园区新城路5号4</w:t>
      </w:r>
      <w:r>
        <w:rPr>
          <w:rFonts w:hint="eastAsia" w:ascii="Times New Roman" w:hAnsi="Times New Roman" w:eastAsia="仿宋_GB2312" w:cs="Times New Roman"/>
          <w:b/>
          <w:color w:val="auto"/>
          <w:sz w:val="32"/>
          <w:szCs w:val="32"/>
          <w:highlight w:val="none"/>
          <w:u w:val="none"/>
        </w:rPr>
        <w:t>栋</w:t>
      </w:r>
      <w:r>
        <w:rPr>
          <w:rFonts w:hint="eastAsia" w:ascii="Times New Roman" w:hAnsi="Times New Roman" w:eastAsia="仿宋_GB2312" w:cs="Times New Roman"/>
          <w:b/>
          <w:color w:val="auto"/>
          <w:sz w:val="32"/>
          <w:szCs w:val="32"/>
          <w:highlight w:val="none"/>
          <w:u w:val="none"/>
          <w:lang w:val="en-US" w:eastAsia="zh-CN"/>
        </w:rPr>
        <w:t>四楼</w:t>
      </w:r>
      <w:r>
        <w:rPr>
          <w:rFonts w:hint="eastAsia" w:ascii="Times New Roman" w:hAnsi="Times New Roman" w:eastAsia="仿宋_GB2312" w:cs="Times New Roman"/>
          <w:b/>
          <w:color w:val="auto"/>
          <w:sz w:val="32"/>
          <w:szCs w:val="32"/>
          <w:highlight w:val="none"/>
          <w:u w:val="none"/>
        </w:rPr>
        <w:t>会议室</w:t>
      </w:r>
    </w:p>
    <w:p w14:paraId="23B073C5">
      <w:pPr>
        <w:spacing w:line="600" w:lineRule="exact"/>
        <w:ind w:firstLine="640" w:firstLineChars="200"/>
        <w:rPr>
          <w:rFonts w:hint="eastAsia" w:eastAsia="仿宋_GB2312"/>
          <w:color w:val="auto"/>
          <w:sz w:val="32"/>
          <w:szCs w:val="32"/>
          <w:highlight w:val="none"/>
          <w:u w:val="none"/>
          <w:lang w:eastAsia="zh-CN"/>
        </w:rPr>
      </w:pPr>
      <w:r>
        <w:rPr>
          <w:rFonts w:hint="eastAsia" w:eastAsia="仿宋_GB2312"/>
          <w:color w:val="auto"/>
          <w:sz w:val="32"/>
          <w:szCs w:val="32"/>
          <w:highlight w:val="none"/>
          <w:u w:val="none"/>
        </w:rPr>
        <w:t>联系人：</w:t>
      </w:r>
      <w:r>
        <w:rPr>
          <w:rFonts w:hint="eastAsia" w:eastAsia="仿宋_GB2312"/>
          <w:color w:val="auto"/>
          <w:sz w:val="32"/>
          <w:szCs w:val="32"/>
          <w:highlight w:val="none"/>
          <w:u w:val="none"/>
          <w:lang w:val="en-US" w:eastAsia="zh-CN"/>
        </w:rPr>
        <w:t>梁先生</w:t>
      </w:r>
    </w:p>
    <w:p w14:paraId="6698619B">
      <w:pPr>
        <w:spacing w:line="600" w:lineRule="exact"/>
        <w:ind w:firstLine="640" w:firstLineChars="200"/>
        <w:rPr>
          <w:rFonts w:hint="default" w:ascii="黑体" w:hAnsi="黑体" w:eastAsia="仿宋_GB2312" w:cs="黑体"/>
          <w:i w:val="0"/>
          <w:iCs w:val="0"/>
          <w:caps w:val="0"/>
          <w:color w:val="auto"/>
          <w:spacing w:val="0"/>
          <w:sz w:val="32"/>
          <w:szCs w:val="32"/>
          <w:highlight w:val="none"/>
          <w:u w:val="none"/>
          <w:lang w:val="en-US" w:eastAsia="zh-CN"/>
        </w:rPr>
      </w:pPr>
      <w:r>
        <w:rPr>
          <w:rFonts w:hint="eastAsia" w:eastAsia="仿宋_GB2312"/>
          <w:color w:val="auto"/>
          <w:sz w:val="32"/>
          <w:szCs w:val="32"/>
          <w:highlight w:val="none"/>
          <w:u w:val="none"/>
        </w:rPr>
        <w:t>联系电话：</w:t>
      </w:r>
      <w:r>
        <w:rPr>
          <w:rFonts w:hint="eastAsia" w:eastAsia="仿宋_GB2312"/>
          <w:color w:val="auto"/>
          <w:sz w:val="32"/>
          <w:szCs w:val="32"/>
          <w:highlight w:val="none"/>
          <w:u w:val="none"/>
          <w:lang w:val="en-US" w:eastAsia="zh-CN"/>
        </w:rPr>
        <w:t>13929469029</w:t>
      </w:r>
    </w:p>
    <w:p w14:paraId="2C878545">
      <w:pPr>
        <w:adjustRightInd w:val="0"/>
        <w:snapToGrid w:val="0"/>
        <w:spacing w:line="600" w:lineRule="exact"/>
        <w:ind w:firstLine="640" w:firstLineChars="200"/>
        <w:outlineLvl w:val="1"/>
        <w:rPr>
          <w:rFonts w:eastAsia="黑体"/>
          <w:color w:val="auto"/>
          <w:sz w:val="32"/>
          <w:szCs w:val="32"/>
          <w:highlight w:val="none"/>
          <w:u w:val="none"/>
        </w:rPr>
      </w:pPr>
      <w:r>
        <w:rPr>
          <w:rFonts w:hint="eastAsia" w:eastAsia="黑体"/>
          <w:color w:val="auto"/>
          <w:sz w:val="32"/>
          <w:szCs w:val="32"/>
          <w:highlight w:val="none"/>
          <w:u w:val="none"/>
        </w:rPr>
        <w:t>十</w:t>
      </w:r>
      <w:r>
        <w:rPr>
          <w:rFonts w:hint="eastAsia" w:eastAsia="黑体"/>
          <w:color w:val="auto"/>
          <w:sz w:val="32"/>
          <w:szCs w:val="32"/>
          <w:highlight w:val="none"/>
          <w:u w:val="none"/>
          <w:lang w:val="en-US" w:eastAsia="zh-CN"/>
        </w:rPr>
        <w:t>三</w:t>
      </w:r>
      <w:r>
        <w:rPr>
          <w:rFonts w:hint="eastAsia" w:eastAsia="黑体"/>
          <w:color w:val="auto"/>
          <w:sz w:val="32"/>
          <w:szCs w:val="32"/>
          <w:highlight w:val="none"/>
          <w:u w:val="none"/>
        </w:rPr>
        <w:t>、注意事项</w:t>
      </w:r>
    </w:p>
    <w:p w14:paraId="78959CC9">
      <w:pPr>
        <w:spacing w:line="600" w:lineRule="exact"/>
        <w:ind w:firstLine="640" w:firstLineChars="200"/>
        <w:rPr>
          <w:rFonts w:eastAsia="仿宋_GB2312"/>
          <w:color w:val="auto"/>
          <w:sz w:val="32"/>
          <w:szCs w:val="32"/>
          <w:highlight w:val="none"/>
          <w:u w:val="none"/>
        </w:rPr>
      </w:pPr>
      <w:bookmarkStart w:id="2" w:name="_Hlk517879660"/>
      <w:r>
        <w:rPr>
          <w:rFonts w:eastAsia="仿宋_GB2312"/>
          <w:color w:val="auto"/>
          <w:sz w:val="32"/>
          <w:szCs w:val="32"/>
          <w:highlight w:val="none"/>
          <w:u w:val="none"/>
        </w:rPr>
        <w:t>1</w:t>
      </w:r>
      <w:r>
        <w:rPr>
          <w:rFonts w:hint="eastAsia" w:eastAsia="仿宋_GB2312"/>
          <w:color w:val="auto"/>
          <w:sz w:val="32"/>
          <w:szCs w:val="32"/>
          <w:highlight w:val="none"/>
          <w:u w:val="none"/>
        </w:rPr>
        <w:t>、若响应人未按规定时间将文件送达现场，视为放弃投标资格。</w:t>
      </w:r>
    </w:p>
    <w:p w14:paraId="309C07B1">
      <w:pPr>
        <w:spacing w:line="600" w:lineRule="exact"/>
        <w:ind w:firstLine="640" w:firstLineChars="200"/>
        <w:rPr>
          <w:rFonts w:eastAsia="仿宋_GB2312"/>
          <w:color w:val="auto"/>
          <w:sz w:val="32"/>
          <w:szCs w:val="32"/>
          <w:highlight w:val="none"/>
          <w:u w:val="none"/>
        </w:rPr>
      </w:pPr>
      <w:r>
        <w:rPr>
          <w:rFonts w:eastAsia="仿宋_GB2312"/>
          <w:color w:val="auto"/>
          <w:sz w:val="32"/>
          <w:szCs w:val="32"/>
          <w:highlight w:val="none"/>
          <w:u w:val="none"/>
        </w:rPr>
        <w:t>2</w:t>
      </w:r>
      <w:r>
        <w:rPr>
          <w:rFonts w:hint="eastAsia" w:eastAsia="仿宋_GB2312"/>
          <w:color w:val="auto"/>
          <w:sz w:val="32"/>
          <w:szCs w:val="32"/>
          <w:highlight w:val="none"/>
          <w:u w:val="none"/>
        </w:rPr>
        <w:t>、采购人向响应人提供的有关资料和数据，是采购人现有的能使响应人利用的资料，采购人对响应人由此而做出的推论、理解和结论概不负责。</w:t>
      </w:r>
    </w:p>
    <w:p w14:paraId="5BF5ADBE">
      <w:pPr>
        <w:spacing w:line="600" w:lineRule="exact"/>
        <w:ind w:firstLine="640" w:firstLineChars="200"/>
        <w:rPr>
          <w:rFonts w:eastAsia="仿宋_GB2312"/>
          <w:color w:val="auto"/>
          <w:sz w:val="32"/>
          <w:szCs w:val="32"/>
          <w:highlight w:val="none"/>
          <w:u w:val="none"/>
        </w:rPr>
      </w:pPr>
      <w:r>
        <w:rPr>
          <w:rFonts w:eastAsia="仿宋_GB2312"/>
          <w:color w:val="auto"/>
          <w:sz w:val="32"/>
          <w:szCs w:val="32"/>
          <w:highlight w:val="none"/>
          <w:u w:val="none"/>
        </w:rPr>
        <w:t>3</w:t>
      </w:r>
      <w:r>
        <w:rPr>
          <w:rFonts w:hint="eastAsia" w:eastAsia="仿宋_GB2312"/>
          <w:color w:val="auto"/>
          <w:sz w:val="32"/>
          <w:szCs w:val="32"/>
          <w:highlight w:val="none"/>
          <w:u w:val="none"/>
        </w:rPr>
        <w:t>、本项目执行过程中将遵循国家、省、市有关法律、法规、标准、技术规范和规范性文件的最新规定。</w:t>
      </w:r>
      <w:bookmarkEnd w:id="2"/>
    </w:p>
    <w:p w14:paraId="731F52DB">
      <w:pPr>
        <w:widowControl/>
        <w:spacing w:line="600" w:lineRule="exact"/>
        <w:ind w:firstLine="640" w:firstLineChars="200"/>
        <w:jc w:val="left"/>
        <w:rPr>
          <w:rFonts w:eastAsia="仿宋_GB2312"/>
          <w:color w:val="auto"/>
          <w:sz w:val="32"/>
          <w:szCs w:val="32"/>
          <w:highlight w:val="none"/>
          <w:u w:val="none"/>
        </w:rPr>
      </w:pPr>
      <w:r>
        <w:rPr>
          <w:rFonts w:eastAsia="仿宋_GB2312"/>
          <w:color w:val="auto"/>
          <w:sz w:val="32"/>
          <w:szCs w:val="32"/>
          <w:highlight w:val="none"/>
          <w:u w:val="none"/>
        </w:rPr>
        <w:t>4</w:t>
      </w:r>
      <w:r>
        <w:rPr>
          <w:rFonts w:hint="eastAsia" w:eastAsia="仿宋_GB2312"/>
          <w:color w:val="auto"/>
          <w:sz w:val="32"/>
          <w:szCs w:val="32"/>
          <w:highlight w:val="none"/>
          <w:u w:val="none"/>
        </w:rPr>
        <w:t>、成交单位对采购文件中技术条款作出的负偏离，采购人如不接受，可要求成交单位以采购文件的要求为准，如成交单位拒绝的，采购人有权取消其成交资格或取消合同。采购人不作任何补偿。</w:t>
      </w:r>
    </w:p>
    <w:p w14:paraId="2AA45F3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u w:val="none"/>
          <w:lang w:val="en-US" w:eastAsia="zh-CN" w:bidi="ar-SA"/>
        </w:rPr>
      </w:pPr>
      <w:r>
        <w:rPr>
          <w:rFonts w:hint="eastAsia" w:eastAsia="仿宋_GB2312"/>
          <w:color w:val="auto"/>
          <w:sz w:val="32"/>
          <w:szCs w:val="32"/>
          <w:highlight w:val="none"/>
          <w:u w:val="none"/>
        </w:rPr>
        <w:t>5、</w:t>
      </w:r>
      <w:r>
        <w:rPr>
          <w:rFonts w:hint="eastAsia" w:ascii="Times New Roman" w:hAnsi="Times New Roman" w:eastAsia="仿宋_GB2312" w:cs="Times New Roman"/>
          <w:color w:val="auto"/>
          <w:kern w:val="2"/>
          <w:sz w:val="32"/>
          <w:szCs w:val="32"/>
          <w:highlight w:val="none"/>
          <w:u w:val="none"/>
          <w:lang w:val="en-US" w:eastAsia="zh-CN" w:bidi="ar-SA"/>
        </w:rPr>
        <w:t>本项目仅可提交一个报价方案，提交两个或以上报价方案的响应人视为无效报价。</w:t>
      </w:r>
    </w:p>
    <w:p w14:paraId="64A6767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cs="Times New Roman"/>
          <w:color w:val="auto"/>
          <w:kern w:val="2"/>
          <w:sz w:val="32"/>
          <w:szCs w:val="32"/>
          <w:highlight w:val="none"/>
          <w:u w:val="none"/>
          <w:lang w:val="en-US" w:eastAsia="zh-CN" w:bidi="ar-SA"/>
        </w:rPr>
        <w:t>6、本项目不接受响应人其他附加条件。</w:t>
      </w:r>
    </w:p>
    <w:p w14:paraId="3AEE797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cs="Times New Roman"/>
          <w:color w:val="auto"/>
          <w:kern w:val="2"/>
          <w:sz w:val="32"/>
          <w:szCs w:val="32"/>
          <w:highlight w:val="none"/>
          <w:u w:val="none"/>
          <w:lang w:val="en-US" w:eastAsia="zh-CN" w:bidi="ar-SA"/>
        </w:rPr>
        <w:t>7、有下列情形之一的，报价保证金将被没收，并纳入采购人供应商黑名单：</w:t>
      </w:r>
    </w:p>
    <w:p w14:paraId="5165CA4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cs="Times New Roman"/>
          <w:color w:val="auto"/>
          <w:kern w:val="2"/>
          <w:sz w:val="32"/>
          <w:szCs w:val="32"/>
          <w:highlight w:val="none"/>
          <w:u w:val="none"/>
          <w:lang w:val="en-US" w:eastAsia="zh-CN" w:bidi="ar-SA"/>
        </w:rPr>
        <w:t>（1）中标后无正当理由放弃中标或不与采购人签订合同。</w:t>
      </w:r>
    </w:p>
    <w:p w14:paraId="2CF2E8E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u w:val="none"/>
          <w:lang w:val="en-US" w:eastAsia="zh-CN" w:bidi="ar-SA"/>
        </w:rPr>
      </w:pPr>
      <w:r>
        <w:rPr>
          <w:rFonts w:hint="eastAsia" w:ascii="Times New Roman" w:hAnsi="Times New Roman" w:eastAsia="仿宋_GB2312" w:cs="Times New Roman"/>
          <w:color w:val="auto"/>
          <w:kern w:val="2"/>
          <w:sz w:val="32"/>
          <w:szCs w:val="32"/>
          <w:highlight w:val="none"/>
          <w:u w:val="none"/>
          <w:lang w:val="en-US" w:eastAsia="zh-CN" w:bidi="ar-SA"/>
        </w:rPr>
        <w:t>（2）成交人将本项目转让给他人，或者在报价文件中未说明，且未经采购人同意，将中标项目分包给他人，采购人可没收其报价保证金。</w:t>
      </w:r>
    </w:p>
    <w:p w14:paraId="720A41BD">
      <w:pPr>
        <w:widowControl/>
        <w:spacing w:line="600" w:lineRule="exact"/>
        <w:ind w:firstLine="640" w:firstLineChars="200"/>
        <w:jc w:val="left"/>
        <w:rPr>
          <w:rFonts w:eastAsia="仿宋_GB2312"/>
          <w:color w:val="auto"/>
          <w:sz w:val="32"/>
          <w:szCs w:val="32"/>
          <w:highlight w:val="none"/>
          <w:u w:val="none"/>
        </w:rPr>
      </w:pPr>
      <w:r>
        <w:rPr>
          <w:rFonts w:hint="eastAsia" w:ascii="Times New Roman" w:hAnsi="Times New Roman" w:eastAsia="仿宋_GB2312" w:cs="Times New Roman"/>
          <w:color w:val="auto"/>
          <w:kern w:val="2"/>
          <w:sz w:val="32"/>
          <w:szCs w:val="32"/>
          <w:highlight w:val="none"/>
          <w:u w:val="none"/>
          <w:lang w:val="en-US" w:eastAsia="zh-CN" w:bidi="ar-SA"/>
        </w:rPr>
        <w:t>（3）报价人提供虚假报价文件或虚假补充文件</w:t>
      </w:r>
      <w:r>
        <w:rPr>
          <w:rFonts w:hint="eastAsia" w:eastAsia="仿宋_GB2312" w:cs="Times New Roman"/>
          <w:color w:val="auto"/>
          <w:kern w:val="2"/>
          <w:sz w:val="32"/>
          <w:szCs w:val="32"/>
          <w:highlight w:val="none"/>
          <w:u w:val="none"/>
          <w:lang w:val="en-US" w:eastAsia="zh-CN" w:bidi="ar-SA"/>
        </w:rPr>
        <w:t>。</w:t>
      </w:r>
    </w:p>
    <w:p w14:paraId="0FDF735C">
      <w:pPr>
        <w:widowControl/>
        <w:spacing w:line="600" w:lineRule="exact"/>
        <w:jc w:val="left"/>
        <w:rPr>
          <w:rFonts w:eastAsia="仿宋_GB2312"/>
          <w:color w:val="auto"/>
          <w:sz w:val="32"/>
          <w:szCs w:val="32"/>
          <w:highlight w:val="none"/>
          <w:u w:val="none"/>
        </w:rPr>
      </w:pPr>
    </w:p>
    <w:p w14:paraId="0B71AB52">
      <w:pPr>
        <w:spacing w:line="600" w:lineRule="exact"/>
        <w:ind w:firstLine="640" w:firstLineChars="200"/>
        <w:jc w:val="right"/>
        <w:rPr>
          <w:rFonts w:eastAsia="仿宋_GB2312"/>
          <w:color w:val="auto"/>
          <w:sz w:val="32"/>
          <w:szCs w:val="32"/>
          <w:highlight w:val="none"/>
          <w:u w:val="none"/>
        </w:rPr>
      </w:pPr>
      <w:r>
        <w:rPr>
          <w:rFonts w:hint="eastAsia" w:eastAsia="仿宋_GB2312"/>
          <w:color w:val="auto"/>
          <w:sz w:val="32"/>
          <w:szCs w:val="32"/>
          <w:highlight w:val="none"/>
          <w:u w:val="none"/>
          <w:lang w:val="en-US" w:eastAsia="zh-CN"/>
        </w:rPr>
        <w:t>东莞市能源投资集团有限</w:t>
      </w:r>
      <w:r>
        <w:rPr>
          <w:rFonts w:hint="eastAsia" w:eastAsia="仿宋_GB2312"/>
          <w:color w:val="auto"/>
          <w:sz w:val="32"/>
          <w:szCs w:val="32"/>
          <w:highlight w:val="none"/>
          <w:u w:val="none"/>
        </w:rPr>
        <w:t>公司</w:t>
      </w:r>
    </w:p>
    <w:p w14:paraId="26497E67">
      <w:pPr>
        <w:wordWrap w:val="0"/>
        <w:spacing w:line="600" w:lineRule="exact"/>
        <w:ind w:firstLine="640" w:firstLineChars="200"/>
        <w:jc w:val="right"/>
        <w:rPr>
          <w:rFonts w:hint="default" w:eastAsia="仿宋_GB2312"/>
          <w:color w:val="auto"/>
          <w:sz w:val="32"/>
          <w:szCs w:val="32"/>
          <w:highlight w:val="none"/>
          <w:u w:val="none"/>
          <w:lang w:val="en-US" w:eastAsia="zh-CN"/>
        </w:rPr>
      </w:pPr>
      <w:r>
        <w:rPr>
          <w:rFonts w:eastAsia="仿宋_GB2312"/>
          <w:color w:val="auto"/>
          <w:sz w:val="32"/>
          <w:szCs w:val="32"/>
          <w:highlight w:val="none"/>
          <w:u w:val="none"/>
        </w:rPr>
        <w:t>20</w:t>
      </w:r>
      <w:r>
        <w:rPr>
          <w:rFonts w:hint="eastAsia" w:eastAsia="仿宋_GB2312"/>
          <w:color w:val="auto"/>
          <w:sz w:val="32"/>
          <w:szCs w:val="32"/>
          <w:highlight w:val="none"/>
          <w:u w:val="none"/>
          <w:lang w:val="en-US" w:eastAsia="zh-CN"/>
        </w:rPr>
        <w:t>26</w:t>
      </w:r>
      <w:r>
        <w:rPr>
          <w:rFonts w:hint="eastAsia" w:eastAsia="仿宋_GB2312"/>
          <w:color w:val="auto"/>
          <w:sz w:val="32"/>
          <w:szCs w:val="32"/>
          <w:highlight w:val="none"/>
          <w:u w:val="none"/>
        </w:rPr>
        <w:t>年</w:t>
      </w:r>
      <w:r>
        <w:rPr>
          <w:rFonts w:hint="eastAsia" w:eastAsia="仿宋_GB2312"/>
          <w:color w:val="auto"/>
          <w:sz w:val="32"/>
          <w:szCs w:val="32"/>
          <w:highlight w:val="none"/>
          <w:u w:val="none"/>
          <w:lang w:val="en-US" w:eastAsia="zh-CN"/>
        </w:rPr>
        <w:t>10</w:t>
      </w:r>
      <w:r>
        <w:rPr>
          <w:rFonts w:hint="eastAsia" w:eastAsia="仿宋_GB2312"/>
          <w:color w:val="auto"/>
          <w:sz w:val="32"/>
          <w:szCs w:val="32"/>
          <w:highlight w:val="none"/>
          <w:u w:val="none"/>
        </w:rPr>
        <w:t>月</w:t>
      </w:r>
      <w:r>
        <w:rPr>
          <w:rFonts w:hint="eastAsia" w:eastAsia="仿宋_GB2312"/>
          <w:color w:val="auto"/>
          <w:sz w:val="32"/>
          <w:szCs w:val="32"/>
          <w:highlight w:val="none"/>
          <w:u w:val="none"/>
          <w:lang w:val="en-US" w:eastAsia="zh-CN"/>
        </w:rPr>
        <w:t>8</w:t>
      </w:r>
      <w:r>
        <w:rPr>
          <w:rFonts w:hint="eastAsia" w:eastAsia="仿宋_GB2312"/>
          <w:color w:val="auto"/>
          <w:sz w:val="32"/>
          <w:szCs w:val="32"/>
          <w:highlight w:val="none"/>
          <w:u w:val="none"/>
        </w:rPr>
        <w:t>日</w:t>
      </w:r>
      <w:r>
        <w:rPr>
          <w:rFonts w:hint="eastAsia" w:eastAsia="仿宋_GB2312"/>
          <w:color w:val="auto"/>
          <w:sz w:val="32"/>
          <w:szCs w:val="32"/>
          <w:highlight w:val="none"/>
          <w:u w:val="none"/>
          <w:lang w:val="en-US" w:eastAsia="zh-CN"/>
        </w:rPr>
        <w:t xml:space="preserve">     </w:t>
      </w:r>
    </w:p>
    <w:bookmarkEnd w:id="8"/>
    <w:p w14:paraId="1DEF7DA5">
      <w:pPr>
        <w:widowControl/>
        <w:spacing w:line="600" w:lineRule="exact"/>
        <w:ind w:firstLine="640" w:firstLineChars="200"/>
        <w:jc w:val="left"/>
        <w:rPr>
          <w:rFonts w:hint="default" w:eastAsia="仿宋_GB2312"/>
          <w:color w:val="auto"/>
          <w:sz w:val="32"/>
          <w:szCs w:val="32"/>
          <w:highlight w:val="none"/>
          <w:u w:val="none"/>
          <w:lang w:val="en-US" w:eastAsia="zh-CN"/>
        </w:rPr>
        <w:sectPr>
          <w:headerReference r:id="rId3" w:type="default"/>
          <w:pgSz w:w="11906" w:h="16838"/>
          <w:pgMar w:top="1440" w:right="1800" w:bottom="1440" w:left="1800" w:header="851" w:footer="992" w:gutter="0"/>
          <w:cols w:space="720" w:num="1"/>
          <w:docGrid w:type="lines" w:linePitch="312" w:charSpace="0"/>
        </w:sectPr>
      </w:pPr>
      <w:r>
        <w:rPr>
          <w:rFonts w:hint="eastAsia" w:eastAsia="仿宋_GB2312"/>
          <w:color w:val="auto"/>
          <w:sz w:val="32"/>
          <w:szCs w:val="32"/>
          <w:highlight w:val="none"/>
          <w:u w:val="none"/>
          <w:lang w:val="en-US" w:eastAsia="zh-CN"/>
        </w:rPr>
        <w:t xml:space="preserve">  </w:t>
      </w:r>
    </w:p>
    <w:p w14:paraId="6DFA320C">
      <w:pPr>
        <w:pStyle w:val="37"/>
        <w:ind w:firstLine="0" w:firstLineChars="0"/>
        <w:jc w:val="left"/>
        <w:outlineLvl w:val="1"/>
        <w:rPr>
          <w:rFonts w:hint="default" w:eastAsia="黑体"/>
          <w:color w:val="auto"/>
          <w:sz w:val="28"/>
          <w:szCs w:val="44"/>
          <w:highlight w:val="none"/>
          <w:lang w:val="en-US" w:eastAsia="zh-CN"/>
        </w:rPr>
      </w:pPr>
      <w:r>
        <w:rPr>
          <w:rFonts w:hint="eastAsia" w:eastAsia="黑体"/>
          <w:color w:val="auto"/>
          <w:sz w:val="28"/>
          <w:szCs w:val="44"/>
          <w:highlight w:val="none"/>
        </w:rPr>
        <w:t xml:space="preserve">附件一 </w:t>
      </w:r>
      <w:bookmarkStart w:id="3" w:name="_Hlk524442005"/>
      <w:r>
        <w:rPr>
          <w:rFonts w:hint="eastAsia" w:eastAsia="黑体"/>
          <w:color w:val="auto"/>
          <w:sz w:val="28"/>
          <w:szCs w:val="44"/>
          <w:highlight w:val="none"/>
        </w:rPr>
        <w:t>报价函</w:t>
      </w:r>
      <w:r>
        <w:rPr>
          <w:rFonts w:hint="eastAsia" w:eastAsia="黑体"/>
          <w:color w:val="auto"/>
          <w:sz w:val="28"/>
          <w:szCs w:val="44"/>
          <w:highlight w:val="none"/>
          <w:lang w:val="en-US" w:eastAsia="zh-CN"/>
        </w:rPr>
        <w:t>及报价清单</w:t>
      </w:r>
    </w:p>
    <w:p w14:paraId="63E8724D">
      <w:pPr>
        <w:jc w:val="center"/>
        <w:rPr>
          <w:rFonts w:eastAsia="华文中宋"/>
          <w:color w:val="auto"/>
          <w:sz w:val="44"/>
          <w:szCs w:val="44"/>
          <w:highlight w:val="none"/>
        </w:rPr>
      </w:pPr>
      <w:r>
        <w:rPr>
          <w:rFonts w:hint="eastAsia" w:eastAsia="华文中宋"/>
          <w:color w:val="auto"/>
          <w:sz w:val="44"/>
          <w:szCs w:val="44"/>
          <w:highlight w:val="none"/>
        </w:rPr>
        <w:t>报价函</w:t>
      </w:r>
    </w:p>
    <w:p w14:paraId="511ADE80">
      <w:pPr>
        <w:ind w:firstLine="560"/>
        <w:jc w:val="center"/>
        <w:rPr>
          <w:rFonts w:eastAsia="仿宋_GB2312"/>
          <w:color w:val="auto"/>
          <w:sz w:val="32"/>
          <w:szCs w:val="32"/>
          <w:highlight w:val="none"/>
        </w:rPr>
      </w:pPr>
    </w:p>
    <w:p w14:paraId="38E1CACC">
      <w:pPr>
        <w:rPr>
          <w:rFonts w:eastAsia="仿宋_GB2312"/>
          <w:color w:val="auto"/>
          <w:sz w:val="32"/>
          <w:szCs w:val="32"/>
          <w:highlight w:val="none"/>
        </w:rPr>
      </w:pPr>
      <w:r>
        <w:rPr>
          <w:rFonts w:hint="eastAsia" w:eastAsia="仿宋_GB2312"/>
          <w:color w:val="auto"/>
          <w:sz w:val="32"/>
          <w:szCs w:val="32"/>
          <w:highlight w:val="none"/>
          <w:u w:val="single"/>
          <w:lang w:val="en-US" w:eastAsia="zh-CN"/>
        </w:rPr>
        <w:t>东莞市能源投资集团有限公司</w:t>
      </w:r>
      <w:r>
        <w:rPr>
          <w:rFonts w:hint="eastAsia" w:eastAsia="仿宋_GB2312"/>
          <w:color w:val="auto"/>
          <w:sz w:val="32"/>
          <w:szCs w:val="32"/>
          <w:highlight w:val="none"/>
        </w:rPr>
        <w:t>：</w:t>
      </w:r>
    </w:p>
    <w:p w14:paraId="12A1A0C9">
      <w:pPr>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针对贵司</w:t>
      </w:r>
      <w:r>
        <w:rPr>
          <w:rFonts w:hint="eastAsia" w:eastAsia="仿宋_GB2312"/>
          <w:color w:val="auto"/>
          <w:sz w:val="32"/>
          <w:szCs w:val="32"/>
          <w:highlight w:val="none"/>
          <w:u w:val="single"/>
          <w:lang w:val="en-US" w:eastAsia="zh-CN"/>
        </w:rPr>
        <w:t>东莞能源集团二楼公共区域办公家具采购</w:t>
      </w:r>
      <w:r>
        <w:rPr>
          <w:rFonts w:hint="eastAsia" w:eastAsia="仿宋_GB2312"/>
          <w:color w:val="auto"/>
          <w:sz w:val="32"/>
          <w:szCs w:val="32"/>
          <w:highlight w:val="none"/>
        </w:rPr>
        <w:t>项目，我司愿意以含税价合计人民币</w:t>
      </w:r>
      <w:r>
        <w:rPr>
          <w:rFonts w:eastAsia="仿宋_GB2312"/>
          <w:color w:val="auto"/>
          <w:sz w:val="32"/>
          <w:szCs w:val="32"/>
          <w:highlight w:val="none"/>
          <w:u w:val="single"/>
        </w:rPr>
        <w:t>xxxx</w:t>
      </w:r>
      <w:r>
        <w:rPr>
          <w:rFonts w:hint="eastAsia" w:eastAsia="仿宋_GB2312"/>
          <w:color w:val="auto"/>
          <w:sz w:val="32"/>
          <w:szCs w:val="32"/>
          <w:highlight w:val="none"/>
          <w:u w:val="single"/>
        </w:rPr>
        <w:t>元（大写），</w:t>
      </w:r>
      <w:r>
        <w:rPr>
          <w:rFonts w:eastAsia="仿宋_GB2312"/>
          <w:color w:val="auto"/>
          <w:sz w:val="32"/>
          <w:szCs w:val="32"/>
          <w:highlight w:val="none"/>
          <w:u w:val="single"/>
        </w:rPr>
        <w:t>¥xxx.00</w:t>
      </w:r>
      <w:r>
        <w:rPr>
          <w:rFonts w:hint="eastAsia" w:eastAsia="仿宋_GB2312"/>
          <w:color w:val="auto"/>
          <w:sz w:val="32"/>
          <w:szCs w:val="32"/>
          <w:highlight w:val="none"/>
          <w:u w:val="single"/>
        </w:rPr>
        <w:t>（小写）</w:t>
      </w:r>
      <w:r>
        <w:rPr>
          <w:rFonts w:hint="eastAsia" w:eastAsia="仿宋_GB2312"/>
          <w:color w:val="auto"/>
          <w:sz w:val="32"/>
          <w:szCs w:val="32"/>
          <w:highlight w:val="none"/>
        </w:rPr>
        <w:t>承接此项目，报价清单如下页</w:t>
      </w:r>
      <w:r>
        <w:rPr>
          <w:rFonts w:hint="eastAsia" w:eastAsia="仿宋_GB2312"/>
          <w:color w:val="auto"/>
          <w:sz w:val="32"/>
          <w:szCs w:val="32"/>
          <w:highlight w:val="none"/>
          <w:lang w:eastAsia="zh-CN"/>
        </w:rPr>
        <w:t>。</w:t>
      </w:r>
    </w:p>
    <w:p w14:paraId="6790AFFD">
      <w:pPr>
        <w:rPr>
          <w:rFonts w:eastAsia="仿宋_GB2312"/>
          <w:color w:val="auto"/>
          <w:sz w:val="32"/>
          <w:szCs w:val="32"/>
          <w:highlight w:val="none"/>
        </w:rPr>
      </w:pPr>
    </w:p>
    <w:p w14:paraId="257F919E">
      <w:pPr>
        <w:rPr>
          <w:rFonts w:eastAsia="仿宋_GB2312"/>
          <w:color w:val="auto"/>
          <w:sz w:val="32"/>
          <w:szCs w:val="32"/>
          <w:highlight w:val="none"/>
        </w:rPr>
      </w:pPr>
    </w:p>
    <w:p w14:paraId="76E521E2">
      <w:pPr>
        <w:rPr>
          <w:rFonts w:eastAsia="仿宋_GB2312"/>
          <w:color w:val="auto"/>
          <w:sz w:val="32"/>
          <w:szCs w:val="32"/>
          <w:highlight w:val="none"/>
        </w:rPr>
      </w:pPr>
    </w:p>
    <w:p w14:paraId="3C4D42DA">
      <w:pPr>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03DCC82F">
      <w:pPr>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0E40AFC4">
      <w:pPr>
        <w:jc w:val="left"/>
        <w:rPr>
          <w:rFonts w:eastAsia="仿宋_GB2312"/>
          <w:color w:val="auto"/>
          <w:sz w:val="32"/>
          <w:szCs w:val="32"/>
          <w:highlight w:val="none"/>
        </w:rPr>
      </w:pPr>
      <w:r>
        <w:rPr>
          <w:rFonts w:hint="eastAsia" w:eastAsia="仿宋_GB2312"/>
          <w:color w:val="auto"/>
          <w:sz w:val="32"/>
          <w:szCs w:val="32"/>
          <w:highlight w:val="none"/>
        </w:rPr>
        <w:t>联系人：</w:t>
      </w:r>
    </w:p>
    <w:p w14:paraId="27633247">
      <w:pPr>
        <w:jc w:val="left"/>
        <w:rPr>
          <w:rFonts w:eastAsia="仿宋_GB2312"/>
          <w:color w:val="auto"/>
          <w:sz w:val="32"/>
          <w:szCs w:val="32"/>
          <w:highlight w:val="none"/>
        </w:rPr>
      </w:pPr>
      <w:r>
        <w:rPr>
          <w:rFonts w:hint="eastAsia" w:eastAsia="仿宋_GB2312"/>
          <w:color w:val="auto"/>
          <w:sz w:val="32"/>
          <w:szCs w:val="32"/>
          <w:highlight w:val="none"/>
        </w:rPr>
        <w:t>联系电话：</w:t>
      </w:r>
    </w:p>
    <w:p w14:paraId="74595374">
      <w:pPr>
        <w:jc w:val="left"/>
        <w:rPr>
          <w:rFonts w:eastAsia="仿宋_GB2312"/>
          <w:color w:val="auto"/>
          <w:sz w:val="32"/>
          <w:szCs w:val="32"/>
          <w:highlight w:val="none"/>
        </w:rPr>
      </w:pPr>
      <w:r>
        <w:rPr>
          <w:rFonts w:hint="eastAsia" w:eastAsia="仿宋_GB2312"/>
          <w:color w:val="auto"/>
          <w:sz w:val="32"/>
          <w:szCs w:val="32"/>
          <w:highlight w:val="none"/>
        </w:rPr>
        <w:t>日期：</w:t>
      </w:r>
    </w:p>
    <w:p w14:paraId="0B62AA10">
      <w:pPr>
        <w:jc w:val="center"/>
        <w:rPr>
          <w:rFonts w:eastAsia="仿宋_GB2312"/>
          <w:color w:val="auto"/>
          <w:sz w:val="32"/>
          <w:szCs w:val="32"/>
          <w:highlight w:val="none"/>
        </w:rPr>
      </w:pPr>
    </w:p>
    <w:p w14:paraId="6A58AA47">
      <w:pPr>
        <w:jc w:val="center"/>
        <w:rPr>
          <w:rFonts w:eastAsia="仿宋_GB2312"/>
          <w:color w:val="auto"/>
          <w:sz w:val="32"/>
          <w:szCs w:val="32"/>
          <w:highlight w:val="none"/>
        </w:rPr>
      </w:pPr>
    </w:p>
    <w:p w14:paraId="7814FABF">
      <w:pPr>
        <w:jc w:val="center"/>
        <w:rPr>
          <w:rFonts w:eastAsia="仿宋_GB2312"/>
          <w:color w:val="auto"/>
          <w:sz w:val="32"/>
          <w:szCs w:val="32"/>
          <w:highlight w:val="none"/>
        </w:rPr>
      </w:pPr>
    </w:p>
    <w:p w14:paraId="5C7F6F29">
      <w:pPr>
        <w:jc w:val="center"/>
        <w:rPr>
          <w:rFonts w:eastAsia="仿宋_GB2312"/>
          <w:color w:val="auto"/>
          <w:sz w:val="32"/>
          <w:szCs w:val="32"/>
          <w:highlight w:val="none"/>
        </w:rPr>
      </w:pPr>
    </w:p>
    <w:p w14:paraId="4A040CE3">
      <w:pPr>
        <w:jc w:val="center"/>
        <w:rPr>
          <w:rFonts w:eastAsia="仿宋_GB2312"/>
          <w:color w:val="auto"/>
          <w:sz w:val="32"/>
          <w:szCs w:val="32"/>
          <w:highlight w:val="none"/>
        </w:rPr>
        <w:sectPr>
          <w:pgSz w:w="11907" w:h="16840"/>
          <w:pgMar w:top="1531" w:right="1588" w:bottom="1418" w:left="1418" w:header="851" w:footer="1191" w:gutter="0"/>
          <w:cols w:space="720" w:num="1"/>
          <w:docGrid w:type="linesAndChars" w:linePitch="332" w:charSpace="0"/>
        </w:sectPr>
      </w:pPr>
    </w:p>
    <w:p w14:paraId="466A6228">
      <w:pPr>
        <w:jc w:val="center"/>
        <w:rPr>
          <w:rFonts w:hint="eastAsia" w:eastAsia="华文中宋"/>
          <w:color w:val="auto"/>
          <w:sz w:val="44"/>
          <w:szCs w:val="44"/>
          <w:highlight w:val="none"/>
          <w:lang w:val="en-US" w:eastAsia="zh-CN"/>
        </w:rPr>
      </w:pPr>
      <w:r>
        <w:rPr>
          <w:rFonts w:hint="eastAsia" w:eastAsia="华文中宋"/>
          <w:color w:val="auto"/>
          <w:sz w:val="44"/>
          <w:szCs w:val="44"/>
          <w:highlight w:val="none"/>
        </w:rPr>
        <w:t>报价</w:t>
      </w:r>
      <w:r>
        <w:rPr>
          <w:rFonts w:hint="eastAsia" w:eastAsia="华文中宋"/>
          <w:color w:val="auto"/>
          <w:sz w:val="44"/>
          <w:szCs w:val="44"/>
          <w:highlight w:val="none"/>
          <w:lang w:val="en-US" w:eastAsia="zh-CN"/>
        </w:rPr>
        <w:t>清单</w:t>
      </w:r>
    </w:p>
    <w:tbl>
      <w:tblPr>
        <w:tblStyle w:val="18"/>
        <w:tblW w:w="1573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713"/>
        <w:gridCol w:w="2551"/>
        <w:gridCol w:w="1048"/>
        <w:gridCol w:w="6897"/>
        <w:gridCol w:w="682"/>
        <w:gridCol w:w="724"/>
        <w:gridCol w:w="1092"/>
        <w:gridCol w:w="1319"/>
      </w:tblGrid>
      <w:tr w14:paraId="2F0D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blHeader/>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B1E9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863C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型号</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B0D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图片</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530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规格</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8B70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材质介绍</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458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86D5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7C7F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cs="宋体"/>
                <w:b/>
                <w:bCs/>
                <w:i w:val="0"/>
                <w:iCs w:val="0"/>
                <w:color w:val="auto"/>
                <w:kern w:val="0"/>
                <w:sz w:val="22"/>
                <w:szCs w:val="22"/>
                <w:highlight w:val="none"/>
                <w:u w:val="none"/>
                <w:lang w:val="en-US" w:eastAsia="zh-CN" w:bidi="ar"/>
              </w:rPr>
              <w:t>单价</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EE8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宋体" w:hAnsi="宋体" w:cs="宋体"/>
                <w:b/>
                <w:bCs/>
                <w:i w:val="0"/>
                <w:iCs w:val="0"/>
                <w:color w:val="auto"/>
                <w:kern w:val="0"/>
                <w:sz w:val="22"/>
                <w:szCs w:val="22"/>
                <w:highlight w:val="none"/>
                <w:u w:val="none"/>
                <w:lang w:val="en-US" w:eastAsia="zh-CN" w:bidi="ar"/>
              </w:rPr>
            </w:pPr>
            <w:r>
              <w:rPr>
                <w:rFonts w:hint="eastAsia" w:ascii="宋体" w:hAnsi="宋体" w:cs="宋体"/>
                <w:b/>
                <w:bCs/>
                <w:i w:val="0"/>
                <w:iCs w:val="0"/>
                <w:color w:val="auto"/>
                <w:kern w:val="0"/>
                <w:sz w:val="22"/>
                <w:szCs w:val="22"/>
                <w:highlight w:val="none"/>
                <w:u w:val="none"/>
                <w:lang w:val="en-US" w:eastAsia="zh-CN" w:bidi="ar"/>
              </w:rPr>
              <w:t>总价</w:t>
            </w:r>
          </w:p>
        </w:tc>
      </w:tr>
      <w:tr w14:paraId="26224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D5D9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E392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1+1+3组合沙发</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3359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-36830</wp:posOffset>
                  </wp:positionH>
                  <wp:positionV relativeFrom="paragraph">
                    <wp:posOffset>-19685</wp:posOffset>
                  </wp:positionV>
                  <wp:extent cx="1546225" cy="851535"/>
                  <wp:effectExtent l="0" t="0" r="8255" b="1905"/>
                  <wp:wrapNone/>
                  <wp:docPr id="15"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2"/>
                          <pic:cNvPicPr>
                            <a:picLocks noChangeAspect="1"/>
                          </pic:cNvPicPr>
                        </pic:nvPicPr>
                        <pic:blipFill>
                          <a:blip r:embed="rId5"/>
                          <a:stretch>
                            <a:fillRect/>
                          </a:stretch>
                        </pic:blipFill>
                        <pic:spPr>
                          <a:xfrm>
                            <a:off x="1072515" y="988695"/>
                            <a:ext cx="1546225" cy="851535"/>
                          </a:xfrm>
                          <a:prstGeom prst="rect">
                            <a:avLst/>
                          </a:prstGeom>
                          <a:noFill/>
                          <a:ln w="9525">
                            <a:noFill/>
                          </a:ln>
                        </pic:spPr>
                      </pic:pic>
                    </a:graphicData>
                  </a:graphic>
                </wp:anchor>
              </w:drawing>
            </w: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-21590</wp:posOffset>
                  </wp:positionH>
                  <wp:positionV relativeFrom="paragraph">
                    <wp:posOffset>1247775</wp:posOffset>
                  </wp:positionV>
                  <wp:extent cx="1092200" cy="996315"/>
                  <wp:effectExtent l="0" t="0" r="5080" b="9525"/>
                  <wp:wrapNone/>
                  <wp:docPr id="16"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3"/>
                          <pic:cNvPicPr>
                            <a:picLocks noChangeAspect="1"/>
                          </pic:cNvPicPr>
                        </pic:nvPicPr>
                        <pic:blipFill>
                          <a:blip r:embed="rId6"/>
                          <a:stretch>
                            <a:fillRect/>
                          </a:stretch>
                        </pic:blipFill>
                        <pic:spPr>
                          <a:xfrm>
                            <a:off x="1311910" y="2004695"/>
                            <a:ext cx="1092200" cy="996315"/>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FF1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3620*1630*680</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28A3A">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                                                                                                   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045A1E6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default"/>
                <w:lang w:val="en-US"/>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A969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964F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69C1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4128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58FAE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4805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6683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岩板茶几</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5213C">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6432" behindDoc="0" locked="0" layoutInCell="1" allowOverlap="1">
                  <wp:simplePos x="0" y="0"/>
                  <wp:positionH relativeFrom="column">
                    <wp:posOffset>1270</wp:posOffset>
                  </wp:positionH>
                  <wp:positionV relativeFrom="paragraph">
                    <wp:posOffset>158750</wp:posOffset>
                  </wp:positionV>
                  <wp:extent cx="1285240" cy="922020"/>
                  <wp:effectExtent l="0" t="0" r="10160" b="7620"/>
                  <wp:wrapNone/>
                  <wp:docPr id="17"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10"/>
                          <pic:cNvPicPr>
                            <a:picLocks noChangeAspect="1"/>
                          </pic:cNvPicPr>
                        </pic:nvPicPr>
                        <pic:blipFill>
                          <a:blip r:embed="rId7"/>
                          <a:stretch>
                            <a:fillRect/>
                          </a:stretch>
                        </pic:blipFill>
                        <pic:spPr>
                          <a:xfrm>
                            <a:off x="1129030" y="3530600"/>
                            <a:ext cx="1285240" cy="922020"/>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F633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φ800*360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φ600*410</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40DAC">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r>
              <w:rPr>
                <w:rFonts w:hint="eastAsia" w:ascii="宋体" w:hAnsi="宋体" w:eastAsia="宋体" w:cs="宋体"/>
                <w:i w:val="0"/>
                <w:iCs w:val="0"/>
                <w:color w:val="auto"/>
                <w:kern w:val="0"/>
                <w:sz w:val="18"/>
                <w:szCs w:val="18"/>
                <w:highlight w:val="none"/>
                <w:u w:val="none"/>
                <w:lang w:val="en-US" w:eastAsia="zh-CN" w:bidi="ar"/>
              </w:rPr>
              <w:t>基材：采用12mm无毒无醛的岩板面,健康安全， 耐高温，防火，性能稳定，不开裂、不变形，耐刮，抗油污易清洁，吸水率低于0.05%，防水抗霉菌抗重压韧性强抗霜冻。 稳定的色彩，抗UV，不会受光照影响而变。</w:t>
            </w:r>
          </w:p>
          <w:p w14:paraId="3A2618C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zh-CN" w:bidi="ar"/>
              </w:rPr>
              <w:t>配件：采用品牌优质冷轧钢管，表面静电粉末喷涂钢制处理，钢材焊接，经过打磨、树脂高温固化等工艺。表面呈磨砂、黑色哑光工艺。抗氧化能力强。层无漏喷、锈蚀和脱色、掉色现象，涂层 光滑均匀、色泽一致，无流挂、疙瘩、飞漆等缺陷。</w:t>
            </w:r>
          </w:p>
          <w:p w14:paraId="744FA7A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3.</w:t>
            </w:r>
            <w:r>
              <w:rPr>
                <w:rFonts w:hint="eastAsia" w:ascii="宋体" w:hAnsi="宋体" w:eastAsia="宋体" w:cs="宋体"/>
                <w:i w:val="0"/>
                <w:iCs w:val="0"/>
                <w:color w:val="auto"/>
                <w:kern w:val="0"/>
                <w:sz w:val="18"/>
                <w:szCs w:val="18"/>
                <w:highlight w:val="none"/>
                <w:u w:val="none"/>
                <w:lang w:val="en-US" w:eastAsia="zh-CN" w:bidi="ar"/>
              </w:rPr>
              <w:t>▲冷轧钢板符合GB/T 3325-2024、GB/T 11253-2019、GB/T 228.1-2010、GB/T 32660.1-2016、JB/T 7901-2023、GB/T 6402-2024的标准，产品表面理化性能，金属喷漆(塑)涂层附着力0级；力学性能，下屈服强度ReL≥235MPa；韦氏硬度≥13HWB；均匀腐蚀全浸试验，0.9%氯化钠溶液，常温，均匀腐蚀24h≤0.08mm/a；超声检测未发现缺陷。</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BEB2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组</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B86C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EE8C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F215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BCA0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2"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362C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FF7A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单人位沙发</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6726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7456" behindDoc="0" locked="0" layoutInCell="1" allowOverlap="1">
                  <wp:simplePos x="0" y="0"/>
                  <wp:positionH relativeFrom="column">
                    <wp:posOffset>28575</wp:posOffset>
                  </wp:positionH>
                  <wp:positionV relativeFrom="paragraph">
                    <wp:posOffset>569595</wp:posOffset>
                  </wp:positionV>
                  <wp:extent cx="1151890" cy="981075"/>
                  <wp:effectExtent l="0" t="0" r="6350" b="9525"/>
                  <wp:wrapNone/>
                  <wp:docPr id="18" name="图片_3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3_SpCnt_1"/>
                          <pic:cNvPicPr>
                            <a:picLocks noChangeAspect="1"/>
                          </pic:cNvPicPr>
                        </pic:nvPicPr>
                        <pic:blipFill>
                          <a:blip r:embed="rId8"/>
                          <a:stretch>
                            <a:fillRect/>
                          </a:stretch>
                        </pic:blipFill>
                        <pic:spPr>
                          <a:xfrm>
                            <a:off x="1287145" y="5511800"/>
                            <a:ext cx="1151890" cy="981075"/>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E25B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770*860*740</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0B09C">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p>
          <w:p w14:paraId="64D239DA">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46A437A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p>
          <w:p w14:paraId="792D61A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2E4F2F1C">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7CB6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0269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998C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8252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741A3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2"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3DFB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32C1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沙发长凳</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9D552">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32385</wp:posOffset>
                  </wp:positionH>
                  <wp:positionV relativeFrom="paragraph">
                    <wp:posOffset>529590</wp:posOffset>
                  </wp:positionV>
                  <wp:extent cx="1256030" cy="885825"/>
                  <wp:effectExtent l="0" t="0" r="8890" b="13335"/>
                  <wp:wrapNone/>
                  <wp:docPr id="19"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1"/>
                          <pic:cNvPicPr>
                            <a:picLocks noChangeAspect="1"/>
                          </pic:cNvPicPr>
                        </pic:nvPicPr>
                        <pic:blipFill>
                          <a:blip r:embed="rId9"/>
                          <a:stretch>
                            <a:fillRect/>
                          </a:stretch>
                        </pic:blipFill>
                        <pic:spPr>
                          <a:xfrm>
                            <a:off x="1160145" y="7731125"/>
                            <a:ext cx="1256030" cy="885825"/>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7E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1400W*500D*450H</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2EEC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36D45E7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3055C273">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0F1A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9AA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41F4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405D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2AC0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2"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16BD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5485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三人位沙发</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9469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9504" behindDoc="0" locked="0" layoutInCell="1" allowOverlap="1">
                  <wp:simplePos x="0" y="0"/>
                  <wp:positionH relativeFrom="column">
                    <wp:posOffset>-6985</wp:posOffset>
                  </wp:positionH>
                  <wp:positionV relativeFrom="paragraph">
                    <wp:posOffset>-590550</wp:posOffset>
                  </wp:positionV>
                  <wp:extent cx="1318260" cy="1219200"/>
                  <wp:effectExtent l="0" t="0" r="7620" b="0"/>
                  <wp:wrapNone/>
                  <wp:docPr id="20"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1_SpCnt_1"/>
                          <pic:cNvPicPr>
                            <a:picLocks noChangeAspect="1"/>
                          </pic:cNvPicPr>
                        </pic:nvPicPr>
                        <pic:blipFill>
                          <a:blip r:embed="rId10"/>
                          <a:stretch>
                            <a:fillRect/>
                          </a:stretch>
                        </pic:blipFill>
                        <pic:spPr>
                          <a:xfrm>
                            <a:off x="1059180" y="9893300"/>
                            <a:ext cx="1318260" cy="1219200"/>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DA79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3200*1000*800</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3FF0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4D88B248">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77ACF1C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F149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09C4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E804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6073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3006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08C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15C7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实木组合茶几</w:t>
            </w:r>
          </w:p>
        </w:tc>
        <w:tc>
          <w:tcPr>
            <w:tcW w:w="25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8BB5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70528" behindDoc="0" locked="0" layoutInCell="1" allowOverlap="1">
                  <wp:simplePos x="0" y="0"/>
                  <wp:positionH relativeFrom="column">
                    <wp:posOffset>-24130</wp:posOffset>
                  </wp:positionH>
                  <wp:positionV relativeFrom="paragraph">
                    <wp:posOffset>69850</wp:posOffset>
                  </wp:positionV>
                  <wp:extent cx="1373505" cy="1278255"/>
                  <wp:effectExtent l="0" t="0" r="13335" b="1905"/>
                  <wp:wrapNone/>
                  <wp:docPr id="21" name="图片_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_2_SpCnt_1"/>
                          <pic:cNvPicPr>
                            <a:picLocks noChangeAspect="1"/>
                          </pic:cNvPicPr>
                        </pic:nvPicPr>
                        <pic:blipFill>
                          <a:blip r:embed="rId11"/>
                          <a:stretch>
                            <a:fillRect/>
                          </a:stretch>
                        </pic:blipFill>
                        <pic:spPr>
                          <a:xfrm>
                            <a:off x="1123950" y="11767185"/>
                            <a:ext cx="1373505" cy="1278255"/>
                          </a:xfrm>
                          <a:prstGeom prst="rect">
                            <a:avLst/>
                          </a:prstGeom>
                          <a:noFill/>
                          <a:ln w="9525">
                            <a:noFill/>
                          </a:ln>
                        </pic:spPr>
                      </pic:pic>
                    </a:graphicData>
                  </a:graphic>
                </wp:anchor>
              </w:drawing>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C226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大茶几1250*750*400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小茶几880*500*300</w:t>
            </w:r>
          </w:p>
        </w:tc>
        <w:tc>
          <w:tcPr>
            <w:tcW w:w="6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9B8C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1.基材采用高密度纤维板贴直纹烟熏木皮，环保水性油漆。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2.▲水性油漆符合GB 18581-2020、GB/T 4893.1-2021、GB 30981-2020、GB/T 1725-2007、GB/T 6750-2007、JC/T 1074-2021、GB/T 23999-2009的标准，检测结果：耐冷液200h(蒸馏水)1级，VOC含量、甲醛含量、总铅(Pb)含量等未检出；可溶性重金属含量镉、铬、汞等未检出；乙二醇醚及醚酯总和含量、苯系物总和含量[限苯、甲苯、二甲苯(含乙苯) ]、烷基酚聚氧乙烯醚总和含量等未检出；净化性能：W型-净化效率-I类 (IS)一甲醛≥80%，密度≥1.4g/mL，重金属含量铅、镉、六价铬(Cr⁶+)、汞等未检出。</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EB80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6D4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DA4C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CE5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D3C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3324"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D22F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28"/>
                <w:szCs w:val="28"/>
                <w:highlight w:val="none"/>
                <w:u w:val="none"/>
                <w:lang w:val="en-US" w:eastAsia="zh-CN" w:bidi="ar"/>
              </w:rPr>
              <w:t>项目合计</w:t>
            </w:r>
          </w:p>
        </w:tc>
        <w:tc>
          <w:tcPr>
            <w:tcW w:w="241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12F2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新宋体" w:hAnsi="新宋体" w:eastAsia="新宋体" w:cs="新宋体"/>
                <w:b/>
                <w:bCs/>
                <w:i w:val="0"/>
                <w:iCs w:val="0"/>
                <w:color w:val="000000"/>
                <w:kern w:val="0"/>
                <w:sz w:val="28"/>
                <w:szCs w:val="28"/>
                <w:u w:val="single"/>
                <w:lang w:val="en-US" w:eastAsia="zh-CN" w:bidi="ar"/>
              </w:rPr>
              <w:t>¥         元</w:t>
            </w:r>
          </w:p>
        </w:tc>
      </w:tr>
      <w:tr w14:paraId="075D1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15735"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BD2B9">
            <w:pPr>
              <w:keepNext w:val="0"/>
              <w:keepLines w:val="0"/>
              <w:pageBreakBefore w:val="0"/>
              <w:widowControl/>
              <w:suppressLineNumbers w:val="0"/>
              <w:kinsoku/>
              <w:wordWrap/>
              <w:overflowPunct/>
              <w:topLinePunct w:val="0"/>
              <w:autoSpaceDE/>
              <w:autoSpaceDN/>
              <w:bidi w:val="0"/>
              <w:adjustRightInd/>
              <w:snapToGrid/>
              <w:spacing w:line="240" w:lineRule="atLeast"/>
              <w:ind w:left="0" w:hanging="420" w:hangingChars="200"/>
              <w:jc w:val="left"/>
              <w:textAlignment w:val="center"/>
              <w:rPr>
                <w:rFonts w:hint="default" w:ascii="新宋体" w:hAnsi="新宋体" w:eastAsia="新宋体" w:cs="新宋体"/>
                <w:b/>
                <w:bCs/>
                <w:i w:val="0"/>
                <w:iCs w:val="0"/>
                <w:color w:val="000000"/>
                <w:kern w:val="0"/>
                <w:sz w:val="28"/>
                <w:szCs w:val="28"/>
                <w:u w:val="single"/>
                <w:lang w:val="en-US" w:eastAsia="zh-CN" w:bidi="ar"/>
              </w:rPr>
            </w:pPr>
            <w:r>
              <w:rPr>
                <w:rFonts w:hint="eastAsia"/>
                <w:lang w:val="en-US" w:eastAsia="zh-CN"/>
              </w:rPr>
              <w:t>注：1、上述</w:t>
            </w:r>
            <w:r>
              <w:rPr>
                <w:rFonts w:hint="eastAsia"/>
                <w:sz w:val="21"/>
                <w:szCs w:val="21"/>
                <w:lang w:val="en-US" w:eastAsia="zh-CN"/>
              </w:rPr>
              <w:t>“</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材质要求成交供应商应于合同签订前提供具有CMA标志的检验检测报告扫描件【①检测报告中委托单位为投标人或产品制造商；②上述检验检测报告在全国认证认可信息公共服务平台（认e云）（http://cx.cnca.cn/）的信息查询记录截图。】，否则</w:t>
            </w:r>
            <w:r>
              <w:rPr>
                <w:rFonts w:hint="eastAsia"/>
                <w:lang w:val="en-US" w:eastAsia="zh-CN"/>
              </w:rPr>
              <w:t>采购人有权取消成交人中标资格并要求成交人承担违约责任。</w:t>
            </w:r>
            <w:r>
              <w:rPr>
                <w:rFonts w:hint="eastAsia"/>
                <w:lang w:val="en-US" w:eastAsia="zh-CN"/>
              </w:rPr>
              <w:br w:type="textWrapping"/>
            </w:r>
            <w:r>
              <w:rPr>
                <w:rFonts w:hint="eastAsia"/>
                <w:lang w:val="en-US" w:eastAsia="zh-CN"/>
              </w:rPr>
              <w:t>2、上述报价为采购人应付的全部费用（含税），合计</w:t>
            </w:r>
            <w:r>
              <w:rPr>
                <w:rFonts w:hint="eastAsia"/>
                <w:b/>
                <w:bCs/>
                <w:u w:val="single"/>
                <w:lang w:val="en-US" w:eastAsia="zh-CN"/>
              </w:rPr>
              <w:t>¥xxxxx元</w:t>
            </w:r>
            <w:r>
              <w:rPr>
                <w:rFonts w:hint="eastAsia"/>
                <w:lang w:val="en-US" w:eastAsia="zh-CN"/>
              </w:rPr>
              <w:t>(大写人民币:</w:t>
            </w:r>
            <w:r>
              <w:rPr>
                <w:rFonts w:hint="eastAsia"/>
                <w:b/>
                <w:bCs/>
                <w:u w:val="single"/>
                <w:lang w:val="en-US" w:eastAsia="zh-CN"/>
              </w:rPr>
              <w:t>xxxxxx元</w:t>
            </w:r>
            <w:r>
              <w:rPr>
                <w:rFonts w:hint="eastAsia"/>
                <w:lang w:val="en-US" w:eastAsia="zh-CN"/>
              </w:rPr>
              <w:t>)。</w:t>
            </w:r>
          </w:p>
        </w:tc>
      </w:tr>
    </w:tbl>
    <w:p w14:paraId="4A079A1F"/>
    <w:p w14:paraId="4B4056AB">
      <w:pPr>
        <w:pStyle w:val="2"/>
        <w:sectPr>
          <w:pgSz w:w="16840" w:h="11907" w:orient="landscape"/>
          <w:pgMar w:top="567" w:right="567" w:bottom="510" w:left="567" w:header="851" w:footer="1191" w:gutter="0"/>
          <w:cols w:space="720" w:num="1"/>
          <w:docGrid w:type="linesAndChars" w:linePitch="332" w:charSpace="0"/>
        </w:sectPr>
      </w:pPr>
    </w:p>
    <w:p w14:paraId="2D8872D7">
      <w:pPr>
        <w:pStyle w:val="37"/>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二 </w:t>
      </w:r>
      <w:r>
        <w:rPr>
          <w:rFonts w:hint="eastAsia" w:eastAsia="黑体"/>
          <w:color w:val="auto"/>
          <w:sz w:val="28"/>
          <w:szCs w:val="44"/>
          <w:highlight w:val="none"/>
        </w:rPr>
        <w:t>法人证明</w:t>
      </w:r>
    </w:p>
    <w:p w14:paraId="627FE652">
      <w:pPr>
        <w:pStyle w:val="37"/>
        <w:ind w:firstLine="0" w:firstLineChars="0"/>
        <w:jc w:val="left"/>
        <w:rPr>
          <w:rFonts w:eastAsia="黑体"/>
          <w:color w:val="auto"/>
          <w:sz w:val="28"/>
          <w:szCs w:val="44"/>
          <w:highlight w:val="none"/>
        </w:rPr>
      </w:pPr>
    </w:p>
    <w:p w14:paraId="409CF09F">
      <w:pPr>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09227A4C">
      <w:pPr>
        <w:rPr>
          <w:rFonts w:eastAsia="仿宋_GB2312"/>
          <w:color w:val="auto"/>
          <w:sz w:val="32"/>
          <w:szCs w:val="32"/>
          <w:highlight w:val="none"/>
        </w:rPr>
      </w:pPr>
    </w:p>
    <w:p w14:paraId="0AF02C7B">
      <w:pPr>
        <w:rPr>
          <w:rFonts w:eastAsia="仿宋_GB2312"/>
          <w:color w:val="auto"/>
          <w:sz w:val="32"/>
          <w:szCs w:val="32"/>
          <w:highlight w:val="none"/>
        </w:rPr>
      </w:pPr>
      <w:r>
        <w:rPr>
          <w:rFonts w:hint="eastAsia" w:eastAsia="仿宋_GB2312"/>
          <w:color w:val="auto"/>
          <w:sz w:val="32"/>
          <w:szCs w:val="32"/>
          <w:highlight w:val="none"/>
          <w:u w:val="single"/>
          <w:lang w:val="en-US" w:eastAsia="zh-CN"/>
        </w:rPr>
        <w:t>东莞市能源投资集团有限公司</w:t>
      </w:r>
      <w:r>
        <w:rPr>
          <w:rFonts w:hint="eastAsia" w:eastAsia="仿宋_GB2312"/>
          <w:color w:val="auto"/>
          <w:sz w:val="32"/>
          <w:szCs w:val="32"/>
          <w:highlight w:val="none"/>
        </w:rPr>
        <w:t>：</w:t>
      </w:r>
    </w:p>
    <w:p w14:paraId="113C9FC4">
      <w:pPr>
        <w:pStyle w:val="36"/>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本证明书声明：注册于（国家名称）的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（响应人名称）在下面签字的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（法定代表人姓名、职务）为本公司的合法代表人（</w:t>
      </w:r>
      <w:r>
        <w:rPr>
          <w:rFonts w:hint="eastAsia" w:ascii="Times New Roman" w:hAnsi="Times New Roman"/>
          <w:b/>
          <w:bCs/>
          <w:color w:val="auto"/>
          <w:sz w:val="32"/>
          <w:szCs w:val="32"/>
          <w:highlight w:val="none"/>
        </w:rPr>
        <w:t>须附法定代表人身份证复印件</w:t>
      </w:r>
      <w:r>
        <w:rPr>
          <w:rFonts w:hint="eastAsia" w:ascii="Times New Roman" w:hAnsi="Times New Roman"/>
          <w:color w:val="auto"/>
          <w:sz w:val="32"/>
          <w:szCs w:val="32"/>
          <w:highlight w:val="none"/>
        </w:rPr>
        <w:t>）。</w:t>
      </w:r>
    </w:p>
    <w:p w14:paraId="54609FC0">
      <w:pPr>
        <w:spacing w:line="600" w:lineRule="exact"/>
        <w:ind w:firstLine="480" w:firstLineChars="150"/>
        <w:rPr>
          <w:rFonts w:eastAsia="仿宋_GB2312"/>
          <w:color w:val="auto"/>
          <w:sz w:val="32"/>
          <w:szCs w:val="32"/>
          <w:highlight w:val="none"/>
        </w:rPr>
      </w:pPr>
      <w:r>
        <w:rPr>
          <w:rFonts w:hint="eastAsia" w:eastAsia="仿宋_GB2312"/>
          <w:color w:val="auto"/>
          <w:sz w:val="32"/>
          <w:szCs w:val="32"/>
          <w:highlight w:val="none"/>
        </w:rPr>
        <w:t>特此证明</w:t>
      </w:r>
    </w:p>
    <w:p w14:paraId="321F6D33">
      <w:pPr>
        <w:spacing w:line="600" w:lineRule="exact"/>
        <w:rPr>
          <w:rFonts w:eastAsia="仿宋_GB2312"/>
          <w:color w:val="auto"/>
          <w:sz w:val="32"/>
          <w:szCs w:val="32"/>
          <w:highlight w:val="none"/>
        </w:rPr>
      </w:pPr>
    </w:p>
    <w:p w14:paraId="059C7CB6">
      <w:pPr>
        <w:spacing w:line="600" w:lineRule="exact"/>
        <w:rPr>
          <w:rFonts w:eastAsia="仿宋_GB2312"/>
          <w:color w:val="auto"/>
          <w:sz w:val="32"/>
          <w:szCs w:val="32"/>
          <w:highlight w:val="none"/>
        </w:rPr>
      </w:pPr>
    </w:p>
    <w:p w14:paraId="58D6201B">
      <w:pPr>
        <w:spacing w:line="600" w:lineRule="exact"/>
        <w:rPr>
          <w:rFonts w:eastAsia="仿宋_GB2312"/>
          <w:color w:val="auto"/>
          <w:sz w:val="32"/>
          <w:szCs w:val="32"/>
          <w:highlight w:val="none"/>
        </w:rPr>
      </w:pPr>
    </w:p>
    <w:p w14:paraId="403B321F">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734C3E99">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01B3012D">
      <w:pPr>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62E1D917">
      <w:pPr>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03E60060">
      <w:pPr>
        <w:rPr>
          <w:rFonts w:eastAsia="仿宋_GB2312"/>
          <w:color w:val="auto"/>
          <w:sz w:val="32"/>
          <w:szCs w:val="32"/>
          <w:highlight w:val="none"/>
        </w:rPr>
      </w:pPr>
    </w:p>
    <w:p w14:paraId="4F57510B">
      <w:pPr>
        <w:widowControl/>
        <w:jc w:val="both"/>
        <w:rPr>
          <w:rFonts w:eastAsia="黑体"/>
          <w:color w:val="auto"/>
          <w:sz w:val="28"/>
          <w:szCs w:val="44"/>
          <w:highlight w:val="none"/>
        </w:rPr>
      </w:pPr>
      <w:r>
        <w:rPr>
          <w:rFonts w:eastAsia="仿宋_GB2312"/>
          <w:color w:val="auto"/>
          <w:sz w:val="32"/>
          <w:szCs w:val="32"/>
          <w:highlight w:val="none"/>
        </w:rPr>
        <w:br w:type="page"/>
      </w:r>
      <w:bookmarkStart w:id="4" w:name="_Toc384752807"/>
      <w:bookmarkStart w:id="5" w:name="_Hlk40704362"/>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三 </w:t>
      </w:r>
      <w:r>
        <w:rPr>
          <w:rFonts w:hint="eastAsia" w:eastAsia="黑体"/>
          <w:color w:val="auto"/>
          <w:sz w:val="28"/>
          <w:szCs w:val="44"/>
          <w:highlight w:val="none"/>
        </w:rPr>
        <w:t>法人授权书</w:t>
      </w:r>
    </w:p>
    <w:p w14:paraId="32771B97">
      <w:pPr>
        <w:widowControl/>
        <w:jc w:val="center"/>
        <w:rPr>
          <w:rFonts w:eastAsia="仿宋_GB2312"/>
          <w:b/>
          <w:color w:val="auto"/>
          <w:sz w:val="32"/>
          <w:szCs w:val="32"/>
          <w:highlight w:val="none"/>
        </w:rPr>
      </w:pPr>
    </w:p>
    <w:p w14:paraId="0A893C08">
      <w:pPr>
        <w:widowControl/>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4"/>
    </w:p>
    <w:p w14:paraId="7C73251E">
      <w:pPr>
        <w:pStyle w:val="36"/>
        <w:ind w:firstLine="0" w:firstLineChars="0"/>
        <w:rPr>
          <w:rFonts w:ascii="Times New Roman" w:hAnsi="Times New Roman"/>
          <w:color w:val="auto"/>
          <w:sz w:val="32"/>
          <w:szCs w:val="32"/>
          <w:highlight w:val="none"/>
        </w:rPr>
      </w:pPr>
    </w:p>
    <w:p w14:paraId="292F53E3">
      <w:pPr>
        <w:rPr>
          <w:rFonts w:eastAsia="仿宋_GB2312"/>
          <w:color w:val="auto"/>
          <w:sz w:val="32"/>
          <w:szCs w:val="32"/>
          <w:highlight w:val="none"/>
        </w:rPr>
      </w:pPr>
      <w:r>
        <w:rPr>
          <w:rFonts w:hint="eastAsia" w:eastAsia="仿宋_GB2312"/>
          <w:color w:val="auto"/>
          <w:sz w:val="32"/>
          <w:szCs w:val="32"/>
          <w:highlight w:val="none"/>
          <w:u w:val="single"/>
        </w:rPr>
        <w:t>东莞市能源投资集团有限公司</w:t>
      </w:r>
      <w:r>
        <w:rPr>
          <w:rFonts w:hint="eastAsia" w:eastAsia="仿宋_GB2312"/>
          <w:color w:val="auto"/>
          <w:sz w:val="32"/>
          <w:szCs w:val="32"/>
          <w:highlight w:val="none"/>
        </w:rPr>
        <w:t>：</w:t>
      </w:r>
    </w:p>
    <w:p w14:paraId="40D4AB67">
      <w:pPr>
        <w:pStyle w:val="36"/>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eastAsia="仿宋_GB2312"/>
          <w:color w:val="auto"/>
          <w:sz w:val="32"/>
          <w:szCs w:val="32"/>
          <w:highlight w:val="none"/>
          <w:u w:val="single"/>
          <w:lang w:val="en-US" w:eastAsia="zh-CN"/>
        </w:rPr>
        <w:t>东莞能源集团二楼公共区域办公家具采购</w:t>
      </w:r>
      <w:r>
        <w:rPr>
          <w:rFonts w:hint="eastAsia"/>
          <w:color w:val="auto"/>
          <w:sz w:val="32"/>
          <w:szCs w:val="32"/>
          <w:highlight w:val="none"/>
        </w:rPr>
        <w:t>项目</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5B6696A1">
      <w:pPr>
        <w:pStyle w:val="36"/>
        <w:ind w:firstLine="659"/>
        <w:rPr>
          <w:rFonts w:ascii="Times New Roman" w:hAnsi="Times New Roman"/>
          <w:color w:val="auto"/>
          <w:sz w:val="32"/>
          <w:szCs w:val="32"/>
          <w:highlight w:val="none"/>
        </w:rPr>
      </w:pPr>
    </w:p>
    <w:p w14:paraId="2A99E995">
      <w:pPr>
        <w:pStyle w:val="36"/>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本委托书于年月日至年月日签字生效，有效期与询价有效期一致，特此声明。</w:t>
      </w:r>
    </w:p>
    <w:p w14:paraId="249AD6EF">
      <w:pPr>
        <w:pStyle w:val="36"/>
        <w:ind w:firstLine="659"/>
        <w:rPr>
          <w:rFonts w:ascii="Times New Roman" w:hAnsi="Times New Roman"/>
          <w:color w:val="auto"/>
          <w:sz w:val="32"/>
          <w:szCs w:val="32"/>
          <w:highlight w:val="none"/>
        </w:rPr>
      </w:pPr>
    </w:p>
    <w:p w14:paraId="70285DF6">
      <w:pPr>
        <w:pStyle w:val="36"/>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7BE00590">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4224F5A4">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352D9452">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02856FBF">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321E863F">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0FF09354">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5"/>
    <w:p w14:paraId="1B3C5115">
      <w:pPr>
        <w:pStyle w:val="37"/>
        <w:ind w:firstLine="0" w:firstLineChars="0"/>
        <w:jc w:val="left"/>
        <w:outlineLvl w:val="1"/>
        <w:rPr>
          <w:rFonts w:eastAsia="黑体"/>
          <w:color w:val="auto"/>
          <w:sz w:val="28"/>
          <w:szCs w:val="44"/>
          <w:highlight w:val="none"/>
        </w:rPr>
      </w:pPr>
      <w:r>
        <w:rPr>
          <w:color w:val="auto"/>
          <w:sz w:val="32"/>
          <w:szCs w:val="32"/>
          <w:highlight w:val="none"/>
        </w:rPr>
        <w:br w:type="page"/>
      </w: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四 </w:t>
      </w:r>
      <w:r>
        <w:rPr>
          <w:rFonts w:hint="eastAsia" w:eastAsia="黑体"/>
          <w:color w:val="auto"/>
          <w:sz w:val="28"/>
          <w:szCs w:val="44"/>
          <w:highlight w:val="none"/>
        </w:rPr>
        <w:t>承诺函</w:t>
      </w:r>
    </w:p>
    <w:p w14:paraId="1415BD7D">
      <w:pPr>
        <w:pStyle w:val="37"/>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承诺函</w:t>
      </w:r>
    </w:p>
    <w:p w14:paraId="1B4A74B8">
      <w:pPr>
        <w:rPr>
          <w:rFonts w:eastAsia="仿宋_GB2312"/>
          <w:color w:val="auto"/>
          <w:sz w:val="32"/>
          <w:szCs w:val="32"/>
          <w:highlight w:val="none"/>
        </w:rPr>
      </w:pPr>
      <w:r>
        <w:rPr>
          <w:rFonts w:hint="eastAsia" w:eastAsia="仿宋_GB2312"/>
          <w:color w:val="auto"/>
          <w:sz w:val="32"/>
          <w:szCs w:val="32"/>
          <w:highlight w:val="none"/>
          <w:u w:val="single"/>
        </w:rPr>
        <w:t>东莞市能源投资集团有限公司</w:t>
      </w:r>
      <w:r>
        <w:rPr>
          <w:rFonts w:hint="eastAsia" w:eastAsia="仿宋_GB2312"/>
          <w:color w:val="auto"/>
          <w:sz w:val="32"/>
          <w:szCs w:val="32"/>
          <w:highlight w:val="none"/>
        </w:rPr>
        <w:t>：</w:t>
      </w:r>
    </w:p>
    <w:p w14:paraId="3D2CB5A9">
      <w:pPr>
        <w:pStyle w:val="36"/>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rFonts w:hint="eastAsia" w:eastAsia="仿宋_GB2312"/>
          <w:color w:val="auto"/>
          <w:sz w:val="32"/>
          <w:szCs w:val="32"/>
          <w:highlight w:val="none"/>
          <w:u w:val="single"/>
          <w:lang w:val="en-US" w:eastAsia="zh-CN"/>
        </w:rPr>
        <w:t>东莞能源集团二楼公共区域办公家具采购</w:t>
      </w:r>
      <w:r>
        <w:rPr>
          <w:rFonts w:hint="eastAsia"/>
          <w:color w:val="auto"/>
          <w:sz w:val="32"/>
          <w:szCs w:val="32"/>
          <w:highlight w:val="none"/>
        </w:rPr>
        <w:t>项目</w:t>
      </w:r>
      <w:r>
        <w:rPr>
          <w:rFonts w:hint="eastAsia" w:ascii="Times New Roman" w:hAnsi="Times New Roman"/>
          <w:color w:val="auto"/>
          <w:sz w:val="32"/>
          <w:szCs w:val="32"/>
          <w:highlight w:val="none"/>
        </w:rPr>
        <w:t>投标工作，作出以下承诺：</w:t>
      </w:r>
    </w:p>
    <w:p w14:paraId="71FA706F">
      <w:pPr>
        <w:pStyle w:val="36"/>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color w:val="auto"/>
          <w:sz w:val="32"/>
          <w:szCs w:val="32"/>
          <w:highlight w:val="none"/>
          <w:u w:val="single"/>
        </w:rPr>
        <w:t xml:space="preserve">      </w:t>
      </w:r>
      <w:r>
        <w:rPr>
          <w:rFonts w:hint="eastAsia"/>
          <w:color w:val="auto"/>
          <w:sz w:val="32"/>
          <w:szCs w:val="32"/>
          <w:highlight w:val="none"/>
          <w:u w:val="single"/>
        </w:rPr>
        <w:t>（服务内容）</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0482E1CD">
      <w:pPr>
        <w:pStyle w:val="36"/>
        <w:ind w:firstLine="659"/>
        <w:rPr>
          <w:rFonts w:ascii="Times New Roman" w:hAnsi="Times New Roman"/>
          <w:color w:val="auto"/>
          <w:sz w:val="32"/>
          <w:szCs w:val="32"/>
          <w:highlight w:val="none"/>
        </w:rPr>
      </w:pPr>
    </w:p>
    <w:p w14:paraId="09B409E7">
      <w:pPr>
        <w:pStyle w:val="36"/>
        <w:ind w:firstLine="0" w:firstLineChars="0"/>
        <w:jc w:val="left"/>
        <w:rPr>
          <w:rFonts w:ascii="Times New Roman" w:hAnsi="Times New Roman"/>
          <w:color w:val="auto"/>
          <w:sz w:val="32"/>
          <w:szCs w:val="32"/>
          <w:highlight w:val="none"/>
        </w:rPr>
      </w:pPr>
    </w:p>
    <w:p w14:paraId="703FE497">
      <w:pPr>
        <w:jc w:val="left"/>
        <w:rPr>
          <w:rFonts w:eastAsia="仿宋"/>
          <w:color w:val="auto"/>
          <w:sz w:val="32"/>
          <w:szCs w:val="32"/>
          <w:highlight w:val="none"/>
        </w:rPr>
      </w:pPr>
    </w:p>
    <w:p w14:paraId="23F37421">
      <w:pPr>
        <w:jc w:val="left"/>
        <w:rPr>
          <w:rFonts w:eastAsia="仿宋"/>
          <w:color w:val="auto"/>
          <w:sz w:val="32"/>
          <w:szCs w:val="32"/>
          <w:highlight w:val="none"/>
        </w:rPr>
      </w:pPr>
    </w:p>
    <w:p w14:paraId="5B89022F">
      <w:pPr>
        <w:jc w:val="left"/>
        <w:rPr>
          <w:rFonts w:eastAsia="仿宋"/>
          <w:color w:val="auto"/>
          <w:sz w:val="32"/>
          <w:szCs w:val="32"/>
          <w:highlight w:val="none"/>
        </w:rPr>
      </w:pPr>
    </w:p>
    <w:p w14:paraId="4267935B">
      <w:pPr>
        <w:pStyle w:val="36"/>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4BF849FE">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1237D0B5">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4DE2AC1A">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27CFF865">
      <w:pPr>
        <w:pStyle w:val="36"/>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p w14:paraId="7E27981F">
      <w:pPr>
        <w:pStyle w:val="36"/>
        <w:ind w:firstLine="0" w:firstLineChars="0"/>
        <w:jc w:val="left"/>
        <w:rPr>
          <w:rFonts w:ascii="Times New Roman" w:hAnsi="Times New Roman"/>
          <w:color w:val="auto"/>
          <w:sz w:val="32"/>
          <w:szCs w:val="32"/>
          <w:highlight w:val="none"/>
        </w:rPr>
      </w:pPr>
    </w:p>
    <w:p w14:paraId="7D8E9E05">
      <w:pPr>
        <w:pStyle w:val="36"/>
        <w:ind w:firstLine="0" w:firstLineChars="0"/>
        <w:jc w:val="left"/>
        <w:rPr>
          <w:rFonts w:ascii="Times New Roman" w:hAnsi="Times New Roman"/>
          <w:color w:val="auto"/>
          <w:sz w:val="32"/>
          <w:szCs w:val="32"/>
          <w:highlight w:val="none"/>
        </w:rPr>
      </w:pPr>
    </w:p>
    <w:p w14:paraId="2E69DE2B">
      <w:pPr>
        <w:rPr>
          <w:color w:val="auto"/>
          <w:highlight w:val="none"/>
        </w:rPr>
      </w:pPr>
    </w:p>
    <w:p w14:paraId="7F6AE827">
      <w:pPr>
        <w:widowControl/>
        <w:jc w:val="left"/>
        <w:rPr>
          <w:rFonts w:eastAsia="黑体"/>
          <w:color w:val="auto"/>
          <w:sz w:val="28"/>
          <w:szCs w:val="44"/>
          <w:highlight w:val="none"/>
        </w:rPr>
      </w:pPr>
    </w:p>
    <w:p w14:paraId="309E35D0">
      <w:pPr>
        <w:pStyle w:val="37"/>
        <w:ind w:firstLine="0" w:firstLineChars="0"/>
        <w:jc w:val="left"/>
        <w:outlineLvl w:val="1"/>
        <w:rPr>
          <w:rFonts w:hint="eastAsia" w:eastAsia="黑体"/>
          <w:color w:val="auto"/>
          <w:sz w:val="28"/>
          <w:szCs w:val="44"/>
          <w:highlight w:val="none"/>
        </w:rPr>
        <w:sectPr>
          <w:pgSz w:w="11907" w:h="16840"/>
          <w:pgMar w:top="1531" w:right="1588" w:bottom="1418" w:left="1418" w:header="851" w:footer="1191" w:gutter="0"/>
          <w:cols w:space="720" w:num="1"/>
          <w:docGrid w:type="linesAndChars" w:linePitch="332" w:charSpace="0"/>
        </w:sectPr>
      </w:pPr>
      <w:bookmarkStart w:id="6" w:name="_Hlk40704598"/>
    </w:p>
    <w:p w14:paraId="1D22B47B">
      <w:pPr>
        <w:pStyle w:val="37"/>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五 </w:t>
      </w:r>
      <w:r>
        <w:rPr>
          <w:rFonts w:hint="eastAsia" w:eastAsia="黑体"/>
          <w:color w:val="auto"/>
          <w:sz w:val="28"/>
          <w:szCs w:val="44"/>
          <w:highlight w:val="none"/>
        </w:rPr>
        <w:t>用户需求书</w:t>
      </w:r>
      <w:r>
        <w:rPr>
          <w:rFonts w:eastAsia="黑体"/>
          <w:color w:val="auto"/>
          <w:sz w:val="28"/>
          <w:szCs w:val="44"/>
          <w:highlight w:val="none"/>
        </w:rPr>
        <w:t>/</w:t>
      </w:r>
      <w:r>
        <w:rPr>
          <w:rFonts w:hint="eastAsia" w:eastAsia="黑体"/>
          <w:color w:val="auto"/>
          <w:sz w:val="28"/>
          <w:szCs w:val="44"/>
          <w:highlight w:val="none"/>
        </w:rPr>
        <w:t>技术规范书</w:t>
      </w:r>
    </w:p>
    <w:p w14:paraId="718B866C">
      <w:pPr>
        <w:pStyle w:val="37"/>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用户需求书</w:t>
      </w:r>
      <w:r>
        <w:rPr>
          <w:rFonts w:eastAsia="仿宋_GB2312"/>
          <w:b/>
          <w:color w:val="auto"/>
          <w:sz w:val="32"/>
          <w:szCs w:val="32"/>
          <w:highlight w:val="none"/>
        </w:rPr>
        <w:t>/</w:t>
      </w:r>
      <w:r>
        <w:rPr>
          <w:rFonts w:hint="eastAsia" w:eastAsia="仿宋_GB2312"/>
          <w:b/>
          <w:color w:val="auto"/>
          <w:sz w:val="32"/>
          <w:szCs w:val="32"/>
          <w:highlight w:val="none"/>
        </w:rPr>
        <w:t>技术规范书</w:t>
      </w:r>
    </w:p>
    <w:tbl>
      <w:tblPr>
        <w:tblStyle w:val="18"/>
        <w:tblW w:w="1404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713"/>
        <w:gridCol w:w="2489"/>
        <w:gridCol w:w="1027"/>
        <w:gridCol w:w="7730"/>
        <w:gridCol w:w="660"/>
        <w:gridCol w:w="713"/>
      </w:tblGrid>
      <w:tr w14:paraId="1BE0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blHeader/>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5E0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DD5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型号</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794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图片</w:t>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CC0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3A4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材质介绍</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E3A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997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数量</w:t>
            </w:r>
          </w:p>
        </w:tc>
      </w:tr>
      <w:tr w14:paraId="6BC51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24F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788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1+1+3组合沙发</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5CD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-61595</wp:posOffset>
                  </wp:positionH>
                  <wp:positionV relativeFrom="paragraph">
                    <wp:posOffset>-26035</wp:posOffset>
                  </wp:positionV>
                  <wp:extent cx="1546225" cy="851535"/>
                  <wp:effectExtent l="0" t="0" r="8255" b="1905"/>
                  <wp:wrapNone/>
                  <wp:docPr id="7"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_2"/>
                          <pic:cNvPicPr>
                            <a:picLocks noChangeAspect="1"/>
                          </pic:cNvPicPr>
                        </pic:nvPicPr>
                        <pic:blipFill>
                          <a:blip r:embed="rId5"/>
                          <a:stretch>
                            <a:fillRect/>
                          </a:stretch>
                        </pic:blipFill>
                        <pic:spPr>
                          <a:xfrm>
                            <a:off x="1072515" y="988695"/>
                            <a:ext cx="1546225" cy="851535"/>
                          </a:xfrm>
                          <a:prstGeom prst="rect">
                            <a:avLst/>
                          </a:prstGeom>
                          <a:noFill/>
                          <a:ln w="9525">
                            <a:noFill/>
                          </a:ln>
                        </pic:spPr>
                      </pic:pic>
                    </a:graphicData>
                  </a:graphic>
                </wp:anchor>
              </w:drawing>
            </w: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1247775</wp:posOffset>
                  </wp:positionV>
                  <wp:extent cx="1092200" cy="996315"/>
                  <wp:effectExtent l="0" t="0" r="5080" b="9525"/>
                  <wp:wrapNone/>
                  <wp:docPr id="8"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_3"/>
                          <pic:cNvPicPr>
                            <a:picLocks noChangeAspect="1"/>
                          </pic:cNvPicPr>
                        </pic:nvPicPr>
                        <pic:blipFill>
                          <a:blip r:embed="rId6"/>
                          <a:stretch>
                            <a:fillRect/>
                          </a:stretch>
                        </pic:blipFill>
                        <pic:spPr>
                          <a:xfrm>
                            <a:off x="1311910" y="2004695"/>
                            <a:ext cx="1092200" cy="996315"/>
                          </a:xfrm>
                          <a:prstGeom prst="rect">
                            <a:avLst/>
                          </a:prstGeom>
                          <a:noFill/>
                          <a:ln w="9525">
                            <a:noFill/>
                          </a:ln>
                        </pic:spPr>
                      </pic:pic>
                    </a:graphicData>
                  </a:graphic>
                </wp:anchor>
              </w:drawing>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13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3620*1630*680</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F642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3D54C48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2246F173">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default"/>
                <w:lang w:val="en-US"/>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538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6C1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1B2AF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87C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50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岩板茶几</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751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0288" behindDoc="0" locked="0" layoutInCell="1" allowOverlap="1">
                  <wp:simplePos x="0" y="0"/>
                  <wp:positionH relativeFrom="column">
                    <wp:posOffset>1270</wp:posOffset>
                  </wp:positionH>
                  <wp:positionV relativeFrom="paragraph">
                    <wp:posOffset>158750</wp:posOffset>
                  </wp:positionV>
                  <wp:extent cx="1285240" cy="922020"/>
                  <wp:effectExtent l="0" t="0" r="10160" b="7620"/>
                  <wp:wrapNone/>
                  <wp:docPr id="9"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10"/>
                          <pic:cNvPicPr>
                            <a:picLocks noChangeAspect="1"/>
                          </pic:cNvPicPr>
                        </pic:nvPicPr>
                        <pic:blipFill>
                          <a:blip r:embed="rId7"/>
                          <a:stretch>
                            <a:fillRect/>
                          </a:stretch>
                        </pic:blipFill>
                        <pic:spPr>
                          <a:xfrm>
                            <a:off x="1129030" y="3530600"/>
                            <a:ext cx="1285240" cy="922020"/>
                          </a:xfrm>
                          <a:prstGeom prst="rect">
                            <a:avLst/>
                          </a:prstGeom>
                          <a:noFill/>
                          <a:ln w="9525">
                            <a:noFill/>
                          </a:ln>
                        </pic:spPr>
                      </pic:pic>
                    </a:graphicData>
                  </a:graphic>
                </wp:anchor>
              </w:drawing>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224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φ800*360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φ600*410</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272B2">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r>
              <w:rPr>
                <w:rFonts w:hint="eastAsia" w:ascii="宋体" w:hAnsi="宋体" w:eastAsia="宋体" w:cs="宋体"/>
                <w:i w:val="0"/>
                <w:iCs w:val="0"/>
                <w:color w:val="auto"/>
                <w:kern w:val="0"/>
                <w:sz w:val="18"/>
                <w:szCs w:val="18"/>
                <w:highlight w:val="none"/>
                <w:u w:val="none"/>
                <w:lang w:val="en-US" w:eastAsia="zh-CN" w:bidi="ar"/>
              </w:rPr>
              <w:t>基材：采用12mm无毒无醛的岩板面,健康安全， 耐高温，防火，性能稳定，不开裂、不变形，耐刮，抗油污易清洁，吸水率低于0.05%，防水抗霉菌抗重压韧性强抗霜冻。 稳定的色彩，抗UV，不会受光照影响而变。</w:t>
            </w:r>
          </w:p>
          <w:p w14:paraId="0F31404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zh-CN" w:bidi="ar"/>
              </w:rPr>
              <w:t>配件：采用品牌优质冷轧钢管，表面静电粉末喷涂钢制处理，钢材焊接，经过打磨、树脂高温固化等工艺。表面呈磨砂、黑色哑光工艺。抗氧化能力强。层无漏喷、锈蚀和脱色、掉色现象，涂层 光滑均匀、色泽一致，无流挂、疙瘩、飞漆等缺陷。</w:t>
            </w:r>
          </w:p>
          <w:p w14:paraId="7A3F538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3.</w:t>
            </w:r>
            <w:r>
              <w:rPr>
                <w:rFonts w:hint="eastAsia" w:ascii="宋体" w:hAnsi="宋体" w:eastAsia="宋体" w:cs="宋体"/>
                <w:i w:val="0"/>
                <w:iCs w:val="0"/>
                <w:color w:val="auto"/>
                <w:kern w:val="0"/>
                <w:sz w:val="18"/>
                <w:szCs w:val="18"/>
                <w:highlight w:val="none"/>
                <w:u w:val="none"/>
                <w:lang w:val="en-US" w:eastAsia="zh-CN" w:bidi="ar"/>
              </w:rPr>
              <w:t>▲冷轧钢板符合GB/T 3325-2024、GB/T 11253-2019、GB/T 228.1-2010、GB/T 32660.1-2016、JB/T 7901-2023、GB/T 6402-2024的标准，产品表面理化性能，金属喷漆(塑)涂层附着力0级；力学性能，下屈服强度ReL≥235MPa；韦氏硬度≥13HWB；均匀腐蚀全浸试验，0.9%氯化钠溶液，常温，均匀腐蚀24h≤0.08mm/a；超声检测未发现缺陷。</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2F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组</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299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4EB1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DC4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DB6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单人位沙发</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0A1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1312" behindDoc="0" locked="0" layoutInCell="1" allowOverlap="1">
                  <wp:simplePos x="0" y="0"/>
                  <wp:positionH relativeFrom="column">
                    <wp:posOffset>28575</wp:posOffset>
                  </wp:positionH>
                  <wp:positionV relativeFrom="paragraph">
                    <wp:posOffset>569595</wp:posOffset>
                  </wp:positionV>
                  <wp:extent cx="1151890" cy="981075"/>
                  <wp:effectExtent l="0" t="0" r="6350" b="9525"/>
                  <wp:wrapNone/>
                  <wp:docPr id="10" name="图片_3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3_SpCnt_1"/>
                          <pic:cNvPicPr>
                            <a:picLocks noChangeAspect="1"/>
                          </pic:cNvPicPr>
                        </pic:nvPicPr>
                        <pic:blipFill>
                          <a:blip r:embed="rId8"/>
                          <a:stretch>
                            <a:fillRect/>
                          </a:stretch>
                        </pic:blipFill>
                        <pic:spPr>
                          <a:xfrm>
                            <a:off x="1287145" y="5511800"/>
                            <a:ext cx="1151890" cy="981075"/>
                          </a:xfrm>
                          <a:prstGeom prst="rect">
                            <a:avLst/>
                          </a:prstGeom>
                          <a:noFill/>
                          <a:ln w="9525">
                            <a:noFill/>
                          </a:ln>
                        </pic:spPr>
                      </pic:pic>
                    </a:graphicData>
                  </a:graphic>
                </wp:anchor>
              </w:drawing>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5D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770*860*740</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C4FD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p>
          <w:p w14:paraId="07B11DA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62189F8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p>
          <w:p w14:paraId="6660130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729AFCC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9B2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AFB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r>
      <w:tr w14:paraId="46FE7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8"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345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29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沙发长凳</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666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2336" behindDoc="0" locked="0" layoutInCell="1" allowOverlap="1">
                  <wp:simplePos x="0" y="0"/>
                  <wp:positionH relativeFrom="column">
                    <wp:posOffset>32385</wp:posOffset>
                  </wp:positionH>
                  <wp:positionV relativeFrom="paragraph">
                    <wp:posOffset>529590</wp:posOffset>
                  </wp:positionV>
                  <wp:extent cx="1256030" cy="885825"/>
                  <wp:effectExtent l="0" t="0" r="8890" b="13335"/>
                  <wp:wrapNone/>
                  <wp:docPr id="11"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1"/>
                          <pic:cNvPicPr>
                            <a:picLocks noChangeAspect="1"/>
                          </pic:cNvPicPr>
                        </pic:nvPicPr>
                        <pic:blipFill>
                          <a:blip r:embed="rId9"/>
                          <a:stretch>
                            <a:fillRect/>
                          </a:stretch>
                        </pic:blipFill>
                        <pic:spPr>
                          <a:xfrm>
                            <a:off x="1160145" y="7731125"/>
                            <a:ext cx="1256030" cy="885825"/>
                          </a:xfrm>
                          <a:prstGeom prst="rect">
                            <a:avLst/>
                          </a:prstGeom>
                          <a:noFill/>
                          <a:ln w="9525">
                            <a:noFill/>
                          </a:ln>
                        </pic:spPr>
                      </pic:pic>
                    </a:graphicData>
                  </a:graphic>
                </wp:anchor>
              </w:drawing>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5FC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1400W*500D*450H</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4E24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39507-2020的标准，检测结果：气味≤3级；禁用偶氮染料未检出；游离甲醛(甲醛含量 )≤20mg/kg；耐水色牢度变色4-5级，沾色4-5级；耐磨性能10万次。</w:t>
            </w:r>
          </w:p>
          <w:p w14:paraId="5D604638">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5F1EA233">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D48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62C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75556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4041" w:type="dxa"/>
            <w:gridSpan w:val="7"/>
            <w:tcBorders>
              <w:top w:val="single" w:color="000000" w:sz="4" w:space="0"/>
              <w:left w:val="nil"/>
              <w:bottom w:val="nil"/>
              <w:right w:val="nil"/>
            </w:tcBorders>
            <w:shd w:val="clear" w:color="auto" w:fill="FFFFFF"/>
            <w:noWrap/>
            <w:vAlign w:val="center"/>
          </w:tcPr>
          <w:p w14:paraId="06C6A87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39B3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DBD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083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三人位沙发</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94E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59E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3200*1000*800</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A062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1.面料：选用优质环保西皮，柔软而富有韧性，手感舒适，经液态浸色及防潮等工艺处理，光泽持久性透气性强、耐磨性强、无异味、弹性好、肌理清晰，健康环保，经久耐用。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2.▲西皮符合GB/T 16799-2018、GB/T 19941.2-2019、GB/T 22885-2008、GB/T 39507-2020的</w:t>
            </w: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3360" behindDoc="0" locked="0" layoutInCell="1" allowOverlap="1">
                  <wp:simplePos x="0" y="0"/>
                  <wp:positionH relativeFrom="column">
                    <wp:posOffset>-2198370</wp:posOffset>
                  </wp:positionH>
                  <wp:positionV relativeFrom="paragraph">
                    <wp:posOffset>251460</wp:posOffset>
                  </wp:positionV>
                  <wp:extent cx="1318260" cy="1219200"/>
                  <wp:effectExtent l="0" t="0" r="7620" b="0"/>
                  <wp:wrapNone/>
                  <wp:docPr id="12"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1_SpCnt_1"/>
                          <pic:cNvPicPr>
                            <a:picLocks noChangeAspect="1"/>
                          </pic:cNvPicPr>
                        </pic:nvPicPr>
                        <pic:blipFill>
                          <a:blip r:embed="rId10"/>
                          <a:stretch>
                            <a:fillRect/>
                          </a:stretch>
                        </pic:blipFill>
                        <pic:spPr>
                          <a:xfrm>
                            <a:off x="1059180" y="9893300"/>
                            <a:ext cx="1318260" cy="1219200"/>
                          </a:xfrm>
                          <a:prstGeom prst="rect">
                            <a:avLst/>
                          </a:prstGeom>
                          <a:noFill/>
                          <a:ln w="9525">
                            <a:noFill/>
                          </a:ln>
                        </pic:spPr>
                      </pic:pic>
                    </a:graphicData>
                  </a:graphic>
                </wp:anchor>
              </w:drawing>
            </w:r>
            <w:r>
              <w:rPr>
                <w:rFonts w:hint="eastAsia" w:ascii="宋体" w:hAnsi="宋体" w:eastAsia="宋体" w:cs="宋体"/>
                <w:i w:val="0"/>
                <w:iCs w:val="0"/>
                <w:color w:val="auto"/>
                <w:kern w:val="0"/>
                <w:sz w:val="18"/>
                <w:szCs w:val="18"/>
                <w:highlight w:val="none"/>
                <w:u w:val="none"/>
                <w:lang w:val="en-US" w:eastAsia="zh-CN" w:bidi="ar"/>
              </w:rPr>
              <w:t>标准，检测结果：气味≤3级；禁用偶氮染料未检出；游离甲醛(甲醛含量 )≤20mg/kg；耐水色牢度变色4-5级，沾色4-5级；耐磨性能10万次。</w:t>
            </w:r>
          </w:p>
          <w:p w14:paraId="673E517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3.海绵：采用高密度、高回弹原生棉。软硬适中，回弹性能好，抗变形能力强，根椐人体工程学原理设计，坐感舒适。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▲海绵符合HJ2547-2016、GB/T 10802-2023、QB/T2280-2016的标准，检测结果：65%/25%压陷比≥2.4，游离甲醛未检出，甲醛释放量(气候箱法)≤0.05mg/㎡h ，TVOC未检出。</w:t>
            </w:r>
          </w:p>
          <w:p w14:paraId="5481509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5.内框架：内框架采用多层实木框架，木制构件全部经过烘干处理，木构件四面刨光，内部木材含水率8%-12%，木材防虫防腐处理，尼龙编织带穿插编织打底，与泡棉间隔垫麻布。 内部衬垫物干燥卫生，无腐烂变质、无夹杂泥沙及金属杂物，所有内部填充物清洁无异味。</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A4D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82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74921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F2F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15E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实木组合茶几</w:t>
            </w:r>
          </w:p>
        </w:tc>
        <w:tc>
          <w:tcPr>
            <w:tcW w:w="24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3B7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shd w:val="clear" w:fill="FFFFFF"/>
                <w:lang w:val="en-US" w:eastAsia="zh-CN" w:bidi="ar"/>
              </w:rPr>
              <w:drawing>
                <wp:anchor distT="0" distB="0" distL="114300" distR="114300" simplePos="0" relativeHeight="251664384" behindDoc="0" locked="0" layoutInCell="1" allowOverlap="1">
                  <wp:simplePos x="0" y="0"/>
                  <wp:positionH relativeFrom="column">
                    <wp:posOffset>-24130</wp:posOffset>
                  </wp:positionH>
                  <wp:positionV relativeFrom="paragraph">
                    <wp:posOffset>69850</wp:posOffset>
                  </wp:positionV>
                  <wp:extent cx="1373505" cy="1278255"/>
                  <wp:effectExtent l="0" t="0" r="13335" b="1905"/>
                  <wp:wrapNone/>
                  <wp:docPr id="13" name="图片_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2_SpCnt_1"/>
                          <pic:cNvPicPr>
                            <a:picLocks noChangeAspect="1"/>
                          </pic:cNvPicPr>
                        </pic:nvPicPr>
                        <pic:blipFill>
                          <a:blip r:embed="rId11"/>
                          <a:stretch>
                            <a:fillRect/>
                          </a:stretch>
                        </pic:blipFill>
                        <pic:spPr>
                          <a:xfrm>
                            <a:off x="1123950" y="11767185"/>
                            <a:ext cx="1373505" cy="1278255"/>
                          </a:xfrm>
                          <a:prstGeom prst="rect">
                            <a:avLst/>
                          </a:prstGeom>
                          <a:noFill/>
                          <a:ln w="9525">
                            <a:noFill/>
                          </a:ln>
                        </pic:spPr>
                      </pic:pic>
                    </a:graphicData>
                  </a:graphic>
                </wp:anchor>
              </w:drawing>
            </w:r>
          </w:p>
        </w:tc>
        <w:tc>
          <w:tcPr>
            <w:tcW w:w="1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43E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大茶几1250*750*400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小茶几880*500*300</w:t>
            </w:r>
          </w:p>
        </w:tc>
        <w:tc>
          <w:tcPr>
            <w:tcW w:w="7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7D91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1.基材采用高密度纤维板贴直纹烟熏木皮，环保水性油漆。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2.▲水性油漆符合GB 18581-2020、GB/T 4893.1-2021、GB 30981-2020、GB/T 1725-2007、GB/T 6750-2007、JC/T 1074-2021、GB/T 23999-2009的标准，检测结果：耐冷液200h(蒸馏水)1级，VOC含量、甲醛含量、总铅(Pb)含量等未检出；可溶性重金属含量镉、铬、汞等未检出；乙二醇醚及醚酯总和含量、苯系物总和含量[限苯、甲苯、二甲苯(含乙苯) ]、烷基酚聚氧乙烯醚总和含量等未检出；净化性能：W型-净化效率-I类 (IS)一甲醛≥80%，密度≥1.4g/mL，重金属含量铅、镉、六价铬(Cr⁶+)、汞等未检出。</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2FA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9E0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4B40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FAFE5">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备注</w:t>
            </w:r>
          </w:p>
        </w:tc>
        <w:tc>
          <w:tcPr>
            <w:tcW w:w="13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D56271">
            <w:pPr>
              <w:keepNext w:val="0"/>
              <w:keepLines w:val="0"/>
              <w:widowControl/>
              <w:suppressLineNumbers w:val="0"/>
              <w:jc w:val="both"/>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sz w:val="18"/>
                <w:szCs w:val="18"/>
                <w:lang w:val="en-US" w:eastAsia="zh-CN"/>
              </w:rPr>
              <w:t>上述“</w:t>
            </w:r>
            <w:r>
              <w:rPr>
                <w:rFonts w:hint="eastAsia" w:ascii="宋体" w:hAnsi="宋体" w:eastAsia="宋体" w:cs="宋体"/>
                <w:i w:val="0"/>
                <w:iCs w:val="0"/>
                <w:color w:val="auto"/>
                <w:kern w:val="0"/>
                <w:sz w:val="18"/>
                <w:szCs w:val="18"/>
                <w:highlight w:val="none"/>
                <w:u w:val="none"/>
                <w:lang w:val="en-US" w:eastAsia="zh-CN" w:bidi="ar"/>
              </w:rPr>
              <w:t>▲</w:t>
            </w:r>
            <w:r>
              <w:rPr>
                <w:rFonts w:hint="eastAsia" w:ascii="宋体" w:hAnsi="宋体" w:cs="宋体"/>
                <w:i w:val="0"/>
                <w:iCs w:val="0"/>
                <w:color w:val="auto"/>
                <w:kern w:val="0"/>
                <w:sz w:val="18"/>
                <w:szCs w:val="18"/>
                <w:highlight w:val="none"/>
                <w:u w:val="none"/>
                <w:lang w:val="en-US" w:eastAsia="zh-CN" w:bidi="ar"/>
              </w:rPr>
              <w:t>”材质要求成交供应商应于合同签订前提供具有CMA标志的检验检测报告扫描件【①检测报告中委托单位为投标人或产品制造商；②上述检验检测报告在全国认证认可信息公共服务平台（认e云）（http://cx.cnca.cn/）的信息查询记录截图。】</w:t>
            </w:r>
          </w:p>
        </w:tc>
      </w:tr>
      <w:bookmarkEnd w:id="3"/>
      <w:bookmarkEnd w:id="6"/>
    </w:tbl>
    <w:p w14:paraId="3582AF46">
      <w:pPr>
        <w:spacing w:line="360" w:lineRule="auto"/>
        <w:jc w:val="center"/>
        <w:rPr>
          <w:rFonts w:eastAsia="仿宋_GB2312"/>
          <w:color w:val="auto"/>
          <w:sz w:val="32"/>
          <w:szCs w:val="32"/>
          <w:highlight w:val="none"/>
        </w:rPr>
      </w:pPr>
      <w:bookmarkStart w:id="7" w:name="_Toc148265712"/>
      <w:bookmarkEnd w:id="7"/>
    </w:p>
    <w:sectPr>
      <w:pgSz w:w="16840" w:h="11907" w:orient="landscape"/>
      <w:pgMar w:top="1417" w:right="1417" w:bottom="1417"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B9ADA5D-244E-488F-A716-7CBFDB10C70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1B5F0FF-14DE-41EC-B5CF-6BCE8543BA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embedRegular r:id="rId3" w:fontKey="{9030648C-7794-47D6-B1AC-11ECFE2EA6D9}"/>
  </w:font>
  <w:font w:name="仿宋">
    <w:panose1 w:val="02010609060101010101"/>
    <w:charset w:val="86"/>
    <w:family w:val="modern"/>
    <w:pitch w:val="default"/>
    <w:sig w:usb0="800002BF" w:usb1="38CF7CFA" w:usb2="00000016" w:usb3="00000000" w:csb0="00040001" w:csb1="00000000"/>
    <w:embedRegular r:id="rId4" w:fontKey="{445BAB3D-613A-4979-BEA8-50835ABD08EC}"/>
  </w:font>
  <w:font w:name="华文中宋">
    <w:panose1 w:val="02010600040101010101"/>
    <w:charset w:val="86"/>
    <w:family w:val="auto"/>
    <w:pitch w:val="default"/>
    <w:sig w:usb0="00000287" w:usb1="080F0000" w:usb2="00000000" w:usb3="00000000" w:csb0="0004009F" w:csb1="DFD70000"/>
    <w:embedRegular r:id="rId5" w:fontKey="{D7F66A7D-24DB-4B91-9A76-D3B1AA693689}"/>
  </w:font>
  <w:font w:name="新宋体">
    <w:panose1 w:val="02010609030101010101"/>
    <w:charset w:val="86"/>
    <w:family w:val="auto"/>
    <w:pitch w:val="default"/>
    <w:sig w:usb0="00000203" w:usb1="288F0000" w:usb2="00000006" w:usb3="00000000" w:csb0="00040001" w:csb1="00000000"/>
    <w:embedRegular r:id="rId6" w:fontKey="{F0620089-5717-481B-A647-F33315A30ED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B8261">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4"/>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5"/>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revisionView w:markup="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5679D0"/>
    <w:rsid w:val="028F0228"/>
    <w:rsid w:val="035D4211"/>
    <w:rsid w:val="03647B7B"/>
    <w:rsid w:val="037D5EE3"/>
    <w:rsid w:val="048B5248"/>
    <w:rsid w:val="04CF6E29"/>
    <w:rsid w:val="05111DAD"/>
    <w:rsid w:val="059366CF"/>
    <w:rsid w:val="05D00163"/>
    <w:rsid w:val="06F15928"/>
    <w:rsid w:val="07576354"/>
    <w:rsid w:val="077C34B8"/>
    <w:rsid w:val="07A209C4"/>
    <w:rsid w:val="080D26DA"/>
    <w:rsid w:val="08284245"/>
    <w:rsid w:val="086F1260"/>
    <w:rsid w:val="0880226D"/>
    <w:rsid w:val="089F2BDE"/>
    <w:rsid w:val="08BB2505"/>
    <w:rsid w:val="099A07E1"/>
    <w:rsid w:val="0A510058"/>
    <w:rsid w:val="0A9B4FED"/>
    <w:rsid w:val="0B0C0A79"/>
    <w:rsid w:val="0B451F6A"/>
    <w:rsid w:val="0BA14D3A"/>
    <w:rsid w:val="0C6F4C8D"/>
    <w:rsid w:val="0D0E0EB6"/>
    <w:rsid w:val="0DE142CB"/>
    <w:rsid w:val="0E220FBD"/>
    <w:rsid w:val="0FDC1CDC"/>
    <w:rsid w:val="10223C48"/>
    <w:rsid w:val="12475EA9"/>
    <w:rsid w:val="125F732C"/>
    <w:rsid w:val="133360BD"/>
    <w:rsid w:val="137F7471"/>
    <w:rsid w:val="146E4633"/>
    <w:rsid w:val="150412EA"/>
    <w:rsid w:val="171438BA"/>
    <w:rsid w:val="17230955"/>
    <w:rsid w:val="180F5427"/>
    <w:rsid w:val="182770BA"/>
    <w:rsid w:val="18863017"/>
    <w:rsid w:val="18AC6D73"/>
    <w:rsid w:val="19DF2C13"/>
    <w:rsid w:val="1B4716B4"/>
    <w:rsid w:val="1BD81021"/>
    <w:rsid w:val="1BEE7E74"/>
    <w:rsid w:val="1C08419D"/>
    <w:rsid w:val="1D4D5FFD"/>
    <w:rsid w:val="1EB43554"/>
    <w:rsid w:val="1F7A0970"/>
    <w:rsid w:val="1FA73FF9"/>
    <w:rsid w:val="209E2C67"/>
    <w:rsid w:val="21581D11"/>
    <w:rsid w:val="216F32CA"/>
    <w:rsid w:val="21C63877"/>
    <w:rsid w:val="21D6546E"/>
    <w:rsid w:val="22124112"/>
    <w:rsid w:val="225C19C8"/>
    <w:rsid w:val="23F57352"/>
    <w:rsid w:val="249A7996"/>
    <w:rsid w:val="261C543B"/>
    <w:rsid w:val="267E2359"/>
    <w:rsid w:val="26BC7CBC"/>
    <w:rsid w:val="27447ED5"/>
    <w:rsid w:val="275F3A77"/>
    <w:rsid w:val="284F0253"/>
    <w:rsid w:val="28644870"/>
    <w:rsid w:val="29115E06"/>
    <w:rsid w:val="2AC5216B"/>
    <w:rsid w:val="2AE949DF"/>
    <w:rsid w:val="2B2C3F7A"/>
    <w:rsid w:val="2B3B474B"/>
    <w:rsid w:val="2B8D044E"/>
    <w:rsid w:val="2B8E43CA"/>
    <w:rsid w:val="2C016BB8"/>
    <w:rsid w:val="2D77461B"/>
    <w:rsid w:val="2E015014"/>
    <w:rsid w:val="2E400C5F"/>
    <w:rsid w:val="2E5209E3"/>
    <w:rsid w:val="2EB01AFE"/>
    <w:rsid w:val="2F02606D"/>
    <w:rsid w:val="30592C7B"/>
    <w:rsid w:val="30D1119A"/>
    <w:rsid w:val="30F12F4C"/>
    <w:rsid w:val="3112402E"/>
    <w:rsid w:val="313D3E38"/>
    <w:rsid w:val="32611BF0"/>
    <w:rsid w:val="33A83294"/>
    <w:rsid w:val="34011E26"/>
    <w:rsid w:val="341B4D23"/>
    <w:rsid w:val="345C5D91"/>
    <w:rsid w:val="34D72237"/>
    <w:rsid w:val="35613714"/>
    <w:rsid w:val="358C4411"/>
    <w:rsid w:val="36A81FB2"/>
    <w:rsid w:val="3722158D"/>
    <w:rsid w:val="375E09FC"/>
    <w:rsid w:val="38525FA9"/>
    <w:rsid w:val="39003F1D"/>
    <w:rsid w:val="39276876"/>
    <w:rsid w:val="392B2930"/>
    <w:rsid w:val="3AB56764"/>
    <w:rsid w:val="3AC853CC"/>
    <w:rsid w:val="3B66136D"/>
    <w:rsid w:val="3C582CD8"/>
    <w:rsid w:val="3E094E14"/>
    <w:rsid w:val="3E2546CD"/>
    <w:rsid w:val="3E5874B7"/>
    <w:rsid w:val="40531C58"/>
    <w:rsid w:val="41192D98"/>
    <w:rsid w:val="413E5CD9"/>
    <w:rsid w:val="43425F9D"/>
    <w:rsid w:val="43F465D0"/>
    <w:rsid w:val="442A053D"/>
    <w:rsid w:val="44440739"/>
    <w:rsid w:val="446F65B8"/>
    <w:rsid w:val="44F057A6"/>
    <w:rsid w:val="45A95346"/>
    <w:rsid w:val="46416F41"/>
    <w:rsid w:val="464949DA"/>
    <w:rsid w:val="467D6748"/>
    <w:rsid w:val="46C4203A"/>
    <w:rsid w:val="470E29AE"/>
    <w:rsid w:val="473E1F09"/>
    <w:rsid w:val="49CB0CCD"/>
    <w:rsid w:val="4AA610D6"/>
    <w:rsid w:val="4AD618B2"/>
    <w:rsid w:val="4B0C055A"/>
    <w:rsid w:val="4C1B7A56"/>
    <w:rsid w:val="4C610D2E"/>
    <w:rsid w:val="4C8B4A7C"/>
    <w:rsid w:val="4CFC368B"/>
    <w:rsid w:val="4E7D412D"/>
    <w:rsid w:val="4EBE4481"/>
    <w:rsid w:val="4F086AAF"/>
    <w:rsid w:val="4F0E5D7C"/>
    <w:rsid w:val="4F3D0166"/>
    <w:rsid w:val="4FD902B2"/>
    <w:rsid w:val="4FF74123"/>
    <w:rsid w:val="5069668A"/>
    <w:rsid w:val="50A475CC"/>
    <w:rsid w:val="50A83CB2"/>
    <w:rsid w:val="512B42F2"/>
    <w:rsid w:val="5247520B"/>
    <w:rsid w:val="538E5DEC"/>
    <w:rsid w:val="56D076DF"/>
    <w:rsid w:val="56E34736"/>
    <w:rsid w:val="56FB15A3"/>
    <w:rsid w:val="572C3C94"/>
    <w:rsid w:val="57806BBC"/>
    <w:rsid w:val="58963DA7"/>
    <w:rsid w:val="592C3305"/>
    <w:rsid w:val="5A2C7551"/>
    <w:rsid w:val="5A400720"/>
    <w:rsid w:val="5B0F69A9"/>
    <w:rsid w:val="5B33669F"/>
    <w:rsid w:val="5C072B21"/>
    <w:rsid w:val="5CF4139A"/>
    <w:rsid w:val="5D693C9C"/>
    <w:rsid w:val="5D9D7735"/>
    <w:rsid w:val="5DE973D6"/>
    <w:rsid w:val="5E8D2D21"/>
    <w:rsid w:val="5EBD1212"/>
    <w:rsid w:val="5EE84B9A"/>
    <w:rsid w:val="5F1D6CF6"/>
    <w:rsid w:val="5FAD0DCB"/>
    <w:rsid w:val="60C82A21"/>
    <w:rsid w:val="623F329A"/>
    <w:rsid w:val="62695E27"/>
    <w:rsid w:val="628242DE"/>
    <w:rsid w:val="62BE7007"/>
    <w:rsid w:val="636127C3"/>
    <w:rsid w:val="6381342F"/>
    <w:rsid w:val="63F566F0"/>
    <w:rsid w:val="64C869D1"/>
    <w:rsid w:val="650B601A"/>
    <w:rsid w:val="6541100E"/>
    <w:rsid w:val="654C0BA8"/>
    <w:rsid w:val="664352EB"/>
    <w:rsid w:val="672079BD"/>
    <w:rsid w:val="683E7EE4"/>
    <w:rsid w:val="696610E4"/>
    <w:rsid w:val="6A83721D"/>
    <w:rsid w:val="6AE21101"/>
    <w:rsid w:val="6B4F3B9E"/>
    <w:rsid w:val="6B59484F"/>
    <w:rsid w:val="6BD63153"/>
    <w:rsid w:val="6BFE0B4D"/>
    <w:rsid w:val="6C5B55DC"/>
    <w:rsid w:val="6CAE03DD"/>
    <w:rsid w:val="6CE56E6B"/>
    <w:rsid w:val="6D032DAA"/>
    <w:rsid w:val="6E005A26"/>
    <w:rsid w:val="6E6329C5"/>
    <w:rsid w:val="6EFF345A"/>
    <w:rsid w:val="6F0E41D6"/>
    <w:rsid w:val="6F4F7C8F"/>
    <w:rsid w:val="6FA4293B"/>
    <w:rsid w:val="6FB4540B"/>
    <w:rsid w:val="70C73255"/>
    <w:rsid w:val="71126C39"/>
    <w:rsid w:val="715F328E"/>
    <w:rsid w:val="71610FBE"/>
    <w:rsid w:val="721C40FD"/>
    <w:rsid w:val="725008FF"/>
    <w:rsid w:val="72760778"/>
    <w:rsid w:val="743104E3"/>
    <w:rsid w:val="74320C3C"/>
    <w:rsid w:val="74513162"/>
    <w:rsid w:val="75431AF8"/>
    <w:rsid w:val="757B75BC"/>
    <w:rsid w:val="76A665D3"/>
    <w:rsid w:val="78BD1F9D"/>
    <w:rsid w:val="79201CE1"/>
    <w:rsid w:val="79B14724"/>
    <w:rsid w:val="7B3E0A41"/>
    <w:rsid w:val="7C323980"/>
    <w:rsid w:val="7E45263B"/>
    <w:rsid w:val="7EDB48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4"/>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5"/>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6"/>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27"/>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0"/>
    <w:qFormat/>
    <w:uiPriority w:val="99"/>
    <w:pPr>
      <w:spacing w:after="120"/>
    </w:pPr>
  </w:style>
  <w:style w:type="paragraph" w:styleId="7">
    <w:name w:val="Normal Indent"/>
    <w:basedOn w:val="1"/>
    <w:link w:val="44"/>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28"/>
    <w:qFormat/>
    <w:uiPriority w:val="99"/>
    <w:rPr>
      <w:rFonts w:ascii="宋体"/>
      <w:sz w:val="18"/>
      <w:szCs w:val="18"/>
    </w:rPr>
  </w:style>
  <w:style w:type="paragraph" w:styleId="9">
    <w:name w:val="annotation text"/>
    <w:basedOn w:val="1"/>
    <w:link w:val="29"/>
    <w:qFormat/>
    <w:uiPriority w:val="99"/>
    <w:pPr>
      <w:jc w:val="left"/>
    </w:pPr>
  </w:style>
  <w:style w:type="paragraph" w:styleId="10">
    <w:name w:val="Plain Text"/>
    <w:basedOn w:val="1"/>
    <w:link w:val="46"/>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1"/>
    <w:qFormat/>
    <w:uiPriority w:val="99"/>
    <w:rPr>
      <w:sz w:val="18"/>
      <w:szCs w:val="18"/>
    </w:rPr>
  </w:style>
  <w:style w:type="paragraph" w:styleId="12">
    <w:name w:val="footer"/>
    <w:basedOn w:val="1"/>
    <w:link w:val="32"/>
    <w:qFormat/>
    <w:uiPriority w:val="99"/>
    <w:pPr>
      <w:tabs>
        <w:tab w:val="center" w:pos="4153"/>
        <w:tab w:val="right" w:pos="8306"/>
      </w:tabs>
      <w:snapToGrid w:val="0"/>
      <w:jc w:val="left"/>
    </w:pPr>
    <w:rPr>
      <w:sz w:val="18"/>
      <w:szCs w:val="18"/>
    </w:rPr>
  </w:style>
  <w:style w:type="paragraph" w:styleId="13">
    <w:name w:val="header"/>
    <w:basedOn w:val="1"/>
    <w:link w:val="33"/>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9"/>
    <w:next w:val="9"/>
    <w:link w:val="51"/>
    <w:semiHidden/>
    <w:qFormat/>
    <w:uiPriority w:val="99"/>
    <w:rPr>
      <w:b/>
      <w:bCs/>
    </w:rPr>
  </w:style>
  <w:style w:type="paragraph" w:styleId="17">
    <w:name w:val="Body Text First Indent"/>
    <w:basedOn w:val="2"/>
    <w:link w:val="34"/>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qFormat/>
    <w:uiPriority w:val="99"/>
    <w:rPr>
      <w:rFonts w:cs="Times New Roman"/>
      <w:color w:val="0000FF"/>
      <w:u w:val="single"/>
    </w:rPr>
  </w:style>
  <w:style w:type="character" w:styleId="22">
    <w:name w:val="annotation reference"/>
    <w:basedOn w:val="20"/>
    <w:qFormat/>
    <w:uiPriority w:val="99"/>
    <w:rPr>
      <w:rFonts w:cs="Times New Roman"/>
      <w:sz w:val="21"/>
      <w:szCs w:val="21"/>
    </w:rPr>
  </w:style>
  <w:style w:type="paragraph" w:customStyle="1" w:styleId="2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4">
    <w:name w:val="标题 1 Char"/>
    <w:basedOn w:val="20"/>
    <w:link w:val="3"/>
    <w:qFormat/>
    <w:locked/>
    <w:uiPriority w:val="99"/>
    <w:rPr>
      <w:rFonts w:ascii="Times New Roman" w:hAnsi="Times New Roman" w:eastAsia="宋体" w:cs="Times New Roman"/>
      <w:b/>
      <w:bCs/>
      <w:kern w:val="44"/>
      <w:sz w:val="44"/>
      <w:szCs w:val="44"/>
    </w:rPr>
  </w:style>
  <w:style w:type="character" w:customStyle="1" w:styleId="25">
    <w:name w:val="标题 2 Char"/>
    <w:basedOn w:val="20"/>
    <w:link w:val="4"/>
    <w:qFormat/>
    <w:locked/>
    <w:uiPriority w:val="99"/>
    <w:rPr>
      <w:rFonts w:ascii="Cambria" w:hAnsi="Cambria" w:eastAsia="宋体" w:cs="Times New Roman"/>
      <w:b/>
      <w:bCs/>
      <w:kern w:val="2"/>
      <w:sz w:val="32"/>
      <w:szCs w:val="32"/>
    </w:rPr>
  </w:style>
  <w:style w:type="character" w:customStyle="1" w:styleId="26">
    <w:name w:val="标题 3 Char"/>
    <w:basedOn w:val="20"/>
    <w:link w:val="5"/>
    <w:qFormat/>
    <w:locked/>
    <w:uiPriority w:val="99"/>
    <w:rPr>
      <w:rFonts w:eastAsia="宋体" w:cs="Times New Roman"/>
      <w:b/>
      <w:sz w:val="32"/>
    </w:rPr>
  </w:style>
  <w:style w:type="character" w:customStyle="1" w:styleId="27">
    <w:name w:val="标题 4 Char"/>
    <w:basedOn w:val="20"/>
    <w:link w:val="6"/>
    <w:qFormat/>
    <w:locked/>
    <w:uiPriority w:val="99"/>
    <w:rPr>
      <w:rFonts w:ascii="Arial" w:hAnsi="Arial" w:eastAsia="黑体" w:cs="Times New Roman"/>
      <w:b/>
      <w:bCs/>
      <w:kern w:val="2"/>
      <w:sz w:val="28"/>
      <w:szCs w:val="28"/>
    </w:rPr>
  </w:style>
  <w:style w:type="character" w:customStyle="1" w:styleId="28">
    <w:name w:val="文档结构图 Char"/>
    <w:basedOn w:val="20"/>
    <w:link w:val="8"/>
    <w:qFormat/>
    <w:locked/>
    <w:uiPriority w:val="99"/>
    <w:rPr>
      <w:rFonts w:ascii="宋体" w:hAnsi="Times New Roman" w:eastAsia="宋体" w:cs="Times New Roman"/>
      <w:kern w:val="2"/>
      <w:sz w:val="18"/>
      <w:szCs w:val="18"/>
    </w:rPr>
  </w:style>
  <w:style w:type="character" w:customStyle="1" w:styleId="29">
    <w:name w:val="批注文字 Char"/>
    <w:basedOn w:val="20"/>
    <w:link w:val="9"/>
    <w:qFormat/>
    <w:locked/>
    <w:uiPriority w:val="99"/>
    <w:rPr>
      <w:rFonts w:ascii="Times New Roman" w:hAnsi="Times New Roman" w:cs="Times New Roman"/>
      <w:kern w:val="2"/>
      <w:sz w:val="21"/>
    </w:rPr>
  </w:style>
  <w:style w:type="character" w:customStyle="1" w:styleId="30">
    <w:name w:val="正文文本 Char"/>
    <w:basedOn w:val="20"/>
    <w:link w:val="2"/>
    <w:qFormat/>
    <w:locked/>
    <w:uiPriority w:val="99"/>
    <w:rPr>
      <w:rFonts w:ascii="Times New Roman" w:hAnsi="Times New Roman" w:eastAsia="宋体" w:cs="Times New Roman"/>
      <w:sz w:val="20"/>
      <w:szCs w:val="20"/>
    </w:rPr>
  </w:style>
  <w:style w:type="character" w:customStyle="1" w:styleId="31">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2">
    <w:name w:val="页脚 Char"/>
    <w:basedOn w:val="20"/>
    <w:link w:val="12"/>
    <w:qFormat/>
    <w:locked/>
    <w:uiPriority w:val="99"/>
    <w:rPr>
      <w:rFonts w:ascii="Times New Roman" w:hAnsi="Times New Roman" w:eastAsia="宋体" w:cs="Times New Roman"/>
      <w:sz w:val="18"/>
      <w:szCs w:val="18"/>
    </w:rPr>
  </w:style>
  <w:style w:type="character" w:customStyle="1" w:styleId="33">
    <w:name w:val="页眉 Char"/>
    <w:basedOn w:val="20"/>
    <w:link w:val="13"/>
    <w:qFormat/>
    <w:locked/>
    <w:uiPriority w:val="99"/>
    <w:rPr>
      <w:rFonts w:ascii="Times New Roman" w:hAnsi="Times New Roman" w:eastAsia="宋体" w:cs="Times New Roman"/>
      <w:sz w:val="18"/>
      <w:szCs w:val="18"/>
    </w:rPr>
  </w:style>
  <w:style w:type="character" w:customStyle="1" w:styleId="34">
    <w:name w:val="正文首行缩进 Char"/>
    <w:basedOn w:val="30"/>
    <w:link w:val="17"/>
    <w:qFormat/>
    <w:locked/>
    <w:uiPriority w:val="99"/>
    <w:rPr>
      <w:rFonts w:ascii="Times New Roman" w:hAnsi="Times New Roman" w:eastAsia="宋体" w:cs="Times New Roman"/>
      <w:sz w:val="20"/>
      <w:szCs w:val="20"/>
    </w:rPr>
  </w:style>
  <w:style w:type="character" w:customStyle="1" w:styleId="35">
    <w:name w:val="正文缩进2格 Char"/>
    <w:link w:val="36"/>
    <w:qFormat/>
    <w:locked/>
    <w:uiPriority w:val="99"/>
    <w:rPr>
      <w:rFonts w:ascii="仿宋_GB2312" w:hAnsi="宋体" w:eastAsia="仿宋_GB2312"/>
      <w:sz w:val="31"/>
    </w:rPr>
  </w:style>
  <w:style w:type="paragraph" w:customStyle="1" w:styleId="36">
    <w:name w:val="正文缩进2格"/>
    <w:basedOn w:val="1"/>
    <w:link w:val="35"/>
    <w:qFormat/>
    <w:uiPriority w:val="99"/>
    <w:pPr>
      <w:spacing w:line="600" w:lineRule="exact"/>
      <w:ind w:firstLine="639" w:firstLineChars="206"/>
    </w:pPr>
    <w:rPr>
      <w:rFonts w:ascii="仿宋_GB2312" w:hAnsi="宋体" w:eastAsia="仿宋_GB2312"/>
      <w:kern w:val="0"/>
      <w:sz w:val="31"/>
      <w:szCs w:val="31"/>
    </w:rPr>
  </w:style>
  <w:style w:type="paragraph" w:customStyle="1" w:styleId="37">
    <w:name w:val="列出段落1"/>
    <w:basedOn w:val="1"/>
    <w:qFormat/>
    <w:uiPriority w:val="99"/>
    <w:pPr>
      <w:ind w:firstLine="420" w:firstLineChars="200"/>
    </w:pPr>
  </w:style>
  <w:style w:type="paragraph" w:customStyle="1" w:styleId="38">
    <w:name w:val="列出段落2"/>
    <w:basedOn w:val="1"/>
    <w:qFormat/>
    <w:uiPriority w:val="99"/>
    <w:pPr>
      <w:ind w:firstLine="420" w:firstLineChars="200"/>
    </w:pPr>
  </w:style>
  <w:style w:type="paragraph" w:styleId="39">
    <w:name w:val="List Paragraph"/>
    <w:basedOn w:val="1"/>
    <w:qFormat/>
    <w:uiPriority w:val="99"/>
    <w:pPr>
      <w:ind w:firstLine="420" w:firstLineChars="200"/>
    </w:pPr>
  </w:style>
  <w:style w:type="character" w:customStyle="1" w:styleId="40">
    <w:name w:val="fontstyle01"/>
    <w:basedOn w:val="20"/>
    <w:qFormat/>
    <w:uiPriority w:val="99"/>
    <w:rPr>
      <w:rFonts w:ascii="仿宋" w:hAnsi="仿宋" w:eastAsia="仿宋" w:cs="Times New Roman"/>
      <w:color w:val="000000"/>
      <w:sz w:val="28"/>
      <w:szCs w:val="28"/>
    </w:rPr>
  </w:style>
  <w:style w:type="character" w:customStyle="1" w:styleId="41">
    <w:name w:val="！正文 Char"/>
    <w:link w:val="42"/>
    <w:qFormat/>
    <w:locked/>
    <w:uiPriority w:val="99"/>
    <w:rPr>
      <w:rFonts w:ascii="Arial" w:hAnsi="Arial"/>
      <w:sz w:val="24"/>
    </w:rPr>
  </w:style>
  <w:style w:type="paragraph" w:customStyle="1" w:styleId="42">
    <w:name w:val="！正文"/>
    <w:basedOn w:val="1"/>
    <w:link w:val="41"/>
    <w:qFormat/>
    <w:uiPriority w:val="99"/>
    <w:pPr>
      <w:spacing w:line="360" w:lineRule="auto"/>
      <w:ind w:firstLine="200" w:firstLineChars="200"/>
    </w:pPr>
    <w:rPr>
      <w:rFonts w:ascii="Arial" w:hAnsi="Arial" w:eastAsia="等线"/>
      <w:kern w:val="0"/>
      <w:sz w:val="24"/>
      <w:szCs w:val="24"/>
    </w:rPr>
  </w:style>
  <w:style w:type="paragraph" w:customStyle="1" w:styleId="43">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4">
    <w:name w:val="正文缩进 Char"/>
    <w:link w:val="7"/>
    <w:qFormat/>
    <w:locked/>
    <w:uiPriority w:val="99"/>
    <w:rPr>
      <w:sz w:val="24"/>
    </w:rPr>
  </w:style>
  <w:style w:type="paragraph" w:customStyle="1" w:styleId="45">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6">
    <w:name w:val="纯文本 Char"/>
    <w:basedOn w:val="20"/>
    <w:link w:val="10"/>
    <w:qFormat/>
    <w:locked/>
    <w:uiPriority w:val="99"/>
    <w:rPr>
      <w:rFonts w:ascii="宋体" w:hAnsi="Courier New" w:eastAsia="宋体" w:cs="Times New Roman"/>
      <w:kern w:val="2"/>
      <w:sz w:val="21"/>
      <w:szCs w:val="21"/>
    </w:rPr>
  </w:style>
  <w:style w:type="character" w:customStyle="1" w:styleId="47">
    <w:name w:val="未处理的提及1"/>
    <w:basedOn w:val="20"/>
    <w:semiHidden/>
    <w:qFormat/>
    <w:uiPriority w:val="99"/>
    <w:rPr>
      <w:rFonts w:cs="Times New Roman"/>
      <w:color w:val="605E5C"/>
      <w:shd w:val="clear" w:color="auto" w:fill="E1DFDD"/>
    </w:rPr>
  </w:style>
  <w:style w:type="paragraph" w:customStyle="1" w:styleId="48">
    <w:name w:val="样式"/>
    <w:basedOn w:val="1"/>
    <w:next w:val="39"/>
    <w:qFormat/>
    <w:uiPriority w:val="99"/>
    <w:pPr>
      <w:ind w:firstLine="420" w:firstLineChars="200"/>
    </w:pPr>
    <w:rPr>
      <w:rFonts w:ascii="Calibri" w:hAnsi="Calibri"/>
      <w:szCs w:val="22"/>
    </w:rPr>
  </w:style>
  <w:style w:type="character" w:customStyle="1" w:styleId="49">
    <w:name w:val="Body Text Indent 2 Char Char"/>
    <w:link w:val="50"/>
    <w:qFormat/>
    <w:locked/>
    <w:uiPriority w:val="99"/>
  </w:style>
  <w:style w:type="paragraph" w:customStyle="1" w:styleId="50">
    <w:name w:val="正文文本缩进 21"/>
    <w:basedOn w:val="1"/>
    <w:link w:val="49"/>
    <w:qFormat/>
    <w:uiPriority w:val="99"/>
    <w:pPr>
      <w:adjustRightInd w:val="0"/>
      <w:spacing w:line="480" w:lineRule="auto"/>
      <w:ind w:firstLine="540"/>
    </w:pPr>
    <w:rPr>
      <w:rFonts w:ascii="Calibri" w:hAnsi="Calibri" w:eastAsia="等线"/>
      <w:kern w:val="0"/>
      <w:sz w:val="20"/>
    </w:rPr>
  </w:style>
  <w:style w:type="character" w:customStyle="1" w:styleId="51">
    <w:name w:val="批注主题 Char"/>
    <w:basedOn w:val="29"/>
    <w:link w:val="16"/>
    <w:semiHidden/>
    <w:qFormat/>
    <w:locked/>
    <w:uiPriority w:val="99"/>
    <w:rPr>
      <w:rFonts w:ascii="Times New Roman" w:hAnsi="Times New Roman" w:eastAsia="宋体" w:cs="Times New Roman"/>
      <w:b/>
      <w:bCs/>
      <w:kern w:val="2"/>
      <w:sz w:val="21"/>
    </w:rPr>
  </w:style>
  <w:style w:type="character" w:customStyle="1" w:styleId="52">
    <w:name w:val="标题 4 字符"/>
    <w:basedOn w:val="20"/>
    <w:semiHidden/>
    <w:qFormat/>
    <w:uiPriority w:val="99"/>
    <w:rPr>
      <w:rFonts w:ascii="Cambria" w:hAnsi="Cambria" w:eastAsia="宋体" w:cs="Times New Roman"/>
      <w:b/>
      <w:bCs/>
      <w:kern w:val="2"/>
      <w:sz w:val="28"/>
      <w:szCs w:val="28"/>
    </w:rPr>
  </w:style>
  <w:style w:type="paragraph" w:customStyle="1" w:styleId="53">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4">
    <w:name w:val="致远要点"/>
    <w:basedOn w:val="39"/>
    <w:link w:val="55"/>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5">
    <w:name w:val="致远要点 字符"/>
    <w:basedOn w:val="20"/>
    <w:link w:val="54"/>
    <w:qFormat/>
    <w:locked/>
    <w:uiPriority w:val="99"/>
    <w:rPr>
      <w:rFonts w:ascii="黑体" w:hAnsi="黑体" w:eastAsia="黑体" w:cs="宋体"/>
      <w:kern w:val="2"/>
      <w:sz w:val="22"/>
      <w:szCs w:val="22"/>
    </w:rPr>
  </w:style>
  <w:style w:type="paragraph" w:customStyle="1" w:styleId="56">
    <w:name w:val="SANGFOR_6_正文"/>
    <w:basedOn w:val="1"/>
    <w:qFormat/>
    <w:uiPriority w:val="99"/>
    <w:pPr>
      <w:spacing w:line="360" w:lineRule="auto"/>
    </w:pPr>
    <w:rPr>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kesin.Com</Company>
  <Pages>16</Pages>
  <Words>7483</Words>
  <Characters>9194</Characters>
  <Lines>4</Lines>
  <Paragraphs>7</Paragraphs>
  <TotalTime>1</TotalTime>
  <ScaleCrop>false</ScaleCrop>
  <LinksUpToDate>false</LinksUpToDate>
  <CharactersWithSpaces>9429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Administrator</dc:creator>
  <cp:lastModifiedBy>胡雄</cp:lastModifiedBy>
  <cp:lastPrinted>2026-09-02T07:03:00Z</cp:lastPrinted>
  <dcterms:modified xsi:type="dcterms:W3CDTF">2026-10-08T03:18:39Z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5B16977B34A54051B4B683914D3A74AC_13</vt:lpwstr>
  </property>
  <property fmtid="{D5CDD505-2E9C-101B-9397-08002B2CF9AE}" pid="4" name="KSOTemplateDocerSaveRecord">
    <vt:lpwstr>eyJoZGlkIjoiODgyNjI2YjU5NzQ3MzRiMmJhOTc0YTg1ZjJiZTI5MjMiLCJ1c2VySWQiOiIyNDI5OTYzMDUifQ==</vt:lpwstr>
  </property>
</Properties>
</file>