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62288D">
      <w:pPr>
        <w:shd w:val="clear"/>
        <w:jc w:val="right"/>
        <w:rPr>
          <w:rFonts w:hint="eastAsia" w:ascii="宋体" w:hAnsi="宋体" w:cs="宋体"/>
          <w:color w:val="auto"/>
          <w:szCs w:val="21"/>
          <w:highlight w:val="none"/>
        </w:rPr>
      </w:pPr>
    </w:p>
    <w:p w14:paraId="19D297B0">
      <w:pPr>
        <w:pStyle w:val="42"/>
        <w:shd w:val="clear"/>
        <w:ind w:firstLine="400"/>
        <w:rPr>
          <w:rFonts w:hint="eastAsia" w:ascii="宋体" w:hAnsi="宋体" w:eastAsia="宋体" w:cs="宋体"/>
          <w:color w:val="auto"/>
          <w:highlight w:val="none"/>
        </w:rPr>
      </w:pPr>
    </w:p>
    <w:p w14:paraId="2BA20F70">
      <w:pPr>
        <w:shd w:val="clear"/>
        <w:rPr>
          <w:rFonts w:hint="eastAsia" w:ascii="宋体" w:hAnsi="宋体" w:cs="宋体"/>
          <w:color w:val="auto"/>
          <w:highlight w:val="none"/>
        </w:rPr>
      </w:pPr>
    </w:p>
    <w:p w14:paraId="28DFB244">
      <w:pPr>
        <w:shd w:val="clear"/>
        <w:rPr>
          <w:rFonts w:hint="eastAsia" w:ascii="宋体" w:hAnsi="宋体" w:cs="宋体"/>
          <w:color w:val="auto"/>
          <w:highlight w:val="none"/>
        </w:rPr>
      </w:pPr>
    </w:p>
    <w:p w14:paraId="572D5D34">
      <w:pPr>
        <w:shd w:val="clear"/>
        <w:rPr>
          <w:rFonts w:hint="eastAsia" w:ascii="宋体" w:hAnsi="宋体" w:cs="宋体"/>
          <w:color w:val="auto"/>
          <w:highlight w:val="none"/>
        </w:rPr>
      </w:pPr>
    </w:p>
    <w:p w14:paraId="5C4971B9">
      <w:pPr>
        <w:shd w:val="clear"/>
        <w:ind w:right="-28"/>
        <w:jc w:val="center"/>
        <w:textAlignment w:val="bottom"/>
        <w:rPr>
          <w:rFonts w:hint="eastAsia" w:ascii="宋体" w:hAnsi="宋体" w:cs="宋体"/>
          <w:bCs/>
          <w:color w:val="auto"/>
          <w:spacing w:val="57"/>
          <w:sz w:val="96"/>
          <w:szCs w:val="96"/>
          <w:highlight w:val="none"/>
        </w:rPr>
      </w:pPr>
      <w:r>
        <w:rPr>
          <w:rFonts w:hint="eastAsia" w:ascii="宋体" w:hAnsi="宋体" w:cs="宋体"/>
          <w:bCs/>
          <w:color w:val="auto"/>
          <w:spacing w:val="57"/>
          <w:sz w:val="96"/>
          <w:szCs w:val="96"/>
          <w:highlight w:val="none"/>
        </w:rPr>
        <w:t>公开采购文件</w:t>
      </w:r>
    </w:p>
    <w:p w14:paraId="4C2BE4E7">
      <w:pPr>
        <w:shd w:val="clear"/>
        <w:rPr>
          <w:rFonts w:hint="eastAsia" w:ascii="宋体" w:hAnsi="宋体" w:cs="宋体"/>
          <w:color w:val="auto"/>
          <w:highlight w:val="none"/>
        </w:rPr>
      </w:pPr>
    </w:p>
    <w:p w14:paraId="2336FB44">
      <w:pPr>
        <w:pStyle w:val="10"/>
        <w:shd w:val="clear"/>
        <w:rPr>
          <w:rFonts w:hint="eastAsia"/>
          <w:color w:val="auto"/>
          <w:highlight w:val="none"/>
        </w:rPr>
      </w:pPr>
    </w:p>
    <w:tbl>
      <w:tblPr>
        <w:tblStyle w:val="33"/>
        <w:tblW w:w="8816" w:type="dxa"/>
        <w:tblInd w:w="-29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613"/>
        <w:gridCol w:w="6203"/>
      </w:tblGrid>
      <w:tr w14:paraId="79472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7" w:hRule="atLeast"/>
        </w:trPr>
        <w:tc>
          <w:tcPr>
            <w:tcW w:w="2613" w:type="dxa"/>
            <w:noWrap/>
            <w:vAlign w:val="center"/>
          </w:tcPr>
          <w:p w14:paraId="1A9713CD">
            <w:pPr>
              <w:shd w:val="clear"/>
              <w:spacing w:before="200"/>
              <w:jc w:val="both"/>
              <w:rPr>
                <w:rFonts w:hint="eastAsia" w:ascii="宋体" w:hAnsi="宋体" w:cs="宋体"/>
                <w:bCs/>
                <w:color w:val="auto"/>
                <w:sz w:val="32"/>
                <w:szCs w:val="24"/>
                <w:highlight w:val="none"/>
              </w:rPr>
            </w:pPr>
            <w:r>
              <w:rPr>
                <w:rFonts w:hint="eastAsia" w:ascii="宋体" w:hAnsi="宋体" w:cs="宋体"/>
                <w:bCs/>
                <w:color w:val="auto"/>
                <w:sz w:val="32"/>
                <w:szCs w:val="24"/>
                <w:highlight w:val="none"/>
              </w:rPr>
              <w:t>项目名称：</w:t>
            </w:r>
          </w:p>
        </w:tc>
        <w:tc>
          <w:tcPr>
            <w:tcW w:w="6203" w:type="dxa"/>
            <w:noWrap/>
            <w:vAlign w:val="center"/>
          </w:tcPr>
          <w:p w14:paraId="6058F67E">
            <w:pPr>
              <w:shd w:val="clear"/>
              <w:spacing w:before="200"/>
              <w:jc w:val="both"/>
              <w:rPr>
                <w:rFonts w:hint="eastAsia" w:ascii="宋体" w:hAnsi="宋体" w:cs="宋体"/>
                <w:bCs/>
                <w:color w:val="auto"/>
                <w:sz w:val="32"/>
                <w:szCs w:val="24"/>
                <w:highlight w:val="none"/>
              </w:rPr>
            </w:pPr>
            <w:r>
              <w:rPr>
                <w:rFonts w:hint="eastAsia" w:ascii="宋体" w:hAnsi="宋体" w:cs="宋体"/>
                <w:bCs/>
                <w:color w:val="auto"/>
                <w:sz w:val="32"/>
                <w:szCs w:val="24"/>
                <w:highlight w:val="none"/>
              </w:rPr>
              <w:t>东莞迎宾馆海鲜水产类、冻品类客用食材协议供应采购项目</w:t>
            </w:r>
          </w:p>
        </w:tc>
      </w:tr>
      <w:tr w14:paraId="4157E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5" w:hRule="atLeast"/>
        </w:trPr>
        <w:tc>
          <w:tcPr>
            <w:tcW w:w="2613" w:type="dxa"/>
            <w:noWrap/>
            <w:vAlign w:val="center"/>
          </w:tcPr>
          <w:p w14:paraId="2AFD8AB4">
            <w:pPr>
              <w:shd w:val="clear"/>
              <w:spacing w:before="200"/>
              <w:jc w:val="both"/>
              <w:rPr>
                <w:rFonts w:hint="eastAsia" w:ascii="宋体" w:hAnsi="宋体" w:cs="宋体"/>
                <w:bCs/>
                <w:color w:val="auto"/>
                <w:sz w:val="32"/>
                <w:szCs w:val="24"/>
                <w:highlight w:val="none"/>
              </w:rPr>
            </w:pPr>
            <w:r>
              <w:rPr>
                <w:rFonts w:hint="eastAsia" w:ascii="宋体" w:hAnsi="宋体" w:cs="宋体"/>
                <w:bCs/>
                <w:color w:val="auto"/>
                <w:sz w:val="32"/>
                <w:szCs w:val="24"/>
                <w:highlight w:val="none"/>
              </w:rPr>
              <w:t>项目采购编号：</w:t>
            </w:r>
          </w:p>
        </w:tc>
        <w:tc>
          <w:tcPr>
            <w:tcW w:w="6203" w:type="dxa"/>
            <w:noWrap/>
            <w:vAlign w:val="center"/>
          </w:tcPr>
          <w:p w14:paraId="07691930">
            <w:pPr>
              <w:shd w:val="clear"/>
              <w:spacing w:before="200"/>
              <w:jc w:val="both"/>
              <w:rPr>
                <w:rFonts w:hint="eastAsia" w:ascii="宋体" w:hAnsi="宋体" w:cs="宋体"/>
                <w:bCs/>
                <w:color w:val="auto"/>
                <w:sz w:val="32"/>
                <w:szCs w:val="24"/>
                <w:highlight w:val="none"/>
              </w:rPr>
            </w:pPr>
            <w:r>
              <w:rPr>
                <w:rFonts w:hint="eastAsia" w:ascii="宋体" w:hAnsi="宋体" w:cs="宋体"/>
                <w:bCs/>
                <w:color w:val="auto"/>
                <w:sz w:val="32"/>
                <w:szCs w:val="24"/>
                <w:highlight w:val="none"/>
              </w:rPr>
              <w:t>GYBG-SC-02-16-021（2026）</w:t>
            </w:r>
          </w:p>
        </w:tc>
      </w:tr>
      <w:tr w14:paraId="604A4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9" w:hRule="atLeast"/>
        </w:trPr>
        <w:tc>
          <w:tcPr>
            <w:tcW w:w="2613" w:type="dxa"/>
            <w:noWrap/>
            <w:vAlign w:val="center"/>
          </w:tcPr>
          <w:p w14:paraId="7F926324">
            <w:pPr>
              <w:shd w:val="clear"/>
              <w:spacing w:before="200"/>
              <w:jc w:val="both"/>
              <w:rPr>
                <w:rFonts w:hint="eastAsia" w:ascii="宋体" w:hAnsi="宋体" w:cs="宋体"/>
                <w:bCs/>
                <w:color w:val="auto"/>
                <w:sz w:val="32"/>
                <w:szCs w:val="24"/>
                <w:highlight w:val="none"/>
              </w:rPr>
            </w:pPr>
            <w:r>
              <w:rPr>
                <w:rFonts w:hint="eastAsia" w:ascii="宋体" w:hAnsi="宋体" w:cs="宋体"/>
                <w:bCs/>
                <w:color w:val="auto"/>
                <w:sz w:val="32"/>
                <w:szCs w:val="24"/>
                <w:highlight w:val="none"/>
              </w:rPr>
              <w:t>采购人：</w:t>
            </w:r>
          </w:p>
        </w:tc>
        <w:tc>
          <w:tcPr>
            <w:tcW w:w="6203" w:type="dxa"/>
            <w:noWrap/>
            <w:vAlign w:val="center"/>
          </w:tcPr>
          <w:p w14:paraId="5B13B692">
            <w:pPr>
              <w:shd w:val="clear"/>
              <w:spacing w:before="200"/>
              <w:jc w:val="both"/>
              <w:rPr>
                <w:rFonts w:hint="eastAsia" w:ascii="宋体" w:hAnsi="宋体" w:cs="宋体"/>
                <w:bCs/>
                <w:color w:val="auto"/>
                <w:sz w:val="32"/>
                <w:szCs w:val="24"/>
                <w:highlight w:val="none"/>
              </w:rPr>
            </w:pPr>
            <w:r>
              <w:rPr>
                <w:rFonts w:hint="eastAsia" w:ascii="宋体" w:hAnsi="宋体" w:cs="宋体"/>
                <w:bCs/>
                <w:color w:val="auto"/>
                <w:sz w:val="32"/>
                <w:szCs w:val="24"/>
                <w:highlight w:val="none"/>
              </w:rPr>
              <w:t>东莞迎宾馆酒店有限公司</w:t>
            </w:r>
          </w:p>
        </w:tc>
      </w:tr>
      <w:tr w14:paraId="01FDB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9" w:hRule="atLeast"/>
        </w:trPr>
        <w:tc>
          <w:tcPr>
            <w:tcW w:w="2613" w:type="dxa"/>
            <w:noWrap/>
            <w:vAlign w:val="center"/>
          </w:tcPr>
          <w:p w14:paraId="0640AA34">
            <w:pPr>
              <w:shd w:val="clear"/>
              <w:spacing w:before="200"/>
              <w:jc w:val="both"/>
              <w:rPr>
                <w:rFonts w:hint="eastAsia" w:ascii="宋体" w:hAnsi="宋体" w:cs="宋体"/>
                <w:bCs/>
                <w:color w:val="auto"/>
                <w:sz w:val="32"/>
                <w:szCs w:val="24"/>
                <w:highlight w:val="none"/>
              </w:rPr>
            </w:pPr>
            <w:r>
              <w:rPr>
                <w:rFonts w:hint="eastAsia" w:ascii="宋体" w:hAnsi="宋体" w:cs="宋体"/>
                <w:bCs/>
                <w:color w:val="auto"/>
                <w:sz w:val="32"/>
                <w:szCs w:val="24"/>
                <w:highlight w:val="none"/>
              </w:rPr>
              <w:t>采购代理：</w:t>
            </w:r>
          </w:p>
        </w:tc>
        <w:tc>
          <w:tcPr>
            <w:tcW w:w="6203" w:type="dxa"/>
            <w:noWrap/>
            <w:vAlign w:val="center"/>
          </w:tcPr>
          <w:p w14:paraId="60ED47A4">
            <w:pPr>
              <w:shd w:val="clear"/>
              <w:spacing w:before="200"/>
              <w:jc w:val="both"/>
              <w:rPr>
                <w:rFonts w:hint="eastAsia" w:ascii="宋体" w:hAnsi="宋体" w:cs="宋体"/>
                <w:bCs/>
                <w:color w:val="auto"/>
                <w:sz w:val="32"/>
                <w:szCs w:val="24"/>
                <w:highlight w:val="none"/>
              </w:rPr>
            </w:pPr>
            <w:r>
              <w:rPr>
                <w:rFonts w:hint="eastAsia" w:ascii="宋体" w:hAnsi="宋体" w:cs="宋体"/>
                <w:bCs/>
                <w:color w:val="auto"/>
                <w:sz w:val="32"/>
                <w:szCs w:val="24"/>
                <w:highlight w:val="none"/>
              </w:rPr>
              <w:t>广西同泽工程项目管理股份有限公司</w:t>
            </w:r>
          </w:p>
        </w:tc>
      </w:tr>
    </w:tbl>
    <w:p w14:paraId="08D9C0AF">
      <w:pPr>
        <w:shd w:val="clear"/>
        <w:jc w:val="center"/>
        <w:rPr>
          <w:rFonts w:hint="eastAsia" w:ascii="宋体" w:hAnsi="宋体" w:cs="宋体"/>
          <w:color w:val="auto"/>
          <w:szCs w:val="21"/>
          <w:highlight w:val="none"/>
        </w:rPr>
      </w:pPr>
    </w:p>
    <w:p w14:paraId="039D3FD7">
      <w:pPr>
        <w:shd w:val="clear"/>
        <w:jc w:val="center"/>
        <w:rPr>
          <w:rFonts w:hint="eastAsia" w:ascii="宋体" w:hAnsi="宋体" w:cs="宋体"/>
          <w:color w:val="auto"/>
          <w:szCs w:val="21"/>
          <w:highlight w:val="none"/>
        </w:rPr>
      </w:pPr>
    </w:p>
    <w:p w14:paraId="480F2317">
      <w:pPr>
        <w:shd w:val="clear"/>
        <w:jc w:val="center"/>
        <w:rPr>
          <w:rFonts w:hint="eastAsia" w:ascii="宋体" w:hAnsi="宋体" w:cs="宋体"/>
          <w:color w:val="auto"/>
          <w:szCs w:val="21"/>
          <w:highlight w:val="none"/>
        </w:rPr>
      </w:pPr>
    </w:p>
    <w:p w14:paraId="789E5720">
      <w:pPr>
        <w:shd w:val="clear"/>
        <w:jc w:val="center"/>
        <w:rPr>
          <w:rFonts w:hint="eastAsia" w:ascii="宋体" w:hAnsi="宋体" w:cs="宋体"/>
          <w:color w:val="auto"/>
          <w:szCs w:val="21"/>
          <w:highlight w:val="none"/>
        </w:rPr>
      </w:pPr>
    </w:p>
    <w:p w14:paraId="67956F09">
      <w:pPr>
        <w:shd w:val="clear"/>
        <w:spacing w:before="200"/>
        <w:jc w:val="center"/>
        <w:rPr>
          <w:rFonts w:hint="eastAsia" w:ascii="宋体" w:hAnsi="宋体" w:cs="宋体"/>
          <w:bCs/>
          <w:color w:val="auto"/>
          <w:sz w:val="32"/>
          <w:szCs w:val="24"/>
          <w:highlight w:val="none"/>
        </w:rPr>
      </w:pPr>
      <w:r>
        <w:rPr>
          <w:rFonts w:hint="eastAsia" w:ascii="宋体" w:hAnsi="宋体" w:cs="宋体"/>
          <w:bCs/>
          <w:color w:val="auto"/>
          <w:sz w:val="32"/>
          <w:szCs w:val="24"/>
          <w:highlight w:val="none"/>
        </w:rPr>
        <w:t xml:space="preserve">2026年 </w:t>
      </w:r>
      <w:r>
        <w:rPr>
          <w:rFonts w:hint="eastAsia" w:ascii="宋体" w:hAnsi="宋体" w:cs="宋体"/>
          <w:bCs/>
          <w:color w:val="auto"/>
          <w:sz w:val="32"/>
          <w:szCs w:val="24"/>
          <w:highlight w:val="none"/>
          <w:lang w:val="en-US" w:eastAsia="zh-CN"/>
        </w:rPr>
        <w:t>9</w:t>
      </w:r>
      <w:r>
        <w:rPr>
          <w:rFonts w:hint="eastAsia" w:ascii="宋体" w:hAnsi="宋体" w:cs="宋体"/>
          <w:bCs/>
          <w:color w:val="auto"/>
          <w:sz w:val="32"/>
          <w:szCs w:val="24"/>
          <w:highlight w:val="none"/>
        </w:rPr>
        <w:t xml:space="preserve"> 月</w:t>
      </w:r>
    </w:p>
    <w:p w14:paraId="16DDB2BD">
      <w:pPr>
        <w:shd w:val="clear"/>
        <w:rPr>
          <w:rFonts w:hint="eastAsia" w:ascii="宋体" w:hAnsi="宋体" w:cs="宋体"/>
          <w:color w:val="auto"/>
          <w:highlight w:val="none"/>
        </w:rPr>
        <w:sectPr>
          <w:footerReference r:id="rId8" w:type="first"/>
          <w:footerReference r:id="rId6" w:type="default"/>
          <w:headerReference r:id="rId5" w:type="even"/>
          <w:footerReference r:id="rId7" w:type="even"/>
          <w:pgSz w:w="11906" w:h="16838"/>
          <w:pgMar w:top="1440" w:right="1800" w:bottom="1440" w:left="1800" w:header="708" w:footer="708" w:gutter="0"/>
          <w:pgNumType w:start="1"/>
          <w:cols w:space="708" w:num="1"/>
          <w:titlePg/>
          <w:docGrid w:type="lines" w:linePitch="360" w:charSpace="0"/>
        </w:sectPr>
      </w:pPr>
    </w:p>
    <w:p w14:paraId="540F7AC9">
      <w:pPr>
        <w:pStyle w:val="24"/>
        <w:keepNext w:val="0"/>
        <w:keepLines w:val="0"/>
        <w:pageBreakBefore w:val="0"/>
        <w:widowControl/>
        <w:shd w:val="clear"/>
        <w:kinsoku/>
        <w:wordWrap/>
        <w:overflowPunct/>
        <w:topLinePunct w:val="0"/>
        <w:autoSpaceDE/>
        <w:autoSpaceDN/>
        <w:bidi w:val="0"/>
        <w:adjustRightInd w:val="0"/>
        <w:snapToGrid w:val="0"/>
        <w:spacing w:after="0"/>
        <w:ind w:left="0" w:leftChars="0"/>
        <w:textAlignment w:val="auto"/>
        <w:rPr>
          <w:rFonts w:hint="eastAsia" w:cs="宋体"/>
          <w:b/>
          <w:bCs/>
          <w:color w:val="auto"/>
          <w:sz w:val="28"/>
          <w:szCs w:val="28"/>
          <w:highlight w:val="none"/>
        </w:rPr>
      </w:pPr>
      <w:r>
        <w:rPr>
          <w:rFonts w:hint="eastAsia" w:cs="宋体"/>
          <w:b/>
          <w:bCs/>
          <w:color w:val="auto"/>
          <w:sz w:val="28"/>
          <w:szCs w:val="28"/>
          <w:highlight w:val="none"/>
        </w:rPr>
        <w:t>目录</w:t>
      </w:r>
    </w:p>
    <w:p w14:paraId="1E6B6724">
      <w:pPr>
        <w:pStyle w:val="24"/>
        <w:shd w:val="clear"/>
        <w:tabs>
          <w:tab w:val="right" w:leader="dot" w:pos="8306"/>
          <w:tab w:val="clear" w:pos="8296"/>
        </w:tabs>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TOC \o "1-4" \h \z \u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_Toc13176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第一部分投标邀请</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_Toc13176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50064621">
      <w:pPr>
        <w:pStyle w:val="13"/>
        <w:shd w:val="clear"/>
        <w:tabs>
          <w:tab w:val="right" w:leader="dot" w:pos="8306"/>
          <w:tab w:val="clear" w:pos="8296"/>
        </w:tabs>
        <w:spacing w:line="240" w:lineRule="auto"/>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_Toc762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highlight w:val="none"/>
        </w:rPr>
        <w:t>投标邀请书</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_Toc762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5</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22F1D67E">
      <w:pPr>
        <w:pStyle w:val="24"/>
        <w:shd w:val="clear"/>
        <w:tabs>
          <w:tab w:val="right" w:leader="dot" w:pos="8306"/>
          <w:tab w:val="clear" w:pos="8296"/>
        </w:tabs>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_Toc435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第二部分相关资料表格</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_Toc435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8</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257C7C75">
      <w:pPr>
        <w:pStyle w:val="13"/>
        <w:shd w:val="clear"/>
        <w:tabs>
          <w:tab w:val="right" w:leader="dot" w:pos="8306"/>
          <w:tab w:val="clear" w:pos="8296"/>
        </w:tabs>
        <w:spacing w:line="240" w:lineRule="auto"/>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_Toc6400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附表一：投标资料表</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_Toc6400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8</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1D137FB8">
      <w:pPr>
        <w:pStyle w:val="13"/>
        <w:shd w:val="clear"/>
        <w:tabs>
          <w:tab w:val="right" w:leader="dot" w:pos="8306"/>
          <w:tab w:val="clear" w:pos="8296"/>
        </w:tabs>
        <w:spacing w:line="240" w:lineRule="auto"/>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_Toc18207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附表二：商务技术评分及价格权重表（满分100分）</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_Toc18207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12</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613597BB">
      <w:pPr>
        <w:pStyle w:val="24"/>
        <w:shd w:val="clear"/>
        <w:tabs>
          <w:tab w:val="right" w:leader="dot" w:pos="8306"/>
          <w:tab w:val="clear" w:pos="8296"/>
        </w:tabs>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_Toc5472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第三部分用户需求书</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_Toc5472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29</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24C91C9F">
      <w:pPr>
        <w:pStyle w:val="13"/>
        <w:shd w:val="clear"/>
        <w:tabs>
          <w:tab w:val="right" w:leader="dot" w:pos="8306"/>
          <w:tab w:val="clear" w:pos="8296"/>
        </w:tabs>
        <w:spacing w:line="240" w:lineRule="auto"/>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_Toc17071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第一章 商务需求书</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包A</w:t>
      </w:r>
      <w:r>
        <w:rPr>
          <w:rFonts w:hint="eastAsia" w:ascii="宋体" w:hAnsi="宋体" w:eastAsia="宋体" w:cs="宋体"/>
          <w:color w:val="auto"/>
          <w:szCs w:val="21"/>
          <w:highlight w:val="none"/>
          <w:lang w:eastAsia="zh-CN"/>
        </w:rPr>
        <w:t>）</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_Toc17071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29</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1BFE5996">
      <w:pPr>
        <w:pStyle w:val="13"/>
        <w:shd w:val="clear"/>
        <w:tabs>
          <w:tab w:val="right" w:leader="dot" w:pos="8306"/>
          <w:tab w:val="clear" w:pos="8296"/>
        </w:tabs>
        <w:spacing w:line="240" w:lineRule="auto"/>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_Toc19646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第一章 商务需求书</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包B</w:t>
      </w:r>
      <w:r>
        <w:rPr>
          <w:rFonts w:hint="eastAsia" w:ascii="宋体" w:hAnsi="宋体" w:eastAsia="宋体" w:cs="宋体"/>
          <w:color w:val="auto"/>
          <w:szCs w:val="21"/>
          <w:highlight w:val="none"/>
          <w:lang w:eastAsia="zh-CN"/>
        </w:rPr>
        <w:t>）</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_Toc19646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35</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51825BCB">
      <w:pPr>
        <w:pStyle w:val="13"/>
        <w:shd w:val="clear"/>
        <w:tabs>
          <w:tab w:val="right" w:leader="dot" w:pos="8306"/>
          <w:tab w:val="clear" w:pos="8296"/>
        </w:tabs>
        <w:spacing w:line="240" w:lineRule="auto"/>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_Toc10762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highlight w:val="none"/>
        </w:rPr>
        <w:t>第二章 技术需求书（包A）</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_Toc10762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41</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70814D66">
      <w:pPr>
        <w:pStyle w:val="13"/>
        <w:shd w:val="clear"/>
        <w:tabs>
          <w:tab w:val="right" w:leader="dot" w:pos="8306"/>
          <w:tab w:val="clear" w:pos="8296"/>
        </w:tabs>
        <w:spacing w:line="240" w:lineRule="auto"/>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_Toc19311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highlight w:val="none"/>
        </w:rPr>
        <w:t>第二章 技术需求书（包B）</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_Toc19311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50</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2D84EA5F">
      <w:pPr>
        <w:pStyle w:val="24"/>
        <w:shd w:val="clear"/>
        <w:tabs>
          <w:tab w:val="right" w:leader="dot" w:pos="8306"/>
          <w:tab w:val="clear" w:pos="8296"/>
        </w:tabs>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_Toc30801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第四部分投标人须知</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_Toc30801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59</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19513408">
      <w:pPr>
        <w:pStyle w:val="13"/>
        <w:shd w:val="clear"/>
        <w:tabs>
          <w:tab w:val="right" w:leader="dot" w:pos="8306"/>
          <w:tab w:val="clear" w:pos="8296"/>
        </w:tabs>
        <w:spacing w:line="240" w:lineRule="auto"/>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_Toc18347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highlight w:val="none"/>
        </w:rPr>
        <w:t>一、 说明</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_Toc18347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59</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6D3E988B">
      <w:pPr>
        <w:pStyle w:val="21"/>
        <w:shd w:val="clear"/>
        <w:tabs>
          <w:tab w:val="right" w:leader="dot" w:pos="8306"/>
          <w:tab w:val="clear" w:pos="8296"/>
        </w:tabs>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_Toc31761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1. 适用范围</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PAGEREF _Toc31761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59</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fldChar w:fldCharType="end"/>
      </w:r>
    </w:p>
    <w:p w14:paraId="24D6B36D">
      <w:pPr>
        <w:pStyle w:val="21"/>
        <w:shd w:val="clear"/>
        <w:tabs>
          <w:tab w:val="right" w:leader="dot" w:pos="8306"/>
          <w:tab w:val="clear" w:pos="8296"/>
        </w:tabs>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_Toc18993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2. 定义</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PAGEREF _Toc18993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59</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fldChar w:fldCharType="end"/>
      </w:r>
    </w:p>
    <w:p w14:paraId="11F34CA9">
      <w:pPr>
        <w:pStyle w:val="21"/>
        <w:shd w:val="clear"/>
        <w:tabs>
          <w:tab w:val="right" w:leader="dot" w:pos="8306"/>
          <w:tab w:val="clear" w:pos="8296"/>
        </w:tabs>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_Toc26061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3. 货物和服务</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PAGEREF _Toc26061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59</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fldChar w:fldCharType="end"/>
      </w:r>
    </w:p>
    <w:p w14:paraId="49B20E7F">
      <w:pPr>
        <w:pStyle w:val="21"/>
        <w:shd w:val="clear"/>
        <w:tabs>
          <w:tab w:val="right" w:leader="dot" w:pos="8306"/>
          <w:tab w:val="clear" w:pos="8296"/>
        </w:tabs>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_Toc26930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4. 投标费用</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PAGEREF _Toc26930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59</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fldChar w:fldCharType="end"/>
      </w:r>
    </w:p>
    <w:p w14:paraId="68C239F4">
      <w:pPr>
        <w:pStyle w:val="21"/>
        <w:shd w:val="clear"/>
        <w:tabs>
          <w:tab w:val="right" w:leader="dot" w:pos="8306"/>
          <w:tab w:val="clear" w:pos="8296"/>
        </w:tabs>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_Toc25538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5. 知识产权</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PAGEREF _Toc25538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60</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fldChar w:fldCharType="end"/>
      </w:r>
    </w:p>
    <w:p w14:paraId="48C7CEB2">
      <w:pPr>
        <w:pStyle w:val="21"/>
        <w:shd w:val="clear"/>
        <w:tabs>
          <w:tab w:val="right" w:leader="dot" w:pos="8306"/>
          <w:tab w:val="clear" w:pos="8296"/>
        </w:tabs>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_Toc3974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6. 关于联合体投标</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PAGEREF _Toc3974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60</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fldChar w:fldCharType="end"/>
      </w:r>
    </w:p>
    <w:p w14:paraId="71EA190E">
      <w:pPr>
        <w:pStyle w:val="21"/>
        <w:shd w:val="clear"/>
        <w:tabs>
          <w:tab w:val="right" w:leader="dot" w:pos="8306"/>
          <w:tab w:val="clear" w:pos="8296"/>
        </w:tabs>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_Toc31950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7. 关于分支机构投标</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PAGEREF _Toc31950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61</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fldChar w:fldCharType="end"/>
      </w:r>
    </w:p>
    <w:p w14:paraId="6DDBC874">
      <w:pPr>
        <w:pStyle w:val="21"/>
        <w:shd w:val="clear"/>
        <w:tabs>
          <w:tab w:val="right" w:leader="dot" w:pos="8306"/>
          <w:tab w:val="clear" w:pos="8296"/>
        </w:tabs>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_Toc23147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8. 踏勘现场</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PAGEREF _Toc23147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61</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fldChar w:fldCharType="end"/>
      </w:r>
    </w:p>
    <w:p w14:paraId="79D80834">
      <w:pPr>
        <w:pStyle w:val="13"/>
        <w:shd w:val="clear"/>
        <w:tabs>
          <w:tab w:val="right" w:leader="dot" w:pos="8306"/>
          <w:tab w:val="clear" w:pos="8296"/>
        </w:tabs>
        <w:spacing w:line="240" w:lineRule="auto"/>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_Toc11177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highlight w:val="none"/>
        </w:rPr>
        <w:t>二、 采购文件</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_Toc11177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61</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5E242416">
      <w:pPr>
        <w:pStyle w:val="21"/>
        <w:shd w:val="clear"/>
        <w:tabs>
          <w:tab w:val="right" w:leader="dot" w:pos="8306"/>
          <w:tab w:val="clear" w:pos="8296"/>
        </w:tabs>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_Toc10849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9. 采购文件的组成</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PAGEREF _Toc10849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61</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fldChar w:fldCharType="end"/>
      </w:r>
    </w:p>
    <w:p w14:paraId="3AFA0EEB">
      <w:pPr>
        <w:pStyle w:val="21"/>
        <w:shd w:val="clear"/>
        <w:tabs>
          <w:tab w:val="right" w:leader="dot" w:pos="8306"/>
          <w:tab w:val="clear" w:pos="8296"/>
        </w:tabs>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_Toc1232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10. 采购文件的澄清或修改</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PAGEREF _Toc1232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61</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fldChar w:fldCharType="end"/>
      </w:r>
    </w:p>
    <w:p w14:paraId="7384667B">
      <w:pPr>
        <w:pStyle w:val="13"/>
        <w:shd w:val="clear"/>
        <w:tabs>
          <w:tab w:val="right" w:leader="dot" w:pos="8306"/>
          <w:tab w:val="clear" w:pos="8296"/>
        </w:tabs>
        <w:spacing w:line="240" w:lineRule="auto"/>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_Toc10220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highlight w:val="none"/>
        </w:rPr>
        <w:t>三、 投标文件的编制</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_Toc10220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62</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5D6708D0">
      <w:pPr>
        <w:pStyle w:val="21"/>
        <w:shd w:val="clear"/>
        <w:tabs>
          <w:tab w:val="right" w:leader="dot" w:pos="8306"/>
          <w:tab w:val="clear" w:pos="8296"/>
        </w:tabs>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_Toc17615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11. 投标文件的语言及度量衡单位</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PAGEREF _Toc17615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62</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fldChar w:fldCharType="end"/>
      </w:r>
    </w:p>
    <w:p w14:paraId="408FF0CE">
      <w:pPr>
        <w:pStyle w:val="21"/>
        <w:shd w:val="clear"/>
        <w:tabs>
          <w:tab w:val="right" w:leader="dot" w:pos="8306"/>
          <w:tab w:val="clear" w:pos="8296"/>
        </w:tabs>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_Toc17204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12. 投标文件的组成</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PAGEREF _Toc17204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62</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fldChar w:fldCharType="end"/>
      </w:r>
    </w:p>
    <w:p w14:paraId="31768801">
      <w:pPr>
        <w:pStyle w:val="21"/>
        <w:shd w:val="clear"/>
        <w:tabs>
          <w:tab w:val="right" w:leader="dot" w:pos="8306"/>
          <w:tab w:val="clear" w:pos="8296"/>
        </w:tabs>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_Toc20938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13. 投标文件编制</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PAGEREF _Toc20938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62</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fldChar w:fldCharType="end"/>
      </w:r>
    </w:p>
    <w:p w14:paraId="381CC5E4">
      <w:pPr>
        <w:pStyle w:val="21"/>
        <w:shd w:val="clear"/>
        <w:tabs>
          <w:tab w:val="right" w:leader="dot" w:pos="8306"/>
          <w:tab w:val="clear" w:pos="8296"/>
        </w:tabs>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_Toc11746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14. 投标报价说明</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PAGEREF _Toc11746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63</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fldChar w:fldCharType="end"/>
      </w:r>
    </w:p>
    <w:p w14:paraId="15D9F30B">
      <w:pPr>
        <w:pStyle w:val="21"/>
        <w:shd w:val="clear"/>
        <w:tabs>
          <w:tab w:val="right" w:leader="dot" w:pos="8306"/>
          <w:tab w:val="clear" w:pos="8296"/>
        </w:tabs>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_Toc21120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15. 投标人所提供的服务或货物的证明文件</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PAGEREF _Toc21120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63</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fldChar w:fldCharType="end"/>
      </w:r>
    </w:p>
    <w:p w14:paraId="0CED767B">
      <w:pPr>
        <w:pStyle w:val="21"/>
        <w:shd w:val="clear"/>
        <w:tabs>
          <w:tab w:val="right" w:leader="dot" w:pos="8306"/>
          <w:tab w:val="clear" w:pos="8296"/>
        </w:tabs>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_Toc2217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16. 投标有效期</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PAGEREF _Toc2217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63</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fldChar w:fldCharType="end"/>
      </w:r>
    </w:p>
    <w:p w14:paraId="5356862E">
      <w:pPr>
        <w:pStyle w:val="21"/>
        <w:shd w:val="clear"/>
        <w:tabs>
          <w:tab w:val="right" w:leader="dot" w:pos="8306"/>
          <w:tab w:val="clear" w:pos="8296"/>
        </w:tabs>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_Toc19985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17. 投标保证金</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PAGEREF _Toc19985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64</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fldChar w:fldCharType="end"/>
      </w:r>
    </w:p>
    <w:p w14:paraId="7E68CBB4">
      <w:pPr>
        <w:pStyle w:val="13"/>
        <w:shd w:val="clear"/>
        <w:tabs>
          <w:tab w:val="right" w:leader="dot" w:pos="8306"/>
          <w:tab w:val="clear" w:pos="8296"/>
        </w:tabs>
        <w:spacing w:line="240" w:lineRule="auto"/>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_Toc2656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highlight w:val="none"/>
        </w:rPr>
        <w:t>四、 投标文件的递交</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_Toc2656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64</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3427AD55">
      <w:pPr>
        <w:pStyle w:val="21"/>
        <w:shd w:val="clear"/>
        <w:tabs>
          <w:tab w:val="right" w:leader="dot" w:pos="8306"/>
          <w:tab w:val="clear" w:pos="8296"/>
        </w:tabs>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_Toc9041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18. 投标文件的装订，签署，密封和标记</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PAGEREF _Toc9041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64</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fldChar w:fldCharType="end"/>
      </w:r>
    </w:p>
    <w:p w14:paraId="5F9174D4">
      <w:pPr>
        <w:pStyle w:val="21"/>
        <w:shd w:val="clear"/>
        <w:tabs>
          <w:tab w:val="right" w:leader="dot" w:pos="8306"/>
          <w:tab w:val="clear" w:pos="8296"/>
        </w:tabs>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_Toc21651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19. 迟交的投标文件</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PAGEREF _Toc21651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66</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fldChar w:fldCharType="end"/>
      </w:r>
    </w:p>
    <w:p w14:paraId="2168E086">
      <w:pPr>
        <w:pStyle w:val="21"/>
        <w:shd w:val="clear"/>
        <w:tabs>
          <w:tab w:val="right" w:leader="dot" w:pos="8306"/>
          <w:tab w:val="clear" w:pos="8296"/>
        </w:tabs>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_Toc23417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20. 投标样品（如需提交）</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PAGEREF _Toc23417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66</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fldChar w:fldCharType="end"/>
      </w:r>
    </w:p>
    <w:p w14:paraId="5700ECC6">
      <w:pPr>
        <w:pStyle w:val="21"/>
        <w:shd w:val="clear"/>
        <w:tabs>
          <w:tab w:val="right" w:leader="dot" w:pos="8306"/>
          <w:tab w:val="clear" w:pos="8296"/>
        </w:tabs>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_Toc2550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21. 投标截止期</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PAGEREF _Toc2550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66</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fldChar w:fldCharType="end"/>
      </w:r>
    </w:p>
    <w:p w14:paraId="16E8B6B0">
      <w:pPr>
        <w:pStyle w:val="21"/>
        <w:shd w:val="clear"/>
        <w:tabs>
          <w:tab w:val="right" w:leader="dot" w:pos="8306"/>
          <w:tab w:val="clear" w:pos="8296"/>
        </w:tabs>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_Toc15202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22. 投标文件的补充、修改与撤回</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PAGEREF _Toc15202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66</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fldChar w:fldCharType="end"/>
      </w:r>
    </w:p>
    <w:p w14:paraId="4D09DD3C">
      <w:pPr>
        <w:pStyle w:val="13"/>
        <w:shd w:val="clear"/>
        <w:tabs>
          <w:tab w:val="right" w:leader="dot" w:pos="8306"/>
          <w:tab w:val="clear" w:pos="8296"/>
        </w:tabs>
        <w:spacing w:line="240" w:lineRule="auto"/>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_Toc7460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highlight w:val="none"/>
        </w:rPr>
        <w:t>五、 开标与评标</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_Toc7460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67</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3640A3D4">
      <w:pPr>
        <w:pStyle w:val="21"/>
        <w:shd w:val="clear"/>
        <w:tabs>
          <w:tab w:val="right" w:leader="dot" w:pos="8306"/>
          <w:tab w:val="clear" w:pos="8296"/>
        </w:tabs>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_Toc20413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23. 开标</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PAGEREF _Toc20413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67</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fldChar w:fldCharType="end"/>
      </w:r>
    </w:p>
    <w:p w14:paraId="2E3B8047">
      <w:pPr>
        <w:pStyle w:val="21"/>
        <w:shd w:val="clear"/>
        <w:tabs>
          <w:tab w:val="right" w:leader="dot" w:pos="8306"/>
          <w:tab w:val="clear" w:pos="8296"/>
        </w:tabs>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_Toc17030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24. 评标委员会及评标方法</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PAGEREF _Toc17030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67</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fldChar w:fldCharType="end"/>
      </w:r>
    </w:p>
    <w:p w14:paraId="37A5CF87">
      <w:pPr>
        <w:pStyle w:val="21"/>
        <w:shd w:val="clear"/>
        <w:tabs>
          <w:tab w:val="right" w:leader="dot" w:pos="8306"/>
          <w:tab w:val="clear" w:pos="8296"/>
        </w:tabs>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_Toc21473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25. 评审原则及评标过程的保密</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PAGEREF _Toc21473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68</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fldChar w:fldCharType="end"/>
      </w:r>
    </w:p>
    <w:p w14:paraId="6E8ABB90">
      <w:pPr>
        <w:pStyle w:val="21"/>
        <w:shd w:val="clear"/>
        <w:tabs>
          <w:tab w:val="right" w:leader="dot" w:pos="8306"/>
          <w:tab w:val="clear" w:pos="8296"/>
        </w:tabs>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_Toc1632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26. 评标程序</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PAGEREF _Toc1632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68</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fldChar w:fldCharType="end"/>
      </w:r>
    </w:p>
    <w:p w14:paraId="5C476CF9">
      <w:pPr>
        <w:pStyle w:val="21"/>
        <w:shd w:val="clear"/>
        <w:tabs>
          <w:tab w:val="right" w:leader="dot" w:pos="8306"/>
          <w:tab w:val="clear" w:pos="8296"/>
        </w:tabs>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_Toc4129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27. 商务、技术、价格评审（具体评审项目详见投标资料表）</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PAGEREF _Toc4129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70</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fldChar w:fldCharType="end"/>
      </w:r>
    </w:p>
    <w:p w14:paraId="09EB3FEA">
      <w:pPr>
        <w:pStyle w:val="21"/>
        <w:shd w:val="clear"/>
        <w:tabs>
          <w:tab w:val="right" w:leader="dot" w:pos="8306"/>
          <w:tab w:val="clear" w:pos="8296"/>
        </w:tabs>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_Toc20563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28. 纪律和保密事项</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PAGEREF _Toc20563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70</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fldChar w:fldCharType="end"/>
      </w:r>
    </w:p>
    <w:p w14:paraId="28F429AE">
      <w:pPr>
        <w:pStyle w:val="13"/>
        <w:shd w:val="clear"/>
        <w:tabs>
          <w:tab w:val="right" w:leader="dot" w:pos="8306"/>
          <w:tab w:val="clear" w:pos="8296"/>
        </w:tabs>
        <w:spacing w:line="240" w:lineRule="auto"/>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_Toc29647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highlight w:val="none"/>
        </w:rPr>
        <w:t>六、 授予合同</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_Toc29647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70</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56AC3432">
      <w:pPr>
        <w:pStyle w:val="21"/>
        <w:shd w:val="clear"/>
        <w:tabs>
          <w:tab w:val="right" w:leader="dot" w:pos="8306"/>
          <w:tab w:val="clear" w:pos="8296"/>
        </w:tabs>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_Toc10193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29. 合同授予标准</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PAGEREF _Toc10193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70</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fldChar w:fldCharType="end"/>
      </w:r>
    </w:p>
    <w:p w14:paraId="1B0FD45A">
      <w:pPr>
        <w:pStyle w:val="21"/>
        <w:shd w:val="clear"/>
        <w:tabs>
          <w:tab w:val="right" w:leader="dot" w:pos="8306"/>
          <w:tab w:val="clear" w:pos="8296"/>
        </w:tabs>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_Toc4181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30. 发布中标结果</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PAGEREF _Toc4181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70</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fldChar w:fldCharType="end"/>
      </w:r>
    </w:p>
    <w:p w14:paraId="527F3EA5">
      <w:pPr>
        <w:pStyle w:val="21"/>
        <w:shd w:val="clear"/>
        <w:tabs>
          <w:tab w:val="right" w:leader="dot" w:pos="8306"/>
          <w:tab w:val="clear" w:pos="8296"/>
        </w:tabs>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_Toc26971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31. 资格后审</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PAGEREF _Toc26971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71</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fldChar w:fldCharType="end"/>
      </w:r>
    </w:p>
    <w:p w14:paraId="389D6EA8">
      <w:pPr>
        <w:pStyle w:val="21"/>
        <w:shd w:val="clear"/>
        <w:tabs>
          <w:tab w:val="right" w:leader="dot" w:pos="8306"/>
          <w:tab w:val="clear" w:pos="8296"/>
        </w:tabs>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_Toc1543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32. 合同的签订与履行</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PAGEREF _Toc1543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71</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fldChar w:fldCharType="end"/>
      </w:r>
    </w:p>
    <w:p w14:paraId="36EDD790">
      <w:pPr>
        <w:pStyle w:val="21"/>
        <w:shd w:val="clear"/>
        <w:tabs>
          <w:tab w:val="right" w:leader="dot" w:pos="8306"/>
          <w:tab w:val="clear" w:pos="8296"/>
        </w:tabs>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_Toc23165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33. 履约担保</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PAGEREF _Toc23165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72</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fldChar w:fldCharType="end"/>
      </w:r>
    </w:p>
    <w:p w14:paraId="1DA5FD94">
      <w:pPr>
        <w:pStyle w:val="21"/>
        <w:shd w:val="clear"/>
        <w:tabs>
          <w:tab w:val="right" w:leader="dot" w:pos="8306"/>
          <w:tab w:val="clear" w:pos="8296"/>
        </w:tabs>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_Toc14493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34. 预付款保函（适用于预付款支付）</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PAGEREF _Toc14493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73</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fldChar w:fldCharType="end"/>
      </w:r>
    </w:p>
    <w:p w14:paraId="2B13EA8F">
      <w:pPr>
        <w:pStyle w:val="13"/>
        <w:shd w:val="clear"/>
        <w:tabs>
          <w:tab w:val="right" w:leader="dot" w:pos="8306"/>
          <w:tab w:val="clear" w:pos="8296"/>
        </w:tabs>
        <w:spacing w:line="240" w:lineRule="auto"/>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_Toc15079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highlight w:val="none"/>
        </w:rPr>
        <w:t>七、 异议</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_Toc15079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73</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4DB1E87D">
      <w:pPr>
        <w:pStyle w:val="21"/>
        <w:shd w:val="clear"/>
        <w:tabs>
          <w:tab w:val="right" w:leader="dot" w:pos="8306"/>
          <w:tab w:val="clear" w:pos="8296"/>
        </w:tabs>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_Toc4220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35. 异议</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PAGEREF _Toc4220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73</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fldChar w:fldCharType="end"/>
      </w:r>
    </w:p>
    <w:p w14:paraId="26FD749C">
      <w:pPr>
        <w:pStyle w:val="13"/>
        <w:shd w:val="clear"/>
        <w:tabs>
          <w:tab w:val="right" w:leader="dot" w:pos="8306"/>
          <w:tab w:val="clear" w:pos="8296"/>
        </w:tabs>
        <w:spacing w:line="240" w:lineRule="auto"/>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_Toc8981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highlight w:val="none"/>
        </w:rPr>
        <w:t>八、 其他</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_Toc8981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74</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467E79BC">
      <w:pPr>
        <w:pStyle w:val="21"/>
        <w:shd w:val="clear"/>
        <w:tabs>
          <w:tab w:val="right" w:leader="dot" w:pos="8306"/>
          <w:tab w:val="clear" w:pos="8296"/>
        </w:tabs>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_Toc30511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36. 采购文件的解释权</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PAGEREF _Toc30511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74</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fldChar w:fldCharType="end"/>
      </w:r>
    </w:p>
    <w:p w14:paraId="4928FA58">
      <w:pPr>
        <w:pStyle w:val="24"/>
        <w:shd w:val="clear"/>
        <w:tabs>
          <w:tab w:val="right" w:leader="dot" w:pos="8306"/>
          <w:tab w:val="clear" w:pos="8296"/>
        </w:tabs>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_Toc17760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第五部分  合同条款格式</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_Toc17760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75</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3E9426D8">
      <w:pPr>
        <w:pStyle w:val="24"/>
        <w:shd w:val="clear"/>
        <w:tabs>
          <w:tab w:val="right" w:leader="dot" w:pos="8306"/>
          <w:tab w:val="clear" w:pos="8296"/>
        </w:tabs>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_Toc10852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第六部分附件－投标文件格式</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_Toc10852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99</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402C28B7">
      <w:pPr>
        <w:pStyle w:val="21"/>
        <w:shd w:val="clear"/>
        <w:tabs>
          <w:tab w:val="right" w:leader="dot" w:pos="8306"/>
          <w:tab w:val="clear" w:pos="8296"/>
        </w:tabs>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_Toc16848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投标文件目录</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PAGEREF _Toc16848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99</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fldChar w:fldCharType="end"/>
      </w:r>
    </w:p>
    <w:p w14:paraId="643E7779">
      <w:pPr>
        <w:pStyle w:val="24"/>
        <w:shd w:val="clear"/>
        <w:tabs>
          <w:tab w:val="right" w:leader="dot" w:pos="8306"/>
          <w:tab w:val="clear" w:pos="8296"/>
        </w:tabs>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_Toc1590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价格文件</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_Toc1590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100</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467E983E">
      <w:pPr>
        <w:pStyle w:val="21"/>
        <w:shd w:val="clear"/>
        <w:tabs>
          <w:tab w:val="right" w:leader="dot" w:pos="8306"/>
          <w:tab w:val="clear" w:pos="8296"/>
        </w:tabs>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_Toc1267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附件1.开标一览表格式</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PAGEREF _Toc1267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101</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fldChar w:fldCharType="end"/>
      </w:r>
    </w:p>
    <w:p w14:paraId="6EBED739">
      <w:pPr>
        <w:pStyle w:val="21"/>
        <w:shd w:val="clear"/>
        <w:tabs>
          <w:tab w:val="right" w:leader="dot" w:pos="8306"/>
          <w:tab w:val="clear" w:pos="8296"/>
        </w:tabs>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_Toc8473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附件</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.报价明细表格式</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PAGEREF _Toc8473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102</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fldChar w:fldCharType="end"/>
      </w:r>
    </w:p>
    <w:p w14:paraId="661EDE05">
      <w:pPr>
        <w:pStyle w:val="24"/>
        <w:shd w:val="clear"/>
        <w:tabs>
          <w:tab w:val="right" w:leader="dot" w:pos="8306"/>
          <w:tab w:val="clear" w:pos="8296"/>
        </w:tabs>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_Toc20228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商务文件</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_Toc20228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103</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475467A4">
      <w:pPr>
        <w:pStyle w:val="21"/>
        <w:shd w:val="clear"/>
        <w:tabs>
          <w:tab w:val="right" w:leader="dot" w:pos="8306"/>
          <w:tab w:val="clear" w:pos="8296"/>
        </w:tabs>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_Toc7137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附件</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.投标文件商务部分索引表</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PAGEREF _Toc7137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104</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fldChar w:fldCharType="end"/>
      </w:r>
    </w:p>
    <w:p w14:paraId="6A44FD99">
      <w:pPr>
        <w:pStyle w:val="21"/>
        <w:shd w:val="clear"/>
        <w:tabs>
          <w:tab w:val="right" w:leader="dot" w:pos="8306"/>
          <w:tab w:val="clear" w:pos="8296"/>
        </w:tabs>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_Toc22627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附件</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.投标书格式</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PAGEREF _Toc22627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105</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fldChar w:fldCharType="end"/>
      </w:r>
    </w:p>
    <w:p w14:paraId="293048F8">
      <w:pPr>
        <w:pStyle w:val="21"/>
        <w:shd w:val="clear"/>
        <w:tabs>
          <w:tab w:val="right" w:leader="dot" w:pos="8306"/>
          <w:tab w:val="clear" w:pos="8296"/>
        </w:tabs>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_Toc1217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附件</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.法定代表人证明书格式</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PAGEREF _Toc1217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106</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fldChar w:fldCharType="end"/>
      </w:r>
    </w:p>
    <w:p w14:paraId="5B46996E">
      <w:pPr>
        <w:pStyle w:val="21"/>
        <w:shd w:val="clear"/>
        <w:tabs>
          <w:tab w:val="right" w:leader="dot" w:pos="8306"/>
          <w:tab w:val="clear" w:pos="8296"/>
        </w:tabs>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_Toc14439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附件</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.法定代表人授权书格式</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PAGEREF _Toc14439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107</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fldChar w:fldCharType="end"/>
      </w:r>
    </w:p>
    <w:p w14:paraId="3054F681">
      <w:pPr>
        <w:pStyle w:val="21"/>
        <w:shd w:val="clear"/>
        <w:tabs>
          <w:tab w:val="right" w:leader="dot" w:pos="8306"/>
          <w:tab w:val="clear" w:pos="8296"/>
        </w:tabs>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_Toc6113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附件</w:t>
      </w: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.资格申明</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PAGEREF _Toc6113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108</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fldChar w:fldCharType="end"/>
      </w:r>
    </w:p>
    <w:p w14:paraId="31C97FAB">
      <w:pPr>
        <w:pStyle w:val="21"/>
        <w:shd w:val="clear"/>
        <w:tabs>
          <w:tab w:val="right" w:leader="dot" w:pos="8306"/>
          <w:tab w:val="clear" w:pos="8296"/>
        </w:tabs>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_Toc23583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附件</w:t>
      </w: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rPr>
        <w:t>.营业执照</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PAGEREF _Toc23583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109</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fldChar w:fldCharType="end"/>
      </w:r>
    </w:p>
    <w:p w14:paraId="2D9093B3">
      <w:pPr>
        <w:pStyle w:val="21"/>
        <w:shd w:val="clear"/>
        <w:tabs>
          <w:tab w:val="right" w:leader="dot" w:pos="8306"/>
          <w:tab w:val="clear" w:pos="8296"/>
        </w:tabs>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_Toc12687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附件</w:t>
      </w: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.相关资质证明文件</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PAGEREF _Toc12687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110</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fldChar w:fldCharType="end"/>
      </w:r>
    </w:p>
    <w:p w14:paraId="200769C8">
      <w:pPr>
        <w:pStyle w:val="21"/>
        <w:shd w:val="clear"/>
        <w:tabs>
          <w:tab w:val="right" w:leader="dot" w:pos="8306"/>
          <w:tab w:val="clear" w:pos="8296"/>
        </w:tabs>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_Toc11315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附件</w:t>
      </w: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rPr>
        <w:t>.在经营活动中没有重大违法记录的书面声明格式</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PAGEREF _Toc11315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111</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fldChar w:fldCharType="end"/>
      </w:r>
    </w:p>
    <w:p w14:paraId="4E82482C">
      <w:pPr>
        <w:pStyle w:val="21"/>
        <w:shd w:val="clear"/>
        <w:tabs>
          <w:tab w:val="right" w:leader="dot" w:pos="8306"/>
          <w:tab w:val="clear" w:pos="8296"/>
        </w:tabs>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_Toc26399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附件1</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.承诺书格式</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PAGEREF _Toc26399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112</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fldChar w:fldCharType="end"/>
      </w:r>
    </w:p>
    <w:p w14:paraId="3E26A808">
      <w:pPr>
        <w:pStyle w:val="21"/>
        <w:shd w:val="clear"/>
        <w:tabs>
          <w:tab w:val="right" w:leader="dot" w:pos="8306"/>
          <w:tab w:val="clear" w:pos="8296"/>
        </w:tabs>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_Toc8903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附件1</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.商务需求条款偏离表格式</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PAGEREF _Toc8903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113</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fldChar w:fldCharType="end"/>
      </w:r>
    </w:p>
    <w:p w14:paraId="2D6B03F5">
      <w:pPr>
        <w:pStyle w:val="21"/>
        <w:shd w:val="clear"/>
        <w:tabs>
          <w:tab w:val="right" w:leader="dot" w:pos="8306"/>
          <w:tab w:val="clear" w:pos="8296"/>
        </w:tabs>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_Toc9145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附件1</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.业绩表</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PAGEREF _Toc9145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114</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fldChar w:fldCharType="end"/>
      </w:r>
    </w:p>
    <w:p w14:paraId="0EA63D39">
      <w:pPr>
        <w:pStyle w:val="21"/>
        <w:shd w:val="clear"/>
        <w:tabs>
          <w:tab w:val="right" w:leader="dot" w:pos="8306"/>
          <w:tab w:val="clear" w:pos="8296"/>
        </w:tabs>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_Toc22930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附件1</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.联合体协议书（如有）</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PAGEREF _Toc22930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115</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fldChar w:fldCharType="end"/>
      </w:r>
    </w:p>
    <w:p w14:paraId="1FCF570A">
      <w:pPr>
        <w:pStyle w:val="24"/>
        <w:shd w:val="clear"/>
        <w:tabs>
          <w:tab w:val="right" w:leader="dot" w:pos="8306"/>
          <w:tab w:val="clear" w:pos="8296"/>
        </w:tabs>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_Toc20645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技术文件</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_Toc20645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117</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62440A00">
      <w:pPr>
        <w:pStyle w:val="21"/>
        <w:shd w:val="clear"/>
        <w:tabs>
          <w:tab w:val="right" w:leader="dot" w:pos="8306"/>
          <w:tab w:val="clear" w:pos="8296"/>
        </w:tabs>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_Toc6532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附件1</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.技术规格偏离表格式</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PAGEREF _Toc6532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118</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fldChar w:fldCharType="end"/>
      </w:r>
    </w:p>
    <w:p w14:paraId="6ECFD03E">
      <w:pPr>
        <w:pStyle w:val="21"/>
        <w:shd w:val="clear"/>
        <w:tabs>
          <w:tab w:val="right" w:leader="dot" w:pos="8306"/>
          <w:tab w:val="clear" w:pos="8296"/>
        </w:tabs>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_Toc3279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附件</w:t>
      </w:r>
      <w:r>
        <w:rPr>
          <w:rFonts w:hint="eastAsia" w:ascii="宋体" w:hAnsi="宋体" w:eastAsia="宋体" w:cs="宋体"/>
          <w:color w:val="auto"/>
          <w:szCs w:val="21"/>
          <w:highlight w:val="none"/>
          <w:lang w:val="en-US" w:eastAsia="zh-CN"/>
        </w:rPr>
        <w:t>16</w:t>
      </w:r>
      <w:r>
        <w:rPr>
          <w:rFonts w:hint="eastAsia" w:ascii="宋体" w:hAnsi="宋体" w:eastAsia="宋体" w:cs="宋体"/>
          <w:color w:val="auto"/>
          <w:szCs w:val="21"/>
          <w:highlight w:val="none"/>
        </w:rPr>
        <w:t>.项目实施方案格式</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PAGEREF _Toc3279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119</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fldChar w:fldCharType="end"/>
      </w:r>
    </w:p>
    <w:p w14:paraId="1433AA4A">
      <w:pPr>
        <w:pStyle w:val="21"/>
        <w:shd w:val="clear"/>
        <w:tabs>
          <w:tab w:val="right" w:leader="dot" w:pos="8306"/>
          <w:tab w:val="clear" w:pos="8296"/>
        </w:tabs>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_Toc169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附件1</w:t>
      </w: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.实施本项目的有关人员资料表格式</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PAGEREF _Toc169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120</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fldChar w:fldCharType="end"/>
      </w:r>
    </w:p>
    <w:p w14:paraId="075AF107">
      <w:pPr>
        <w:pStyle w:val="21"/>
        <w:shd w:val="clear"/>
        <w:tabs>
          <w:tab w:val="right" w:leader="dot" w:pos="8306"/>
          <w:tab w:val="clear" w:pos="8296"/>
        </w:tabs>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_Toc21915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附件1</w:t>
      </w: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rPr>
        <w:t>.投标保证金汇入情况说明格式</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PAGEREF _Toc21915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121</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fldChar w:fldCharType="end"/>
      </w:r>
    </w:p>
    <w:p w14:paraId="49640B88">
      <w:pPr>
        <w:pStyle w:val="21"/>
        <w:shd w:val="clear"/>
        <w:tabs>
          <w:tab w:val="right" w:leader="dot" w:pos="8306"/>
          <w:tab w:val="clear" w:pos="8296"/>
        </w:tabs>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_Toc14388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附件1</w:t>
      </w: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.不可撤销履约保函</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PAGEREF _Toc14388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123</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fldChar w:fldCharType="end"/>
      </w:r>
    </w:p>
    <w:p w14:paraId="09ACC27A">
      <w:pPr>
        <w:pStyle w:val="21"/>
        <w:shd w:val="clear"/>
        <w:tabs>
          <w:tab w:val="right" w:leader="dot" w:pos="8306"/>
          <w:tab w:val="clear" w:pos="8296"/>
        </w:tabs>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_Toc21323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附件</w:t>
      </w:r>
      <w:r>
        <w:rPr>
          <w:rFonts w:hint="eastAsia" w:ascii="宋体" w:hAnsi="宋体" w:eastAsia="宋体" w:cs="宋体"/>
          <w:color w:val="auto"/>
          <w:szCs w:val="21"/>
          <w:highlight w:val="none"/>
          <w:lang w:val="en-US" w:eastAsia="zh-CN"/>
        </w:rPr>
        <w:t>20</w:t>
      </w:r>
      <w:r>
        <w:rPr>
          <w:rFonts w:hint="eastAsia" w:ascii="宋体" w:hAnsi="宋体" w:eastAsia="宋体" w:cs="宋体"/>
          <w:color w:val="auto"/>
          <w:szCs w:val="21"/>
          <w:highlight w:val="none"/>
        </w:rPr>
        <w:t>.预付款保函（适用于预付款支付）</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PAGEREF _Toc21323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124</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fldChar w:fldCharType="end"/>
      </w:r>
    </w:p>
    <w:p w14:paraId="5AA2B0AE">
      <w:pPr>
        <w:pStyle w:val="24"/>
        <w:shd w:val="clear"/>
        <w:tabs>
          <w:tab w:val="right" w:leader="dot" w:pos="8306"/>
          <w:tab w:val="clear" w:pos="8296"/>
        </w:tabs>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_Toc17365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唱标信封</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_Toc17365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125</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60C0C559">
      <w:pPr>
        <w:pStyle w:val="21"/>
        <w:shd w:val="clear"/>
        <w:tabs>
          <w:tab w:val="right" w:leader="dot" w:pos="8306"/>
          <w:tab w:val="clear" w:pos="8296"/>
        </w:tabs>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_Toc19830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附件2</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.唱标信封内装（内容务必与投标文件正本一致）</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PAGEREF _Toc19830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126</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fldChar w:fldCharType="end"/>
      </w:r>
    </w:p>
    <w:p w14:paraId="106ED3BB">
      <w:pPr>
        <w:pStyle w:val="24"/>
        <w:keepNext w:val="0"/>
        <w:keepLines w:val="0"/>
        <w:pageBreakBefore w:val="0"/>
        <w:widowControl/>
        <w:shd w:val="clear"/>
        <w:tabs>
          <w:tab w:val="right" w:leader="dot" w:pos="8306"/>
          <w:tab w:val="clear" w:pos="8296"/>
        </w:tabs>
        <w:kinsoku/>
        <w:wordWrap/>
        <w:overflowPunct/>
        <w:topLinePunct w:val="0"/>
        <w:autoSpaceDE/>
        <w:autoSpaceDN/>
        <w:bidi w:val="0"/>
        <w:adjustRightInd w:val="0"/>
        <w:snapToGrid w:val="0"/>
        <w:spacing w:after="0" w:line="240" w:lineRule="auto"/>
        <w:ind w:left="0" w:leftChars="0"/>
        <w:textAlignment w:val="auto"/>
        <w:rPr>
          <w:rFonts w:hint="eastAsia" w:cs="宋体"/>
          <w:color w:val="auto"/>
          <w:sz w:val="21"/>
          <w:szCs w:val="21"/>
          <w:highlight w:val="none"/>
        </w:rPr>
      </w:pPr>
      <w:r>
        <w:rPr>
          <w:rFonts w:hint="eastAsia" w:ascii="宋体" w:hAnsi="宋体" w:eastAsia="宋体" w:cs="宋体"/>
          <w:color w:val="auto"/>
          <w:sz w:val="21"/>
          <w:szCs w:val="21"/>
          <w:highlight w:val="none"/>
        </w:rPr>
        <w:fldChar w:fldCharType="end"/>
      </w:r>
    </w:p>
    <w:p w14:paraId="03608BE6">
      <w:pPr>
        <w:shd w:val="clear"/>
        <w:rPr>
          <w:rFonts w:hint="eastAsia" w:ascii="宋体" w:hAnsi="宋体" w:cs="宋体"/>
          <w:color w:val="auto"/>
          <w:szCs w:val="21"/>
          <w:highlight w:val="none"/>
        </w:rPr>
      </w:pPr>
      <w:r>
        <w:rPr>
          <w:rFonts w:hint="eastAsia" w:ascii="宋体" w:hAnsi="宋体" w:cs="宋体"/>
          <w:color w:val="auto"/>
          <w:szCs w:val="21"/>
          <w:highlight w:val="none"/>
        </w:rPr>
        <w:br w:type="page"/>
      </w:r>
      <w:bookmarkStart w:id="301" w:name="_GoBack"/>
      <w:bookmarkEnd w:id="301"/>
    </w:p>
    <w:p w14:paraId="44D1C430">
      <w:pPr>
        <w:pStyle w:val="4"/>
        <w:shd w:val="clear"/>
        <w:spacing w:before="0" w:after="0" w:line="240" w:lineRule="auto"/>
        <w:rPr>
          <w:rFonts w:hint="eastAsia" w:ascii="宋体" w:hAnsi="宋体" w:eastAsia="宋体" w:cs="宋体"/>
          <w:color w:val="auto"/>
          <w:sz w:val="28"/>
          <w:szCs w:val="28"/>
          <w:highlight w:val="none"/>
        </w:rPr>
      </w:pPr>
      <w:bookmarkStart w:id="0" w:name="_Toc3018"/>
      <w:bookmarkStart w:id="1" w:name="_Toc13176"/>
      <w:r>
        <w:rPr>
          <w:rFonts w:hint="eastAsia" w:ascii="宋体" w:hAnsi="宋体" w:eastAsia="宋体" w:cs="宋体"/>
          <w:color w:val="auto"/>
          <w:sz w:val="28"/>
          <w:szCs w:val="28"/>
          <w:highlight w:val="none"/>
        </w:rPr>
        <w:t>第一部分投标邀请</w:t>
      </w:r>
      <w:bookmarkEnd w:id="0"/>
      <w:bookmarkEnd w:id="1"/>
    </w:p>
    <w:p w14:paraId="37D00AF9">
      <w:pPr>
        <w:pStyle w:val="5"/>
        <w:shd w:val="clear"/>
        <w:spacing w:before="0" w:after="0" w:line="360" w:lineRule="auto"/>
        <w:jc w:val="center"/>
        <w:rPr>
          <w:rFonts w:hint="eastAsia" w:ascii="宋体" w:hAnsi="宋体" w:cs="宋体"/>
          <w:color w:val="auto"/>
          <w:highlight w:val="none"/>
        </w:rPr>
      </w:pPr>
      <w:bookmarkStart w:id="2" w:name="_Toc29862"/>
      <w:bookmarkStart w:id="3" w:name="_Toc762"/>
      <w:r>
        <w:rPr>
          <w:rFonts w:hint="eastAsia" w:ascii="宋体" w:hAnsi="宋体" w:cs="宋体"/>
          <w:color w:val="auto"/>
          <w:highlight w:val="none"/>
        </w:rPr>
        <w:t>投标邀请书</w:t>
      </w:r>
      <w:bookmarkEnd w:id="2"/>
      <w:bookmarkEnd w:id="3"/>
    </w:p>
    <w:p w14:paraId="6E2461EE">
      <w:pPr>
        <w:keepNext w:val="0"/>
        <w:keepLines w:val="0"/>
        <w:pageBreakBefore w:val="0"/>
        <w:widowControl/>
        <w:shd w:val="clear"/>
        <w:overflowPunct/>
        <w:topLinePunct w:val="0"/>
        <w:autoSpaceDE/>
        <w:autoSpaceDN/>
        <w:bidi w:val="0"/>
        <w:snapToGrid w:val="0"/>
        <w:spacing w:after="0" w:line="360" w:lineRule="auto"/>
        <w:ind w:firstLine="422" w:firstLineChars="200"/>
        <w:textAlignment w:val="auto"/>
        <w:rPr>
          <w:rFonts w:hint="eastAsia" w:ascii="宋体" w:hAnsi="宋体" w:cs="宋体"/>
          <w:color w:val="auto"/>
          <w:szCs w:val="21"/>
          <w:highlight w:val="none"/>
        </w:rPr>
      </w:pPr>
      <w:r>
        <w:rPr>
          <w:rFonts w:hint="eastAsia" w:ascii="宋体" w:hAnsi="宋体" w:cs="宋体"/>
          <w:b/>
          <w:bCs/>
          <w:color w:val="auto"/>
          <w:szCs w:val="21"/>
          <w:highlight w:val="none"/>
        </w:rPr>
        <w:t>广西同泽工程项目管理股份有限公司</w:t>
      </w:r>
      <w:r>
        <w:rPr>
          <w:rFonts w:hint="eastAsia" w:ascii="宋体" w:hAnsi="宋体" w:cs="宋体"/>
          <w:color w:val="auto"/>
          <w:szCs w:val="21"/>
          <w:highlight w:val="none"/>
        </w:rPr>
        <w:t>（以下简称“采购代理机构”）受</w:t>
      </w:r>
      <w:r>
        <w:rPr>
          <w:rFonts w:hint="eastAsia" w:ascii="宋体" w:hAnsi="宋体" w:cs="宋体"/>
          <w:b/>
          <w:bCs/>
          <w:color w:val="auto"/>
          <w:szCs w:val="21"/>
          <w:highlight w:val="none"/>
        </w:rPr>
        <w:t>东莞迎宾馆酒店有限公司</w:t>
      </w:r>
      <w:r>
        <w:rPr>
          <w:rFonts w:hint="eastAsia" w:ascii="宋体" w:hAnsi="宋体" w:cs="宋体"/>
          <w:color w:val="auto"/>
          <w:szCs w:val="21"/>
          <w:highlight w:val="none"/>
        </w:rPr>
        <w:t>（以下简称“采购人”）委托，现就</w:t>
      </w:r>
      <w:r>
        <w:rPr>
          <w:rFonts w:hint="eastAsia" w:ascii="宋体" w:hAnsi="宋体" w:cs="宋体"/>
          <w:b/>
          <w:bCs/>
          <w:color w:val="auto"/>
          <w:szCs w:val="21"/>
          <w:highlight w:val="none"/>
        </w:rPr>
        <w:t>东莞迎宾馆</w:t>
      </w:r>
      <w:r>
        <w:rPr>
          <w:rFonts w:hint="eastAsia" w:ascii="宋体" w:hAnsi="宋体" w:cs="宋体"/>
          <w:b/>
          <w:bCs/>
          <w:color w:val="auto"/>
          <w:szCs w:val="21"/>
          <w:highlight w:val="none"/>
          <w:lang w:eastAsia="zh-CN"/>
        </w:rPr>
        <w:t>海鲜水产类</w:t>
      </w:r>
      <w:r>
        <w:rPr>
          <w:rFonts w:hint="eastAsia" w:ascii="宋体" w:hAnsi="宋体" w:cs="宋体"/>
          <w:b/>
          <w:bCs/>
          <w:color w:val="auto"/>
          <w:szCs w:val="21"/>
          <w:highlight w:val="none"/>
        </w:rPr>
        <w:t>、冻品类客用食材协议供应采购项目</w:t>
      </w:r>
      <w:r>
        <w:rPr>
          <w:rFonts w:hint="eastAsia" w:ascii="宋体" w:hAnsi="宋体" w:cs="宋体"/>
          <w:color w:val="auto"/>
          <w:szCs w:val="21"/>
          <w:highlight w:val="none"/>
        </w:rPr>
        <w:t>（项目编号：GYBG-SC-02-16-021（2026））进行国内公开采购，欢迎符合采购文件要求的国内投标人参加投标。有关事项如下：</w:t>
      </w:r>
    </w:p>
    <w:p w14:paraId="7744EBDD">
      <w:pPr>
        <w:keepNext w:val="0"/>
        <w:keepLines w:val="0"/>
        <w:pageBreakBefore w:val="0"/>
        <w:widowControl/>
        <w:shd w:val="clear"/>
        <w:overflowPunct/>
        <w:topLinePunct w:val="0"/>
        <w:autoSpaceDE/>
        <w:autoSpaceDN/>
        <w:bidi w:val="0"/>
        <w:snapToGrid w:val="0"/>
        <w:spacing w:after="0" w:line="360" w:lineRule="auto"/>
        <w:ind w:firstLine="413" w:firstLineChars="196"/>
        <w:textAlignment w:val="auto"/>
        <w:rPr>
          <w:rFonts w:hint="eastAsia" w:ascii="宋体" w:hAnsi="宋体" w:cs="宋体"/>
          <w:b/>
          <w:color w:val="auto"/>
          <w:szCs w:val="21"/>
          <w:highlight w:val="none"/>
        </w:rPr>
      </w:pPr>
    </w:p>
    <w:p w14:paraId="3104C411">
      <w:pPr>
        <w:keepNext w:val="0"/>
        <w:keepLines w:val="0"/>
        <w:pageBreakBefore w:val="0"/>
        <w:widowControl/>
        <w:shd w:val="clear"/>
        <w:overflowPunct/>
        <w:topLinePunct w:val="0"/>
        <w:autoSpaceDE/>
        <w:autoSpaceDN/>
        <w:bidi w:val="0"/>
        <w:snapToGrid w:val="0"/>
        <w:spacing w:after="0" w:line="360" w:lineRule="auto"/>
        <w:ind w:firstLine="413"/>
        <w:textAlignment w:val="auto"/>
        <w:rPr>
          <w:rFonts w:hint="eastAsia" w:ascii="宋体" w:hAnsi="宋体" w:cs="宋体"/>
          <w:b/>
          <w:color w:val="auto"/>
          <w:szCs w:val="21"/>
          <w:highlight w:val="none"/>
        </w:rPr>
      </w:pPr>
      <w:r>
        <w:rPr>
          <w:rFonts w:hint="eastAsia" w:ascii="宋体" w:hAnsi="宋体" w:cs="宋体"/>
          <w:b/>
          <w:color w:val="auto"/>
          <w:szCs w:val="21"/>
          <w:highlight w:val="none"/>
        </w:rPr>
        <w:t>一、采购项目概况</w:t>
      </w:r>
    </w:p>
    <w:p w14:paraId="452EB955">
      <w:pPr>
        <w:keepNext w:val="0"/>
        <w:keepLines w:val="0"/>
        <w:pageBreakBefore w:val="0"/>
        <w:widowControl/>
        <w:shd w:val="clear"/>
        <w:overflowPunct/>
        <w:topLinePunct w:val="0"/>
        <w:autoSpaceDE/>
        <w:autoSpaceDN/>
        <w:bidi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1、采购项目名称：东莞迎宾馆</w:t>
      </w:r>
      <w:r>
        <w:rPr>
          <w:rFonts w:hint="eastAsia" w:ascii="宋体" w:hAnsi="宋体" w:cs="宋体"/>
          <w:color w:val="auto"/>
          <w:szCs w:val="21"/>
          <w:highlight w:val="none"/>
          <w:lang w:eastAsia="zh-CN"/>
        </w:rPr>
        <w:t>海鲜水产类</w:t>
      </w:r>
      <w:r>
        <w:rPr>
          <w:rFonts w:hint="eastAsia" w:ascii="宋体" w:hAnsi="宋体" w:cs="宋体"/>
          <w:color w:val="auto"/>
          <w:szCs w:val="21"/>
          <w:highlight w:val="none"/>
        </w:rPr>
        <w:t>、冻品类客用食材协议供应采购项目</w:t>
      </w:r>
    </w:p>
    <w:p w14:paraId="6DBCB300">
      <w:pPr>
        <w:keepNext w:val="0"/>
        <w:keepLines w:val="0"/>
        <w:pageBreakBefore w:val="0"/>
        <w:widowControl/>
        <w:shd w:val="clear"/>
        <w:overflowPunct/>
        <w:topLinePunct w:val="0"/>
        <w:autoSpaceDE/>
        <w:autoSpaceDN/>
        <w:bidi w:val="0"/>
        <w:snapToGrid w:val="0"/>
        <w:spacing w:after="0" w:line="360" w:lineRule="auto"/>
        <w:ind w:firstLine="420" w:firstLineChars="200"/>
        <w:textAlignment w:val="auto"/>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预估</w:t>
      </w:r>
      <w:r>
        <w:rPr>
          <w:rFonts w:hint="eastAsia" w:ascii="宋体" w:hAnsi="宋体" w:cs="宋体"/>
          <w:color w:val="auto"/>
          <w:szCs w:val="21"/>
          <w:highlight w:val="none"/>
        </w:rPr>
        <w:t>金额（元）：</w:t>
      </w:r>
      <w:r>
        <w:rPr>
          <w:rFonts w:hint="eastAsia" w:ascii="宋体" w:hAnsi="宋体" w:cs="宋体"/>
          <w:color w:val="auto"/>
          <w:szCs w:val="21"/>
          <w:highlight w:val="none"/>
          <w:u w:val="single"/>
        </w:rPr>
        <w:t>¥</w:t>
      </w:r>
      <w:r>
        <w:rPr>
          <w:rFonts w:hint="eastAsia" w:ascii="宋体" w:hAnsi="宋体" w:cs="宋体"/>
          <w:color w:val="auto"/>
          <w:szCs w:val="21"/>
          <w:highlight w:val="none"/>
          <w:u w:val="single"/>
          <w:lang w:val="en-US" w:eastAsia="zh-CN"/>
        </w:rPr>
        <w:t>30,000,000.00</w:t>
      </w:r>
      <w:r>
        <w:rPr>
          <w:rFonts w:hint="eastAsia" w:ascii="宋体" w:hAnsi="宋体" w:cs="宋体"/>
          <w:color w:val="auto"/>
          <w:szCs w:val="21"/>
          <w:highlight w:val="none"/>
          <w:u w:val="single"/>
        </w:rPr>
        <w:t>元</w:t>
      </w:r>
      <w:r>
        <w:rPr>
          <w:rStyle w:val="39"/>
          <w:rFonts w:hint="eastAsia" w:ascii="宋体" w:hAnsi="宋体" w:cs="宋体"/>
          <w:color w:val="auto"/>
          <w:highlight w:val="none"/>
          <w:lang w:eastAsia="zh-CN"/>
        </w:rPr>
        <w:t>（</w:t>
      </w:r>
      <w:r>
        <w:rPr>
          <w:rStyle w:val="39"/>
          <w:rFonts w:hint="eastAsia" w:ascii="宋体" w:hAnsi="宋体" w:cs="宋体"/>
          <w:color w:val="auto"/>
          <w:highlight w:val="none"/>
          <w:lang w:val="en-US" w:eastAsia="zh-CN"/>
        </w:rPr>
        <w:t>含税</w:t>
      </w:r>
      <w:r>
        <w:rPr>
          <w:rStyle w:val="39"/>
          <w:rFonts w:hint="eastAsia" w:ascii="宋体" w:hAnsi="宋体" w:cs="宋体"/>
          <w:color w:val="auto"/>
          <w:highlight w:val="none"/>
          <w:lang w:eastAsia="zh-CN"/>
        </w:rPr>
        <w:t>）</w:t>
      </w:r>
    </w:p>
    <w:p w14:paraId="128E02B7">
      <w:pPr>
        <w:keepNext w:val="0"/>
        <w:keepLines w:val="0"/>
        <w:pageBreakBefore w:val="0"/>
        <w:widowControl/>
        <w:shd w:val="clear"/>
        <w:overflowPunct/>
        <w:topLinePunct w:val="0"/>
        <w:autoSpaceDE/>
        <w:autoSpaceDN/>
        <w:bidi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3、项目内容</w:t>
      </w:r>
    </w:p>
    <w:tbl>
      <w:tblPr>
        <w:tblStyle w:val="32"/>
        <w:tblW w:w="88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9"/>
        <w:gridCol w:w="1922"/>
        <w:gridCol w:w="1235"/>
        <w:gridCol w:w="2500"/>
        <w:gridCol w:w="2011"/>
      </w:tblGrid>
      <w:tr w14:paraId="2B666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1149" w:type="dxa"/>
            <w:vAlign w:val="center"/>
          </w:tcPr>
          <w:p w14:paraId="48BBF5E8">
            <w:pPr>
              <w:keepNext w:val="0"/>
              <w:keepLines w:val="0"/>
              <w:pageBreakBefore w:val="0"/>
              <w:widowControl/>
              <w:shd w:val="clear"/>
              <w:overflowPunct/>
              <w:topLinePunct w:val="0"/>
              <w:autoSpaceDE/>
              <w:autoSpaceDN/>
              <w:bidi w:val="0"/>
              <w:snapToGrid w:val="0"/>
              <w:spacing w:after="0" w:line="360" w:lineRule="auto"/>
              <w:jc w:val="center"/>
              <w:textAlignment w:val="auto"/>
              <w:rPr>
                <w:rFonts w:hint="eastAsia" w:ascii="宋体" w:hAnsi="宋体" w:cs="宋体"/>
                <w:color w:val="auto"/>
                <w:kern w:val="28"/>
                <w:szCs w:val="21"/>
                <w:highlight w:val="none"/>
              </w:rPr>
            </w:pPr>
            <w:r>
              <w:rPr>
                <w:rFonts w:hint="eastAsia" w:ascii="宋体" w:hAnsi="宋体" w:cs="宋体"/>
                <w:color w:val="auto"/>
                <w:kern w:val="28"/>
                <w:szCs w:val="21"/>
                <w:highlight w:val="none"/>
              </w:rPr>
              <w:t>采购包号</w:t>
            </w:r>
          </w:p>
        </w:tc>
        <w:tc>
          <w:tcPr>
            <w:tcW w:w="1922" w:type="dxa"/>
            <w:vAlign w:val="center"/>
          </w:tcPr>
          <w:p w14:paraId="00EB5342">
            <w:pPr>
              <w:keepNext w:val="0"/>
              <w:keepLines w:val="0"/>
              <w:pageBreakBefore w:val="0"/>
              <w:widowControl/>
              <w:shd w:val="clear"/>
              <w:overflowPunct/>
              <w:topLinePunct w:val="0"/>
              <w:autoSpaceDE/>
              <w:autoSpaceDN/>
              <w:bidi w:val="0"/>
              <w:snapToGrid w:val="0"/>
              <w:spacing w:after="0" w:line="360" w:lineRule="auto"/>
              <w:jc w:val="center"/>
              <w:textAlignment w:val="auto"/>
              <w:rPr>
                <w:rFonts w:hint="eastAsia" w:ascii="宋体" w:hAnsi="宋体" w:cs="宋体"/>
                <w:color w:val="auto"/>
                <w:kern w:val="28"/>
                <w:szCs w:val="21"/>
                <w:highlight w:val="none"/>
              </w:rPr>
            </w:pPr>
            <w:r>
              <w:rPr>
                <w:rFonts w:hint="eastAsia" w:ascii="宋体" w:hAnsi="宋体" w:cs="宋体"/>
                <w:color w:val="auto"/>
                <w:kern w:val="28"/>
                <w:szCs w:val="21"/>
                <w:highlight w:val="none"/>
              </w:rPr>
              <w:t>项目内容</w:t>
            </w:r>
          </w:p>
        </w:tc>
        <w:tc>
          <w:tcPr>
            <w:tcW w:w="1235" w:type="dxa"/>
            <w:vAlign w:val="center"/>
          </w:tcPr>
          <w:p w14:paraId="426B8AEB">
            <w:pPr>
              <w:keepNext w:val="0"/>
              <w:keepLines w:val="0"/>
              <w:pageBreakBefore w:val="0"/>
              <w:widowControl/>
              <w:shd w:val="clear"/>
              <w:overflowPunct/>
              <w:topLinePunct w:val="0"/>
              <w:autoSpaceDE/>
              <w:autoSpaceDN/>
              <w:bidi w:val="0"/>
              <w:snapToGrid w:val="0"/>
              <w:spacing w:after="0" w:line="360" w:lineRule="auto"/>
              <w:jc w:val="center"/>
              <w:textAlignment w:val="auto"/>
              <w:rPr>
                <w:rFonts w:hint="eastAsia" w:ascii="宋体" w:hAnsi="宋体" w:cs="宋体"/>
                <w:color w:val="auto"/>
                <w:kern w:val="28"/>
                <w:szCs w:val="21"/>
                <w:highlight w:val="none"/>
              </w:rPr>
            </w:pPr>
            <w:r>
              <w:rPr>
                <w:rFonts w:hint="eastAsia" w:ascii="宋体" w:hAnsi="宋体" w:cs="宋体"/>
                <w:color w:val="auto"/>
                <w:kern w:val="28"/>
                <w:szCs w:val="21"/>
                <w:highlight w:val="none"/>
              </w:rPr>
              <w:t>采购服务单位数量</w:t>
            </w:r>
          </w:p>
        </w:tc>
        <w:tc>
          <w:tcPr>
            <w:tcW w:w="2500" w:type="dxa"/>
            <w:vAlign w:val="center"/>
          </w:tcPr>
          <w:p w14:paraId="25601FD4">
            <w:pPr>
              <w:keepNext w:val="0"/>
              <w:keepLines w:val="0"/>
              <w:pageBreakBefore w:val="0"/>
              <w:widowControl/>
              <w:shd w:val="clear"/>
              <w:overflowPunct/>
              <w:topLinePunct w:val="0"/>
              <w:autoSpaceDE/>
              <w:autoSpaceDN/>
              <w:bidi w:val="0"/>
              <w:snapToGrid w:val="0"/>
              <w:spacing w:after="0" w:line="360" w:lineRule="auto"/>
              <w:jc w:val="center"/>
              <w:textAlignment w:val="auto"/>
              <w:rPr>
                <w:rFonts w:hint="eastAsia" w:ascii="宋体" w:hAnsi="宋体" w:cs="宋体"/>
                <w:color w:val="auto"/>
                <w:kern w:val="28"/>
                <w:szCs w:val="21"/>
                <w:highlight w:val="none"/>
              </w:rPr>
            </w:pPr>
            <w:r>
              <w:rPr>
                <w:rFonts w:hint="eastAsia" w:ascii="宋体" w:hAnsi="宋体" w:cs="宋体"/>
                <w:color w:val="auto"/>
                <w:kern w:val="28"/>
                <w:szCs w:val="21"/>
                <w:highlight w:val="none"/>
              </w:rPr>
              <w:t>服务期</w:t>
            </w:r>
          </w:p>
        </w:tc>
        <w:tc>
          <w:tcPr>
            <w:tcW w:w="2011" w:type="dxa"/>
            <w:vAlign w:val="center"/>
          </w:tcPr>
          <w:p w14:paraId="09B6024E">
            <w:pPr>
              <w:keepNext w:val="0"/>
              <w:keepLines w:val="0"/>
              <w:pageBreakBefore w:val="0"/>
              <w:widowControl/>
              <w:shd w:val="clear"/>
              <w:overflowPunct/>
              <w:topLinePunct w:val="0"/>
              <w:autoSpaceDE/>
              <w:autoSpaceDN/>
              <w:bidi w:val="0"/>
              <w:snapToGrid w:val="0"/>
              <w:spacing w:after="0" w:line="360" w:lineRule="auto"/>
              <w:jc w:val="center"/>
              <w:textAlignment w:val="auto"/>
              <w:rPr>
                <w:rFonts w:hint="eastAsia" w:ascii="宋体" w:hAnsi="宋体" w:cs="宋体"/>
                <w:color w:val="auto"/>
                <w:kern w:val="28"/>
                <w:szCs w:val="21"/>
                <w:highlight w:val="none"/>
              </w:rPr>
            </w:pPr>
            <w:r>
              <w:rPr>
                <w:rFonts w:hint="eastAsia" w:ascii="宋体" w:hAnsi="宋体" w:cs="宋体"/>
                <w:color w:val="auto"/>
                <w:kern w:val="28"/>
                <w:szCs w:val="21"/>
                <w:highlight w:val="none"/>
              </w:rPr>
              <w:t>包组年</w:t>
            </w:r>
            <w:r>
              <w:rPr>
                <w:rFonts w:hint="eastAsia" w:ascii="宋体" w:hAnsi="宋体" w:cs="宋体"/>
                <w:color w:val="auto"/>
                <w:kern w:val="28"/>
                <w:szCs w:val="21"/>
                <w:highlight w:val="none"/>
                <w:lang w:val="en-US" w:eastAsia="zh-CN"/>
              </w:rPr>
              <w:t>预估</w:t>
            </w:r>
            <w:r>
              <w:rPr>
                <w:rFonts w:hint="eastAsia" w:ascii="宋体" w:hAnsi="宋体" w:cs="宋体"/>
                <w:color w:val="auto"/>
                <w:kern w:val="28"/>
                <w:szCs w:val="21"/>
                <w:highlight w:val="none"/>
              </w:rPr>
              <w:t>金额（元）</w:t>
            </w:r>
          </w:p>
        </w:tc>
      </w:tr>
      <w:tr w14:paraId="4823F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5" w:hRule="atLeast"/>
          <w:jc w:val="center"/>
        </w:trPr>
        <w:tc>
          <w:tcPr>
            <w:tcW w:w="1149" w:type="dxa"/>
            <w:vAlign w:val="center"/>
          </w:tcPr>
          <w:p w14:paraId="741DEFEF">
            <w:pPr>
              <w:keepNext w:val="0"/>
              <w:keepLines w:val="0"/>
              <w:pageBreakBefore w:val="0"/>
              <w:widowControl/>
              <w:shd w:val="clear"/>
              <w:overflowPunct/>
              <w:topLinePunct w:val="0"/>
              <w:autoSpaceDE/>
              <w:autoSpaceDN/>
              <w:bidi w:val="0"/>
              <w:snapToGrid w:val="0"/>
              <w:spacing w:after="0" w:line="360" w:lineRule="auto"/>
              <w:jc w:val="center"/>
              <w:textAlignment w:val="auto"/>
              <w:rPr>
                <w:rFonts w:hint="eastAsia" w:ascii="宋体" w:hAnsi="宋体" w:cs="宋体"/>
                <w:color w:val="auto"/>
                <w:szCs w:val="21"/>
                <w:highlight w:val="none"/>
              </w:rPr>
            </w:pPr>
            <w:r>
              <w:rPr>
                <w:rFonts w:hint="eastAsia" w:ascii="宋体" w:hAnsi="宋体" w:cs="宋体"/>
                <w:color w:val="auto"/>
                <w:szCs w:val="21"/>
                <w:highlight w:val="none"/>
              </w:rPr>
              <w:t>A</w:t>
            </w:r>
          </w:p>
        </w:tc>
        <w:tc>
          <w:tcPr>
            <w:tcW w:w="1922" w:type="dxa"/>
            <w:vAlign w:val="center"/>
          </w:tcPr>
          <w:p w14:paraId="7CF5D689">
            <w:pPr>
              <w:keepNext w:val="0"/>
              <w:keepLines w:val="0"/>
              <w:pageBreakBefore w:val="0"/>
              <w:widowControl/>
              <w:shd w:val="clear"/>
              <w:overflowPunct/>
              <w:topLinePunct w:val="0"/>
              <w:autoSpaceDE/>
              <w:autoSpaceDN/>
              <w:bidi w:val="0"/>
              <w:snapToGrid w:val="0"/>
              <w:spacing w:after="0" w:line="360" w:lineRule="auto"/>
              <w:jc w:val="center"/>
              <w:textAlignment w:val="auto"/>
              <w:rPr>
                <w:rFonts w:hint="eastAsia" w:ascii="宋体" w:hAnsi="宋体" w:cs="宋体"/>
                <w:color w:val="auto"/>
                <w:szCs w:val="21"/>
                <w:highlight w:val="none"/>
              </w:rPr>
            </w:pPr>
            <w:r>
              <w:rPr>
                <w:rFonts w:hint="eastAsia" w:ascii="宋体" w:hAnsi="宋体" w:cs="宋体"/>
                <w:color w:val="auto"/>
                <w:szCs w:val="21"/>
                <w:highlight w:val="none"/>
              </w:rPr>
              <w:t>东莞迎宾馆</w:t>
            </w:r>
            <w:r>
              <w:rPr>
                <w:rFonts w:hint="eastAsia" w:ascii="宋体" w:hAnsi="宋体" w:cs="宋体"/>
                <w:color w:val="auto"/>
                <w:szCs w:val="21"/>
                <w:highlight w:val="none"/>
                <w:lang w:eastAsia="zh-CN"/>
              </w:rPr>
              <w:t>海鲜水产类</w:t>
            </w:r>
            <w:r>
              <w:rPr>
                <w:rFonts w:hint="eastAsia" w:ascii="宋体" w:hAnsi="宋体" w:cs="宋体"/>
                <w:color w:val="auto"/>
                <w:szCs w:val="21"/>
                <w:highlight w:val="none"/>
              </w:rPr>
              <w:t>客用食材协议供应采购项目</w:t>
            </w:r>
          </w:p>
        </w:tc>
        <w:tc>
          <w:tcPr>
            <w:tcW w:w="1235" w:type="dxa"/>
            <w:vAlign w:val="center"/>
          </w:tcPr>
          <w:p w14:paraId="24451FBE">
            <w:pPr>
              <w:keepNext w:val="0"/>
              <w:keepLines w:val="0"/>
              <w:pageBreakBefore w:val="0"/>
              <w:widowControl/>
              <w:shd w:val="clear"/>
              <w:overflowPunct/>
              <w:topLinePunct w:val="0"/>
              <w:autoSpaceDE/>
              <w:autoSpaceDN/>
              <w:bidi w:val="0"/>
              <w:snapToGrid w:val="0"/>
              <w:spacing w:after="0" w:line="360" w:lineRule="auto"/>
              <w:jc w:val="center"/>
              <w:textAlignment w:val="auto"/>
              <w:rPr>
                <w:rFonts w:hint="eastAsia" w:ascii="宋体" w:hAnsi="宋体" w:cs="宋体"/>
                <w:color w:val="auto"/>
                <w:szCs w:val="21"/>
                <w:highlight w:val="none"/>
              </w:rPr>
            </w:pPr>
            <w:r>
              <w:rPr>
                <w:rFonts w:hint="eastAsia" w:ascii="宋体" w:hAnsi="宋体" w:cs="宋体"/>
                <w:color w:val="auto"/>
                <w:szCs w:val="21"/>
                <w:highlight w:val="none"/>
              </w:rPr>
              <w:t>1</w:t>
            </w:r>
          </w:p>
        </w:tc>
        <w:tc>
          <w:tcPr>
            <w:tcW w:w="2500" w:type="dxa"/>
            <w:vMerge w:val="restart"/>
            <w:vAlign w:val="center"/>
          </w:tcPr>
          <w:p w14:paraId="0748B467">
            <w:pPr>
              <w:keepNext w:val="0"/>
              <w:keepLines w:val="0"/>
              <w:pageBreakBefore w:val="0"/>
              <w:widowControl/>
              <w:shd w:val="clear"/>
              <w:overflowPunct/>
              <w:topLinePunct w:val="0"/>
              <w:autoSpaceDE/>
              <w:autoSpaceDN/>
              <w:bidi w:val="0"/>
              <w:snapToGrid w:val="0"/>
              <w:spacing w:after="0" w:line="360" w:lineRule="auto"/>
              <w:jc w:val="center"/>
              <w:textAlignment w:val="auto"/>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服务期:</w:t>
            </w:r>
            <w:r>
              <w:rPr>
                <w:rFonts w:hint="eastAsia" w:ascii="宋体" w:hAnsi="宋体" w:cs="宋体"/>
                <w:color w:val="auto"/>
                <w:szCs w:val="21"/>
                <w:highlight w:val="none"/>
                <w:lang w:eastAsia="zh-CN"/>
              </w:rPr>
              <w:t>一年（期满后采购人结合中标人履约情况，经综合评定后可考虑续签合同，续签期限最长为一年，服务总期限最长不超过</w:t>
            </w:r>
            <w:r>
              <w:rPr>
                <w:rFonts w:hint="eastAsia" w:ascii="宋体" w:hAnsi="宋体" w:cs="宋体"/>
                <w:color w:val="auto"/>
                <w:szCs w:val="21"/>
                <w:highlight w:val="none"/>
                <w:lang w:val="en-US" w:eastAsia="zh-CN"/>
              </w:rPr>
              <w:t>两</w:t>
            </w:r>
            <w:r>
              <w:rPr>
                <w:rFonts w:hint="eastAsia" w:ascii="宋体" w:hAnsi="宋体" w:cs="宋体"/>
                <w:color w:val="auto"/>
                <w:szCs w:val="21"/>
                <w:highlight w:val="none"/>
                <w:lang w:eastAsia="zh-CN"/>
              </w:rPr>
              <w:t>年）</w:t>
            </w:r>
          </w:p>
        </w:tc>
        <w:tc>
          <w:tcPr>
            <w:tcW w:w="2011" w:type="dxa"/>
            <w:vAlign w:val="center"/>
          </w:tcPr>
          <w:p w14:paraId="11EC17BD">
            <w:pPr>
              <w:keepNext w:val="0"/>
              <w:keepLines w:val="0"/>
              <w:pageBreakBefore w:val="0"/>
              <w:widowControl/>
              <w:shd w:val="clear"/>
              <w:overflowPunct/>
              <w:topLinePunct w:val="0"/>
              <w:autoSpaceDE/>
              <w:autoSpaceDN/>
              <w:bidi w:val="0"/>
              <w:snapToGrid w:val="0"/>
              <w:spacing w:after="0" w:line="360" w:lineRule="auto"/>
              <w:jc w:val="center"/>
              <w:textAlignment w:val="auto"/>
              <w:rPr>
                <w:rFonts w:hint="eastAsia" w:ascii="宋体" w:hAnsi="宋体" w:cs="宋体"/>
                <w:color w:val="auto"/>
                <w:szCs w:val="21"/>
                <w:highlight w:val="none"/>
              </w:rPr>
            </w:pPr>
            <w:r>
              <w:rPr>
                <w:rFonts w:hint="eastAsia" w:ascii="宋体" w:hAnsi="宋体" w:cs="宋体"/>
                <w:color w:val="auto"/>
                <w:szCs w:val="21"/>
                <w:highlight w:val="none"/>
                <w:lang w:val="en-US" w:eastAsia="zh-CN"/>
              </w:rPr>
              <w:t>16,200,000.00</w:t>
            </w:r>
            <w:r>
              <w:rPr>
                <w:rFonts w:hint="eastAsia" w:ascii="宋体" w:hAnsi="宋体" w:cs="宋体"/>
                <w:color w:val="auto"/>
                <w:szCs w:val="21"/>
                <w:highlight w:val="none"/>
                <w:lang w:val="en-US" w:eastAsia="zh-CN"/>
              </w:rPr>
              <w:br w:type="textWrapping"/>
            </w:r>
            <w:r>
              <w:rPr>
                <w:rStyle w:val="39"/>
                <w:rFonts w:hint="eastAsia" w:ascii="宋体" w:hAnsi="宋体" w:cs="宋体"/>
                <w:color w:val="auto"/>
                <w:highlight w:val="none"/>
                <w:lang w:eastAsia="zh-CN"/>
              </w:rPr>
              <w:t>（</w:t>
            </w:r>
            <w:r>
              <w:rPr>
                <w:rStyle w:val="39"/>
                <w:rFonts w:hint="eastAsia" w:ascii="宋体" w:hAnsi="宋体" w:cs="宋体"/>
                <w:color w:val="auto"/>
                <w:highlight w:val="none"/>
                <w:lang w:val="en-US" w:eastAsia="zh-CN"/>
              </w:rPr>
              <w:t>含税</w:t>
            </w:r>
            <w:r>
              <w:rPr>
                <w:rStyle w:val="39"/>
                <w:rFonts w:hint="eastAsia" w:ascii="宋体" w:hAnsi="宋体" w:cs="宋体"/>
                <w:color w:val="auto"/>
                <w:highlight w:val="none"/>
                <w:lang w:eastAsia="zh-CN"/>
              </w:rPr>
              <w:t>）</w:t>
            </w:r>
          </w:p>
        </w:tc>
      </w:tr>
      <w:tr w14:paraId="01C42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jc w:val="center"/>
        </w:trPr>
        <w:tc>
          <w:tcPr>
            <w:tcW w:w="1149" w:type="dxa"/>
            <w:vAlign w:val="center"/>
          </w:tcPr>
          <w:p w14:paraId="659DAC15">
            <w:pPr>
              <w:keepNext w:val="0"/>
              <w:keepLines w:val="0"/>
              <w:pageBreakBefore w:val="0"/>
              <w:widowControl/>
              <w:shd w:val="clear"/>
              <w:overflowPunct/>
              <w:topLinePunct w:val="0"/>
              <w:autoSpaceDE/>
              <w:autoSpaceDN/>
              <w:bidi w:val="0"/>
              <w:snapToGrid w:val="0"/>
              <w:spacing w:after="0" w:line="360" w:lineRule="auto"/>
              <w:jc w:val="center"/>
              <w:textAlignment w:val="auto"/>
              <w:rPr>
                <w:rFonts w:hint="eastAsia" w:ascii="宋体" w:hAnsi="宋体" w:cs="宋体"/>
                <w:color w:val="auto"/>
                <w:szCs w:val="21"/>
                <w:highlight w:val="none"/>
              </w:rPr>
            </w:pPr>
            <w:r>
              <w:rPr>
                <w:rFonts w:hint="eastAsia" w:ascii="宋体" w:hAnsi="宋体" w:cs="宋体"/>
                <w:color w:val="auto"/>
                <w:szCs w:val="21"/>
                <w:highlight w:val="none"/>
              </w:rPr>
              <w:t>B</w:t>
            </w:r>
          </w:p>
        </w:tc>
        <w:tc>
          <w:tcPr>
            <w:tcW w:w="1922" w:type="dxa"/>
            <w:vAlign w:val="center"/>
          </w:tcPr>
          <w:p w14:paraId="3C40025A">
            <w:pPr>
              <w:keepNext w:val="0"/>
              <w:keepLines w:val="0"/>
              <w:pageBreakBefore w:val="0"/>
              <w:widowControl/>
              <w:shd w:val="clear"/>
              <w:overflowPunct/>
              <w:topLinePunct w:val="0"/>
              <w:autoSpaceDE/>
              <w:autoSpaceDN/>
              <w:bidi w:val="0"/>
              <w:snapToGrid w:val="0"/>
              <w:spacing w:after="0" w:line="360" w:lineRule="auto"/>
              <w:jc w:val="center"/>
              <w:textAlignment w:val="auto"/>
              <w:rPr>
                <w:rFonts w:hint="eastAsia" w:ascii="宋体" w:hAnsi="宋体" w:cs="宋体"/>
                <w:color w:val="auto"/>
                <w:szCs w:val="21"/>
                <w:highlight w:val="none"/>
              </w:rPr>
            </w:pPr>
            <w:r>
              <w:rPr>
                <w:rFonts w:hint="eastAsia" w:ascii="宋体" w:hAnsi="宋体" w:cs="宋体"/>
                <w:color w:val="auto"/>
                <w:szCs w:val="21"/>
                <w:highlight w:val="none"/>
              </w:rPr>
              <w:t>东莞迎宾馆冻品类客用食材协议供应采购项目</w:t>
            </w:r>
          </w:p>
        </w:tc>
        <w:tc>
          <w:tcPr>
            <w:tcW w:w="1235" w:type="dxa"/>
            <w:vAlign w:val="center"/>
          </w:tcPr>
          <w:p w14:paraId="31412063">
            <w:pPr>
              <w:keepNext w:val="0"/>
              <w:keepLines w:val="0"/>
              <w:pageBreakBefore w:val="0"/>
              <w:widowControl/>
              <w:shd w:val="clear"/>
              <w:overflowPunct/>
              <w:topLinePunct w:val="0"/>
              <w:autoSpaceDE/>
              <w:autoSpaceDN/>
              <w:bidi w:val="0"/>
              <w:snapToGrid w:val="0"/>
              <w:spacing w:after="0" w:line="360" w:lineRule="auto"/>
              <w:jc w:val="center"/>
              <w:textAlignment w:val="auto"/>
              <w:rPr>
                <w:rFonts w:hint="eastAsia" w:ascii="宋体" w:hAnsi="宋体" w:cs="宋体"/>
                <w:color w:val="auto"/>
                <w:szCs w:val="21"/>
                <w:highlight w:val="none"/>
              </w:rPr>
            </w:pPr>
            <w:r>
              <w:rPr>
                <w:rFonts w:hint="eastAsia" w:ascii="宋体" w:hAnsi="宋体" w:cs="宋体"/>
                <w:color w:val="auto"/>
                <w:szCs w:val="21"/>
                <w:highlight w:val="none"/>
              </w:rPr>
              <w:t>1</w:t>
            </w:r>
          </w:p>
        </w:tc>
        <w:tc>
          <w:tcPr>
            <w:tcW w:w="2500" w:type="dxa"/>
            <w:vMerge w:val="continue"/>
            <w:vAlign w:val="center"/>
          </w:tcPr>
          <w:p w14:paraId="3DFE9286">
            <w:pPr>
              <w:keepNext w:val="0"/>
              <w:keepLines w:val="0"/>
              <w:pageBreakBefore w:val="0"/>
              <w:widowControl/>
              <w:shd w:val="clear"/>
              <w:overflowPunct/>
              <w:topLinePunct w:val="0"/>
              <w:autoSpaceDE/>
              <w:autoSpaceDN/>
              <w:bidi w:val="0"/>
              <w:snapToGrid w:val="0"/>
              <w:spacing w:after="0" w:line="360" w:lineRule="auto"/>
              <w:jc w:val="center"/>
              <w:textAlignment w:val="auto"/>
              <w:rPr>
                <w:rFonts w:hint="eastAsia" w:ascii="宋体" w:hAnsi="宋体" w:cs="宋体"/>
                <w:color w:val="auto"/>
                <w:szCs w:val="21"/>
                <w:highlight w:val="none"/>
              </w:rPr>
            </w:pPr>
          </w:p>
        </w:tc>
        <w:tc>
          <w:tcPr>
            <w:tcW w:w="2011" w:type="dxa"/>
            <w:vAlign w:val="center"/>
          </w:tcPr>
          <w:p w14:paraId="6A79C2F7">
            <w:pPr>
              <w:keepNext w:val="0"/>
              <w:keepLines w:val="0"/>
              <w:pageBreakBefore w:val="0"/>
              <w:widowControl/>
              <w:shd w:val="clear"/>
              <w:overflowPunct/>
              <w:topLinePunct w:val="0"/>
              <w:autoSpaceDE/>
              <w:autoSpaceDN/>
              <w:bidi w:val="0"/>
              <w:snapToGrid w:val="0"/>
              <w:spacing w:after="0" w:line="360" w:lineRule="auto"/>
              <w:jc w:val="center"/>
              <w:textAlignment w:val="auto"/>
              <w:rPr>
                <w:rFonts w:hint="eastAsia" w:ascii="宋体" w:hAnsi="宋体" w:cs="宋体"/>
                <w:color w:val="auto"/>
                <w:szCs w:val="21"/>
                <w:highlight w:val="none"/>
              </w:rPr>
            </w:pPr>
            <w:r>
              <w:rPr>
                <w:rFonts w:hint="eastAsia" w:ascii="宋体" w:hAnsi="宋体" w:cs="宋体"/>
                <w:color w:val="auto"/>
                <w:szCs w:val="21"/>
                <w:highlight w:val="none"/>
                <w:lang w:val="en-US" w:eastAsia="zh-CN"/>
              </w:rPr>
              <w:t>13,800,000.00</w:t>
            </w:r>
            <w:r>
              <w:rPr>
                <w:rFonts w:hint="eastAsia" w:ascii="宋体" w:hAnsi="宋体" w:cs="宋体"/>
                <w:color w:val="auto"/>
                <w:szCs w:val="21"/>
                <w:highlight w:val="none"/>
                <w:lang w:val="en-US" w:eastAsia="zh-CN"/>
              </w:rPr>
              <w:br w:type="textWrapping"/>
            </w:r>
            <w:r>
              <w:rPr>
                <w:rStyle w:val="39"/>
                <w:rFonts w:hint="eastAsia" w:ascii="宋体" w:hAnsi="宋体" w:cs="宋体"/>
                <w:color w:val="auto"/>
                <w:highlight w:val="none"/>
                <w:lang w:eastAsia="zh-CN"/>
              </w:rPr>
              <w:t>（</w:t>
            </w:r>
            <w:r>
              <w:rPr>
                <w:rStyle w:val="39"/>
                <w:rFonts w:hint="eastAsia" w:ascii="宋体" w:hAnsi="宋体" w:cs="宋体"/>
                <w:color w:val="auto"/>
                <w:highlight w:val="none"/>
                <w:lang w:val="en-US" w:eastAsia="zh-CN"/>
              </w:rPr>
              <w:t>含税</w:t>
            </w:r>
            <w:r>
              <w:rPr>
                <w:rStyle w:val="39"/>
                <w:rFonts w:hint="eastAsia" w:ascii="宋体" w:hAnsi="宋体" w:cs="宋体"/>
                <w:color w:val="auto"/>
                <w:highlight w:val="none"/>
                <w:lang w:eastAsia="zh-CN"/>
              </w:rPr>
              <w:t>）</w:t>
            </w:r>
          </w:p>
        </w:tc>
      </w:tr>
    </w:tbl>
    <w:p w14:paraId="18A340A7">
      <w:pPr>
        <w:keepNext w:val="0"/>
        <w:keepLines w:val="0"/>
        <w:pageBreakBefore w:val="0"/>
        <w:widowControl/>
        <w:shd w:val="clear"/>
        <w:overflowPunct/>
        <w:topLinePunct w:val="0"/>
        <w:autoSpaceDE/>
        <w:autoSpaceDN/>
        <w:bidi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4、项目需求</w:t>
      </w:r>
    </w:p>
    <w:p w14:paraId="730C25A9">
      <w:pPr>
        <w:keepNext w:val="0"/>
        <w:keepLines w:val="0"/>
        <w:pageBreakBefore w:val="0"/>
        <w:widowControl/>
        <w:shd w:val="clear"/>
        <w:overflowPunct/>
        <w:topLinePunct w:val="0"/>
        <w:autoSpaceDE/>
        <w:autoSpaceDN/>
        <w:bidi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详细内容请参阅采购文件第三部分《用户需求书》。</w:t>
      </w:r>
    </w:p>
    <w:p w14:paraId="0AF5FD58">
      <w:pPr>
        <w:keepNext w:val="0"/>
        <w:keepLines w:val="0"/>
        <w:pageBreakBefore w:val="0"/>
        <w:widowControl/>
        <w:shd w:val="clear"/>
        <w:overflowPunct/>
        <w:topLinePunct w:val="0"/>
        <w:autoSpaceDE/>
        <w:autoSpaceDN/>
        <w:bidi w:val="0"/>
        <w:snapToGrid w:val="0"/>
        <w:spacing w:after="0" w:line="360" w:lineRule="auto"/>
        <w:ind w:firstLine="413" w:firstLineChars="196"/>
        <w:textAlignment w:val="auto"/>
        <w:rPr>
          <w:rFonts w:hint="eastAsia" w:ascii="宋体" w:hAnsi="宋体" w:cs="宋体"/>
          <w:b/>
          <w:color w:val="auto"/>
          <w:szCs w:val="21"/>
          <w:highlight w:val="none"/>
        </w:rPr>
      </w:pPr>
    </w:p>
    <w:p w14:paraId="613C624A">
      <w:pPr>
        <w:keepNext w:val="0"/>
        <w:keepLines w:val="0"/>
        <w:pageBreakBefore w:val="0"/>
        <w:widowControl/>
        <w:shd w:val="clear"/>
        <w:overflowPunct/>
        <w:topLinePunct w:val="0"/>
        <w:autoSpaceDE/>
        <w:autoSpaceDN/>
        <w:bidi w:val="0"/>
        <w:snapToGrid w:val="0"/>
        <w:spacing w:after="0" w:line="360" w:lineRule="auto"/>
        <w:ind w:firstLine="413" w:firstLineChars="196"/>
        <w:textAlignment w:val="auto"/>
        <w:rPr>
          <w:rFonts w:hint="eastAsia" w:ascii="宋体" w:hAnsi="宋体" w:cs="宋体"/>
          <w:b/>
          <w:color w:val="auto"/>
          <w:szCs w:val="21"/>
          <w:highlight w:val="none"/>
        </w:rPr>
      </w:pPr>
      <w:r>
        <w:rPr>
          <w:rFonts w:hint="eastAsia" w:ascii="宋体" w:hAnsi="宋体" w:cs="宋体"/>
          <w:b/>
          <w:color w:val="auto"/>
          <w:szCs w:val="21"/>
          <w:highlight w:val="none"/>
        </w:rPr>
        <w:t>二、投标人资格要求（适用各子包）</w:t>
      </w:r>
    </w:p>
    <w:p w14:paraId="16467A18">
      <w:pPr>
        <w:keepNext w:val="0"/>
        <w:keepLines w:val="0"/>
        <w:pageBreakBefore w:val="0"/>
        <w:widowControl/>
        <w:shd w:val="clear"/>
        <w:overflowPunct/>
        <w:topLinePunct w:val="0"/>
        <w:autoSpaceDE/>
        <w:autoSpaceDN/>
        <w:bidi w:val="0"/>
        <w:snapToGrid w:val="0"/>
        <w:spacing w:after="0" w:line="360" w:lineRule="auto"/>
        <w:ind w:firstLine="411" w:firstLineChars="196"/>
        <w:textAlignment w:val="auto"/>
        <w:rPr>
          <w:rFonts w:hint="eastAsia" w:ascii="宋体" w:hAnsi="宋体" w:cs="宋体"/>
          <w:color w:val="auto"/>
          <w:szCs w:val="21"/>
          <w:highlight w:val="none"/>
        </w:rPr>
      </w:pPr>
      <w:r>
        <w:rPr>
          <w:rFonts w:hint="eastAsia" w:ascii="宋体" w:hAnsi="宋体" w:cs="宋体"/>
          <w:color w:val="auto"/>
          <w:szCs w:val="21"/>
          <w:highlight w:val="none"/>
        </w:rPr>
        <w:t>1、一般要求：</w:t>
      </w:r>
    </w:p>
    <w:p w14:paraId="53A7EF54">
      <w:pPr>
        <w:keepNext w:val="0"/>
        <w:keepLines w:val="0"/>
        <w:pageBreakBefore w:val="0"/>
        <w:widowControl/>
        <w:shd w:val="clear"/>
        <w:overflowPunct/>
        <w:topLinePunct w:val="0"/>
        <w:autoSpaceDE/>
        <w:autoSpaceDN/>
        <w:bidi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投标人须为在中华人民共和国境内登记注册的具有独立承担民事责任能力的法人或其他组织【提供《营业执照》复印件（加盖公章）或《事业单位法人证书》复印件（加盖公章）或其他主体证书复印件（加盖公章）】。</w:t>
      </w:r>
    </w:p>
    <w:p w14:paraId="03A7B4CB">
      <w:pPr>
        <w:keepNext w:val="0"/>
        <w:keepLines w:val="0"/>
        <w:pageBreakBefore w:val="0"/>
        <w:widowControl/>
        <w:shd w:val="clear"/>
        <w:overflowPunct/>
        <w:topLinePunct w:val="0"/>
        <w:autoSpaceDE/>
        <w:autoSpaceDN/>
        <w:bidi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参加采购活动前三年内，在经营活动中没有重大违法记录（须提供书面声明）。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如有最新发文通知，按最新文件执行）。</w:t>
      </w:r>
    </w:p>
    <w:p w14:paraId="72409B09">
      <w:pPr>
        <w:keepNext w:val="0"/>
        <w:keepLines w:val="0"/>
        <w:pageBreakBefore w:val="0"/>
        <w:widowControl/>
        <w:shd w:val="clear"/>
        <w:overflowPunct/>
        <w:topLinePunct w:val="0"/>
        <w:autoSpaceDE/>
        <w:autoSpaceDN/>
        <w:bidi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（3）投标人的单位负责人为同一人或者存在直接控股、管理关系的不同投标人，不得参加同一合同项下的采购活动。</w:t>
      </w:r>
    </w:p>
    <w:p w14:paraId="4A87C69F">
      <w:pPr>
        <w:keepNext w:val="0"/>
        <w:keepLines w:val="0"/>
        <w:pageBreakBefore w:val="0"/>
        <w:widowControl/>
        <w:shd w:val="clear"/>
        <w:overflowPunct/>
        <w:topLinePunct w:val="0"/>
        <w:autoSpaceDE/>
        <w:autoSpaceDN/>
        <w:bidi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（4）未被列入“信用中国”网站(www.creditchina.gov.cn )“记录失信被执行人或</w:t>
      </w:r>
      <w:r>
        <w:rPr>
          <w:rFonts w:hint="eastAsia" w:ascii="宋体" w:hAnsi="宋体" w:cs="宋体"/>
          <w:color w:val="auto"/>
          <w:highlight w:val="none"/>
        </w:rPr>
        <w:t>重大税收违法失信主体</w:t>
      </w:r>
      <w:r>
        <w:rPr>
          <w:rFonts w:hint="eastAsia" w:ascii="宋体" w:hAnsi="宋体" w:cs="宋体"/>
          <w:color w:val="auto"/>
          <w:szCs w:val="21"/>
          <w:highlight w:val="none"/>
        </w:rPr>
        <w:t>或政府采购严重违法失信行为”记录名单。以代理机构于投标截止日当天在“信用中国”网站查询结果为准，如相关失信记录已失效，投标人需提供相关证明资料。</w:t>
      </w:r>
    </w:p>
    <w:p w14:paraId="2B1CE666">
      <w:pPr>
        <w:keepNext w:val="0"/>
        <w:keepLines w:val="0"/>
        <w:pageBreakBefore w:val="0"/>
        <w:widowControl/>
        <w:shd w:val="clear"/>
        <w:overflowPunct/>
        <w:topLinePunct w:val="0"/>
        <w:autoSpaceDE/>
        <w:autoSpaceDN/>
        <w:bidi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（5）未被列入东实集团及下属企业相关领域黑名单。【以</w:t>
      </w:r>
      <w:r>
        <w:rPr>
          <w:rFonts w:hint="eastAsia" w:ascii="宋体" w:hAnsi="宋体" w:cs="宋体"/>
          <w:color w:val="auto"/>
          <w:kern w:val="2"/>
          <w:szCs w:val="21"/>
          <w:highlight w:val="none"/>
          <w:lang w:val="zh-CN"/>
        </w:rPr>
        <w:t>东莞实业投资控股集团有限公司</w:t>
      </w:r>
      <w:r>
        <w:rPr>
          <w:rFonts w:hint="eastAsia" w:ascii="宋体" w:hAnsi="宋体" w:cs="宋体"/>
          <w:color w:val="auto"/>
          <w:szCs w:val="21"/>
          <w:highlight w:val="none"/>
        </w:rPr>
        <w:t>发文（东实通〔2021〕44号）、（东实通〔2021〕98号）、（东实通〔2022〕75号）、（东实通〔2023〕37号）、（东实通〔2024〕163号）、（东实通〔2024〕195号）及下属企业发文为准，如有最新发文通知，按最新文件执行。】</w:t>
      </w:r>
    </w:p>
    <w:p w14:paraId="28C130AF">
      <w:pPr>
        <w:keepNext w:val="0"/>
        <w:keepLines w:val="0"/>
        <w:pageBreakBefore w:val="0"/>
        <w:widowControl/>
        <w:shd w:val="clear"/>
        <w:overflowPunct/>
        <w:topLinePunct w:val="0"/>
        <w:autoSpaceDE/>
        <w:autoSpaceDN/>
        <w:bidi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2、其他要求：</w:t>
      </w:r>
    </w:p>
    <w:p w14:paraId="1019E793">
      <w:pPr>
        <w:keepNext w:val="0"/>
        <w:keepLines w:val="0"/>
        <w:pageBreakBefore w:val="0"/>
        <w:widowControl/>
        <w:shd w:val="clear"/>
        <w:overflowPunct/>
        <w:topLinePunct w:val="0"/>
        <w:autoSpaceDE/>
        <w:autoSpaceDN/>
        <w:bidi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投标人必须具备行政主管部门颁发的，在有效期内的《食品生产许可证》或《食品经营许可证》。【须提供相关证书复印件或扫描件】（如已归入“一照通行”营业执照的，须提供相关证明材料，如国家另有规定的，则从其规定）。</w:t>
      </w:r>
    </w:p>
    <w:p w14:paraId="53866742">
      <w:pPr>
        <w:keepNext w:val="0"/>
        <w:keepLines w:val="0"/>
        <w:pageBreakBefore w:val="0"/>
        <w:widowControl/>
        <w:shd w:val="clear"/>
        <w:overflowPunct/>
        <w:topLinePunct w:val="0"/>
        <w:autoSpaceDE/>
        <w:autoSpaceDN/>
        <w:bidi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3、本项目不接受联合体投标。</w:t>
      </w:r>
    </w:p>
    <w:p w14:paraId="3C7F60C9">
      <w:pPr>
        <w:keepNext w:val="0"/>
        <w:keepLines w:val="0"/>
        <w:pageBreakBefore w:val="0"/>
        <w:widowControl/>
        <w:shd w:val="clear"/>
        <w:overflowPunct/>
        <w:topLinePunct w:val="0"/>
        <w:autoSpaceDE/>
        <w:autoSpaceDN/>
        <w:bidi w:val="0"/>
        <w:snapToGrid w:val="0"/>
        <w:spacing w:after="0" w:line="360" w:lineRule="auto"/>
        <w:ind w:firstLine="413" w:firstLineChars="196"/>
        <w:textAlignment w:val="auto"/>
        <w:rPr>
          <w:rFonts w:hint="eastAsia" w:ascii="宋体" w:hAnsi="宋体" w:cs="宋体"/>
          <w:b/>
          <w:color w:val="auto"/>
          <w:szCs w:val="21"/>
          <w:highlight w:val="none"/>
        </w:rPr>
      </w:pPr>
    </w:p>
    <w:p w14:paraId="489A9091">
      <w:pPr>
        <w:keepNext w:val="0"/>
        <w:keepLines w:val="0"/>
        <w:pageBreakBefore w:val="0"/>
        <w:widowControl/>
        <w:shd w:val="clear"/>
        <w:overflowPunct/>
        <w:topLinePunct w:val="0"/>
        <w:autoSpaceDE/>
        <w:autoSpaceDN/>
        <w:bidi w:val="0"/>
        <w:snapToGrid w:val="0"/>
        <w:spacing w:after="0" w:line="360" w:lineRule="auto"/>
        <w:ind w:firstLine="413" w:firstLineChars="196"/>
        <w:textAlignment w:val="auto"/>
        <w:rPr>
          <w:rFonts w:hint="eastAsia" w:ascii="宋体" w:hAnsi="宋体" w:cs="宋体"/>
          <w:b/>
          <w:color w:val="auto"/>
          <w:szCs w:val="21"/>
          <w:highlight w:val="none"/>
        </w:rPr>
      </w:pPr>
      <w:r>
        <w:rPr>
          <w:rFonts w:hint="eastAsia" w:ascii="宋体" w:hAnsi="宋体" w:cs="宋体"/>
          <w:b/>
          <w:color w:val="auto"/>
          <w:szCs w:val="21"/>
          <w:highlight w:val="none"/>
        </w:rPr>
        <w:t>三、获取采购文件方式及要求：</w:t>
      </w:r>
    </w:p>
    <w:p w14:paraId="79DD056A">
      <w:pPr>
        <w:keepNext w:val="0"/>
        <w:keepLines w:val="0"/>
        <w:pageBreakBefore w:val="0"/>
        <w:widowControl/>
        <w:shd w:val="clear"/>
        <w:overflowPunct/>
        <w:topLinePunct w:val="0"/>
        <w:autoSpaceDE/>
        <w:autoSpaceDN/>
        <w:bidi w:val="0"/>
        <w:snapToGrid w:val="0"/>
        <w:spacing w:after="0" w:line="360" w:lineRule="auto"/>
        <w:ind w:firstLine="411" w:firstLineChars="196"/>
        <w:textAlignment w:val="auto"/>
        <w:rPr>
          <w:rFonts w:hint="eastAsia" w:ascii="宋体" w:hAnsi="宋体" w:cs="宋体"/>
          <w:color w:val="auto"/>
          <w:kern w:val="2"/>
          <w:szCs w:val="21"/>
          <w:highlight w:val="none"/>
        </w:rPr>
      </w:pPr>
      <w:r>
        <w:rPr>
          <w:rFonts w:hint="eastAsia" w:ascii="宋体" w:hAnsi="宋体" w:cs="宋体"/>
          <w:color w:val="auto"/>
          <w:kern w:val="2"/>
          <w:szCs w:val="21"/>
          <w:highlight w:val="none"/>
        </w:rPr>
        <w:t>本项目不进行实名登记报名，拟参加投标的投标人可于投标截止时间前自行网上下载采购文件。采购文件下载地址：中国招标投标公共服务平台（http://www.cebpubservice.com/）、东莞实业投资控股集团有限公司-招标采购栏目（http://www.dgsy.com.cn/）、广东省公共资源交易平台（https://ygp.gdzwfw.gov.cn/）</w:t>
      </w:r>
      <w:r>
        <w:rPr>
          <w:rFonts w:hint="eastAsia" w:ascii="宋体" w:hAnsi="宋体" w:cs="宋体"/>
          <w:color w:val="auto"/>
          <w:kern w:val="2"/>
          <w:szCs w:val="21"/>
          <w:highlight w:val="none"/>
          <w:lang w:eastAsia="zh-CN"/>
        </w:rPr>
        <w:t>、</w:t>
      </w:r>
      <w:r>
        <w:rPr>
          <w:rFonts w:hint="eastAsia" w:ascii="宋体" w:hAnsi="宋体" w:cs="宋体"/>
          <w:color w:val="auto"/>
          <w:kern w:val="2"/>
          <w:szCs w:val="21"/>
          <w:highlight w:val="none"/>
        </w:rPr>
        <w:t>广西同泽工程项目管理股份有限公司网站（http://www.gxtzfz.cn/）。</w:t>
      </w:r>
    </w:p>
    <w:p w14:paraId="583F2902">
      <w:pPr>
        <w:keepNext w:val="0"/>
        <w:keepLines w:val="0"/>
        <w:pageBreakBefore w:val="0"/>
        <w:widowControl/>
        <w:shd w:val="clear"/>
        <w:overflowPunct/>
        <w:topLinePunct w:val="0"/>
        <w:autoSpaceDE/>
        <w:autoSpaceDN/>
        <w:bidi w:val="0"/>
        <w:snapToGrid w:val="0"/>
        <w:spacing w:after="0" w:line="360" w:lineRule="auto"/>
        <w:ind w:firstLine="413" w:firstLineChars="196"/>
        <w:textAlignment w:val="auto"/>
        <w:rPr>
          <w:rFonts w:hint="eastAsia" w:ascii="宋体" w:hAnsi="宋体" w:cs="宋体"/>
          <w:b/>
          <w:color w:val="auto"/>
          <w:szCs w:val="21"/>
          <w:highlight w:val="none"/>
        </w:rPr>
      </w:pPr>
    </w:p>
    <w:p w14:paraId="6AC71086">
      <w:pPr>
        <w:keepNext w:val="0"/>
        <w:keepLines w:val="0"/>
        <w:pageBreakBefore w:val="0"/>
        <w:widowControl/>
        <w:shd w:val="clear"/>
        <w:overflowPunct/>
        <w:topLinePunct w:val="0"/>
        <w:autoSpaceDE/>
        <w:autoSpaceDN/>
        <w:bidi w:val="0"/>
        <w:snapToGrid w:val="0"/>
        <w:spacing w:after="0" w:line="360" w:lineRule="auto"/>
        <w:ind w:firstLine="413" w:firstLineChars="196"/>
        <w:textAlignment w:val="auto"/>
        <w:rPr>
          <w:rFonts w:hint="eastAsia" w:ascii="宋体" w:hAnsi="宋体" w:cs="宋体"/>
          <w:b/>
          <w:color w:val="auto"/>
          <w:szCs w:val="21"/>
          <w:highlight w:val="none"/>
        </w:rPr>
      </w:pPr>
      <w:r>
        <w:rPr>
          <w:rFonts w:hint="eastAsia" w:ascii="宋体" w:hAnsi="宋体" w:cs="宋体"/>
          <w:b/>
          <w:color w:val="auto"/>
          <w:szCs w:val="21"/>
          <w:highlight w:val="none"/>
        </w:rPr>
        <w:t>四、投标文件的递交</w:t>
      </w:r>
    </w:p>
    <w:p w14:paraId="5CC83509">
      <w:pPr>
        <w:keepNext w:val="0"/>
        <w:keepLines w:val="0"/>
        <w:pageBreakBefore w:val="0"/>
        <w:widowControl/>
        <w:shd w:val="clear"/>
        <w:overflowPunct/>
        <w:topLinePunct w:val="0"/>
        <w:autoSpaceDE/>
        <w:autoSpaceDN/>
        <w:bidi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1、递交投标文件时间：2026年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10</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21</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日（北京时间）09:00-09:30。</w:t>
      </w:r>
    </w:p>
    <w:p w14:paraId="71330084">
      <w:pPr>
        <w:keepNext w:val="0"/>
        <w:keepLines w:val="0"/>
        <w:pageBreakBefore w:val="0"/>
        <w:widowControl/>
        <w:shd w:val="clear"/>
        <w:overflowPunct/>
        <w:topLinePunct w:val="0"/>
        <w:autoSpaceDE/>
        <w:autoSpaceDN/>
        <w:bidi w:val="0"/>
        <w:snapToGrid w:val="0"/>
        <w:spacing w:after="0" w:line="360" w:lineRule="auto"/>
        <w:ind w:firstLine="420" w:firstLineChars="200"/>
        <w:textAlignment w:val="auto"/>
        <w:rPr>
          <w:rFonts w:hint="eastAsia" w:ascii="宋体" w:hAnsi="宋体" w:cs="宋体"/>
          <w:b/>
          <w:color w:val="auto"/>
          <w:szCs w:val="21"/>
          <w:highlight w:val="none"/>
        </w:rPr>
      </w:pPr>
      <w:r>
        <w:rPr>
          <w:rFonts w:hint="eastAsia" w:ascii="宋体" w:hAnsi="宋体" w:cs="宋体"/>
          <w:color w:val="auto"/>
          <w:szCs w:val="21"/>
          <w:highlight w:val="none"/>
        </w:rPr>
        <w:t>2、递交投标文件截止及开标时间：2026年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10</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21</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日09:30（北京时间），所有投标文件应于截止时间之前递交，迟交或以电报、传真形式的投标文件将拒绝接收。</w:t>
      </w:r>
    </w:p>
    <w:p w14:paraId="501DE828">
      <w:pPr>
        <w:keepNext w:val="0"/>
        <w:keepLines w:val="0"/>
        <w:pageBreakBefore w:val="0"/>
        <w:widowControl/>
        <w:shd w:val="clear"/>
        <w:overflowPunct/>
        <w:topLinePunct w:val="0"/>
        <w:autoSpaceDE/>
        <w:autoSpaceDN/>
        <w:bidi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3、开标地点：</w:t>
      </w:r>
      <w:r>
        <w:rPr>
          <w:rFonts w:hint="eastAsia" w:ascii="宋体" w:hAnsi="宋体" w:cs="宋体"/>
          <w:color w:val="auto"/>
          <w:szCs w:val="21"/>
          <w:highlight w:val="none"/>
          <w:u w:val="single"/>
        </w:rPr>
        <w:t>东莞市南城区塘贝北路福特大厦A区</w:t>
      </w:r>
      <w:r>
        <w:rPr>
          <w:rFonts w:hint="eastAsia" w:ascii="宋体" w:hAnsi="宋体" w:cs="宋体"/>
          <w:color w:val="auto"/>
          <w:szCs w:val="21"/>
          <w:highlight w:val="none"/>
          <w:u w:val="single"/>
          <w:lang w:val="en-US" w:eastAsia="zh-CN"/>
        </w:rPr>
        <w:t>1栋905</w:t>
      </w:r>
      <w:r>
        <w:rPr>
          <w:rFonts w:hint="eastAsia" w:ascii="宋体" w:hAnsi="宋体" w:cs="宋体"/>
          <w:color w:val="auto"/>
          <w:szCs w:val="21"/>
          <w:highlight w:val="none"/>
          <w:u w:val="single"/>
        </w:rPr>
        <w:t>。</w:t>
      </w:r>
    </w:p>
    <w:p w14:paraId="504E4D0F">
      <w:pPr>
        <w:keepNext w:val="0"/>
        <w:keepLines w:val="0"/>
        <w:pageBreakBefore w:val="0"/>
        <w:widowControl/>
        <w:shd w:val="clear"/>
        <w:overflowPunct/>
        <w:topLinePunct w:val="0"/>
        <w:autoSpaceDE/>
        <w:autoSpaceDN/>
        <w:bidi w:val="0"/>
        <w:snapToGrid w:val="0"/>
        <w:spacing w:after="0" w:line="360" w:lineRule="auto"/>
        <w:ind w:firstLine="411" w:firstLineChars="196"/>
        <w:textAlignment w:val="auto"/>
        <w:rPr>
          <w:rFonts w:hint="eastAsia" w:ascii="宋体" w:hAnsi="宋体" w:cs="宋体"/>
          <w:bCs/>
          <w:color w:val="auto"/>
          <w:szCs w:val="21"/>
          <w:highlight w:val="none"/>
        </w:rPr>
      </w:pPr>
      <w:r>
        <w:rPr>
          <w:rFonts w:hint="eastAsia" w:ascii="宋体" w:hAnsi="宋体" w:cs="宋体"/>
          <w:bCs/>
          <w:color w:val="auto"/>
          <w:szCs w:val="21"/>
          <w:highlight w:val="none"/>
        </w:rPr>
        <w:t>4、开标事宜：</w:t>
      </w:r>
      <w:r>
        <w:rPr>
          <w:rFonts w:hint="eastAsia" w:ascii="宋体" w:hAnsi="宋体" w:cs="宋体"/>
          <w:b/>
          <w:bCs/>
          <w:color w:val="auto"/>
          <w:szCs w:val="21"/>
          <w:highlight w:val="none"/>
        </w:rPr>
        <w:t>届时请投标人的法定代表人或其授权代表务必携带有效身份证明出席开标会</w:t>
      </w:r>
      <w:r>
        <w:rPr>
          <w:rFonts w:hint="eastAsia" w:ascii="宋体" w:hAnsi="宋体" w:cs="宋体"/>
          <w:bCs/>
          <w:color w:val="auto"/>
          <w:szCs w:val="21"/>
          <w:highlight w:val="none"/>
        </w:rPr>
        <w:t>。</w:t>
      </w:r>
    </w:p>
    <w:p w14:paraId="0D0DAA89">
      <w:pPr>
        <w:pStyle w:val="42"/>
        <w:keepNext w:val="0"/>
        <w:keepLines w:val="0"/>
        <w:pageBreakBefore w:val="0"/>
        <w:widowControl/>
        <w:shd w:val="clear"/>
        <w:overflowPunct/>
        <w:topLinePunct w:val="0"/>
        <w:autoSpaceDE/>
        <w:autoSpaceDN/>
        <w:bidi w:val="0"/>
        <w:snapToGrid w:val="0"/>
        <w:spacing w:after="0"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5、出现以下情形时，采购代理机构不予接收投标（响应）文件：</w:t>
      </w:r>
    </w:p>
    <w:p w14:paraId="2BCBBC7D">
      <w:pPr>
        <w:pStyle w:val="42"/>
        <w:keepNext w:val="0"/>
        <w:keepLines w:val="0"/>
        <w:pageBreakBefore w:val="0"/>
        <w:widowControl/>
        <w:shd w:val="clear"/>
        <w:overflowPunct/>
        <w:topLinePunct w:val="0"/>
        <w:autoSpaceDE/>
        <w:autoSpaceDN/>
        <w:bidi w:val="0"/>
        <w:snapToGrid w:val="0"/>
        <w:spacing w:after="0"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（1）逾期送达或者未送达指定地点的；</w:t>
      </w:r>
    </w:p>
    <w:p w14:paraId="3E4E8128">
      <w:pPr>
        <w:pStyle w:val="42"/>
        <w:keepNext w:val="0"/>
        <w:keepLines w:val="0"/>
        <w:pageBreakBefore w:val="0"/>
        <w:widowControl/>
        <w:shd w:val="clear"/>
        <w:overflowPunct/>
        <w:topLinePunct w:val="0"/>
        <w:autoSpaceDE/>
        <w:autoSpaceDN/>
        <w:bidi w:val="0"/>
        <w:snapToGrid w:val="0"/>
        <w:spacing w:after="0"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（2）未按采购文件要求密封的。</w:t>
      </w:r>
    </w:p>
    <w:p w14:paraId="0EE2E5D1">
      <w:pPr>
        <w:pStyle w:val="42"/>
        <w:keepNext w:val="0"/>
        <w:keepLines w:val="0"/>
        <w:pageBreakBefore w:val="0"/>
        <w:widowControl/>
        <w:shd w:val="clear"/>
        <w:overflowPunct/>
        <w:topLinePunct w:val="0"/>
        <w:autoSpaceDE/>
        <w:autoSpaceDN/>
        <w:bidi w:val="0"/>
        <w:snapToGrid w:val="0"/>
        <w:spacing w:after="0" w:line="360" w:lineRule="auto"/>
        <w:ind w:firstLine="422"/>
        <w:textAlignment w:val="auto"/>
        <w:rPr>
          <w:rFonts w:hint="eastAsia" w:ascii="宋体" w:hAnsi="宋体" w:eastAsia="宋体" w:cs="宋体"/>
          <w:b/>
          <w:color w:val="auto"/>
          <w:sz w:val="21"/>
          <w:szCs w:val="21"/>
          <w:highlight w:val="none"/>
        </w:rPr>
      </w:pPr>
    </w:p>
    <w:p w14:paraId="69130AFB">
      <w:pPr>
        <w:pStyle w:val="42"/>
        <w:keepNext w:val="0"/>
        <w:keepLines w:val="0"/>
        <w:pageBreakBefore w:val="0"/>
        <w:widowControl/>
        <w:shd w:val="clear"/>
        <w:overflowPunct/>
        <w:topLinePunct w:val="0"/>
        <w:autoSpaceDE/>
        <w:autoSpaceDN/>
        <w:bidi w:val="0"/>
        <w:snapToGrid w:val="0"/>
        <w:spacing w:after="0" w:line="360" w:lineRule="auto"/>
        <w:ind w:firstLine="422"/>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五、发布公告的媒介</w:t>
      </w:r>
    </w:p>
    <w:p w14:paraId="68D14B6E">
      <w:pPr>
        <w:pStyle w:val="42"/>
        <w:keepNext w:val="0"/>
        <w:keepLines w:val="0"/>
        <w:pageBreakBefore w:val="0"/>
        <w:widowControl/>
        <w:shd w:val="clear"/>
        <w:overflowPunct/>
        <w:topLinePunct w:val="0"/>
        <w:autoSpaceDE/>
        <w:autoSpaceDN/>
        <w:bidi w:val="0"/>
        <w:snapToGrid w:val="0"/>
        <w:spacing w:after="0" w:line="360" w:lineRule="auto"/>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1、采购公告发布媒介：</w:t>
      </w:r>
    </w:p>
    <w:p w14:paraId="35345834">
      <w:pPr>
        <w:pStyle w:val="42"/>
        <w:keepNext w:val="0"/>
        <w:keepLines w:val="0"/>
        <w:pageBreakBefore w:val="0"/>
        <w:widowControl/>
        <w:shd w:val="clear"/>
        <w:overflowPunct/>
        <w:topLinePunct w:val="0"/>
        <w:autoSpaceDE/>
        <w:autoSpaceDN/>
        <w:bidi w:val="0"/>
        <w:snapToGrid w:val="0"/>
        <w:spacing w:after="0" w:line="360" w:lineRule="auto"/>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（1）中国招标投标公共服务平台（http://www.cebpubservice.com/）；</w:t>
      </w:r>
    </w:p>
    <w:p w14:paraId="0AA91C11">
      <w:pPr>
        <w:pStyle w:val="42"/>
        <w:keepNext w:val="0"/>
        <w:keepLines w:val="0"/>
        <w:pageBreakBefore w:val="0"/>
        <w:widowControl/>
        <w:shd w:val="clear"/>
        <w:overflowPunct/>
        <w:topLinePunct w:val="0"/>
        <w:autoSpaceDE/>
        <w:autoSpaceDN/>
        <w:bidi w:val="0"/>
        <w:snapToGrid w:val="0"/>
        <w:spacing w:after="0" w:line="360" w:lineRule="auto"/>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（2）广东省公共资源交易平台（https://ygp.gdzwfw.gov.cn/）；</w:t>
      </w:r>
    </w:p>
    <w:p w14:paraId="656C601F">
      <w:pPr>
        <w:pStyle w:val="42"/>
        <w:keepNext w:val="0"/>
        <w:keepLines w:val="0"/>
        <w:pageBreakBefore w:val="0"/>
        <w:widowControl/>
        <w:shd w:val="clear"/>
        <w:kinsoku w:val="0"/>
        <w:wordWrap w:val="0"/>
        <w:overflowPunct/>
        <w:topLinePunct w:val="0"/>
        <w:autoSpaceDE/>
        <w:autoSpaceDN/>
        <w:bidi w:val="0"/>
        <w:snapToGrid w:val="0"/>
        <w:spacing w:after="0" w:line="360" w:lineRule="auto"/>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（3）东莞实业投资控股集团有限公司官网-招标采购栏目（http://www.dgsy.com.cn）；</w:t>
      </w:r>
    </w:p>
    <w:p w14:paraId="36DE8CA5">
      <w:pPr>
        <w:pStyle w:val="42"/>
        <w:keepNext w:val="0"/>
        <w:keepLines w:val="0"/>
        <w:pageBreakBefore w:val="0"/>
        <w:widowControl/>
        <w:shd w:val="clear"/>
        <w:overflowPunct/>
        <w:topLinePunct w:val="0"/>
        <w:autoSpaceDE/>
        <w:autoSpaceDN/>
        <w:bidi w:val="0"/>
        <w:snapToGrid w:val="0"/>
        <w:spacing w:after="0"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（4）广西同泽工程项目管理股份有限公司网（http://www.gxtzfz.cn/）</w:t>
      </w:r>
      <w:r>
        <w:rPr>
          <w:rFonts w:hint="eastAsia" w:ascii="宋体" w:hAnsi="宋体" w:eastAsia="宋体" w:cs="宋体"/>
          <w:color w:val="auto"/>
          <w:sz w:val="21"/>
          <w:szCs w:val="21"/>
          <w:highlight w:val="none"/>
        </w:rPr>
        <w:t>。</w:t>
      </w:r>
    </w:p>
    <w:p w14:paraId="5EAE0458">
      <w:pPr>
        <w:pStyle w:val="42"/>
        <w:keepNext w:val="0"/>
        <w:keepLines w:val="0"/>
        <w:pageBreakBefore w:val="0"/>
        <w:widowControl/>
        <w:shd w:val="clear"/>
        <w:overflowPunct/>
        <w:topLinePunct w:val="0"/>
        <w:autoSpaceDE/>
        <w:autoSpaceDN/>
        <w:bidi w:val="0"/>
        <w:snapToGrid w:val="0"/>
        <w:spacing w:after="0"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2、结果公告发布媒介：</w:t>
      </w:r>
    </w:p>
    <w:p w14:paraId="219FF98A">
      <w:pPr>
        <w:pStyle w:val="42"/>
        <w:keepNext w:val="0"/>
        <w:keepLines w:val="0"/>
        <w:pageBreakBefore w:val="0"/>
        <w:widowControl/>
        <w:shd w:val="clear"/>
        <w:overflowPunct/>
        <w:topLinePunct w:val="0"/>
        <w:autoSpaceDE/>
        <w:autoSpaceDN/>
        <w:bidi w:val="0"/>
        <w:snapToGrid w:val="0"/>
        <w:spacing w:after="0" w:line="360" w:lineRule="auto"/>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东莞实业投资控股集团有限公司-招标采购栏目（http://www.dgsy.com.cn/）。</w:t>
      </w:r>
    </w:p>
    <w:p w14:paraId="39533B11">
      <w:pPr>
        <w:keepNext w:val="0"/>
        <w:keepLines w:val="0"/>
        <w:pageBreakBefore w:val="0"/>
        <w:widowControl/>
        <w:shd w:val="clear"/>
        <w:overflowPunct/>
        <w:topLinePunct w:val="0"/>
        <w:autoSpaceDE/>
        <w:autoSpaceDN/>
        <w:bidi w:val="0"/>
        <w:snapToGrid w:val="0"/>
        <w:spacing w:after="0" w:line="360" w:lineRule="auto"/>
        <w:ind w:firstLine="413" w:firstLineChars="196"/>
        <w:textAlignment w:val="auto"/>
        <w:rPr>
          <w:rFonts w:hint="eastAsia" w:ascii="宋体" w:hAnsi="宋体" w:cs="宋体"/>
          <w:b/>
          <w:color w:val="auto"/>
          <w:szCs w:val="21"/>
          <w:highlight w:val="none"/>
        </w:rPr>
      </w:pPr>
    </w:p>
    <w:p w14:paraId="487080B9">
      <w:pPr>
        <w:keepNext w:val="0"/>
        <w:keepLines w:val="0"/>
        <w:pageBreakBefore w:val="0"/>
        <w:widowControl/>
        <w:shd w:val="clear"/>
        <w:overflowPunct/>
        <w:topLinePunct w:val="0"/>
        <w:autoSpaceDE/>
        <w:autoSpaceDN/>
        <w:bidi w:val="0"/>
        <w:snapToGrid w:val="0"/>
        <w:spacing w:after="0" w:line="360" w:lineRule="auto"/>
        <w:ind w:firstLine="413" w:firstLineChars="196"/>
        <w:textAlignment w:val="auto"/>
        <w:rPr>
          <w:rFonts w:hint="eastAsia" w:ascii="宋体" w:hAnsi="宋体" w:cs="宋体"/>
          <w:bCs/>
          <w:color w:val="auto"/>
          <w:szCs w:val="21"/>
          <w:highlight w:val="none"/>
        </w:rPr>
      </w:pPr>
      <w:r>
        <w:rPr>
          <w:rFonts w:hint="eastAsia" w:ascii="宋体" w:hAnsi="宋体" w:cs="宋体"/>
          <w:b/>
          <w:color w:val="auto"/>
          <w:szCs w:val="21"/>
          <w:highlight w:val="none"/>
        </w:rPr>
        <w:t>六、采购人及采购代理机构的名称、地址和联系方法：</w:t>
      </w:r>
    </w:p>
    <w:p w14:paraId="13E0CE98">
      <w:pPr>
        <w:keepNext w:val="0"/>
        <w:keepLines w:val="0"/>
        <w:pageBreakBefore w:val="0"/>
        <w:widowControl/>
        <w:shd w:val="clear"/>
        <w:overflowPunct/>
        <w:topLinePunct w:val="0"/>
        <w:autoSpaceDE/>
        <w:autoSpaceDN/>
        <w:bidi w:val="0"/>
        <w:snapToGrid w:val="0"/>
        <w:spacing w:after="0" w:line="360" w:lineRule="auto"/>
        <w:ind w:firstLine="420" w:firstLineChars="200"/>
        <w:textAlignment w:val="auto"/>
        <w:rPr>
          <w:rFonts w:hint="eastAsia" w:ascii="宋体" w:hAnsi="宋体" w:cs="宋体"/>
          <w:bCs/>
          <w:color w:val="auto"/>
          <w:szCs w:val="21"/>
          <w:highlight w:val="none"/>
        </w:rPr>
      </w:pPr>
      <w:r>
        <w:rPr>
          <w:rFonts w:hint="eastAsia" w:ascii="宋体" w:hAnsi="宋体" w:cs="宋体"/>
          <w:bCs/>
          <w:color w:val="auto"/>
          <w:szCs w:val="21"/>
          <w:highlight w:val="none"/>
        </w:rPr>
        <w:t>采购人名称：东莞迎宾馆酒店有限公司</w:t>
      </w:r>
    </w:p>
    <w:p w14:paraId="6CE5C5CA">
      <w:pPr>
        <w:keepNext w:val="0"/>
        <w:keepLines w:val="0"/>
        <w:pageBreakBefore w:val="0"/>
        <w:widowControl/>
        <w:shd w:val="clear"/>
        <w:overflowPunct/>
        <w:topLinePunct w:val="0"/>
        <w:autoSpaceDE/>
        <w:autoSpaceDN/>
        <w:bidi w:val="0"/>
        <w:snapToGrid w:val="0"/>
        <w:spacing w:after="0" w:line="360" w:lineRule="auto"/>
        <w:ind w:firstLine="420" w:firstLineChars="200"/>
        <w:textAlignment w:val="auto"/>
        <w:rPr>
          <w:rFonts w:hint="eastAsia" w:ascii="宋体" w:hAnsi="宋体" w:cs="宋体"/>
          <w:bCs/>
          <w:color w:val="auto"/>
          <w:szCs w:val="21"/>
          <w:highlight w:val="none"/>
        </w:rPr>
      </w:pPr>
      <w:r>
        <w:rPr>
          <w:rFonts w:hint="eastAsia" w:ascii="宋体" w:hAnsi="宋体" w:cs="宋体"/>
          <w:bCs/>
          <w:color w:val="auto"/>
          <w:szCs w:val="21"/>
          <w:highlight w:val="none"/>
        </w:rPr>
        <w:t>采购人联系人：梁工</w:t>
      </w:r>
    </w:p>
    <w:p w14:paraId="711194E7">
      <w:pPr>
        <w:keepNext w:val="0"/>
        <w:keepLines w:val="0"/>
        <w:pageBreakBefore w:val="0"/>
        <w:widowControl/>
        <w:shd w:val="clear"/>
        <w:overflowPunct/>
        <w:topLinePunct w:val="0"/>
        <w:autoSpaceDE/>
        <w:autoSpaceDN/>
        <w:bidi w:val="0"/>
        <w:snapToGrid w:val="0"/>
        <w:spacing w:after="0" w:line="360" w:lineRule="auto"/>
        <w:ind w:firstLine="420" w:firstLineChars="200"/>
        <w:textAlignment w:val="auto"/>
        <w:rPr>
          <w:rFonts w:hint="eastAsia" w:ascii="宋体" w:hAnsi="宋体" w:cs="宋体"/>
          <w:bCs/>
          <w:color w:val="auto"/>
          <w:szCs w:val="21"/>
          <w:highlight w:val="none"/>
        </w:rPr>
      </w:pPr>
      <w:r>
        <w:rPr>
          <w:rFonts w:hint="eastAsia" w:ascii="宋体" w:hAnsi="宋体" w:cs="宋体"/>
          <w:bCs/>
          <w:color w:val="auto"/>
          <w:szCs w:val="21"/>
          <w:highlight w:val="none"/>
        </w:rPr>
        <w:t>采购人地址：东莞市南城区东莞植物园西南端</w:t>
      </w:r>
    </w:p>
    <w:p w14:paraId="76C2015D">
      <w:pPr>
        <w:keepNext w:val="0"/>
        <w:keepLines w:val="0"/>
        <w:pageBreakBefore w:val="0"/>
        <w:widowControl/>
        <w:shd w:val="clear"/>
        <w:overflowPunct/>
        <w:topLinePunct w:val="0"/>
        <w:autoSpaceDE/>
        <w:autoSpaceDN/>
        <w:bidi w:val="0"/>
        <w:snapToGrid w:val="0"/>
        <w:spacing w:after="0" w:line="360" w:lineRule="auto"/>
        <w:ind w:firstLine="420" w:firstLineChars="200"/>
        <w:textAlignment w:val="auto"/>
        <w:rPr>
          <w:rFonts w:hint="eastAsia" w:ascii="宋体" w:hAnsi="宋体" w:cs="宋体"/>
          <w:bCs/>
          <w:color w:val="auto"/>
          <w:szCs w:val="21"/>
          <w:highlight w:val="none"/>
        </w:rPr>
      </w:pPr>
      <w:r>
        <w:rPr>
          <w:rFonts w:hint="eastAsia" w:ascii="宋体" w:hAnsi="宋体" w:cs="宋体"/>
          <w:bCs/>
          <w:color w:val="auto"/>
          <w:szCs w:val="21"/>
          <w:highlight w:val="none"/>
        </w:rPr>
        <w:t>采购人联系电话：0769-38883999</w:t>
      </w:r>
    </w:p>
    <w:p w14:paraId="1A272F72">
      <w:pPr>
        <w:keepNext w:val="0"/>
        <w:keepLines w:val="0"/>
        <w:pageBreakBefore w:val="0"/>
        <w:widowControl/>
        <w:shd w:val="clear"/>
        <w:overflowPunct/>
        <w:topLinePunct w:val="0"/>
        <w:autoSpaceDE/>
        <w:autoSpaceDN/>
        <w:bidi w:val="0"/>
        <w:snapToGrid w:val="0"/>
        <w:spacing w:after="0" w:line="360" w:lineRule="auto"/>
        <w:textAlignment w:val="auto"/>
        <w:rPr>
          <w:rFonts w:hint="eastAsia" w:ascii="宋体" w:hAnsi="宋体" w:cs="宋体"/>
          <w:color w:val="auto"/>
          <w:highlight w:val="none"/>
        </w:rPr>
      </w:pPr>
    </w:p>
    <w:p w14:paraId="42100287">
      <w:pPr>
        <w:keepNext w:val="0"/>
        <w:keepLines w:val="0"/>
        <w:pageBreakBefore w:val="0"/>
        <w:widowControl/>
        <w:shd w:val="clear"/>
        <w:overflowPunct/>
        <w:topLinePunct w:val="0"/>
        <w:autoSpaceDE/>
        <w:autoSpaceDN/>
        <w:bidi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采购代理机构名称：广西同泽工程项目管理股份有限公司</w:t>
      </w:r>
    </w:p>
    <w:p w14:paraId="5961473A">
      <w:pPr>
        <w:keepNext w:val="0"/>
        <w:keepLines w:val="0"/>
        <w:pageBreakBefore w:val="0"/>
        <w:widowControl/>
        <w:shd w:val="clear"/>
        <w:overflowPunct/>
        <w:topLinePunct w:val="0"/>
        <w:autoSpaceDE/>
        <w:autoSpaceDN/>
        <w:bidi w:val="0"/>
        <w:snapToGrid w:val="0"/>
        <w:spacing w:after="0"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采购代理机构地址：东莞市南城区塘贝北路福特大厦A区811</w:t>
      </w:r>
    </w:p>
    <w:p w14:paraId="579D9E4D">
      <w:pPr>
        <w:keepNext w:val="0"/>
        <w:keepLines w:val="0"/>
        <w:pageBreakBefore w:val="0"/>
        <w:widowControl/>
        <w:shd w:val="clear"/>
        <w:overflowPunct/>
        <w:topLinePunct w:val="0"/>
        <w:autoSpaceDE/>
        <w:autoSpaceDN/>
        <w:bidi w:val="0"/>
        <w:snapToGrid w:val="0"/>
        <w:spacing w:after="0"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采购代理机构联系人：张先生</w:t>
      </w:r>
    </w:p>
    <w:p w14:paraId="72BA7C45">
      <w:pPr>
        <w:keepNext w:val="0"/>
        <w:keepLines w:val="0"/>
        <w:pageBreakBefore w:val="0"/>
        <w:widowControl/>
        <w:shd w:val="clear"/>
        <w:overflowPunct/>
        <w:topLinePunct w:val="0"/>
        <w:autoSpaceDE/>
        <w:autoSpaceDN/>
        <w:bidi w:val="0"/>
        <w:snapToGrid w:val="0"/>
        <w:spacing w:after="0"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采购代理机构联系电话：0769-21868191</w:t>
      </w:r>
    </w:p>
    <w:p w14:paraId="2BBF6AB2">
      <w:pPr>
        <w:keepNext w:val="0"/>
        <w:keepLines w:val="0"/>
        <w:pageBreakBefore w:val="0"/>
        <w:widowControl/>
        <w:shd w:val="clear"/>
        <w:kinsoku/>
        <w:wordWrap/>
        <w:overflowPunct/>
        <w:topLinePunct w:val="0"/>
        <w:autoSpaceDE/>
        <w:autoSpaceDN/>
        <w:bidi w:val="0"/>
        <w:snapToGrid w:val="0"/>
        <w:spacing w:after="0" w:line="360" w:lineRule="auto"/>
        <w:ind w:firstLine="420" w:firstLineChars="200"/>
        <w:textAlignment w:val="auto"/>
        <w:rPr>
          <w:rFonts w:hint="eastAsia" w:ascii="宋体" w:hAnsi="宋体" w:cs="宋体"/>
          <w:color w:val="auto"/>
          <w:highlight w:val="none"/>
        </w:rPr>
      </w:pPr>
      <w:r>
        <w:rPr>
          <w:rFonts w:hint="eastAsia" w:ascii="宋体" w:hAnsi="宋体"/>
          <w:color w:val="auto"/>
          <w:szCs w:val="21"/>
          <w:highlight w:val="none"/>
        </w:rPr>
        <w:t>采购代理机构邮箱：2195953904@qq.com</w:t>
      </w:r>
    </w:p>
    <w:p w14:paraId="01FE7165">
      <w:pPr>
        <w:keepNext w:val="0"/>
        <w:keepLines w:val="0"/>
        <w:pageBreakBefore w:val="0"/>
        <w:widowControl/>
        <w:shd w:val="clear"/>
        <w:kinsoku/>
        <w:wordWrap/>
        <w:overflowPunct/>
        <w:topLinePunct w:val="0"/>
        <w:autoSpaceDE/>
        <w:autoSpaceDN/>
        <w:bidi w:val="0"/>
        <w:snapToGrid w:val="0"/>
        <w:spacing w:after="0" w:line="360" w:lineRule="auto"/>
        <w:ind w:firstLine="420" w:firstLineChars="200"/>
        <w:textAlignment w:val="auto"/>
        <w:rPr>
          <w:rFonts w:hint="eastAsia" w:ascii="宋体" w:hAnsi="宋体" w:cs="宋体"/>
          <w:color w:val="auto"/>
          <w:highlight w:val="none"/>
        </w:rPr>
      </w:pPr>
    </w:p>
    <w:p w14:paraId="03B254E0">
      <w:pPr>
        <w:keepNext w:val="0"/>
        <w:keepLines w:val="0"/>
        <w:pageBreakBefore w:val="0"/>
        <w:widowControl/>
        <w:shd w:val="clear"/>
        <w:kinsoku/>
        <w:wordWrap/>
        <w:overflowPunct/>
        <w:topLinePunct w:val="0"/>
        <w:autoSpaceDE/>
        <w:autoSpaceDN/>
        <w:bidi w:val="0"/>
        <w:snapToGrid w:val="0"/>
        <w:spacing w:after="0" w:line="360" w:lineRule="auto"/>
        <w:ind w:right="752" w:rightChars="358"/>
        <w:jc w:val="right"/>
        <w:textAlignment w:val="auto"/>
        <w:rPr>
          <w:rFonts w:hint="eastAsia" w:ascii="宋体" w:hAnsi="宋体" w:cs="宋体"/>
          <w:color w:val="auto"/>
          <w:highlight w:val="none"/>
        </w:rPr>
      </w:pPr>
    </w:p>
    <w:p w14:paraId="365389BD">
      <w:pPr>
        <w:keepNext w:val="0"/>
        <w:keepLines w:val="0"/>
        <w:pageBreakBefore w:val="0"/>
        <w:widowControl/>
        <w:shd w:val="clear"/>
        <w:kinsoku/>
        <w:wordWrap/>
        <w:overflowPunct/>
        <w:topLinePunct w:val="0"/>
        <w:autoSpaceDE/>
        <w:autoSpaceDN/>
        <w:bidi w:val="0"/>
        <w:snapToGrid w:val="0"/>
        <w:spacing w:after="0" w:line="360" w:lineRule="auto"/>
        <w:ind w:right="752" w:rightChars="358"/>
        <w:jc w:val="right"/>
        <w:textAlignment w:val="auto"/>
        <w:rPr>
          <w:rFonts w:hint="eastAsia" w:ascii="宋体" w:hAnsi="宋体" w:cs="宋体"/>
          <w:color w:val="auto"/>
          <w:szCs w:val="21"/>
          <w:highlight w:val="none"/>
        </w:rPr>
      </w:pPr>
      <w:r>
        <w:rPr>
          <w:rFonts w:hint="eastAsia" w:ascii="宋体" w:hAnsi="宋体" w:cs="宋体"/>
          <w:color w:val="auto"/>
          <w:szCs w:val="21"/>
          <w:highlight w:val="none"/>
        </w:rPr>
        <w:t>广西同泽工程项目管理股份有限公司</w:t>
      </w:r>
    </w:p>
    <w:p w14:paraId="6ED5116D">
      <w:pPr>
        <w:keepNext w:val="0"/>
        <w:keepLines w:val="0"/>
        <w:pageBreakBefore w:val="0"/>
        <w:widowControl/>
        <w:shd w:val="clear"/>
        <w:kinsoku/>
        <w:wordWrap/>
        <w:overflowPunct/>
        <w:topLinePunct w:val="0"/>
        <w:autoSpaceDE/>
        <w:autoSpaceDN/>
        <w:bidi w:val="0"/>
        <w:snapToGrid w:val="0"/>
        <w:spacing w:after="0" w:line="360" w:lineRule="auto"/>
        <w:ind w:right="752" w:rightChars="358"/>
        <w:jc w:val="right"/>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2026年 </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 xml:space="preserve"> 月 </w:t>
      </w:r>
    </w:p>
    <w:p w14:paraId="224CE2A3">
      <w:pPr>
        <w:pageBreakBefore w:val="0"/>
        <w:shd w:val="clear"/>
        <w:kinsoku/>
        <w:wordWrap/>
        <w:overflowPunct/>
        <w:topLinePunct w:val="0"/>
        <w:autoSpaceDE/>
        <w:autoSpaceDN/>
        <w:bidi w:val="0"/>
        <w:spacing w:line="360" w:lineRule="auto"/>
        <w:ind w:left="6205" w:leftChars="2755" w:hanging="420" w:hangingChars="200"/>
        <w:textAlignment w:val="auto"/>
        <w:rPr>
          <w:rFonts w:hint="eastAsia" w:ascii="宋体" w:hAnsi="宋体" w:cs="宋体"/>
          <w:color w:val="auto"/>
          <w:highlight w:val="none"/>
        </w:rPr>
      </w:pPr>
      <w:r>
        <w:rPr>
          <w:rFonts w:hint="eastAsia" w:ascii="宋体" w:hAnsi="宋体" w:cs="宋体"/>
          <w:color w:val="auto"/>
          <w:szCs w:val="21"/>
          <w:highlight w:val="none"/>
        </w:rPr>
        <w:br w:type="page"/>
      </w:r>
    </w:p>
    <w:p w14:paraId="12BB5AD5">
      <w:pPr>
        <w:pStyle w:val="4"/>
        <w:pageBreakBefore w:val="0"/>
        <w:shd w:val="clear"/>
        <w:kinsoku/>
        <w:wordWrap/>
        <w:overflowPunct/>
        <w:topLinePunct w:val="0"/>
        <w:autoSpaceDE/>
        <w:autoSpaceDN/>
        <w:bidi w:val="0"/>
        <w:spacing w:before="0" w:after="0" w:line="360" w:lineRule="auto"/>
        <w:textAlignment w:val="auto"/>
        <w:rPr>
          <w:rFonts w:hint="eastAsia" w:ascii="宋体" w:hAnsi="宋体" w:eastAsia="宋体" w:cs="宋体"/>
          <w:color w:val="auto"/>
          <w:sz w:val="28"/>
          <w:szCs w:val="28"/>
          <w:highlight w:val="none"/>
        </w:rPr>
      </w:pPr>
      <w:bookmarkStart w:id="4" w:name="_Toc6219"/>
      <w:bookmarkStart w:id="5" w:name="_Toc435"/>
      <w:r>
        <w:rPr>
          <w:rFonts w:hint="eastAsia" w:ascii="宋体" w:hAnsi="宋体" w:eastAsia="宋体" w:cs="宋体"/>
          <w:color w:val="auto"/>
          <w:sz w:val="28"/>
          <w:szCs w:val="28"/>
          <w:highlight w:val="none"/>
        </w:rPr>
        <w:t>第二部分相关资料表格</w:t>
      </w:r>
      <w:bookmarkEnd w:id="4"/>
      <w:bookmarkEnd w:id="5"/>
    </w:p>
    <w:p w14:paraId="5951EB1D">
      <w:pPr>
        <w:pStyle w:val="5"/>
        <w:pageBreakBefore w:val="0"/>
        <w:shd w:val="clear"/>
        <w:kinsoku/>
        <w:wordWrap/>
        <w:overflowPunct/>
        <w:topLinePunct w:val="0"/>
        <w:autoSpaceDE/>
        <w:autoSpaceDN/>
        <w:bidi w:val="0"/>
        <w:spacing w:before="0" w:after="0" w:line="360" w:lineRule="auto"/>
        <w:jc w:val="center"/>
        <w:textAlignment w:val="auto"/>
        <w:rPr>
          <w:rFonts w:hint="eastAsia" w:ascii="宋体" w:hAnsi="宋体" w:cs="宋体"/>
          <w:color w:val="auto"/>
          <w:sz w:val="24"/>
          <w:szCs w:val="24"/>
          <w:highlight w:val="none"/>
        </w:rPr>
      </w:pPr>
      <w:bookmarkStart w:id="6" w:name="_Toc32736"/>
      <w:bookmarkStart w:id="7" w:name="_Toc6400"/>
      <w:r>
        <w:rPr>
          <w:rFonts w:hint="eastAsia" w:ascii="宋体" w:hAnsi="宋体" w:cs="宋体"/>
          <w:color w:val="auto"/>
          <w:sz w:val="24"/>
          <w:szCs w:val="24"/>
          <w:highlight w:val="none"/>
        </w:rPr>
        <w:t>附表一：投标资料表</w:t>
      </w:r>
      <w:bookmarkEnd w:id="6"/>
      <w:bookmarkEnd w:id="7"/>
    </w:p>
    <w:tbl>
      <w:tblPr>
        <w:tblStyle w:val="32"/>
        <w:tblW w:w="8410" w:type="dxa"/>
        <w:tblInd w:w="-23"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43"/>
        <w:gridCol w:w="2598"/>
        <w:gridCol w:w="5269"/>
      </w:tblGrid>
      <w:tr w14:paraId="64F1A7F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600" w:hRule="atLeast"/>
        </w:trPr>
        <w:tc>
          <w:tcPr>
            <w:tcW w:w="543" w:type="dxa"/>
            <w:tcBorders>
              <w:tl2br w:val="nil"/>
              <w:tr2bl w:val="nil"/>
            </w:tcBorders>
            <w:vAlign w:val="center"/>
          </w:tcPr>
          <w:p w14:paraId="585FC3DD">
            <w:pPr>
              <w:shd w:val="clear"/>
              <w:spacing w:after="0"/>
              <w:jc w:val="center"/>
              <w:rPr>
                <w:rFonts w:hint="eastAsia" w:ascii="宋体" w:hAnsi="宋体" w:cs="宋体"/>
                <w:color w:val="auto"/>
                <w:szCs w:val="21"/>
                <w:highlight w:val="none"/>
              </w:rPr>
            </w:pPr>
            <w:r>
              <w:rPr>
                <w:rFonts w:hint="eastAsia" w:ascii="宋体" w:hAnsi="宋体" w:eastAsia="宋体" w:cs="宋体"/>
                <w:b/>
                <w:color w:val="auto"/>
                <w:szCs w:val="21"/>
                <w:highlight w:val="none"/>
              </w:rPr>
              <w:t>序号</w:t>
            </w:r>
          </w:p>
        </w:tc>
        <w:tc>
          <w:tcPr>
            <w:tcW w:w="7867" w:type="dxa"/>
            <w:gridSpan w:val="2"/>
            <w:tcBorders>
              <w:tl2br w:val="nil"/>
              <w:tr2bl w:val="nil"/>
            </w:tcBorders>
            <w:vAlign w:val="center"/>
          </w:tcPr>
          <w:p w14:paraId="16AC02D7">
            <w:pPr>
              <w:shd w:val="clear"/>
              <w:spacing w:after="0"/>
              <w:jc w:val="center"/>
              <w:rPr>
                <w:rFonts w:hint="eastAsia" w:ascii="宋体" w:hAnsi="宋体" w:cs="宋体"/>
                <w:b/>
                <w:color w:val="auto"/>
                <w:szCs w:val="21"/>
                <w:highlight w:val="none"/>
              </w:rPr>
            </w:pPr>
            <w:r>
              <w:rPr>
                <w:rFonts w:hint="eastAsia" w:ascii="宋体" w:hAnsi="宋体" w:cs="宋体"/>
                <w:b/>
                <w:color w:val="auto"/>
                <w:szCs w:val="21"/>
                <w:highlight w:val="none"/>
              </w:rPr>
              <w:t>内容</w:t>
            </w:r>
          </w:p>
        </w:tc>
      </w:tr>
      <w:tr w14:paraId="7040F62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cantSplit/>
          <w:trHeight w:val="551" w:hRule="atLeast"/>
        </w:trPr>
        <w:tc>
          <w:tcPr>
            <w:tcW w:w="8410" w:type="dxa"/>
            <w:gridSpan w:val="3"/>
            <w:tcBorders>
              <w:tl2br w:val="nil"/>
              <w:tr2bl w:val="nil"/>
            </w:tcBorders>
            <w:vAlign w:val="center"/>
          </w:tcPr>
          <w:p w14:paraId="200A8CC1">
            <w:pPr>
              <w:shd w:val="clear"/>
              <w:spacing w:after="0"/>
              <w:jc w:val="center"/>
              <w:rPr>
                <w:rFonts w:hint="eastAsia" w:ascii="宋体" w:hAnsi="宋体" w:cs="宋体"/>
                <w:b/>
                <w:color w:val="auto"/>
                <w:szCs w:val="21"/>
                <w:highlight w:val="none"/>
              </w:rPr>
            </w:pPr>
            <w:r>
              <w:rPr>
                <w:rFonts w:hint="eastAsia" w:ascii="宋体" w:hAnsi="宋体" w:cs="宋体"/>
                <w:b/>
                <w:color w:val="auto"/>
                <w:szCs w:val="21"/>
                <w:highlight w:val="none"/>
              </w:rPr>
              <w:t>一、说明</w:t>
            </w:r>
          </w:p>
        </w:tc>
      </w:tr>
      <w:tr w14:paraId="1ED7DA2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543" w:type="dxa"/>
            <w:vMerge w:val="restart"/>
            <w:tcBorders>
              <w:tl2br w:val="nil"/>
              <w:tr2bl w:val="nil"/>
            </w:tcBorders>
            <w:vAlign w:val="center"/>
          </w:tcPr>
          <w:p w14:paraId="7F9605EB">
            <w:pPr>
              <w:shd w:val="clear"/>
              <w:spacing w:after="0"/>
              <w:jc w:val="center"/>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1</w:t>
            </w:r>
          </w:p>
        </w:tc>
        <w:tc>
          <w:tcPr>
            <w:tcW w:w="7867" w:type="dxa"/>
            <w:gridSpan w:val="2"/>
            <w:tcBorders>
              <w:tl2br w:val="nil"/>
              <w:tr2bl w:val="nil"/>
            </w:tcBorders>
            <w:shd w:val="clear" w:color="auto" w:fill="auto"/>
            <w:vAlign w:val="center"/>
          </w:tcPr>
          <w:p w14:paraId="27D4A90B">
            <w:pPr>
              <w:shd w:val="clear"/>
              <w:spacing w:after="0"/>
              <w:jc w:val="left"/>
              <w:rPr>
                <w:rFonts w:hint="eastAsia" w:ascii="宋体" w:hAnsi="宋体" w:eastAsia="宋体" w:cs="宋体"/>
                <w:b w:val="0"/>
                <w:bCs/>
                <w:color w:val="auto"/>
                <w:szCs w:val="21"/>
                <w:highlight w:val="none"/>
              </w:rPr>
            </w:pPr>
            <w:r>
              <w:rPr>
                <w:rFonts w:hint="eastAsia" w:ascii="宋体" w:hAnsi="宋体" w:eastAsia="宋体" w:cs="宋体"/>
                <w:b/>
                <w:bCs w:val="0"/>
                <w:color w:val="auto"/>
                <w:szCs w:val="21"/>
                <w:highlight w:val="none"/>
              </w:rPr>
              <w:t>项目</w:t>
            </w:r>
            <w:r>
              <w:rPr>
                <w:rFonts w:hint="eastAsia" w:ascii="宋体" w:hAnsi="宋体" w:cs="宋体"/>
                <w:b/>
                <w:bCs w:val="0"/>
                <w:color w:val="auto"/>
                <w:szCs w:val="21"/>
                <w:highlight w:val="none"/>
                <w:lang w:val="en-US" w:eastAsia="zh-CN"/>
              </w:rPr>
              <w:t>采购清单不含税</w:t>
            </w:r>
            <w:r>
              <w:rPr>
                <w:rFonts w:hint="eastAsia" w:ascii="宋体" w:hAnsi="宋体" w:eastAsia="宋体" w:cs="宋体"/>
                <w:b/>
                <w:bCs w:val="0"/>
                <w:color w:val="auto"/>
                <w:szCs w:val="21"/>
                <w:highlight w:val="none"/>
              </w:rPr>
              <w:t>最高限价</w:t>
            </w:r>
            <w:r>
              <w:rPr>
                <w:rFonts w:hint="eastAsia" w:ascii="宋体" w:hAnsi="宋体" w:cs="宋体"/>
                <w:b/>
                <w:bCs w:val="0"/>
                <w:color w:val="auto"/>
                <w:szCs w:val="21"/>
                <w:highlight w:val="none"/>
                <w:lang w:val="en-US" w:eastAsia="zh-CN"/>
              </w:rPr>
              <w:t>总价</w:t>
            </w:r>
            <w:r>
              <w:rPr>
                <w:rFonts w:hint="eastAsia" w:ascii="宋体" w:hAnsi="宋体" w:eastAsia="宋体" w:cs="宋体"/>
                <w:b/>
                <w:bCs w:val="0"/>
                <w:color w:val="auto"/>
                <w:szCs w:val="21"/>
                <w:highlight w:val="none"/>
              </w:rPr>
              <w:t>（单位：元）</w:t>
            </w:r>
          </w:p>
        </w:tc>
      </w:tr>
      <w:tr w14:paraId="1F6E85C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543" w:type="dxa"/>
            <w:vMerge w:val="continue"/>
            <w:tcBorders>
              <w:tl2br w:val="nil"/>
              <w:tr2bl w:val="nil"/>
            </w:tcBorders>
            <w:vAlign w:val="center"/>
          </w:tcPr>
          <w:p w14:paraId="46FD824F">
            <w:pPr>
              <w:shd w:val="clear"/>
              <w:spacing w:after="0"/>
              <w:jc w:val="center"/>
              <w:rPr>
                <w:rFonts w:hint="eastAsia" w:ascii="宋体" w:hAnsi="宋体" w:eastAsia="宋体" w:cs="宋体"/>
                <w:b w:val="0"/>
                <w:bCs/>
                <w:color w:val="auto"/>
                <w:szCs w:val="21"/>
                <w:highlight w:val="none"/>
              </w:rPr>
            </w:pPr>
          </w:p>
        </w:tc>
        <w:tc>
          <w:tcPr>
            <w:tcW w:w="7867" w:type="dxa"/>
            <w:gridSpan w:val="2"/>
            <w:tcBorders>
              <w:tl2br w:val="nil"/>
              <w:tr2bl w:val="nil"/>
            </w:tcBorders>
            <w:shd w:val="clear" w:color="auto" w:fill="auto"/>
            <w:vAlign w:val="center"/>
          </w:tcPr>
          <w:p w14:paraId="3B6D65C9">
            <w:pPr>
              <w:shd w:val="clear"/>
              <w:spacing w:after="0"/>
              <w:jc w:val="left"/>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rPr>
              <w:t>包A：¥</w:t>
            </w:r>
            <w:r>
              <w:rPr>
                <w:rFonts w:hint="eastAsia" w:ascii="宋体" w:hAnsi="宋体" w:eastAsia="宋体" w:cs="宋体"/>
                <w:b/>
                <w:bCs w:val="0"/>
                <w:color w:val="auto"/>
                <w:szCs w:val="21"/>
                <w:highlight w:val="none"/>
              </w:rPr>
              <w:t>14</w:t>
            </w:r>
            <w:r>
              <w:rPr>
                <w:rFonts w:hint="eastAsia" w:ascii="宋体" w:hAnsi="宋体" w:cs="宋体"/>
                <w:b/>
                <w:bCs w:val="0"/>
                <w:color w:val="auto"/>
                <w:szCs w:val="21"/>
                <w:highlight w:val="none"/>
                <w:lang w:val="en-US" w:eastAsia="zh-CN"/>
              </w:rPr>
              <w:t>,</w:t>
            </w:r>
            <w:r>
              <w:rPr>
                <w:rFonts w:hint="eastAsia" w:ascii="宋体" w:hAnsi="宋体" w:eastAsia="宋体" w:cs="宋体"/>
                <w:b/>
                <w:bCs w:val="0"/>
                <w:color w:val="auto"/>
                <w:szCs w:val="21"/>
                <w:highlight w:val="none"/>
              </w:rPr>
              <w:t>811</w:t>
            </w:r>
            <w:r>
              <w:rPr>
                <w:rFonts w:hint="eastAsia" w:ascii="宋体" w:hAnsi="宋体" w:cs="宋体"/>
                <w:b/>
                <w:bCs w:val="0"/>
                <w:color w:val="auto"/>
                <w:szCs w:val="21"/>
                <w:highlight w:val="none"/>
                <w:lang w:val="en-US" w:eastAsia="zh-CN"/>
              </w:rPr>
              <w:t>,</w:t>
            </w:r>
            <w:r>
              <w:rPr>
                <w:rFonts w:hint="eastAsia" w:ascii="宋体" w:hAnsi="宋体" w:eastAsia="宋体" w:cs="宋体"/>
                <w:b/>
                <w:bCs w:val="0"/>
                <w:color w:val="auto"/>
                <w:szCs w:val="21"/>
                <w:highlight w:val="none"/>
              </w:rPr>
              <w:t>414.21</w:t>
            </w:r>
            <w:r>
              <w:rPr>
                <w:rFonts w:hint="eastAsia" w:ascii="宋体" w:hAnsi="宋体" w:eastAsia="宋体" w:cs="宋体"/>
                <w:b w:val="0"/>
                <w:bCs/>
                <w:color w:val="auto"/>
                <w:szCs w:val="21"/>
                <w:highlight w:val="none"/>
              </w:rPr>
              <w:t>元</w:t>
            </w:r>
            <w:r>
              <w:rPr>
                <w:rFonts w:hint="eastAsia" w:ascii="宋体" w:hAnsi="宋体" w:cs="宋体"/>
                <w:b w:val="0"/>
                <w:bCs/>
                <w:color w:val="auto"/>
                <w:szCs w:val="21"/>
                <w:highlight w:val="none"/>
                <w:lang w:eastAsia="zh-CN"/>
              </w:rPr>
              <w:t>（</w:t>
            </w:r>
            <w:r>
              <w:rPr>
                <w:rFonts w:hint="eastAsia" w:ascii="宋体" w:hAnsi="宋体" w:cs="宋体"/>
                <w:b w:val="0"/>
                <w:bCs/>
                <w:color w:val="auto"/>
                <w:szCs w:val="21"/>
                <w:highlight w:val="none"/>
                <w:lang w:val="en-US" w:eastAsia="zh-CN"/>
              </w:rPr>
              <w:t>不含税</w:t>
            </w:r>
            <w:r>
              <w:rPr>
                <w:rFonts w:hint="eastAsia" w:ascii="宋体" w:hAnsi="宋体" w:cs="宋体"/>
                <w:b w:val="0"/>
                <w:bCs/>
                <w:color w:val="auto"/>
                <w:szCs w:val="21"/>
                <w:highlight w:val="none"/>
                <w:lang w:eastAsia="zh-CN"/>
              </w:rPr>
              <w:t>）</w:t>
            </w:r>
          </w:p>
        </w:tc>
      </w:tr>
      <w:tr w14:paraId="19D65FA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543" w:type="dxa"/>
            <w:vMerge w:val="continue"/>
            <w:tcBorders>
              <w:tl2br w:val="nil"/>
              <w:tr2bl w:val="nil"/>
            </w:tcBorders>
            <w:vAlign w:val="center"/>
          </w:tcPr>
          <w:p w14:paraId="4F1465C1">
            <w:pPr>
              <w:shd w:val="clear"/>
              <w:spacing w:after="0"/>
              <w:jc w:val="center"/>
              <w:rPr>
                <w:rFonts w:hint="eastAsia" w:ascii="宋体" w:hAnsi="宋体" w:eastAsia="宋体" w:cs="宋体"/>
                <w:b w:val="0"/>
                <w:bCs/>
                <w:color w:val="auto"/>
                <w:szCs w:val="21"/>
                <w:highlight w:val="none"/>
              </w:rPr>
            </w:pPr>
          </w:p>
        </w:tc>
        <w:tc>
          <w:tcPr>
            <w:tcW w:w="7867" w:type="dxa"/>
            <w:gridSpan w:val="2"/>
            <w:tcBorders>
              <w:tl2br w:val="nil"/>
              <w:tr2bl w:val="nil"/>
            </w:tcBorders>
            <w:shd w:val="clear" w:color="auto" w:fill="auto"/>
            <w:vAlign w:val="center"/>
          </w:tcPr>
          <w:p w14:paraId="6EE1A5AA">
            <w:pPr>
              <w:shd w:val="clear"/>
              <w:spacing w:after="0"/>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包B：¥</w:t>
            </w:r>
            <w:r>
              <w:rPr>
                <w:rFonts w:hint="eastAsia" w:ascii="宋体" w:hAnsi="宋体" w:eastAsia="宋体" w:cs="宋体"/>
                <w:b/>
                <w:bCs w:val="0"/>
                <w:color w:val="auto"/>
                <w:szCs w:val="21"/>
                <w:highlight w:val="none"/>
              </w:rPr>
              <w:t>12</w:t>
            </w:r>
            <w:r>
              <w:rPr>
                <w:rFonts w:hint="eastAsia" w:ascii="宋体" w:hAnsi="宋体" w:cs="宋体"/>
                <w:b/>
                <w:bCs w:val="0"/>
                <w:color w:val="auto"/>
                <w:szCs w:val="21"/>
                <w:highlight w:val="none"/>
                <w:lang w:val="en-US" w:eastAsia="zh-CN"/>
              </w:rPr>
              <w:t>,</w:t>
            </w:r>
            <w:r>
              <w:rPr>
                <w:rFonts w:hint="eastAsia" w:ascii="宋体" w:hAnsi="宋体" w:eastAsia="宋体" w:cs="宋体"/>
                <w:b/>
                <w:bCs w:val="0"/>
                <w:color w:val="auto"/>
                <w:szCs w:val="21"/>
                <w:highlight w:val="none"/>
              </w:rPr>
              <w:t>302</w:t>
            </w:r>
            <w:r>
              <w:rPr>
                <w:rFonts w:hint="eastAsia" w:ascii="宋体" w:hAnsi="宋体" w:cs="宋体"/>
                <w:b/>
                <w:bCs w:val="0"/>
                <w:color w:val="auto"/>
                <w:szCs w:val="21"/>
                <w:highlight w:val="none"/>
                <w:lang w:val="en-US" w:eastAsia="zh-CN"/>
              </w:rPr>
              <w:t>,</w:t>
            </w:r>
            <w:r>
              <w:rPr>
                <w:rFonts w:hint="eastAsia" w:ascii="宋体" w:hAnsi="宋体" w:eastAsia="宋体" w:cs="宋体"/>
                <w:b/>
                <w:bCs w:val="0"/>
                <w:color w:val="auto"/>
                <w:szCs w:val="21"/>
                <w:highlight w:val="none"/>
              </w:rPr>
              <w:t>586.62</w:t>
            </w:r>
            <w:r>
              <w:rPr>
                <w:rFonts w:hint="eastAsia" w:ascii="宋体" w:hAnsi="宋体" w:cs="宋体"/>
                <w:b/>
                <w:bCs w:val="0"/>
                <w:color w:val="auto"/>
                <w:szCs w:val="21"/>
                <w:highlight w:val="none"/>
                <w:lang w:val="en-US" w:eastAsia="zh-CN"/>
              </w:rPr>
              <w:t xml:space="preserve"> </w:t>
            </w:r>
            <w:r>
              <w:rPr>
                <w:rFonts w:hint="eastAsia" w:ascii="宋体" w:hAnsi="宋体" w:eastAsia="宋体" w:cs="宋体"/>
                <w:b w:val="0"/>
                <w:bCs/>
                <w:color w:val="auto"/>
                <w:szCs w:val="21"/>
                <w:highlight w:val="none"/>
              </w:rPr>
              <w:t>元</w:t>
            </w:r>
            <w:r>
              <w:rPr>
                <w:rFonts w:hint="eastAsia" w:ascii="宋体" w:hAnsi="宋体" w:cs="宋体"/>
                <w:b w:val="0"/>
                <w:bCs/>
                <w:color w:val="auto"/>
                <w:szCs w:val="21"/>
                <w:highlight w:val="none"/>
                <w:lang w:eastAsia="zh-CN"/>
              </w:rPr>
              <w:t>（</w:t>
            </w:r>
            <w:r>
              <w:rPr>
                <w:rFonts w:hint="eastAsia" w:ascii="宋体" w:hAnsi="宋体" w:cs="宋体"/>
                <w:b w:val="0"/>
                <w:bCs/>
                <w:color w:val="auto"/>
                <w:szCs w:val="21"/>
                <w:highlight w:val="none"/>
                <w:lang w:val="en-US" w:eastAsia="zh-CN"/>
              </w:rPr>
              <w:t>不含税</w:t>
            </w:r>
            <w:r>
              <w:rPr>
                <w:rFonts w:hint="eastAsia" w:ascii="宋体" w:hAnsi="宋体" w:cs="宋体"/>
                <w:b w:val="0"/>
                <w:bCs/>
                <w:color w:val="auto"/>
                <w:szCs w:val="21"/>
                <w:highlight w:val="none"/>
                <w:lang w:eastAsia="zh-CN"/>
              </w:rPr>
              <w:t>）</w:t>
            </w:r>
          </w:p>
        </w:tc>
      </w:tr>
      <w:tr w14:paraId="62E2155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543" w:type="dxa"/>
            <w:vMerge w:val="restart"/>
            <w:tcBorders>
              <w:tl2br w:val="nil"/>
              <w:tr2bl w:val="nil"/>
            </w:tcBorders>
            <w:vAlign w:val="center"/>
          </w:tcPr>
          <w:p w14:paraId="599AB835">
            <w:pPr>
              <w:shd w:val="clear"/>
              <w:spacing w:after="0"/>
              <w:jc w:val="center"/>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2</w:t>
            </w:r>
          </w:p>
        </w:tc>
        <w:tc>
          <w:tcPr>
            <w:tcW w:w="7867" w:type="dxa"/>
            <w:gridSpan w:val="2"/>
            <w:tcBorders>
              <w:tl2br w:val="nil"/>
              <w:tr2bl w:val="nil"/>
            </w:tcBorders>
            <w:shd w:val="clear" w:color="auto" w:fill="auto"/>
            <w:vAlign w:val="center"/>
          </w:tcPr>
          <w:p w14:paraId="05E39F13">
            <w:pPr>
              <w:shd w:val="clear"/>
              <w:spacing w:after="0"/>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发包方式</w:t>
            </w:r>
          </w:p>
        </w:tc>
      </w:tr>
      <w:tr w14:paraId="3C0CB88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543" w:type="dxa"/>
            <w:vMerge w:val="continue"/>
            <w:tcBorders>
              <w:tl2br w:val="nil"/>
              <w:tr2bl w:val="nil"/>
            </w:tcBorders>
            <w:vAlign w:val="center"/>
          </w:tcPr>
          <w:p w14:paraId="253467F9">
            <w:pPr>
              <w:shd w:val="clear"/>
              <w:spacing w:after="0"/>
              <w:jc w:val="center"/>
              <w:rPr>
                <w:rFonts w:hint="eastAsia" w:ascii="宋体" w:hAnsi="宋体" w:eastAsia="宋体" w:cs="宋体"/>
                <w:b w:val="0"/>
                <w:bCs/>
                <w:color w:val="auto"/>
                <w:szCs w:val="21"/>
                <w:highlight w:val="none"/>
              </w:rPr>
            </w:pPr>
          </w:p>
        </w:tc>
        <w:tc>
          <w:tcPr>
            <w:tcW w:w="7867" w:type="dxa"/>
            <w:gridSpan w:val="2"/>
            <w:tcBorders>
              <w:tl2br w:val="nil"/>
              <w:tr2bl w:val="nil"/>
            </w:tcBorders>
            <w:shd w:val="clear" w:color="auto" w:fill="auto"/>
            <w:vAlign w:val="center"/>
          </w:tcPr>
          <w:p w14:paraId="6EE2A68C">
            <w:pPr>
              <w:shd w:val="clear"/>
              <w:spacing w:after="0"/>
              <w:jc w:val="left"/>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rPr>
              <w:t>包A：</w:t>
            </w:r>
          </w:p>
          <w:p w14:paraId="49FD57B2">
            <w:pPr>
              <w:shd w:val="clear"/>
              <w:spacing w:after="0"/>
              <w:jc w:val="left"/>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rPr>
              <w:sym w:font="Wingdings" w:char="00A8"/>
            </w:r>
            <w:r>
              <w:rPr>
                <w:rFonts w:hint="eastAsia" w:ascii="宋体" w:hAnsi="宋体" w:eastAsia="宋体" w:cs="宋体"/>
                <w:b/>
                <w:bCs w:val="0"/>
                <w:color w:val="auto"/>
                <w:szCs w:val="21"/>
                <w:highlight w:val="none"/>
              </w:rPr>
              <w:t>固定总价包干；</w:t>
            </w:r>
          </w:p>
          <w:p w14:paraId="057F73EA">
            <w:pPr>
              <w:shd w:val="clear"/>
              <w:spacing w:after="0"/>
              <w:jc w:val="left"/>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rPr>
              <w:sym w:font="Wingdings" w:char="00FE"/>
            </w:r>
            <w:r>
              <w:rPr>
                <w:rFonts w:hint="eastAsia" w:ascii="宋体" w:hAnsi="宋体" w:eastAsia="宋体" w:cs="宋体"/>
                <w:b/>
                <w:bCs w:val="0"/>
                <w:color w:val="auto"/>
                <w:szCs w:val="21"/>
                <w:highlight w:val="none"/>
              </w:rPr>
              <w:t>固定不含税单价，暂定总价；</w:t>
            </w:r>
          </w:p>
          <w:p w14:paraId="790F89DB">
            <w:pPr>
              <w:shd w:val="clear"/>
              <w:spacing w:after="0"/>
              <w:jc w:val="left"/>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rPr>
              <w:sym w:font="Wingdings" w:char="00A8"/>
            </w:r>
            <w:r>
              <w:rPr>
                <w:rFonts w:hint="eastAsia" w:ascii="宋体" w:hAnsi="宋体" w:eastAsia="宋体" w:cs="宋体"/>
                <w:b/>
                <w:bCs w:val="0"/>
                <w:color w:val="auto"/>
                <w:szCs w:val="21"/>
                <w:highlight w:val="none"/>
              </w:rPr>
              <w:t>费率</w:t>
            </w:r>
            <w:r>
              <w:rPr>
                <w:rFonts w:hint="eastAsia" w:ascii="宋体" w:hAnsi="宋体" w:eastAsia="宋体" w:cs="宋体"/>
                <w:b/>
                <w:bCs w:val="0"/>
                <w:color w:val="auto"/>
                <w:szCs w:val="21"/>
                <w:highlight w:val="none"/>
                <w:u w:val="single"/>
              </w:rPr>
              <w:t xml:space="preserve">         </w:t>
            </w:r>
            <w:r>
              <w:rPr>
                <w:rFonts w:hint="eastAsia" w:ascii="宋体" w:hAnsi="宋体" w:eastAsia="宋体" w:cs="宋体"/>
                <w:b/>
                <w:bCs w:val="0"/>
                <w:color w:val="auto"/>
                <w:szCs w:val="21"/>
                <w:highlight w:val="none"/>
              </w:rPr>
              <w:t>；</w:t>
            </w:r>
          </w:p>
          <w:p w14:paraId="52A443C3">
            <w:pPr>
              <w:shd w:val="clear"/>
              <w:spacing w:after="0"/>
              <w:jc w:val="left"/>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rPr>
              <w:sym w:font="Wingdings" w:char="00A8"/>
            </w:r>
            <w:r>
              <w:rPr>
                <w:rFonts w:hint="eastAsia" w:ascii="宋体" w:hAnsi="宋体" w:eastAsia="宋体" w:cs="宋体"/>
                <w:b/>
                <w:bCs w:val="0"/>
                <w:color w:val="auto"/>
                <w:szCs w:val="21"/>
                <w:highlight w:val="none"/>
              </w:rPr>
              <w:t>其他</w:t>
            </w:r>
            <w:r>
              <w:rPr>
                <w:rFonts w:hint="eastAsia" w:ascii="宋体" w:hAnsi="宋体" w:eastAsia="宋体" w:cs="宋体"/>
                <w:b/>
                <w:bCs w:val="0"/>
                <w:color w:val="auto"/>
                <w:szCs w:val="21"/>
                <w:highlight w:val="none"/>
                <w:u w:val="single"/>
              </w:rPr>
              <w:t xml:space="preserve">         </w:t>
            </w:r>
            <w:r>
              <w:rPr>
                <w:rFonts w:hint="eastAsia" w:ascii="宋体" w:hAnsi="宋体" w:eastAsia="宋体" w:cs="宋体"/>
                <w:b/>
                <w:bCs w:val="0"/>
                <w:color w:val="auto"/>
                <w:szCs w:val="21"/>
                <w:highlight w:val="none"/>
              </w:rPr>
              <w:t>。</w:t>
            </w:r>
          </w:p>
        </w:tc>
      </w:tr>
      <w:tr w14:paraId="3379689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543" w:type="dxa"/>
            <w:vMerge w:val="continue"/>
            <w:tcBorders>
              <w:tl2br w:val="nil"/>
              <w:tr2bl w:val="nil"/>
            </w:tcBorders>
            <w:vAlign w:val="center"/>
          </w:tcPr>
          <w:p w14:paraId="552B3C0A">
            <w:pPr>
              <w:shd w:val="clear"/>
              <w:spacing w:after="0"/>
              <w:jc w:val="center"/>
              <w:rPr>
                <w:rFonts w:hint="eastAsia" w:ascii="宋体" w:hAnsi="宋体" w:eastAsia="宋体" w:cs="宋体"/>
                <w:b w:val="0"/>
                <w:bCs/>
                <w:color w:val="auto"/>
                <w:szCs w:val="21"/>
                <w:highlight w:val="none"/>
              </w:rPr>
            </w:pPr>
          </w:p>
        </w:tc>
        <w:tc>
          <w:tcPr>
            <w:tcW w:w="7867" w:type="dxa"/>
            <w:gridSpan w:val="2"/>
            <w:tcBorders>
              <w:tl2br w:val="nil"/>
              <w:tr2bl w:val="nil"/>
            </w:tcBorders>
            <w:shd w:val="clear" w:color="auto" w:fill="auto"/>
            <w:vAlign w:val="center"/>
          </w:tcPr>
          <w:p w14:paraId="52580982">
            <w:pPr>
              <w:shd w:val="clear"/>
              <w:spacing w:after="0"/>
              <w:jc w:val="left"/>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rPr>
              <w:t>包B：</w:t>
            </w:r>
          </w:p>
          <w:p w14:paraId="1F7557EE">
            <w:pPr>
              <w:shd w:val="clear"/>
              <w:spacing w:after="0"/>
              <w:jc w:val="left"/>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rPr>
              <w:sym w:font="Wingdings" w:char="00A8"/>
            </w:r>
            <w:r>
              <w:rPr>
                <w:rFonts w:hint="eastAsia" w:ascii="宋体" w:hAnsi="宋体" w:eastAsia="宋体" w:cs="宋体"/>
                <w:b/>
                <w:bCs w:val="0"/>
                <w:color w:val="auto"/>
                <w:szCs w:val="21"/>
                <w:highlight w:val="none"/>
              </w:rPr>
              <w:t>固定总价包干；</w:t>
            </w:r>
          </w:p>
          <w:p w14:paraId="52EAB0E3">
            <w:pPr>
              <w:shd w:val="clear"/>
              <w:spacing w:after="0"/>
              <w:jc w:val="left"/>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rPr>
              <w:sym w:font="Wingdings" w:char="00FE"/>
            </w:r>
            <w:r>
              <w:rPr>
                <w:rFonts w:hint="eastAsia" w:ascii="宋体" w:hAnsi="宋体" w:eastAsia="宋体" w:cs="宋体"/>
                <w:b/>
                <w:bCs w:val="0"/>
                <w:color w:val="auto"/>
                <w:szCs w:val="21"/>
                <w:highlight w:val="none"/>
              </w:rPr>
              <w:t>固定不含税单价，暂定总价；</w:t>
            </w:r>
          </w:p>
          <w:p w14:paraId="10DD587B">
            <w:pPr>
              <w:shd w:val="clear"/>
              <w:spacing w:after="0"/>
              <w:jc w:val="left"/>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rPr>
              <w:sym w:font="Wingdings" w:char="00A8"/>
            </w:r>
            <w:r>
              <w:rPr>
                <w:rFonts w:hint="eastAsia" w:ascii="宋体" w:hAnsi="宋体" w:eastAsia="宋体" w:cs="宋体"/>
                <w:b/>
                <w:bCs w:val="0"/>
                <w:color w:val="auto"/>
                <w:szCs w:val="21"/>
                <w:highlight w:val="none"/>
              </w:rPr>
              <w:t>费率</w:t>
            </w:r>
            <w:r>
              <w:rPr>
                <w:rFonts w:hint="eastAsia" w:ascii="宋体" w:hAnsi="宋体" w:eastAsia="宋体" w:cs="宋体"/>
                <w:b/>
                <w:bCs w:val="0"/>
                <w:color w:val="auto"/>
                <w:szCs w:val="21"/>
                <w:highlight w:val="none"/>
                <w:u w:val="single"/>
              </w:rPr>
              <w:t xml:space="preserve">         </w:t>
            </w:r>
            <w:r>
              <w:rPr>
                <w:rFonts w:hint="eastAsia" w:ascii="宋体" w:hAnsi="宋体" w:eastAsia="宋体" w:cs="宋体"/>
                <w:b/>
                <w:bCs w:val="0"/>
                <w:color w:val="auto"/>
                <w:szCs w:val="21"/>
                <w:highlight w:val="none"/>
              </w:rPr>
              <w:t>；</w:t>
            </w:r>
          </w:p>
          <w:p w14:paraId="6B00077F">
            <w:pPr>
              <w:shd w:val="clear"/>
              <w:spacing w:after="0"/>
              <w:jc w:val="left"/>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rPr>
              <w:sym w:font="Wingdings" w:char="00A8"/>
            </w:r>
            <w:r>
              <w:rPr>
                <w:rFonts w:hint="eastAsia" w:ascii="宋体" w:hAnsi="宋体" w:eastAsia="宋体" w:cs="宋体"/>
                <w:b/>
                <w:bCs w:val="0"/>
                <w:color w:val="auto"/>
                <w:szCs w:val="21"/>
                <w:highlight w:val="none"/>
              </w:rPr>
              <w:t>其他</w:t>
            </w:r>
            <w:r>
              <w:rPr>
                <w:rFonts w:hint="eastAsia" w:ascii="宋体" w:hAnsi="宋体" w:eastAsia="宋体" w:cs="宋体"/>
                <w:b/>
                <w:bCs w:val="0"/>
                <w:color w:val="auto"/>
                <w:szCs w:val="21"/>
                <w:highlight w:val="none"/>
                <w:u w:val="single"/>
              </w:rPr>
              <w:t xml:space="preserve">         </w:t>
            </w:r>
            <w:r>
              <w:rPr>
                <w:rFonts w:hint="eastAsia" w:ascii="宋体" w:hAnsi="宋体" w:eastAsia="宋体" w:cs="宋体"/>
                <w:b/>
                <w:bCs w:val="0"/>
                <w:color w:val="auto"/>
                <w:szCs w:val="21"/>
                <w:highlight w:val="none"/>
              </w:rPr>
              <w:t>。</w:t>
            </w:r>
          </w:p>
        </w:tc>
      </w:tr>
      <w:tr w14:paraId="2638F37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543" w:type="dxa"/>
            <w:vMerge w:val="restart"/>
            <w:tcBorders>
              <w:tl2br w:val="nil"/>
              <w:tr2bl w:val="nil"/>
            </w:tcBorders>
            <w:vAlign w:val="center"/>
          </w:tcPr>
          <w:p w14:paraId="6DC134C1">
            <w:pPr>
              <w:shd w:val="clear"/>
              <w:spacing w:after="0"/>
              <w:jc w:val="center"/>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3</w:t>
            </w:r>
          </w:p>
        </w:tc>
        <w:tc>
          <w:tcPr>
            <w:tcW w:w="7867" w:type="dxa"/>
            <w:gridSpan w:val="2"/>
            <w:tcBorders>
              <w:tl2br w:val="nil"/>
              <w:tr2bl w:val="nil"/>
            </w:tcBorders>
            <w:shd w:val="clear" w:color="auto" w:fill="auto"/>
            <w:vAlign w:val="center"/>
          </w:tcPr>
          <w:p w14:paraId="3AC43CBB">
            <w:pPr>
              <w:shd w:val="clear"/>
              <w:spacing w:after="0"/>
              <w:jc w:val="left"/>
              <w:rPr>
                <w:rFonts w:hint="eastAsia" w:ascii="宋体" w:hAnsi="宋体" w:eastAsia="宋体" w:cs="宋体"/>
                <w:b w:val="0"/>
                <w:bCs/>
                <w:color w:val="auto"/>
                <w:szCs w:val="21"/>
                <w:highlight w:val="none"/>
              </w:rPr>
            </w:pPr>
            <w:r>
              <w:rPr>
                <w:rFonts w:hint="eastAsia" w:ascii="宋体" w:hAnsi="宋体" w:eastAsia="宋体" w:cs="宋体"/>
                <w:b/>
                <w:bCs w:val="0"/>
                <w:color w:val="auto"/>
                <w:szCs w:val="21"/>
                <w:highlight w:val="none"/>
              </w:rPr>
              <w:t>是否接受联合体投标</w:t>
            </w:r>
          </w:p>
        </w:tc>
      </w:tr>
      <w:tr w14:paraId="77CA295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543" w:type="dxa"/>
            <w:vMerge w:val="continue"/>
            <w:tcBorders>
              <w:tl2br w:val="nil"/>
              <w:tr2bl w:val="nil"/>
            </w:tcBorders>
            <w:vAlign w:val="center"/>
          </w:tcPr>
          <w:p w14:paraId="76EE0041">
            <w:pPr>
              <w:shd w:val="clear"/>
              <w:spacing w:after="0"/>
              <w:jc w:val="center"/>
              <w:rPr>
                <w:rFonts w:hint="eastAsia" w:ascii="宋体" w:hAnsi="宋体" w:eastAsia="宋体" w:cs="宋体"/>
                <w:b w:val="0"/>
                <w:bCs/>
                <w:color w:val="auto"/>
                <w:szCs w:val="21"/>
                <w:highlight w:val="none"/>
              </w:rPr>
            </w:pPr>
          </w:p>
        </w:tc>
        <w:tc>
          <w:tcPr>
            <w:tcW w:w="7867" w:type="dxa"/>
            <w:gridSpan w:val="2"/>
            <w:tcBorders>
              <w:tl2br w:val="nil"/>
              <w:tr2bl w:val="nil"/>
            </w:tcBorders>
            <w:shd w:val="clear" w:color="auto" w:fill="auto"/>
            <w:vAlign w:val="center"/>
          </w:tcPr>
          <w:p w14:paraId="4B16E19A">
            <w:pPr>
              <w:shd w:val="clear"/>
              <w:spacing w:after="0"/>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sym w:font="Wingdings" w:char="00A8"/>
            </w:r>
            <w:r>
              <w:rPr>
                <w:rFonts w:hint="eastAsia" w:ascii="宋体" w:hAnsi="宋体" w:eastAsia="宋体" w:cs="宋体"/>
                <w:b w:val="0"/>
                <w:bCs/>
                <w:color w:val="auto"/>
                <w:szCs w:val="21"/>
                <w:highlight w:val="none"/>
              </w:rPr>
              <w:t>是，联合体投标的，应满足下列要求：</w:t>
            </w:r>
            <w:r>
              <w:rPr>
                <w:rFonts w:hint="eastAsia" w:ascii="宋体" w:hAnsi="宋体" w:eastAsia="宋体" w:cs="宋体"/>
                <w:b/>
                <w:bCs w:val="0"/>
                <w:color w:val="auto"/>
                <w:szCs w:val="21"/>
                <w:highlight w:val="none"/>
                <w:u w:val="single"/>
              </w:rPr>
              <w:t xml:space="preserve">         </w:t>
            </w:r>
            <w:r>
              <w:rPr>
                <w:rFonts w:hint="eastAsia" w:ascii="宋体" w:hAnsi="宋体" w:eastAsia="宋体" w:cs="宋体"/>
                <w:b w:val="0"/>
                <w:bCs/>
                <w:color w:val="auto"/>
                <w:szCs w:val="21"/>
                <w:highlight w:val="none"/>
              </w:rPr>
              <w:t>；</w:t>
            </w:r>
          </w:p>
          <w:p w14:paraId="4805712D">
            <w:pPr>
              <w:shd w:val="clear"/>
              <w:spacing w:after="0"/>
              <w:jc w:val="left"/>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rPr>
              <w:sym w:font="Wingdings" w:char="00FE"/>
            </w:r>
            <w:r>
              <w:rPr>
                <w:rFonts w:hint="eastAsia" w:ascii="宋体" w:hAnsi="宋体" w:eastAsia="宋体" w:cs="宋体"/>
                <w:b w:val="0"/>
                <w:bCs/>
                <w:color w:val="auto"/>
                <w:szCs w:val="21"/>
                <w:highlight w:val="none"/>
              </w:rPr>
              <w:t>否</w:t>
            </w:r>
            <w:r>
              <w:rPr>
                <w:rFonts w:hint="eastAsia" w:ascii="宋体" w:hAnsi="宋体" w:cs="宋体"/>
                <w:b w:val="0"/>
                <w:bCs/>
                <w:color w:val="auto"/>
                <w:szCs w:val="21"/>
                <w:highlight w:val="none"/>
                <w:lang w:eastAsia="zh-CN"/>
              </w:rPr>
              <w:t>。</w:t>
            </w:r>
          </w:p>
        </w:tc>
      </w:tr>
      <w:tr w14:paraId="560A476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543" w:type="dxa"/>
            <w:vMerge w:val="restart"/>
            <w:tcBorders>
              <w:tl2br w:val="nil"/>
              <w:tr2bl w:val="nil"/>
            </w:tcBorders>
            <w:vAlign w:val="center"/>
          </w:tcPr>
          <w:p w14:paraId="57EA1F53">
            <w:pPr>
              <w:shd w:val="clear"/>
              <w:spacing w:after="0"/>
              <w:jc w:val="center"/>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4</w:t>
            </w:r>
          </w:p>
        </w:tc>
        <w:tc>
          <w:tcPr>
            <w:tcW w:w="7867" w:type="dxa"/>
            <w:gridSpan w:val="2"/>
            <w:tcBorders>
              <w:tl2br w:val="nil"/>
              <w:tr2bl w:val="nil"/>
            </w:tcBorders>
            <w:shd w:val="clear" w:color="auto" w:fill="auto"/>
            <w:vAlign w:val="center"/>
          </w:tcPr>
          <w:p w14:paraId="4A6A5BCE">
            <w:pPr>
              <w:shd w:val="clear"/>
              <w:spacing w:after="0"/>
              <w:jc w:val="left"/>
              <w:rPr>
                <w:rFonts w:hint="eastAsia" w:ascii="宋体" w:hAnsi="宋体" w:eastAsia="宋体" w:cs="宋体"/>
                <w:b w:val="0"/>
                <w:bCs/>
                <w:color w:val="auto"/>
                <w:szCs w:val="21"/>
                <w:highlight w:val="none"/>
              </w:rPr>
            </w:pPr>
            <w:r>
              <w:rPr>
                <w:rFonts w:hint="eastAsia" w:ascii="宋体" w:hAnsi="宋体" w:eastAsia="宋体" w:cs="宋体"/>
                <w:b/>
                <w:bCs w:val="0"/>
                <w:color w:val="auto"/>
                <w:szCs w:val="21"/>
                <w:highlight w:val="none"/>
              </w:rPr>
              <w:t>资金来源</w:t>
            </w:r>
          </w:p>
        </w:tc>
      </w:tr>
      <w:tr w14:paraId="552419E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543" w:type="dxa"/>
            <w:vMerge w:val="continue"/>
            <w:tcBorders>
              <w:tl2br w:val="nil"/>
              <w:tr2bl w:val="nil"/>
            </w:tcBorders>
            <w:vAlign w:val="center"/>
          </w:tcPr>
          <w:p w14:paraId="2B4D2B9A">
            <w:pPr>
              <w:shd w:val="clear"/>
              <w:spacing w:after="0"/>
              <w:jc w:val="center"/>
              <w:rPr>
                <w:rFonts w:hint="eastAsia" w:ascii="宋体" w:hAnsi="宋体" w:eastAsia="宋体" w:cs="宋体"/>
                <w:b w:val="0"/>
                <w:bCs/>
                <w:color w:val="auto"/>
                <w:szCs w:val="21"/>
                <w:highlight w:val="none"/>
              </w:rPr>
            </w:pPr>
          </w:p>
        </w:tc>
        <w:tc>
          <w:tcPr>
            <w:tcW w:w="7867" w:type="dxa"/>
            <w:gridSpan w:val="2"/>
            <w:tcBorders>
              <w:tl2br w:val="nil"/>
              <w:tr2bl w:val="nil"/>
            </w:tcBorders>
            <w:shd w:val="clear" w:color="auto" w:fill="auto"/>
            <w:vAlign w:val="center"/>
          </w:tcPr>
          <w:p w14:paraId="17EA862E">
            <w:pPr>
              <w:shd w:val="clear"/>
              <w:spacing w:after="0"/>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自筹资金。</w:t>
            </w:r>
          </w:p>
        </w:tc>
      </w:tr>
      <w:tr w14:paraId="2734612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543" w:type="dxa"/>
            <w:vMerge w:val="restart"/>
            <w:tcBorders>
              <w:tl2br w:val="nil"/>
              <w:tr2bl w:val="nil"/>
            </w:tcBorders>
            <w:vAlign w:val="center"/>
          </w:tcPr>
          <w:p w14:paraId="0838D731">
            <w:pPr>
              <w:shd w:val="clear"/>
              <w:spacing w:after="0"/>
              <w:jc w:val="center"/>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5</w:t>
            </w:r>
          </w:p>
        </w:tc>
        <w:tc>
          <w:tcPr>
            <w:tcW w:w="7867" w:type="dxa"/>
            <w:gridSpan w:val="2"/>
            <w:tcBorders>
              <w:tl2br w:val="nil"/>
              <w:tr2bl w:val="nil"/>
            </w:tcBorders>
            <w:shd w:val="clear" w:color="auto" w:fill="auto"/>
            <w:vAlign w:val="center"/>
          </w:tcPr>
          <w:p w14:paraId="4198C9B6">
            <w:pPr>
              <w:shd w:val="clear"/>
              <w:spacing w:after="0"/>
              <w:jc w:val="left"/>
              <w:rPr>
                <w:rFonts w:hint="eastAsia" w:ascii="宋体" w:hAnsi="宋体" w:eastAsia="宋体" w:cs="宋体"/>
                <w:b w:val="0"/>
                <w:bCs/>
                <w:color w:val="auto"/>
                <w:szCs w:val="21"/>
                <w:highlight w:val="none"/>
              </w:rPr>
            </w:pPr>
            <w:r>
              <w:rPr>
                <w:rFonts w:hint="eastAsia" w:ascii="宋体" w:hAnsi="宋体" w:eastAsia="宋体" w:cs="宋体"/>
                <w:b/>
                <w:bCs w:val="0"/>
                <w:color w:val="auto"/>
                <w:szCs w:val="21"/>
                <w:highlight w:val="none"/>
              </w:rPr>
              <w:t>踏勘现场</w:t>
            </w:r>
          </w:p>
        </w:tc>
      </w:tr>
      <w:tr w14:paraId="5298197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543" w:type="dxa"/>
            <w:vMerge w:val="continue"/>
            <w:tcBorders>
              <w:tl2br w:val="nil"/>
              <w:tr2bl w:val="nil"/>
            </w:tcBorders>
            <w:vAlign w:val="center"/>
          </w:tcPr>
          <w:p w14:paraId="118E30AE">
            <w:pPr>
              <w:shd w:val="clear"/>
              <w:spacing w:after="0"/>
              <w:jc w:val="center"/>
              <w:rPr>
                <w:rFonts w:hint="eastAsia" w:ascii="宋体" w:hAnsi="宋体" w:eastAsia="宋体" w:cs="宋体"/>
                <w:b w:val="0"/>
                <w:bCs/>
                <w:color w:val="auto"/>
                <w:szCs w:val="21"/>
                <w:highlight w:val="none"/>
              </w:rPr>
            </w:pPr>
          </w:p>
        </w:tc>
        <w:tc>
          <w:tcPr>
            <w:tcW w:w="7867" w:type="dxa"/>
            <w:gridSpan w:val="2"/>
            <w:tcBorders>
              <w:tl2br w:val="nil"/>
              <w:tr2bl w:val="nil"/>
            </w:tcBorders>
            <w:shd w:val="clear" w:color="auto" w:fill="auto"/>
            <w:vAlign w:val="center"/>
          </w:tcPr>
          <w:p w14:paraId="40C2982C">
            <w:pPr>
              <w:shd w:val="clear"/>
              <w:spacing w:after="0"/>
              <w:jc w:val="left"/>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rPr>
              <w:sym w:font="Wingdings" w:char="00FE"/>
            </w:r>
            <w:r>
              <w:rPr>
                <w:rFonts w:hint="eastAsia" w:ascii="宋体" w:hAnsi="宋体" w:eastAsia="宋体" w:cs="宋体"/>
                <w:b w:val="0"/>
                <w:bCs/>
                <w:color w:val="auto"/>
                <w:szCs w:val="21"/>
                <w:highlight w:val="none"/>
              </w:rPr>
              <w:t xml:space="preserve">不组织 </w:t>
            </w:r>
            <w:r>
              <w:rPr>
                <w:rFonts w:hint="eastAsia" w:ascii="宋体" w:hAnsi="宋体" w:cs="宋体"/>
                <w:b w:val="0"/>
                <w:bCs/>
                <w:color w:val="auto"/>
                <w:szCs w:val="21"/>
                <w:highlight w:val="none"/>
                <w:lang w:eastAsia="zh-CN"/>
              </w:rPr>
              <w:t>；</w:t>
            </w:r>
          </w:p>
          <w:p w14:paraId="0B652280">
            <w:pPr>
              <w:shd w:val="clear"/>
              <w:spacing w:after="0"/>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sym w:font="Wingdings" w:char="00A8"/>
            </w:r>
            <w:r>
              <w:rPr>
                <w:rFonts w:hint="eastAsia" w:ascii="宋体" w:hAnsi="宋体" w:eastAsia="宋体" w:cs="宋体"/>
                <w:b w:val="0"/>
                <w:bCs/>
                <w:color w:val="auto"/>
                <w:szCs w:val="21"/>
                <w:highlight w:val="none"/>
              </w:rPr>
              <w:t>组织，踏勘现场时间、地点：</w:t>
            </w:r>
            <w:r>
              <w:rPr>
                <w:rFonts w:hint="eastAsia" w:ascii="宋体" w:hAnsi="宋体" w:eastAsia="宋体" w:cs="宋体"/>
                <w:b/>
                <w:bCs w:val="0"/>
                <w:color w:val="auto"/>
                <w:szCs w:val="21"/>
                <w:highlight w:val="none"/>
                <w:u w:val="single"/>
              </w:rPr>
              <w:t xml:space="preserve">         </w:t>
            </w:r>
            <w:r>
              <w:rPr>
                <w:rFonts w:hint="eastAsia" w:ascii="宋体" w:hAnsi="宋体" w:eastAsia="宋体" w:cs="宋体"/>
                <w:b w:val="0"/>
                <w:bCs/>
                <w:color w:val="auto"/>
                <w:szCs w:val="21"/>
                <w:highlight w:val="none"/>
              </w:rPr>
              <w:t xml:space="preserve">。 </w:t>
            </w:r>
          </w:p>
        </w:tc>
      </w:tr>
      <w:tr w14:paraId="425AB99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cantSplit/>
          <w:trHeight w:val="629" w:hRule="atLeast"/>
        </w:trPr>
        <w:tc>
          <w:tcPr>
            <w:tcW w:w="8410" w:type="dxa"/>
            <w:gridSpan w:val="3"/>
            <w:tcBorders>
              <w:tl2br w:val="nil"/>
              <w:tr2bl w:val="nil"/>
            </w:tcBorders>
            <w:shd w:val="clear" w:color="auto" w:fill="auto"/>
            <w:vAlign w:val="center"/>
          </w:tcPr>
          <w:p w14:paraId="0B3C3602">
            <w:pPr>
              <w:shd w:val="clear"/>
              <w:spacing w:after="0"/>
              <w:jc w:val="center"/>
              <w:rPr>
                <w:rFonts w:hint="eastAsia" w:ascii="宋体" w:hAnsi="宋体" w:eastAsia="宋体" w:cs="宋体"/>
                <w:b w:val="0"/>
                <w:bCs/>
                <w:color w:val="auto"/>
                <w:szCs w:val="21"/>
                <w:highlight w:val="none"/>
              </w:rPr>
            </w:pPr>
            <w:r>
              <w:rPr>
                <w:rFonts w:hint="eastAsia" w:ascii="宋体" w:hAnsi="宋体" w:eastAsia="宋体" w:cs="宋体"/>
                <w:b/>
                <w:bCs w:val="0"/>
                <w:color w:val="auto"/>
                <w:szCs w:val="21"/>
                <w:highlight w:val="none"/>
              </w:rPr>
              <w:t>二、投标文件的编制</w:t>
            </w:r>
          </w:p>
        </w:tc>
      </w:tr>
      <w:tr w14:paraId="1959063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543" w:type="dxa"/>
            <w:vMerge w:val="restart"/>
            <w:tcBorders>
              <w:tl2br w:val="nil"/>
              <w:tr2bl w:val="nil"/>
            </w:tcBorders>
            <w:vAlign w:val="center"/>
          </w:tcPr>
          <w:p w14:paraId="6DFC3915">
            <w:pPr>
              <w:shd w:val="clear"/>
              <w:spacing w:after="0"/>
              <w:jc w:val="center"/>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6</w:t>
            </w:r>
          </w:p>
        </w:tc>
        <w:tc>
          <w:tcPr>
            <w:tcW w:w="7867" w:type="dxa"/>
            <w:gridSpan w:val="2"/>
            <w:tcBorders>
              <w:tl2br w:val="nil"/>
              <w:tr2bl w:val="nil"/>
            </w:tcBorders>
            <w:shd w:val="clear" w:color="auto" w:fill="auto"/>
            <w:vAlign w:val="center"/>
          </w:tcPr>
          <w:p w14:paraId="46CD078B">
            <w:pPr>
              <w:shd w:val="clear"/>
              <w:spacing w:after="0"/>
              <w:jc w:val="left"/>
              <w:rPr>
                <w:rFonts w:hint="eastAsia" w:ascii="宋体" w:hAnsi="宋体" w:eastAsia="宋体" w:cs="宋体"/>
                <w:b w:val="0"/>
                <w:bCs/>
                <w:color w:val="auto"/>
                <w:szCs w:val="21"/>
                <w:highlight w:val="none"/>
              </w:rPr>
            </w:pPr>
            <w:r>
              <w:rPr>
                <w:rFonts w:hint="eastAsia" w:ascii="宋体" w:hAnsi="宋体" w:eastAsia="宋体" w:cs="宋体"/>
                <w:b/>
                <w:bCs w:val="0"/>
                <w:color w:val="auto"/>
                <w:szCs w:val="21"/>
                <w:highlight w:val="none"/>
              </w:rPr>
              <w:t>投标语言</w:t>
            </w:r>
          </w:p>
        </w:tc>
      </w:tr>
      <w:tr w14:paraId="2AEAF88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543" w:type="dxa"/>
            <w:vMerge w:val="continue"/>
            <w:tcBorders>
              <w:tl2br w:val="nil"/>
              <w:tr2bl w:val="nil"/>
            </w:tcBorders>
            <w:vAlign w:val="center"/>
          </w:tcPr>
          <w:p w14:paraId="2C478853">
            <w:pPr>
              <w:shd w:val="clear"/>
              <w:spacing w:after="0"/>
              <w:jc w:val="center"/>
              <w:rPr>
                <w:rFonts w:hint="eastAsia" w:ascii="宋体" w:hAnsi="宋体" w:eastAsia="宋体" w:cs="宋体"/>
                <w:b w:val="0"/>
                <w:bCs/>
                <w:color w:val="auto"/>
                <w:szCs w:val="21"/>
                <w:highlight w:val="none"/>
              </w:rPr>
            </w:pPr>
          </w:p>
        </w:tc>
        <w:tc>
          <w:tcPr>
            <w:tcW w:w="7867" w:type="dxa"/>
            <w:gridSpan w:val="2"/>
            <w:tcBorders>
              <w:tl2br w:val="nil"/>
              <w:tr2bl w:val="nil"/>
            </w:tcBorders>
            <w:shd w:val="clear" w:color="auto" w:fill="auto"/>
            <w:vAlign w:val="center"/>
          </w:tcPr>
          <w:p w14:paraId="526ED7EF">
            <w:pPr>
              <w:shd w:val="clear"/>
              <w:spacing w:after="0"/>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中文。</w:t>
            </w:r>
          </w:p>
        </w:tc>
      </w:tr>
      <w:tr w14:paraId="0A7417D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543" w:type="dxa"/>
            <w:vMerge w:val="restart"/>
            <w:tcBorders>
              <w:tl2br w:val="nil"/>
              <w:tr2bl w:val="nil"/>
            </w:tcBorders>
            <w:vAlign w:val="center"/>
          </w:tcPr>
          <w:p w14:paraId="138004A2">
            <w:pPr>
              <w:shd w:val="clear"/>
              <w:spacing w:after="0"/>
              <w:jc w:val="center"/>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7</w:t>
            </w:r>
          </w:p>
        </w:tc>
        <w:tc>
          <w:tcPr>
            <w:tcW w:w="7867" w:type="dxa"/>
            <w:gridSpan w:val="2"/>
            <w:tcBorders>
              <w:tl2br w:val="nil"/>
              <w:tr2bl w:val="nil"/>
            </w:tcBorders>
            <w:shd w:val="clear" w:color="auto" w:fill="auto"/>
            <w:vAlign w:val="center"/>
          </w:tcPr>
          <w:p w14:paraId="612C696F">
            <w:pPr>
              <w:shd w:val="clear"/>
              <w:spacing w:after="0"/>
              <w:jc w:val="left"/>
              <w:rPr>
                <w:rFonts w:hint="eastAsia" w:ascii="宋体" w:hAnsi="宋体" w:eastAsia="宋体" w:cs="宋体"/>
                <w:b w:val="0"/>
                <w:bCs/>
                <w:color w:val="auto"/>
                <w:szCs w:val="21"/>
                <w:highlight w:val="none"/>
              </w:rPr>
            </w:pPr>
            <w:r>
              <w:rPr>
                <w:rFonts w:hint="eastAsia" w:ascii="宋体" w:hAnsi="宋体" w:eastAsia="宋体" w:cs="宋体"/>
                <w:b/>
                <w:bCs w:val="0"/>
                <w:color w:val="auto"/>
                <w:szCs w:val="21"/>
                <w:highlight w:val="none"/>
              </w:rPr>
              <w:t>投标报价</w:t>
            </w:r>
          </w:p>
        </w:tc>
      </w:tr>
      <w:tr w14:paraId="55FF0C4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543" w:type="dxa"/>
            <w:vMerge w:val="continue"/>
            <w:tcBorders>
              <w:tl2br w:val="nil"/>
              <w:tr2bl w:val="nil"/>
            </w:tcBorders>
            <w:vAlign w:val="center"/>
          </w:tcPr>
          <w:p w14:paraId="7A74FA09">
            <w:pPr>
              <w:shd w:val="clear"/>
              <w:spacing w:after="0"/>
              <w:jc w:val="center"/>
              <w:rPr>
                <w:rFonts w:hint="eastAsia" w:ascii="宋体" w:hAnsi="宋体" w:eastAsia="宋体" w:cs="宋体"/>
                <w:b w:val="0"/>
                <w:bCs/>
                <w:color w:val="auto"/>
                <w:szCs w:val="21"/>
                <w:highlight w:val="none"/>
              </w:rPr>
            </w:pPr>
          </w:p>
        </w:tc>
        <w:tc>
          <w:tcPr>
            <w:tcW w:w="7867" w:type="dxa"/>
            <w:gridSpan w:val="2"/>
            <w:tcBorders>
              <w:tl2br w:val="nil"/>
              <w:tr2bl w:val="nil"/>
            </w:tcBorders>
            <w:shd w:val="clear" w:color="auto" w:fill="auto"/>
            <w:vAlign w:val="center"/>
          </w:tcPr>
          <w:p w14:paraId="6E178671">
            <w:pPr>
              <w:shd w:val="clear"/>
              <w:spacing w:after="0"/>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详见投标人须知。</w:t>
            </w:r>
          </w:p>
        </w:tc>
      </w:tr>
      <w:tr w14:paraId="4A1EFE2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0" w:hRule="atLeast"/>
        </w:trPr>
        <w:tc>
          <w:tcPr>
            <w:tcW w:w="543" w:type="dxa"/>
            <w:vMerge w:val="restart"/>
            <w:tcBorders>
              <w:tl2br w:val="nil"/>
              <w:tr2bl w:val="nil"/>
            </w:tcBorders>
            <w:vAlign w:val="center"/>
          </w:tcPr>
          <w:p w14:paraId="57833C41">
            <w:pPr>
              <w:shd w:val="clear"/>
              <w:spacing w:after="0"/>
              <w:jc w:val="center"/>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8</w:t>
            </w:r>
          </w:p>
        </w:tc>
        <w:tc>
          <w:tcPr>
            <w:tcW w:w="7867" w:type="dxa"/>
            <w:gridSpan w:val="2"/>
            <w:tcBorders>
              <w:tl2br w:val="nil"/>
              <w:tr2bl w:val="nil"/>
            </w:tcBorders>
            <w:shd w:val="clear" w:color="auto" w:fill="auto"/>
            <w:vAlign w:val="center"/>
          </w:tcPr>
          <w:p w14:paraId="40EC12AB">
            <w:pPr>
              <w:shd w:val="clear"/>
              <w:spacing w:after="0"/>
              <w:jc w:val="left"/>
              <w:rPr>
                <w:rFonts w:hint="eastAsia" w:ascii="宋体" w:hAnsi="宋体" w:eastAsia="宋体" w:cs="宋体"/>
                <w:b w:val="0"/>
                <w:bCs/>
                <w:color w:val="auto"/>
                <w:szCs w:val="21"/>
                <w:highlight w:val="none"/>
              </w:rPr>
            </w:pPr>
            <w:r>
              <w:rPr>
                <w:rFonts w:hint="eastAsia" w:ascii="宋体" w:hAnsi="宋体" w:eastAsia="宋体" w:cs="宋体"/>
                <w:b/>
                <w:bCs w:val="0"/>
                <w:color w:val="auto"/>
                <w:szCs w:val="21"/>
                <w:highlight w:val="none"/>
              </w:rPr>
              <w:t>投标保证金</w:t>
            </w:r>
          </w:p>
        </w:tc>
      </w:tr>
      <w:tr w14:paraId="5896C5B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0" w:hRule="atLeast"/>
        </w:trPr>
        <w:tc>
          <w:tcPr>
            <w:tcW w:w="543" w:type="dxa"/>
            <w:vMerge w:val="continue"/>
            <w:tcBorders>
              <w:tl2br w:val="nil"/>
              <w:tr2bl w:val="nil"/>
            </w:tcBorders>
            <w:vAlign w:val="center"/>
          </w:tcPr>
          <w:p w14:paraId="508AEA6A">
            <w:pPr>
              <w:shd w:val="clear"/>
              <w:spacing w:after="0"/>
              <w:jc w:val="center"/>
              <w:rPr>
                <w:rFonts w:hint="eastAsia" w:ascii="宋体" w:hAnsi="宋体" w:eastAsia="宋体" w:cs="宋体"/>
                <w:b w:val="0"/>
                <w:bCs/>
                <w:color w:val="auto"/>
                <w:szCs w:val="21"/>
                <w:highlight w:val="none"/>
              </w:rPr>
            </w:pPr>
          </w:p>
        </w:tc>
        <w:tc>
          <w:tcPr>
            <w:tcW w:w="7867" w:type="dxa"/>
            <w:gridSpan w:val="2"/>
            <w:tcBorders>
              <w:tl2br w:val="nil"/>
              <w:tr2bl w:val="nil"/>
            </w:tcBorders>
            <w:shd w:val="clear" w:color="auto" w:fill="auto"/>
            <w:vAlign w:val="center"/>
          </w:tcPr>
          <w:p w14:paraId="317C76B0">
            <w:pPr>
              <w:shd w:val="clear"/>
              <w:spacing w:after="0"/>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（1）包A：投标保证金金额：人民币（大写）</w:t>
            </w:r>
            <w:r>
              <w:rPr>
                <w:rFonts w:hint="eastAsia" w:ascii="宋体" w:hAnsi="宋体" w:cs="宋体"/>
                <w:b w:val="0"/>
                <w:bCs/>
                <w:color w:val="auto"/>
                <w:szCs w:val="21"/>
                <w:highlight w:val="none"/>
                <w:lang w:val="en-US" w:eastAsia="zh-CN"/>
              </w:rPr>
              <w:t>壹拾陆万元整</w:t>
            </w:r>
            <w:r>
              <w:rPr>
                <w:rFonts w:hint="eastAsia" w:ascii="宋体" w:hAnsi="宋体" w:eastAsia="宋体" w:cs="宋体"/>
                <w:b w:val="0"/>
                <w:bCs/>
                <w:color w:val="auto"/>
                <w:szCs w:val="21"/>
                <w:highlight w:val="none"/>
              </w:rPr>
              <w:t>（¥1</w:t>
            </w:r>
            <w:r>
              <w:rPr>
                <w:rFonts w:hint="eastAsia" w:ascii="宋体" w:hAnsi="宋体" w:eastAsia="宋体" w:cs="宋体"/>
                <w:b w:val="0"/>
                <w:bCs/>
                <w:color w:val="auto"/>
                <w:szCs w:val="21"/>
                <w:highlight w:val="none"/>
                <w:lang w:val="en-US" w:eastAsia="zh-CN"/>
              </w:rPr>
              <w:t>6</w:t>
            </w:r>
            <w:r>
              <w:rPr>
                <w:rFonts w:hint="eastAsia" w:ascii="宋体" w:hAnsi="宋体" w:eastAsia="宋体" w:cs="宋体"/>
                <w:b w:val="0"/>
                <w:bCs/>
                <w:color w:val="auto"/>
                <w:szCs w:val="21"/>
                <w:highlight w:val="none"/>
              </w:rPr>
              <w:t>0,000.00）。</w:t>
            </w:r>
          </w:p>
        </w:tc>
      </w:tr>
      <w:tr w14:paraId="4591598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0" w:hRule="atLeast"/>
        </w:trPr>
        <w:tc>
          <w:tcPr>
            <w:tcW w:w="543" w:type="dxa"/>
            <w:vMerge w:val="continue"/>
            <w:tcBorders>
              <w:tl2br w:val="nil"/>
              <w:tr2bl w:val="nil"/>
            </w:tcBorders>
            <w:vAlign w:val="center"/>
          </w:tcPr>
          <w:p w14:paraId="1BE4BB8E">
            <w:pPr>
              <w:shd w:val="clear"/>
              <w:spacing w:after="0"/>
              <w:jc w:val="center"/>
              <w:rPr>
                <w:rFonts w:hint="eastAsia" w:ascii="宋体" w:hAnsi="宋体" w:eastAsia="宋体" w:cs="宋体"/>
                <w:b w:val="0"/>
                <w:bCs/>
                <w:color w:val="auto"/>
                <w:szCs w:val="21"/>
                <w:highlight w:val="none"/>
              </w:rPr>
            </w:pPr>
          </w:p>
        </w:tc>
        <w:tc>
          <w:tcPr>
            <w:tcW w:w="7867" w:type="dxa"/>
            <w:gridSpan w:val="2"/>
            <w:tcBorders>
              <w:tl2br w:val="nil"/>
              <w:tr2bl w:val="nil"/>
            </w:tcBorders>
            <w:shd w:val="clear" w:color="auto" w:fill="auto"/>
            <w:vAlign w:val="center"/>
          </w:tcPr>
          <w:p w14:paraId="612C7D12">
            <w:pPr>
              <w:shd w:val="clear"/>
              <w:spacing w:after="0"/>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（2）包B：投标保证金金额：人民币（大写）</w:t>
            </w:r>
            <w:r>
              <w:rPr>
                <w:rFonts w:hint="eastAsia" w:ascii="宋体" w:hAnsi="宋体" w:cs="宋体"/>
                <w:b w:val="0"/>
                <w:bCs/>
                <w:color w:val="auto"/>
                <w:szCs w:val="21"/>
                <w:highlight w:val="none"/>
                <w:lang w:val="en-US" w:eastAsia="zh-CN"/>
              </w:rPr>
              <w:t>壹拾叁万元整</w:t>
            </w:r>
            <w:r>
              <w:rPr>
                <w:rFonts w:hint="eastAsia" w:ascii="宋体" w:hAnsi="宋体" w:eastAsia="宋体" w:cs="宋体"/>
                <w:b w:val="0"/>
                <w:bCs/>
                <w:color w:val="auto"/>
                <w:szCs w:val="21"/>
                <w:highlight w:val="none"/>
              </w:rPr>
              <w:t>（¥1</w:t>
            </w:r>
            <w:r>
              <w:rPr>
                <w:rFonts w:hint="eastAsia" w:ascii="宋体" w:hAnsi="宋体" w:eastAsia="宋体" w:cs="宋体"/>
                <w:b w:val="0"/>
                <w:bCs/>
                <w:color w:val="auto"/>
                <w:szCs w:val="21"/>
                <w:highlight w:val="none"/>
                <w:lang w:val="en-US" w:eastAsia="zh-CN"/>
              </w:rPr>
              <w:t>3</w:t>
            </w:r>
            <w:r>
              <w:rPr>
                <w:rFonts w:hint="eastAsia" w:ascii="宋体" w:hAnsi="宋体" w:eastAsia="宋体" w:cs="宋体"/>
                <w:b w:val="0"/>
                <w:bCs/>
                <w:color w:val="auto"/>
                <w:szCs w:val="21"/>
                <w:highlight w:val="none"/>
              </w:rPr>
              <w:t>0,000.00）。</w:t>
            </w:r>
          </w:p>
        </w:tc>
      </w:tr>
      <w:tr w14:paraId="036688B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273" w:hRule="atLeast"/>
        </w:trPr>
        <w:tc>
          <w:tcPr>
            <w:tcW w:w="543" w:type="dxa"/>
            <w:vMerge w:val="continue"/>
            <w:tcBorders>
              <w:tl2br w:val="nil"/>
              <w:tr2bl w:val="nil"/>
            </w:tcBorders>
            <w:vAlign w:val="center"/>
          </w:tcPr>
          <w:p w14:paraId="6B14C3C6">
            <w:pPr>
              <w:shd w:val="clear"/>
              <w:spacing w:after="0"/>
              <w:jc w:val="center"/>
              <w:rPr>
                <w:rFonts w:hint="eastAsia" w:ascii="宋体" w:hAnsi="宋体" w:eastAsia="宋体" w:cs="宋体"/>
                <w:b w:val="0"/>
                <w:bCs/>
                <w:color w:val="auto"/>
                <w:szCs w:val="21"/>
                <w:highlight w:val="none"/>
              </w:rPr>
            </w:pPr>
          </w:p>
        </w:tc>
        <w:tc>
          <w:tcPr>
            <w:tcW w:w="7867" w:type="dxa"/>
            <w:gridSpan w:val="2"/>
            <w:tcBorders>
              <w:tl2br w:val="nil"/>
              <w:tr2bl w:val="nil"/>
            </w:tcBorders>
            <w:vAlign w:val="center"/>
          </w:tcPr>
          <w:p w14:paraId="46FB59BC">
            <w:pPr>
              <w:shd w:val="clear"/>
              <w:spacing w:after="0"/>
              <w:jc w:val="left"/>
              <w:rPr>
                <w:rFonts w:hint="eastAsia" w:ascii="宋体" w:hAnsi="宋体" w:eastAsia="宋体" w:cs="宋体"/>
                <w:b w:val="0"/>
                <w:bCs/>
                <w:color w:val="auto"/>
                <w:szCs w:val="21"/>
                <w:highlight w:val="none"/>
                <w:lang w:val="zh-CN"/>
              </w:rPr>
            </w:pPr>
            <w:r>
              <w:rPr>
                <w:rFonts w:hint="eastAsia" w:ascii="宋体" w:hAnsi="宋体" w:eastAsia="宋体" w:cs="宋体"/>
                <w:b w:val="0"/>
                <w:bCs/>
                <w:color w:val="auto"/>
                <w:szCs w:val="21"/>
                <w:highlight w:val="none"/>
              </w:rPr>
              <w:t>（3）</w:t>
            </w:r>
            <w:r>
              <w:rPr>
                <w:rFonts w:hint="eastAsia" w:ascii="宋体" w:hAnsi="宋体" w:eastAsia="宋体" w:cs="宋体"/>
                <w:b w:val="0"/>
                <w:bCs/>
                <w:color w:val="auto"/>
                <w:szCs w:val="21"/>
                <w:highlight w:val="none"/>
                <w:lang w:val="zh-CN"/>
              </w:rPr>
              <w:t>投标保证金采用转</w:t>
            </w:r>
            <w:r>
              <w:rPr>
                <w:rFonts w:hint="eastAsia" w:ascii="宋体" w:hAnsi="宋体" w:eastAsia="宋体" w:cs="宋体"/>
                <w:b w:val="0"/>
                <w:bCs/>
                <w:color w:val="auto"/>
                <w:szCs w:val="21"/>
                <w:highlight w:val="none"/>
              </w:rPr>
              <w:t>账</w:t>
            </w:r>
            <w:r>
              <w:rPr>
                <w:rFonts w:hint="eastAsia" w:ascii="宋体" w:hAnsi="宋体" w:eastAsia="宋体" w:cs="宋体"/>
                <w:b w:val="0"/>
                <w:bCs/>
                <w:color w:val="auto"/>
                <w:szCs w:val="21"/>
                <w:highlight w:val="none"/>
                <w:lang w:val="zh-CN"/>
              </w:rPr>
              <w:t>、电汇方式提交，应符合以下要求：采用银行转账、电汇方式提交的，保证金汇入以下投标保证金专用账户，不接收由以投标人分支机构、私人</w:t>
            </w:r>
            <w:r>
              <w:rPr>
                <w:rFonts w:hint="eastAsia" w:ascii="宋体" w:hAnsi="宋体" w:eastAsia="宋体" w:cs="宋体"/>
                <w:b w:val="0"/>
                <w:bCs/>
                <w:color w:val="auto"/>
                <w:szCs w:val="21"/>
                <w:highlight w:val="none"/>
              </w:rPr>
              <w:t>账</w:t>
            </w:r>
            <w:r>
              <w:rPr>
                <w:rFonts w:hint="eastAsia" w:ascii="宋体" w:hAnsi="宋体" w:eastAsia="宋体" w:cs="宋体"/>
                <w:b w:val="0"/>
                <w:bCs/>
                <w:color w:val="auto"/>
                <w:szCs w:val="21"/>
                <w:highlight w:val="none"/>
                <w:lang w:val="zh-CN"/>
              </w:rPr>
              <w:t>户和其他单位转入的保证金。投标保证金必须在投标文件递交截止前到账，投标保证金未按规定时间到达指定账户或提交金额不足的，将被视为无效投标。且在备注或用途中注明本项目的项目编号。</w:t>
            </w:r>
          </w:p>
          <w:p w14:paraId="0885A202">
            <w:pPr>
              <w:shd w:val="clear"/>
              <w:spacing w:after="0"/>
              <w:jc w:val="left"/>
              <w:rPr>
                <w:rFonts w:hint="eastAsia" w:ascii="宋体" w:hAnsi="宋体" w:eastAsia="宋体" w:cs="宋体"/>
                <w:b w:val="0"/>
                <w:bCs/>
                <w:color w:val="auto"/>
                <w:szCs w:val="21"/>
                <w:highlight w:val="none"/>
                <w:lang w:val="zh-CN"/>
              </w:rPr>
            </w:pPr>
            <w:r>
              <w:rPr>
                <w:rFonts w:hint="eastAsia" w:ascii="宋体" w:hAnsi="宋体" w:eastAsia="宋体" w:cs="宋体"/>
                <w:b w:val="0"/>
                <w:bCs/>
                <w:color w:val="auto"/>
                <w:szCs w:val="21"/>
                <w:highlight w:val="none"/>
                <w:lang w:val="zh-CN"/>
              </w:rPr>
              <w:t>投标保证金专用账户如下：</w:t>
            </w:r>
          </w:p>
          <w:p w14:paraId="1438CF64">
            <w:pPr>
              <w:shd w:val="clear"/>
              <w:spacing w:after="0"/>
              <w:jc w:val="left"/>
              <w:rPr>
                <w:rFonts w:hint="eastAsia" w:ascii="宋体" w:hAnsi="宋体" w:eastAsia="宋体" w:cs="宋体"/>
                <w:b w:val="0"/>
                <w:bCs/>
                <w:color w:val="auto"/>
                <w:szCs w:val="21"/>
                <w:highlight w:val="none"/>
                <w:lang w:val="zh-CN"/>
              </w:rPr>
            </w:pPr>
            <w:r>
              <w:rPr>
                <w:rFonts w:hint="eastAsia" w:ascii="宋体" w:hAnsi="宋体" w:eastAsia="宋体" w:cs="宋体"/>
                <w:b w:val="0"/>
                <w:bCs/>
                <w:color w:val="auto"/>
                <w:szCs w:val="21"/>
                <w:highlight w:val="none"/>
              </w:rPr>
              <w:t>账</w:t>
            </w:r>
            <w:r>
              <w:rPr>
                <w:rFonts w:hint="eastAsia" w:ascii="宋体" w:hAnsi="宋体" w:eastAsia="宋体" w:cs="宋体"/>
                <w:b w:val="0"/>
                <w:bCs/>
                <w:color w:val="auto"/>
                <w:szCs w:val="21"/>
                <w:highlight w:val="none"/>
                <w:lang w:val="zh-CN"/>
              </w:rPr>
              <w:t>户名称：</w:t>
            </w:r>
            <w:r>
              <w:rPr>
                <w:rFonts w:hint="eastAsia" w:ascii="宋体" w:hAnsi="宋体" w:eastAsia="宋体" w:cs="宋体"/>
                <w:b w:val="0"/>
                <w:bCs/>
                <w:color w:val="auto"/>
                <w:szCs w:val="21"/>
                <w:highlight w:val="none"/>
              </w:rPr>
              <w:t>东莞迎宾馆酒店有限公司</w:t>
            </w:r>
            <w:r>
              <w:rPr>
                <w:rFonts w:hint="eastAsia" w:ascii="宋体" w:hAnsi="宋体" w:eastAsia="宋体" w:cs="宋体"/>
                <w:b w:val="0"/>
                <w:bCs/>
                <w:color w:val="auto"/>
                <w:szCs w:val="21"/>
                <w:highlight w:val="none"/>
                <w:lang w:val="zh-CN"/>
              </w:rPr>
              <w:t>；</w:t>
            </w:r>
          </w:p>
          <w:p w14:paraId="3A851073">
            <w:pPr>
              <w:shd w:val="clear"/>
              <w:spacing w:after="0"/>
              <w:jc w:val="left"/>
              <w:rPr>
                <w:rFonts w:hint="eastAsia" w:ascii="宋体" w:hAnsi="宋体" w:eastAsia="宋体" w:cs="宋体"/>
                <w:b w:val="0"/>
                <w:bCs/>
                <w:color w:val="auto"/>
                <w:szCs w:val="21"/>
                <w:highlight w:val="none"/>
                <w:lang w:val="zh-CN"/>
              </w:rPr>
            </w:pPr>
            <w:r>
              <w:rPr>
                <w:rFonts w:hint="eastAsia" w:ascii="宋体" w:hAnsi="宋体" w:eastAsia="宋体" w:cs="宋体"/>
                <w:b w:val="0"/>
                <w:bCs/>
                <w:color w:val="auto"/>
                <w:szCs w:val="21"/>
                <w:highlight w:val="none"/>
                <w:lang w:val="zh-CN"/>
              </w:rPr>
              <w:t>开户银行：</w:t>
            </w:r>
            <w:r>
              <w:rPr>
                <w:rFonts w:hint="eastAsia" w:ascii="宋体" w:hAnsi="宋体" w:eastAsia="宋体" w:cs="宋体"/>
                <w:b w:val="0"/>
                <w:bCs/>
                <w:color w:val="auto"/>
                <w:szCs w:val="21"/>
                <w:highlight w:val="none"/>
              </w:rPr>
              <w:t>东莞银行东莞分行营业部</w:t>
            </w:r>
            <w:r>
              <w:rPr>
                <w:rFonts w:hint="eastAsia" w:ascii="宋体" w:hAnsi="宋体" w:eastAsia="宋体" w:cs="宋体"/>
                <w:b w:val="0"/>
                <w:bCs/>
                <w:color w:val="auto"/>
                <w:szCs w:val="21"/>
                <w:highlight w:val="none"/>
                <w:lang w:val="zh-CN"/>
              </w:rPr>
              <w:t>；</w:t>
            </w:r>
          </w:p>
          <w:p w14:paraId="4C4EA52E">
            <w:pPr>
              <w:shd w:val="clear"/>
              <w:spacing w:after="0"/>
              <w:jc w:val="left"/>
              <w:rPr>
                <w:rFonts w:hint="eastAsia" w:ascii="宋体" w:hAnsi="宋体" w:eastAsia="宋体" w:cs="宋体"/>
                <w:b w:val="0"/>
                <w:bCs/>
                <w:color w:val="auto"/>
                <w:szCs w:val="21"/>
                <w:highlight w:val="none"/>
                <w:lang w:val="zh-CN"/>
              </w:rPr>
            </w:pPr>
            <w:r>
              <w:rPr>
                <w:rFonts w:hint="eastAsia" w:ascii="宋体" w:hAnsi="宋体" w:eastAsia="宋体" w:cs="宋体"/>
                <w:b w:val="0"/>
                <w:bCs/>
                <w:color w:val="auto"/>
                <w:szCs w:val="21"/>
                <w:highlight w:val="none"/>
                <w:lang w:val="zh-CN"/>
              </w:rPr>
              <w:t>银行</w:t>
            </w:r>
            <w:r>
              <w:rPr>
                <w:rFonts w:hint="eastAsia" w:ascii="宋体" w:hAnsi="宋体" w:eastAsia="宋体" w:cs="宋体"/>
                <w:b w:val="0"/>
                <w:bCs/>
                <w:color w:val="auto"/>
                <w:szCs w:val="21"/>
                <w:highlight w:val="none"/>
              </w:rPr>
              <w:t>账</w:t>
            </w:r>
            <w:r>
              <w:rPr>
                <w:rFonts w:hint="eastAsia" w:ascii="宋体" w:hAnsi="宋体" w:eastAsia="宋体" w:cs="宋体"/>
                <w:b w:val="0"/>
                <w:bCs/>
                <w:color w:val="auto"/>
                <w:szCs w:val="21"/>
                <w:highlight w:val="none"/>
                <w:lang w:val="zh-CN"/>
              </w:rPr>
              <w:t>号：</w:t>
            </w:r>
            <w:r>
              <w:rPr>
                <w:rFonts w:hint="eastAsia" w:ascii="宋体" w:hAnsi="宋体" w:eastAsia="宋体" w:cs="宋体"/>
                <w:b w:val="0"/>
                <w:bCs/>
                <w:color w:val="auto"/>
                <w:szCs w:val="21"/>
                <w:highlight w:val="none"/>
              </w:rPr>
              <w:t>540008801001488。</w:t>
            </w:r>
          </w:p>
          <w:p w14:paraId="51635C12">
            <w:pPr>
              <w:shd w:val="clear"/>
              <w:spacing w:after="0"/>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（注：各投标人在转账或电汇时须在用途栏上备注项目编号，及包号，如有字数限制项目名称可简写。）</w:t>
            </w:r>
          </w:p>
        </w:tc>
      </w:tr>
      <w:tr w14:paraId="401918A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520" w:hRule="atLeast"/>
        </w:trPr>
        <w:tc>
          <w:tcPr>
            <w:tcW w:w="543" w:type="dxa"/>
            <w:vMerge w:val="restart"/>
            <w:tcBorders>
              <w:tl2br w:val="nil"/>
              <w:tr2bl w:val="nil"/>
            </w:tcBorders>
            <w:vAlign w:val="center"/>
          </w:tcPr>
          <w:p w14:paraId="0A102F89">
            <w:pPr>
              <w:shd w:val="clear"/>
              <w:spacing w:after="0"/>
              <w:jc w:val="center"/>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9</w:t>
            </w:r>
          </w:p>
        </w:tc>
        <w:tc>
          <w:tcPr>
            <w:tcW w:w="7867" w:type="dxa"/>
            <w:gridSpan w:val="2"/>
            <w:tcBorders>
              <w:tl2br w:val="nil"/>
              <w:tr2bl w:val="nil"/>
            </w:tcBorders>
            <w:vAlign w:val="center"/>
          </w:tcPr>
          <w:p w14:paraId="0DAE213C">
            <w:pPr>
              <w:shd w:val="clear"/>
              <w:spacing w:after="0"/>
              <w:jc w:val="left"/>
              <w:rPr>
                <w:rFonts w:hint="eastAsia" w:ascii="宋体" w:hAnsi="宋体" w:eastAsia="宋体" w:cs="宋体"/>
                <w:b w:val="0"/>
                <w:bCs/>
                <w:color w:val="auto"/>
                <w:szCs w:val="21"/>
                <w:highlight w:val="none"/>
                <w:lang w:val="zh-CN"/>
              </w:rPr>
            </w:pPr>
            <w:r>
              <w:rPr>
                <w:rFonts w:hint="eastAsia" w:ascii="宋体" w:hAnsi="宋体" w:eastAsia="宋体" w:cs="宋体"/>
                <w:b/>
                <w:bCs w:val="0"/>
                <w:color w:val="auto"/>
                <w:szCs w:val="21"/>
                <w:highlight w:val="none"/>
                <w:lang w:val="zh-CN"/>
              </w:rPr>
              <w:t>投标保证金退还</w:t>
            </w:r>
          </w:p>
        </w:tc>
      </w:tr>
      <w:tr w14:paraId="52E8211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1535" w:hRule="atLeast"/>
        </w:trPr>
        <w:tc>
          <w:tcPr>
            <w:tcW w:w="543" w:type="dxa"/>
            <w:vMerge w:val="continue"/>
            <w:tcBorders>
              <w:tl2br w:val="nil"/>
              <w:tr2bl w:val="nil"/>
            </w:tcBorders>
            <w:vAlign w:val="center"/>
          </w:tcPr>
          <w:p w14:paraId="76314BF0">
            <w:pPr>
              <w:shd w:val="clear"/>
              <w:spacing w:after="0"/>
              <w:jc w:val="center"/>
              <w:rPr>
                <w:rFonts w:hint="eastAsia" w:ascii="宋体" w:hAnsi="宋体" w:eastAsia="宋体" w:cs="宋体"/>
                <w:b w:val="0"/>
                <w:bCs/>
                <w:color w:val="auto"/>
                <w:szCs w:val="21"/>
                <w:highlight w:val="none"/>
              </w:rPr>
            </w:pPr>
          </w:p>
        </w:tc>
        <w:tc>
          <w:tcPr>
            <w:tcW w:w="7867" w:type="dxa"/>
            <w:gridSpan w:val="2"/>
            <w:tcBorders>
              <w:tl2br w:val="nil"/>
              <w:tr2bl w:val="nil"/>
            </w:tcBorders>
            <w:vAlign w:val="center"/>
          </w:tcPr>
          <w:p w14:paraId="548D3007">
            <w:pPr>
              <w:shd w:val="clear"/>
              <w:spacing w:after="0"/>
              <w:jc w:val="left"/>
              <w:rPr>
                <w:rFonts w:hint="eastAsia" w:ascii="宋体" w:hAnsi="宋体" w:eastAsia="宋体" w:cs="宋体"/>
                <w:b w:val="0"/>
                <w:bCs/>
                <w:color w:val="auto"/>
                <w:szCs w:val="21"/>
                <w:highlight w:val="none"/>
                <w:lang w:val="zh-CN"/>
              </w:rPr>
            </w:pPr>
            <w:r>
              <w:rPr>
                <w:rFonts w:hint="eastAsia" w:ascii="宋体" w:hAnsi="宋体" w:eastAsia="宋体" w:cs="宋体"/>
                <w:b w:val="0"/>
                <w:bCs/>
                <w:color w:val="auto"/>
                <w:szCs w:val="21"/>
                <w:highlight w:val="none"/>
                <w:lang w:val="zh-CN"/>
              </w:rPr>
              <w:t>（</w:t>
            </w:r>
            <w:r>
              <w:rPr>
                <w:rFonts w:hint="eastAsia" w:ascii="宋体" w:hAnsi="宋体" w:eastAsia="宋体" w:cs="宋体"/>
                <w:b w:val="0"/>
                <w:bCs/>
                <w:color w:val="auto"/>
                <w:szCs w:val="21"/>
                <w:highlight w:val="none"/>
              </w:rPr>
              <w:t>1</w:t>
            </w:r>
            <w:r>
              <w:rPr>
                <w:rFonts w:hint="eastAsia" w:ascii="宋体" w:hAnsi="宋体" w:eastAsia="宋体" w:cs="宋体"/>
                <w:b w:val="0"/>
                <w:bCs/>
                <w:color w:val="auto"/>
                <w:szCs w:val="21"/>
                <w:highlight w:val="none"/>
                <w:lang w:val="zh-CN"/>
              </w:rPr>
              <w:t>）未中标的投标人的保证金应当在中标通知书发出后退还，中标</w:t>
            </w:r>
            <w:r>
              <w:rPr>
                <w:rFonts w:hint="eastAsia" w:ascii="宋体" w:hAnsi="宋体" w:eastAsia="宋体" w:cs="宋体"/>
                <w:b w:val="0"/>
                <w:bCs/>
                <w:color w:val="auto"/>
                <w:szCs w:val="21"/>
                <w:highlight w:val="none"/>
              </w:rPr>
              <w:t>的</w:t>
            </w:r>
            <w:r>
              <w:rPr>
                <w:rFonts w:hint="eastAsia" w:ascii="宋体" w:hAnsi="宋体" w:eastAsia="宋体" w:cs="宋体"/>
                <w:b w:val="0"/>
                <w:bCs/>
                <w:color w:val="auto"/>
                <w:szCs w:val="21"/>
                <w:highlight w:val="none"/>
                <w:lang w:val="zh-CN"/>
              </w:rPr>
              <w:t>投标人的保证金应当在</w:t>
            </w:r>
            <w:r>
              <w:rPr>
                <w:rFonts w:hint="eastAsia" w:ascii="宋体" w:hAnsi="宋体" w:cs="宋体"/>
                <w:b w:val="0"/>
                <w:bCs/>
                <w:color w:val="auto"/>
                <w:szCs w:val="21"/>
                <w:highlight w:val="none"/>
                <w:lang w:val="en-US" w:eastAsia="zh-CN"/>
              </w:rPr>
              <w:t>提交</w:t>
            </w:r>
            <w:r>
              <w:rPr>
                <w:rFonts w:hint="eastAsia" w:ascii="宋体" w:hAnsi="宋体" w:eastAsia="宋体" w:cs="宋体"/>
                <w:b w:val="0"/>
                <w:bCs/>
                <w:color w:val="auto"/>
                <w:szCs w:val="21"/>
                <w:highlight w:val="none"/>
              </w:rPr>
              <w:t>履约</w:t>
            </w:r>
            <w:r>
              <w:rPr>
                <w:rFonts w:hint="eastAsia" w:ascii="宋体" w:hAnsi="宋体" w:cs="宋体"/>
                <w:b w:val="0"/>
                <w:bCs/>
                <w:color w:val="auto"/>
                <w:szCs w:val="21"/>
                <w:highlight w:val="none"/>
                <w:lang w:val="en-US" w:eastAsia="zh-CN"/>
              </w:rPr>
              <w:t>担保</w:t>
            </w:r>
            <w:r>
              <w:rPr>
                <w:rFonts w:hint="eastAsia" w:ascii="宋体" w:hAnsi="宋体" w:eastAsia="宋体" w:cs="宋体"/>
                <w:b w:val="0"/>
                <w:bCs/>
                <w:color w:val="auto"/>
                <w:szCs w:val="21"/>
                <w:highlight w:val="none"/>
              </w:rPr>
              <w:t>并</w:t>
            </w:r>
            <w:r>
              <w:rPr>
                <w:rFonts w:hint="eastAsia" w:ascii="宋体" w:hAnsi="宋体" w:eastAsia="宋体" w:cs="宋体"/>
                <w:b w:val="0"/>
                <w:bCs/>
                <w:color w:val="auto"/>
                <w:szCs w:val="21"/>
                <w:highlight w:val="none"/>
                <w:lang w:val="zh-CN"/>
              </w:rPr>
              <w:t>签订采购合同后退还。</w:t>
            </w:r>
          </w:p>
          <w:p w14:paraId="7E59D649">
            <w:pPr>
              <w:shd w:val="clear"/>
              <w:spacing w:after="0"/>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lang w:val="zh-CN"/>
              </w:rPr>
              <w:t>（</w:t>
            </w:r>
            <w:r>
              <w:rPr>
                <w:rFonts w:hint="eastAsia" w:ascii="宋体" w:hAnsi="宋体" w:eastAsia="宋体" w:cs="宋体"/>
                <w:b w:val="0"/>
                <w:bCs/>
                <w:color w:val="auto"/>
                <w:szCs w:val="21"/>
                <w:highlight w:val="none"/>
              </w:rPr>
              <w:t>2</w:t>
            </w:r>
            <w:r>
              <w:rPr>
                <w:rFonts w:hint="eastAsia" w:ascii="宋体" w:hAnsi="宋体" w:eastAsia="宋体" w:cs="宋体"/>
                <w:b w:val="0"/>
                <w:bCs/>
                <w:color w:val="auto"/>
                <w:szCs w:val="21"/>
                <w:highlight w:val="none"/>
                <w:lang w:val="zh-CN"/>
              </w:rPr>
              <w:t>）为方便退还未中标的投标人的保证金，投标人应制作《投标保证金汇入情况说明》随唱标信封一并递交。</w:t>
            </w:r>
          </w:p>
        </w:tc>
      </w:tr>
      <w:tr w14:paraId="4684597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543" w:type="dxa"/>
            <w:vMerge w:val="restart"/>
            <w:tcBorders>
              <w:tl2br w:val="nil"/>
              <w:tr2bl w:val="nil"/>
            </w:tcBorders>
            <w:vAlign w:val="center"/>
          </w:tcPr>
          <w:p w14:paraId="36AD7C75">
            <w:pPr>
              <w:shd w:val="clear"/>
              <w:spacing w:after="0"/>
              <w:jc w:val="center"/>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10</w:t>
            </w:r>
          </w:p>
        </w:tc>
        <w:tc>
          <w:tcPr>
            <w:tcW w:w="7867" w:type="dxa"/>
            <w:gridSpan w:val="2"/>
            <w:tcBorders>
              <w:tl2br w:val="nil"/>
              <w:tr2bl w:val="nil"/>
            </w:tcBorders>
            <w:vAlign w:val="center"/>
          </w:tcPr>
          <w:p w14:paraId="2B8106A5">
            <w:pPr>
              <w:shd w:val="clear"/>
              <w:spacing w:after="0"/>
              <w:jc w:val="left"/>
              <w:rPr>
                <w:rFonts w:hint="eastAsia" w:ascii="宋体" w:hAnsi="宋体" w:eastAsia="宋体" w:cs="宋体"/>
                <w:b w:val="0"/>
                <w:bCs/>
                <w:color w:val="auto"/>
                <w:szCs w:val="21"/>
                <w:highlight w:val="none"/>
              </w:rPr>
            </w:pPr>
            <w:r>
              <w:rPr>
                <w:rFonts w:hint="eastAsia" w:ascii="宋体" w:hAnsi="宋体" w:eastAsia="宋体" w:cs="宋体"/>
                <w:b/>
                <w:bCs w:val="0"/>
                <w:color w:val="auto"/>
                <w:szCs w:val="21"/>
                <w:highlight w:val="none"/>
              </w:rPr>
              <w:t>投标有效期</w:t>
            </w:r>
          </w:p>
        </w:tc>
      </w:tr>
      <w:tr w14:paraId="7CD6E0A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543" w:type="dxa"/>
            <w:vMerge w:val="continue"/>
            <w:tcBorders>
              <w:tl2br w:val="nil"/>
              <w:tr2bl w:val="nil"/>
            </w:tcBorders>
            <w:vAlign w:val="center"/>
          </w:tcPr>
          <w:p w14:paraId="70BB95D7">
            <w:pPr>
              <w:shd w:val="clear"/>
              <w:spacing w:after="0"/>
              <w:jc w:val="center"/>
              <w:rPr>
                <w:rFonts w:hint="eastAsia" w:ascii="宋体" w:hAnsi="宋体" w:eastAsia="宋体" w:cs="宋体"/>
                <w:b w:val="0"/>
                <w:bCs/>
                <w:color w:val="auto"/>
                <w:szCs w:val="21"/>
                <w:highlight w:val="none"/>
              </w:rPr>
            </w:pPr>
          </w:p>
        </w:tc>
        <w:tc>
          <w:tcPr>
            <w:tcW w:w="7867" w:type="dxa"/>
            <w:gridSpan w:val="2"/>
            <w:tcBorders>
              <w:tl2br w:val="nil"/>
              <w:tr2bl w:val="nil"/>
            </w:tcBorders>
            <w:vAlign w:val="center"/>
          </w:tcPr>
          <w:p w14:paraId="7B8B1A9F">
            <w:pPr>
              <w:shd w:val="clear"/>
              <w:spacing w:after="0"/>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九十天。</w:t>
            </w:r>
          </w:p>
        </w:tc>
      </w:tr>
      <w:tr w14:paraId="599B781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94" w:hRule="atLeast"/>
        </w:trPr>
        <w:tc>
          <w:tcPr>
            <w:tcW w:w="543" w:type="dxa"/>
            <w:vMerge w:val="restart"/>
            <w:tcBorders>
              <w:tl2br w:val="nil"/>
              <w:tr2bl w:val="nil"/>
            </w:tcBorders>
            <w:vAlign w:val="center"/>
          </w:tcPr>
          <w:p w14:paraId="325FA3E5">
            <w:pPr>
              <w:shd w:val="clear"/>
              <w:spacing w:after="0"/>
              <w:jc w:val="center"/>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11</w:t>
            </w:r>
          </w:p>
        </w:tc>
        <w:tc>
          <w:tcPr>
            <w:tcW w:w="7867" w:type="dxa"/>
            <w:gridSpan w:val="2"/>
            <w:tcBorders>
              <w:tl2br w:val="nil"/>
              <w:tr2bl w:val="nil"/>
            </w:tcBorders>
            <w:vAlign w:val="center"/>
          </w:tcPr>
          <w:p w14:paraId="79AF7488">
            <w:pPr>
              <w:shd w:val="clear"/>
              <w:spacing w:after="0"/>
              <w:jc w:val="left"/>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rPr>
              <w:t>投标人应提交以下投标文件（投标文件由唱标信封、价格文件、商务文件、技术文件、电子文档五部分组成；价格文件、商务文件、技术文件分别单独装订成册，电子文档装入唱标信封一同封装；具体编制和封装要求详见第四部分投标人须知）</w:t>
            </w:r>
          </w:p>
        </w:tc>
      </w:tr>
      <w:tr w14:paraId="799DF03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94" w:hRule="atLeast"/>
        </w:trPr>
        <w:tc>
          <w:tcPr>
            <w:tcW w:w="543" w:type="dxa"/>
            <w:vMerge w:val="continue"/>
            <w:tcBorders>
              <w:tl2br w:val="nil"/>
              <w:tr2bl w:val="nil"/>
            </w:tcBorders>
            <w:vAlign w:val="center"/>
          </w:tcPr>
          <w:p w14:paraId="24A4A0A9">
            <w:pPr>
              <w:shd w:val="clear"/>
              <w:spacing w:after="0"/>
              <w:jc w:val="center"/>
              <w:rPr>
                <w:rFonts w:hint="eastAsia" w:ascii="宋体" w:hAnsi="宋体" w:eastAsia="宋体" w:cs="宋体"/>
                <w:b w:val="0"/>
                <w:bCs/>
                <w:color w:val="auto"/>
                <w:szCs w:val="21"/>
                <w:highlight w:val="none"/>
              </w:rPr>
            </w:pPr>
          </w:p>
        </w:tc>
        <w:tc>
          <w:tcPr>
            <w:tcW w:w="2598" w:type="dxa"/>
            <w:tcBorders>
              <w:tl2br w:val="nil"/>
              <w:tr2bl w:val="nil"/>
            </w:tcBorders>
            <w:vAlign w:val="center"/>
          </w:tcPr>
          <w:p w14:paraId="4B2A6B5B">
            <w:pPr>
              <w:shd w:val="clear"/>
              <w:spacing w:after="0"/>
              <w:jc w:val="center"/>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rPr>
              <w:t>投标文件类型</w:t>
            </w:r>
          </w:p>
        </w:tc>
        <w:tc>
          <w:tcPr>
            <w:tcW w:w="5269" w:type="dxa"/>
            <w:tcBorders>
              <w:tl2br w:val="nil"/>
              <w:tr2bl w:val="nil"/>
            </w:tcBorders>
            <w:vAlign w:val="center"/>
          </w:tcPr>
          <w:p w14:paraId="41814F69">
            <w:pPr>
              <w:shd w:val="clear"/>
              <w:spacing w:after="0"/>
              <w:jc w:val="center"/>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rPr>
              <w:t>份数</w:t>
            </w:r>
          </w:p>
        </w:tc>
      </w:tr>
      <w:tr w14:paraId="7BC81F5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94" w:hRule="atLeast"/>
        </w:trPr>
        <w:tc>
          <w:tcPr>
            <w:tcW w:w="543" w:type="dxa"/>
            <w:vMerge w:val="continue"/>
            <w:tcBorders>
              <w:tl2br w:val="nil"/>
              <w:tr2bl w:val="nil"/>
            </w:tcBorders>
            <w:vAlign w:val="center"/>
          </w:tcPr>
          <w:p w14:paraId="03774F8C">
            <w:pPr>
              <w:shd w:val="clear"/>
              <w:spacing w:after="0"/>
              <w:jc w:val="center"/>
              <w:rPr>
                <w:rFonts w:hint="eastAsia" w:ascii="宋体" w:hAnsi="宋体" w:eastAsia="宋体" w:cs="宋体"/>
                <w:b w:val="0"/>
                <w:bCs/>
                <w:color w:val="auto"/>
                <w:szCs w:val="21"/>
                <w:highlight w:val="none"/>
              </w:rPr>
            </w:pPr>
          </w:p>
        </w:tc>
        <w:tc>
          <w:tcPr>
            <w:tcW w:w="2598" w:type="dxa"/>
            <w:tcBorders>
              <w:tl2br w:val="nil"/>
              <w:tr2bl w:val="nil"/>
            </w:tcBorders>
            <w:vAlign w:val="center"/>
          </w:tcPr>
          <w:p w14:paraId="58491F8C">
            <w:pPr>
              <w:shd w:val="clear"/>
              <w:spacing w:after="0"/>
              <w:jc w:val="center"/>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rPr>
              <w:t>唱标信封</w:t>
            </w:r>
          </w:p>
        </w:tc>
        <w:tc>
          <w:tcPr>
            <w:tcW w:w="5269" w:type="dxa"/>
            <w:tcBorders>
              <w:tl2br w:val="nil"/>
              <w:tr2bl w:val="nil"/>
            </w:tcBorders>
            <w:vAlign w:val="center"/>
          </w:tcPr>
          <w:p w14:paraId="1B4A99A8">
            <w:pPr>
              <w:shd w:val="clear"/>
              <w:spacing w:after="0"/>
              <w:jc w:val="center"/>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rPr>
              <w:t>1</w:t>
            </w:r>
          </w:p>
        </w:tc>
      </w:tr>
      <w:tr w14:paraId="135E03D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94" w:hRule="atLeast"/>
        </w:trPr>
        <w:tc>
          <w:tcPr>
            <w:tcW w:w="543" w:type="dxa"/>
            <w:vMerge w:val="continue"/>
            <w:tcBorders>
              <w:tl2br w:val="nil"/>
              <w:tr2bl w:val="nil"/>
            </w:tcBorders>
            <w:vAlign w:val="center"/>
          </w:tcPr>
          <w:p w14:paraId="557C7196">
            <w:pPr>
              <w:shd w:val="clear"/>
              <w:spacing w:after="0"/>
              <w:jc w:val="center"/>
              <w:rPr>
                <w:rFonts w:hint="eastAsia" w:ascii="宋体" w:hAnsi="宋体" w:eastAsia="宋体" w:cs="宋体"/>
                <w:b w:val="0"/>
                <w:bCs/>
                <w:color w:val="auto"/>
                <w:szCs w:val="21"/>
                <w:highlight w:val="none"/>
              </w:rPr>
            </w:pPr>
          </w:p>
        </w:tc>
        <w:tc>
          <w:tcPr>
            <w:tcW w:w="2598" w:type="dxa"/>
            <w:tcBorders>
              <w:tl2br w:val="nil"/>
              <w:tr2bl w:val="nil"/>
            </w:tcBorders>
            <w:vAlign w:val="center"/>
          </w:tcPr>
          <w:p w14:paraId="329165D1">
            <w:pPr>
              <w:shd w:val="clear"/>
              <w:spacing w:after="0"/>
              <w:jc w:val="center"/>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rPr>
              <w:t>投标文件正本</w:t>
            </w:r>
          </w:p>
        </w:tc>
        <w:tc>
          <w:tcPr>
            <w:tcW w:w="5269" w:type="dxa"/>
            <w:tcBorders>
              <w:tl2br w:val="nil"/>
              <w:tr2bl w:val="nil"/>
            </w:tcBorders>
            <w:vAlign w:val="center"/>
          </w:tcPr>
          <w:p w14:paraId="2B6C1B46">
            <w:pPr>
              <w:shd w:val="clear"/>
              <w:spacing w:after="0"/>
              <w:jc w:val="center"/>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rPr>
              <w:t>1</w:t>
            </w:r>
          </w:p>
        </w:tc>
      </w:tr>
      <w:tr w14:paraId="2EC980F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537" w:hRule="atLeast"/>
        </w:trPr>
        <w:tc>
          <w:tcPr>
            <w:tcW w:w="543" w:type="dxa"/>
            <w:vMerge w:val="continue"/>
            <w:tcBorders>
              <w:tl2br w:val="nil"/>
              <w:tr2bl w:val="nil"/>
            </w:tcBorders>
            <w:vAlign w:val="center"/>
          </w:tcPr>
          <w:p w14:paraId="0BF25A24">
            <w:pPr>
              <w:shd w:val="clear"/>
              <w:spacing w:after="0"/>
              <w:jc w:val="center"/>
              <w:rPr>
                <w:rFonts w:hint="eastAsia" w:ascii="宋体" w:hAnsi="宋体" w:eastAsia="宋体" w:cs="宋体"/>
                <w:b w:val="0"/>
                <w:bCs/>
                <w:color w:val="auto"/>
                <w:szCs w:val="21"/>
                <w:highlight w:val="none"/>
              </w:rPr>
            </w:pPr>
          </w:p>
        </w:tc>
        <w:tc>
          <w:tcPr>
            <w:tcW w:w="2598" w:type="dxa"/>
            <w:tcBorders>
              <w:tl2br w:val="nil"/>
              <w:tr2bl w:val="nil"/>
            </w:tcBorders>
            <w:vAlign w:val="center"/>
          </w:tcPr>
          <w:p w14:paraId="7A579A48">
            <w:pPr>
              <w:shd w:val="clear"/>
              <w:spacing w:after="0"/>
              <w:jc w:val="center"/>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rPr>
              <w:t>投标文件副本</w:t>
            </w:r>
          </w:p>
        </w:tc>
        <w:tc>
          <w:tcPr>
            <w:tcW w:w="5269" w:type="dxa"/>
            <w:tcBorders>
              <w:tl2br w:val="nil"/>
              <w:tr2bl w:val="nil"/>
            </w:tcBorders>
            <w:vAlign w:val="center"/>
          </w:tcPr>
          <w:p w14:paraId="54EB8590">
            <w:pPr>
              <w:shd w:val="clear"/>
              <w:spacing w:after="0"/>
              <w:jc w:val="center"/>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rPr>
              <w:sym w:font="Wingdings" w:char="00A8"/>
            </w:r>
            <w:r>
              <w:rPr>
                <w:rFonts w:hint="eastAsia" w:ascii="宋体" w:hAnsi="宋体" w:eastAsia="宋体" w:cs="宋体"/>
                <w:b/>
                <w:bCs w:val="0"/>
                <w:color w:val="auto"/>
                <w:szCs w:val="21"/>
                <w:highlight w:val="none"/>
              </w:rPr>
              <w:t xml:space="preserve">5  </w:t>
            </w:r>
            <w:r>
              <w:rPr>
                <w:rFonts w:hint="eastAsia" w:ascii="宋体" w:hAnsi="宋体" w:eastAsia="宋体" w:cs="宋体"/>
                <w:b/>
                <w:bCs w:val="0"/>
                <w:color w:val="auto"/>
                <w:szCs w:val="21"/>
                <w:highlight w:val="none"/>
              </w:rPr>
              <w:sym w:font="Wingdings" w:char="00FE"/>
            </w:r>
            <w:r>
              <w:rPr>
                <w:rFonts w:hint="eastAsia" w:ascii="宋体" w:hAnsi="宋体" w:eastAsia="宋体" w:cs="宋体"/>
                <w:b/>
                <w:bCs w:val="0"/>
                <w:color w:val="auto"/>
                <w:szCs w:val="21"/>
                <w:highlight w:val="none"/>
              </w:rPr>
              <w:t>7</w:t>
            </w:r>
          </w:p>
        </w:tc>
      </w:tr>
      <w:tr w14:paraId="3F956DF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94" w:hRule="atLeast"/>
        </w:trPr>
        <w:tc>
          <w:tcPr>
            <w:tcW w:w="543" w:type="dxa"/>
            <w:vMerge w:val="continue"/>
            <w:tcBorders>
              <w:tl2br w:val="nil"/>
              <w:tr2bl w:val="nil"/>
            </w:tcBorders>
            <w:vAlign w:val="center"/>
          </w:tcPr>
          <w:p w14:paraId="2B4E1616">
            <w:pPr>
              <w:shd w:val="clear"/>
              <w:spacing w:after="0"/>
              <w:jc w:val="center"/>
              <w:rPr>
                <w:rFonts w:hint="eastAsia" w:ascii="宋体" w:hAnsi="宋体" w:eastAsia="宋体" w:cs="宋体"/>
                <w:b w:val="0"/>
                <w:bCs/>
                <w:color w:val="auto"/>
                <w:szCs w:val="21"/>
                <w:highlight w:val="none"/>
              </w:rPr>
            </w:pPr>
          </w:p>
        </w:tc>
        <w:tc>
          <w:tcPr>
            <w:tcW w:w="2598" w:type="dxa"/>
            <w:vMerge w:val="restart"/>
            <w:tcBorders>
              <w:tl2br w:val="nil"/>
              <w:tr2bl w:val="nil"/>
            </w:tcBorders>
            <w:vAlign w:val="center"/>
          </w:tcPr>
          <w:p w14:paraId="5D59E803">
            <w:pPr>
              <w:shd w:val="clear"/>
              <w:spacing w:after="0"/>
              <w:jc w:val="center"/>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rPr>
              <w:t>电子文档</w:t>
            </w:r>
          </w:p>
        </w:tc>
        <w:tc>
          <w:tcPr>
            <w:tcW w:w="5269" w:type="dxa"/>
            <w:tcBorders>
              <w:tl2br w:val="nil"/>
              <w:tr2bl w:val="nil"/>
            </w:tcBorders>
            <w:vAlign w:val="center"/>
          </w:tcPr>
          <w:p w14:paraId="4A461210">
            <w:pPr>
              <w:shd w:val="clear"/>
              <w:spacing w:after="0"/>
              <w:jc w:val="center"/>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rPr>
              <w:t>1</w:t>
            </w:r>
          </w:p>
        </w:tc>
      </w:tr>
      <w:tr w14:paraId="1440DBD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94" w:hRule="atLeast"/>
        </w:trPr>
        <w:tc>
          <w:tcPr>
            <w:tcW w:w="543" w:type="dxa"/>
            <w:vMerge w:val="continue"/>
            <w:tcBorders>
              <w:tl2br w:val="nil"/>
              <w:tr2bl w:val="nil"/>
            </w:tcBorders>
            <w:vAlign w:val="center"/>
          </w:tcPr>
          <w:p w14:paraId="4068CD43">
            <w:pPr>
              <w:shd w:val="clear"/>
              <w:spacing w:after="0"/>
              <w:jc w:val="center"/>
              <w:rPr>
                <w:rFonts w:hint="eastAsia" w:ascii="宋体" w:hAnsi="宋体" w:eastAsia="宋体" w:cs="宋体"/>
                <w:b w:val="0"/>
                <w:bCs/>
                <w:color w:val="auto"/>
                <w:szCs w:val="21"/>
                <w:highlight w:val="none"/>
              </w:rPr>
            </w:pPr>
          </w:p>
        </w:tc>
        <w:tc>
          <w:tcPr>
            <w:tcW w:w="2598" w:type="dxa"/>
            <w:vMerge w:val="continue"/>
            <w:tcBorders>
              <w:tl2br w:val="nil"/>
              <w:tr2bl w:val="nil"/>
            </w:tcBorders>
            <w:vAlign w:val="center"/>
          </w:tcPr>
          <w:p w14:paraId="6E74B342">
            <w:pPr>
              <w:shd w:val="clear"/>
              <w:spacing w:after="0"/>
              <w:jc w:val="center"/>
              <w:rPr>
                <w:rFonts w:hint="eastAsia" w:ascii="宋体" w:hAnsi="宋体" w:eastAsia="宋体" w:cs="宋体"/>
                <w:b/>
                <w:bCs w:val="0"/>
                <w:color w:val="auto"/>
                <w:szCs w:val="21"/>
                <w:highlight w:val="none"/>
              </w:rPr>
            </w:pPr>
          </w:p>
        </w:tc>
        <w:tc>
          <w:tcPr>
            <w:tcW w:w="5269" w:type="dxa"/>
            <w:tcBorders>
              <w:tl2br w:val="nil"/>
              <w:tr2bl w:val="nil"/>
            </w:tcBorders>
            <w:vAlign w:val="center"/>
          </w:tcPr>
          <w:p w14:paraId="06864C86">
            <w:pPr>
              <w:shd w:val="clear"/>
              <w:spacing w:after="0"/>
              <w:jc w:val="center"/>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rPr>
              <w:t>U盘，须含盖章版PDF投标文件和WORD版投标文件各一版，文字采用WORD文档，计算表格采用 EXCEL文档。</w:t>
            </w:r>
          </w:p>
        </w:tc>
      </w:tr>
      <w:tr w14:paraId="3868550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857" w:hRule="atLeast"/>
        </w:trPr>
        <w:tc>
          <w:tcPr>
            <w:tcW w:w="8410" w:type="dxa"/>
            <w:gridSpan w:val="3"/>
            <w:tcBorders>
              <w:tl2br w:val="nil"/>
              <w:tr2bl w:val="nil"/>
            </w:tcBorders>
            <w:vAlign w:val="center"/>
          </w:tcPr>
          <w:p w14:paraId="1B4A1343">
            <w:pPr>
              <w:shd w:val="clear"/>
              <w:spacing w:after="0"/>
              <w:jc w:val="center"/>
              <w:rPr>
                <w:rFonts w:hint="eastAsia" w:ascii="宋体" w:hAnsi="宋体" w:eastAsia="宋体" w:cs="宋体"/>
                <w:b w:val="0"/>
                <w:bCs/>
                <w:color w:val="auto"/>
                <w:szCs w:val="21"/>
                <w:highlight w:val="none"/>
              </w:rPr>
            </w:pPr>
            <w:r>
              <w:rPr>
                <w:rFonts w:hint="eastAsia" w:ascii="宋体" w:hAnsi="宋体" w:eastAsia="宋体" w:cs="宋体"/>
                <w:b/>
                <w:bCs w:val="0"/>
                <w:color w:val="auto"/>
                <w:szCs w:val="21"/>
                <w:highlight w:val="none"/>
              </w:rPr>
              <w:t>三、开标与评标</w:t>
            </w:r>
          </w:p>
        </w:tc>
      </w:tr>
      <w:tr w14:paraId="5B964A2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543" w:type="dxa"/>
            <w:vMerge w:val="restart"/>
            <w:tcBorders>
              <w:tl2br w:val="nil"/>
              <w:tr2bl w:val="nil"/>
            </w:tcBorders>
            <w:vAlign w:val="center"/>
          </w:tcPr>
          <w:p w14:paraId="320A6EB6">
            <w:pPr>
              <w:shd w:val="clear"/>
              <w:spacing w:after="0"/>
              <w:jc w:val="center"/>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12</w:t>
            </w:r>
          </w:p>
        </w:tc>
        <w:tc>
          <w:tcPr>
            <w:tcW w:w="7867" w:type="dxa"/>
            <w:gridSpan w:val="2"/>
            <w:tcBorders>
              <w:tl2br w:val="nil"/>
              <w:tr2bl w:val="nil"/>
            </w:tcBorders>
            <w:vAlign w:val="center"/>
          </w:tcPr>
          <w:p w14:paraId="06ABC621">
            <w:pPr>
              <w:shd w:val="clear"/>
              <w:spacing w:after="0"/>
              <w:jc w:val="left"/>
              <w:rPr>
                <w:rFonts w:hint="eastAsia" w:ascii="宋体" w:hAnsi="宋体" w:eastAsia="宋体" w:cs="宋体"/>
                <w:b w:val="0"/>
                <w:bCs/>
                <w:color w:val="auto"/>
                <w:szCs w:val="21"/>
                <w:highlight w:val="none"/>
              </w:rPr>
            </w:pPr>
            <w:r>
              <w:rPr>
                <w:rFonts w:hint="eastAsia" w:ascii="宋体" w:hAnsi="宋体" w:eastAsia="宋体" w:cs="宋体"/>
                <w:b/>
                <w:bCs w:val="0"/>
                <w:color w:val="auto"/>
                <w:szCs w:val="21"/>
                <w:highlight w:val="none"/>
              </w:rPr>
              <w:t>本项目评标方法</w:t>
            </w:r>
          </w:p>
        </w:tc>
      </w:tr>
      <w:tr w14:paraId="18CCC6B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543" w:type="dxa"/>
            <w:vMerge w:val="continue"/>
            <w:tcBorders>
              <w:tl2br w:val="nil"/>
              <w:tr2bl w:val="nil"/>
            </w:tcBorders>
            <w:vAlign w:val="center"/>
          </w:tcPr>
          <w:p w14:paraId="2621D364">
            <w:pPr>
              <w:shd w:val="clear"/>
              <w:spacing w:after="0"/>
              <w:jc w:val="center"/>
              <w:rPr>
                <w:rFonts w:hint="eastAsia" w:ascii="宋体" w:hAnsi="宋体" w:eastAsia="宋体" w:cs="宋体"/>
                <w:b w:val="0"/>
                <w:bCs/>
                <w:color w:val="auto"/>
                <w:szCs w:val="21"/>
                <w:highlight w:val="none"/>
              </w:rPr>
            </w:pPr>
          </w:p>
        </w:tc>
        <w:tc>
          <w:tcPr>
            <w:tcW w:w="7867" w:type="dxa"/>
            <w:gridSpan w:val="2"/>
            <w:tcBorders>
              <w:tl2br w:val="nil"/>
              <w:tr2bl w:val="nil"/>
            </w:tcBorders>
            <w:vAlign w:val="center"/>
          </w:tcPr>
          <w:p w14:paraId="26AE4179">
            <w:pPr>
              <w:shd w:val="clear"/>
              <w:spacing w:after="0"/>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综合评分法。</w:t>
            </w:r>
          </w:p>
        </w:tc>
      </w:tr>
      <w:tr w14:paraId="7156FE8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543" w:type="dxa"/>
            <w:vMerge w:val="restart"/>
            <w:tcBorders>
              <w:tl2br w:val="nil"/>
              <w:tr2bl w:val="nil"/>
            </w:tcBorders>
            <w:vAlign w:val="center"/>
          </w:tcPr>
          <w:p w14:paraId="4B4B9D02">
            <w:pPr>
              <w:shd w:val="clear"/>
              <w:spacing w:after="0"/>
              <w:jc w:val="center"/>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13</w:t>
            </w:r>
          </w:p>
        </w:tc>
        <w:tc>
          <w:tcPr>
            <w:tcW w:w="7867" w:type="dxa"/>
            <w:gridSpan w:val="2"/>
            <w:tcBorders>
              <w:tl2br w:val="nil"/>
              <w:tr2bl w:val="nil"/>
            </w:tcBorders>
            <w:vAlign w:val="center"/>
          </w:tcPr>
          <w:p w14:paraId="301640D3">
            <w:pPr>
              <w:shd w:val="clear"/>
              <w:spacing w:after="0"/>
              <w:jc w:val="left"/>
              <w:rPr>
                <w:rFonts w:hint="eastAsia" w:ascii="宋体" w:hAnsi="宋体" w:eastAsia="宋体" w:cs="宋体"/>
                <w:b w:val="0"/>
                <w:bCs/>
                <w:color w:val="auto"/>
                <w:szCs w:val="21"/>
                <w:highlight w:val="none"/>
              </w:rPr>
            </w:pPr>
            <w:r>
              <w:rPr>
                <w:rFonts w:hint="eastAsia" w:ascii="宋体" w:hAnsi="宋体" w:eastAsia="宋体" w:cs="宋体"/>
                <w:b/>
                <w:bCs w:val="0"/>
                <w:color w:val="auto"/>
                <w:szCs w:val="21"/>
                <w:highlight w:val="none"/>
              </w:rPr>
              <w:t>综合评分法评分因素和权重分值</w:t>
            </w:r>
          </w:p>
        </w:tc>
      </w:tr>
      <w:tr w14:paraId="6F48B71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543" w:type="dxa"/>
            <w:vMerge w:val="continue"/>
            <w:tcBorders>
              <w:tl2br w:val="nil"/>
              <w:tr2bl w:val="nil"/>
            </w:tcBorders>
            <w:vAlign w:val="center"/>
          </w:tcPr>
          <w:p w14:paraId="7F91A329">
            <w:pPr>
              <w:shd w:val="clear"/>
              <w:spacing w:after="0"/>
              <w:jc w:val="center"/>
              <w:rPr>
                <w:rFonts w:hint="eastAsia" w:ascii="宋体" w:hAnsi="宋体" w:eastAsia="宋体" w:cs="宋体"/>
                <w:b w:val="0"/>
                <w:bCs/>
                <w:color w:val="auto"/>
                <w:szCs w:val="21"/>
                <w:highlight w:val="none"/>
              </w:rPr>
            </w:pPr>
          </w:p>
        </w:tc>
        <w:tc>
          <w:tcPr>
            <w:tcW w:w="7867" w:type="dxa"/>
            <w:gridSpan w:val="2"/>
            <w:tcBorders>
              <w:tl2br w:val="nil"/>
              <w:tr2bl w:val="nil"/>
            </w:tcBorders>
            <w:vAlign w:val="center"/>
          </w:tcPr>
          <w:p w14:paraId="091167C3">
            <w:pPr>
              <w:shd w:val="clear"/>
              <w:spacing w:after="0"/>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见附表二。</w:t>
            </w:r>
          </w:p>
        </w:tc>
      </w:tr>
      <w:tr w14:paraId="57E9535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543" w:type="dxa"/>
            <w:vMerge w:val="restart"/>
            <w:tcBorders>
              <w:tl2br w:val="nil"/>
              <w:tr2bl w:val="nil"/>
            </w:tcBorders>
            <w:vAlign w:val="center"/>
          </w:tcPr>
          <w:p w14:paraId="30629945">
            <w:pPr>
              <w:shd w:val="clear"/>
              <w:spacing w:after="0"/>
              <w:jc w:val="center"/>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14</w:t>
            </w:r>
          </w:p>
        </w:tc>
        <w:tc>
          <w:tcPr>
            <w:tcW w:w="7867" w:type="dxa"/>
            <w:gridSpan w:val="2"/>
            <w:tcBorders>
              <w:tl2br w:val="nil"/>
              <w:tr2bl w:val="nil"/>
            </w:tcBorders>
            <w:vAlign w:val="center"/>
          </w:tcPr>
          <w:p w14:paraId="592EF15C">
            <w:pPr>
              <w:shd w:val="clear"/>
              <w:spacing w:after="0"/>
              <w:jc w:val="left"/>
              <w:rPr>
                <w:rFonts w:hint="eastAsia" w:ascii="宋体" w:hAnsi="宋体" w:eastAsia="宋体" w:cs="宋体"/>
                <w:b w:val="0"/>
                <w:bCs/>
                <w:color w:val="auto"/>
                <w:szCs w:val="21"/>
                <w:highlight w:val="none"/>
              </w:rPr>
            </w:pPr>
            <w:r>
              <w:rPr>
                <w:rFonts w:hint="eastAsia" w:ascii="宋体" w:hAnsi="宋体" w:eastAsia="宋体" w:cs="宋体"/>
                <w:b/>
                <w:bCs w:val="0"/>
                <w:color w:val="auto"/>
                <w:szCs w:val="21"/>
                <w:highlight w:val="none"/>
              </w:rPr>
              <w:t>评标委员会</w:t>
            </w:r>
          </w:p>
        </w:tc>
      </w:tr>
      <w:tr w14:paraId="0F92470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543" w:type="dxa"/>
            <w:vMerge w:val="continue"/>
            <w:tcBorders>
              <w:tl2br w:val="nil"/>
              <w:tr2bl w:val="nil"/>
            </w:tcBorders>
            <w:vAlign w:val="center"/>
          </w:tcPr>
          <w:p w14:paraId="4EACE42A">
            <w:pPr>
              <w:shd w:val="clear"/>
              <w:spacing w:after="0"/>
              <w:jc w:val="center"/>
              <w:rPr>
                <w:rFonts w:hint="eastAsia" w:ascii="宋体" w:hAnsi="宋体" w:eastAsia="宋体" w:cs="宋体"/>
                <w:b w:val="0"/>
                <w:bCs/>
                <w:color w:val="auto"/>
                <w:szCs w:val="21"/>
                <w:highlight w:val="none"/>
              </w:rPr>
            </w:pPr>
          </w:p>
        </w:tc>
        <w:tc>
          <w:tcPr>
            <w:tcW w:w="7867" w:type="dxa"/>
            <w:gridSpan w:val="2"/>
            <w:tcBorders>
              <w:tl2br w:val="nil"/>
              <w:tr2bl w:val="nil"/>
            </w:tcBorders>
            <w:vAlign w:val="center"/>
          </w:tcPr>
          <w:p w14:paraId="72D210CB">
            <w:pPr>
              <w:shd w:val="clear"/>
              <w:spacing w:after="0"/>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评标委员会成员共七人：</w:t>
            </w:r>
            <w:r>
              <w:rPr>
                <w:rFonts w:hint="eastAsia" w:ascii="宋体" w:hAnsi="宋体" w:eastAsia="宋体" w:cs="宋体"/>
                <w:b w:val="0"/>
                <w:bCs/>
                <w:color w:val="auto"/>
                <w:szCs w:val="21"/>
                <w:highlight w:val="none"/>
                <w:lang w:val="zh-CN"/>
              </w:rPr>
              <w:t>评标委员会由采购人</w:t>
            </w:r>
            <w:r>
              <w:rPr>
                <w:rFonts w:hint="eastAsia" w:ascii="宋体" w:hAnsi="宋体" w:eastAsia="宋体" w:cs="宋体"/>
                <w:b w:val="0"/>
                <w:bCs/>
                <w:color w:val="auto"/>
                <w:szCs w:val="21"/>
                <w:highlight w:val="none"/>
              </w:rPr>
              <w:t>的</w:t>
            </w:r>
            <w:r>
              <w:rPr>
                <w:rFonts w:hint="eastAsia" w:ascii="宋体" w:hAnsi="宋体" w:eastAsia="宋体" w:cs="宋体"/>
                <w:b w:val="0"/>
                <w:bCs/>
                <w:color w:val="auto"/>
                <w:szCs w:val="21"/>
                <w:highlight w:val="none"/>
                <w:lang w:val="zh-CN"/>
              </w:rPr>
              <w:t>代表和</w:t>
            </w:r>
            <w:r>
              <w:rPr>
                <w:rFonts w:hint="eastAsia" w:ascii="宋体" w:hAnsi="宋体" w:eastAsia="宋体" w:cs="宋体"/>
                <w:b w:val="0"/>
                <w:bCs/>
                <w:color w:val="auto"/>
                <w:szCs w:val="21"/>
                <w:highlight w:val="none"/>
              </w:rPr>
              <w:t>有关方面的</w:t>
            </w:r>
            <w:r>
              <w:rPr>
                <w:rFonts w:hint="eastAsia" w:ascii="宋体" w:hAnsi="宋体" w:eastAsia="宋体" w:cs="宋体"/>
                <w:b w:val="0"/>
                <w:bCs/>
                <w:color w:val="auto"/>
                <w:szCs w:val="21"/>
                <w:highlight w:val="none"/>
                <w:lang w:val="zh-CN"/>
              </w:rPr>
              <w:t>专家组成，</w:t>
            </w:r>
            <w:r>
              <w:rPr>
                <w:rFonts w:hint="eastAsia" w:ascii="宋体" w:hAnsi="宋体" w:eastAsia="宋体" w:cs="宋体"/>
                <w:b w:val="0"/>
                <w:bCs/>
                <w:color w:val="auto"/>
                <w:szCs w:val="21"/>
                <w:highlight w:val="none"/>
              </w:rPr>
              <w:t>成员人数为七人或七人以上单数</w:t>
            </w:r>
            <w:r>
              <w:rPr>
                <w:rFonts w:hint="eastAsia" w:ascii="宋体" w:hAnsi="宋体" w:eastAsia="宋体" w:cs="宋体"/>
                <w:b w:val="0"/>
                <w:bCs/>
                <w:color w:val="auto"/>
                <w:szCs w:val="21"/>
                <w:highlight w:val="none"/>
                <w:lang w:val="zh-CN"/>
              </w:rPr>
              <w:t>，其中专家不得少于成员总数的三分之二。</w:t>
            </w:r>
          </w:p>
        </w:tc>
      </w:tr>
      <w:tr w14:paraId="14FD87D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543" w:type="dxa"/>
            <w:vMerge w:val="restart"/>
            <w:tcBorders>
              <w:tl2br w:val="nil"/>
              <w:tr2bl w:val="nil"/>
            </w:tcBorders>
            <w:vAlign w:val="center"/>
          </w:tcPr>
          <w:p w14:paraId="4F486852">
            <w:pPr>
              <w:shd w:val="clear"/>
              <w:spacing w:after="0"/>
              <w:jc w:val="center"/>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15</w:t>
            </w:r>
          </w:p>
        </w:tc>
        <w:tc>
          <w:tcPr>
            <w:tcW w:w="7867" w:type="dxa"/>
            <w:gridSpan w:val="2"/>
            <w:tcBorders>
              <w:tl2br w:val="nil"/>
              <w:tr2bl w:val="nil"/>
            </w:tcBorders>
            <w:vAlign w:val="center"/>
          </w:tcPr>
          <w:p w14:paraId="23C7DAD6">
            <w:pPr>
              <w:shd w:val="clear"/>
              <w:spacing w:after="0"/>
              <w:jc w:val="left"/>
              <w:rPr>
                <w:rFonts w:hint="eastAsia" w:ascii="宋体" w:hAnsi="宋体" w:eastAsia="宋体" w:cs="宋体"/>
                <w:b w:val="0"/>
                <w:bCs/>
                <w:color w:val="auto"/>
                <w:szCs w:val="21"/>
                <w:highlight w:val="none"/>
              </w:rPr>
            </w:pPr>
            <w:r>
              <w:rPr>
                <w:rFonts w:hint="eastAsia" w:ascii="宋体" w:hAnsi="宋体" w:eastAsia="宋体" w:cs="宋体"/>
                <w:b/>
                <w:bCs w:val="0"/>
                <w:color w:val="auto"/>
                <w:szCs w:val="21"/>
                <w:highlight w:val="none"/>
              </w:rPr>
              <w:t>兼投兼中规则</w:t>
            </w:r>
          </w:p>
        </w:tc>
      </w:tr>
      <w:tr w14:paraId="14A37FD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543" w:type="dxa"/>
            <w:vMerge w:val="continue"/>
            <w:tcBorders>
              <w:tl2br w:val="nil"/>
              <w:tr2bl w:val="nil"/>
            </w:tcBorders>
            <w:vAlign w:val="center"/>
          </w:tcPr>
          <w:p w14:paraId="27ED9C9B">
            <w:pPr>
              <w:shd w:val="clear"/>
              <w:spacing w:after="0"/>
              <w:jc w:val="center"/>
              <w:rPr>
                <w:rFonts w:hint="eastAsia" w:ascii="宋体" w:hAnsi="宋体" w:eastAsia="宋体" w:cs="宋体"/>
                <w:b w:val="0"/>
                <w:bCs/>
                <w:color w:val="auto"/>
                <w:szCs w:val="21"/>
                <w:highlight w:val="none"/>
              </w:rPr>
            </w:pPr>
          </w:p>
        </w:tc>
        <w:tc>
          <w:tcPr>
            <w:tcW w:w="7867" w:type="dxa"/>
            <w:gridSpan w:val="2"/>
            <w:tcBorders>
              <w:tl2br w:val="nil"/>
              <w:tr2bl w:val="nil"/>
            </w:tcBorders>
            <w:vAlign w:val="center"/>
          </w:tcPr>
          <w:p w14:paraId="1AB46915">
            <w:pPr>
              <w:shd w:val="clear"/>
              <w:spacing w:after="0"/>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本项目兼投不兼中。每个投标人最多只能被确定为1个子包的第一中标候选人。本项目按子包的顺序进行评审，依次按照评标总得分由高到低的顺序，每包组推荐三名中标候选人。已获得子包A第一中标候选人资格的，将不具有子包B的候选人推荐资格；子包B从具有中标候选人资格的投标人中，排名最高的投标供应商为第一中标候选人，排名次高的投标供应商为第二中标候选人，以此类推。</w:t>
            </w:r>
          </w:p>
        </w:tc>
      </w:tr>
      <w:tr w14:paraId="74C01A1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cantSplit/>
          <w:trHeight w:val="748" w:hRule="atLeast"/>
        </w:trPr>
        <w:tc>
          <w:tcPr>
            <w:tcW w:w="8410" w:type="dxa"/>
            <w:gridSpan w:val="3"/>
            <w:tcBorders>
              <w:tl2br w:val="nil"/>
              <w:tr2bl w:val="nil"/>
            </w:tcBorders>
            <w:vAlign w:val="center"/>
          </w:tcPr>
          <w:p w14:paraId="2016A3AD">
            <w:pPr>
              <w:shd w:val="clear"/>
              <w:spacing w:after="0"/>
              <w:jc w:val="center"/>
              <w:rPr>
                <w:rFonts w:hint="eastAsia" w:ascii="宋体" w:hAnsi="宋体" w:eastAsia="宋体" w:cs="宋体"/>
                <w:b w:val="0"/>
                <w:bCs/>
                <w:color w:val="auto"/>
                <w:szCs w:val="21"/>
                <w:highlight w:val="none"/>
              </w:rPr>
            </w:pPr>
            <w:r>
              <w:rPr>
                <w:rFonts w:hint="eastAsia" w:ascii="宋体" w:hAnsi="宋体" w:eastAsia="宋体" w:cs="宋体"/>
                <w:b/>
                <w:bCs w:val="0"/>
                <w:color w:val="auto"/>
                <w:szCs w:val="21"/>
                <w:highlight w:val="none"/>
              </w:rPr>
              <w:t>四、授予合同</w:t>
            </w:r>
          </w:p>
        </w:tc>
      </w:tr>
      <w:tr w14:paraId="485F09B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539" w:hRule="atLeast"/>
        </w:trPr>
        <w:tc>
          <w:tcPr>
            <w:tcW w:w="543" w:type="dxa"/>
            <w:vMerge w:val="restart"/>
            <w:tcBorders>
              <w:tl2br w:val="nil"/>
              <w:tr2bl w:val="nil"/>
            </w:tcBorders>
            <w:vAlign w:val="center"/>
          </w:tcPr>
          <w:p w14:paraId="169829C6">
            <w:pPr>
              <w:shd w:val="clear"/>
              <w:spacing w:after="0"/>
              <w:jc w:val="center"/>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16</w:t>
            </w:r>
          </w:p>
        </w:tc>
        <w:tc>
          <w:tcPr>
            <w:tcW w:w="7867" w:type="dxa"/>
            <w:gridSpan w:val="2"/>
            <w:tcBorders>
              <w:tl2br w:val="nil"/>
              <w:tr2bl w:val="nil"/>
            </w:tcBorders>
            <w:vAlign w:val="center"/>
          </w:tcPr>
          <w:p w14:paraId="5531EC6B">
            <w:pPr>
              <w:shd w:val="clear"/>
              <w:spacing w:after="0"/>
              <w:jc w:val="left"/>
              <w:rPr>
                <w:rFonts w:hint="eastAsia" w:ascii="宋体" w:hAnsi="宋体" w:eastAsia="宋体" w:cs="宋体"/>
                <w:b w:val="0"/>
                <w:bCs/>
                <w:color w:val="auto"/>
                <w:szCs w:val="21"/>
                <w:highlight w:val="none"/>
              </w:rPr>
            </w:pPr>
            <w:r>
              <w:rPr>
                <w:rFonts w:hint="eastAsia" w:ascii="宋体" w:hAnsi="宋体" w:eastAsia="宋体" w:cs="宋体"/>
                <w:b/>
                <w:bCs w:val="0"/>
                <w:color w:val="auto"/>
                <w:szCs w:val="21"/>
                <w:highlight w:val="none"/>
              </w:rPr>
              <w:t>履约担保</w:t>
            </w:r>
          </w:p>
        </w:tc>
      </w:tr>
      <w:tr w14:paraId="00DC671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540" w:hRule="atLeast"/>
        </w:trPr>
        <w:tc>
          <w:tcPr>
            <w:tcW w:w="543" w:type="dxa"/>
            <w:vMerge w:val="continue"/>
            <w:tcBorders>
              <w:tl2br w:val="nil"/>
              <w:tr2bl w:val="nil"/>
            </w:tcBorders>
            <w:vAlign w:val="center"/>
          </w:tcPr>
          <w:p w14:paraId="32F68D63">
            <w:pPr>
              <w:shd w:val="clear"/>
              <w:spacing w:after="0"/>
              <w:jc w:val="center"/>
              <w:rPr>
                <w:rFonts w:hint="eastAsia" w:ascii="宋体" w:hAnsi="宋体" w:eastAsia="宋体" w:cs="宋体"/>
                <w:b w:val="0"/>
                <w:bCs/>
                <w:color w:val="auto"/>
                <w:szCs w:val="21"/>
                <w:highlight w:val="none"/>
              </w:rPr>
            </w:pPr>
          </w:p>
        </w:tc>
        <w:tc>
          <w:tcPr>
            <w:tcW w:w="7867" w:type="dxa"/>
            <w:gridSpan w:val="2"/>
            <w:tcBorders>
              <w:tl2br w:val="nil"/>
              <w:tr2bl w:val="nil"/>
            </w:tcBorders>
            <w:vAlign w:val="center"/>
          </w:tcPr>
          <w:p w14:paraId="41606848">
            <w:pPr>
              <w:shd w:val="clear"/>
              <w:spacing w:after="0"/>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1.各包组履约担保金额为：</w:t>
            </w:r>
            <w:bookmarkStart w:id="8" w:name="OLE_LINK8"/>
            <w:r>
              <w:rPr>
                <w:rFonts w:hint="eastAsia" w:ascii="宋体" w:hAnsi="宋体" w:eastAsia="宋体" w:cs="宋体"/>
                <w:b w:val="0"/>
                <w:bCs/>
                <w:color w:val="auto"/>
                <w:szCs w:val="21"/>
                <w:highlight w:val="none"/>
                <w:lang w:val="en-US" w:eastAsia="zh-CN"/>
              </w:rPr>
              <w:t>500,000.00</w:t>
            </w:r>
            <w:r>
              <w:rPr>
                <w:rFonts w:hint="eastAsia" w:ascii="宋体" w:hAnsi="宋体" w:eastAsia="宋体" w:cs="宋体"/>
                <w:b w:val="0"/>
                <w:bCs/>
                <w:color w:val="auto"/>
                <w:szCs w:val="21"/>
                <w:highlight w:val="none"/>
              </w:rPr>
              <w:t>元。</w:t>
            </w:r>
            <w:bookmarkEnd w:id="8"/>
          </w:p>
          <w:p w14:paraId="30566C80">
            <w:pPr>
              <w:shd w:val="clear"/>
              <w:spacing w:after="0"/>
              <w:jc w:val="left"/>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rPr>
              <w:t>2.履约保证金账户信息：（中标后采购人提供账号信息）</w:t>
            </w:r>
            <w:r>
              <w:rPr>
                <w:rFonts w:hint="eastAsia" w:ascii="宋体" w:hAnsi="宋体" w:cs="宋体"/>
                <w:b w:val="0"/>
                <w:bCs/>
                <w:color w:val="auto"/>
                <w:szCs w:val="21"/>
                <w:highlight w:val="none"/>
                <w:lang w:eastAsia="zh-CN"/>
              </w:rPr>
              <w:t>。</w:t>
            </w:r>
          </w:p>
          <w:p w14:paraId="5651227D">
            <w:pPr>
              <w:shd w:val="clear"/>
              <w:spacing w:after="0"/>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3.中标人在采购（合同签署）时提交履约担保，履约担保金额为</w:t>
            </w:r>
            <w:r>
              <w:rPr>
                <w:rFonts w:hint="eastAsia" w:ascii="宋体" w:hAnsi="宋体" w:eastAsia="宋体" w:cs="宋体"/>
                <w:b w:val="0"/>
                <w:bCs/>
                <w:color w:val="auto"/>
                <w:szCs w:val="21"/>
                <w:highlight w:val="none"/>
                <w:lang w:val="en-US" w:eastAsia="zh-CN"/>
              </w:rPr>
              <w:t>500,000.00</w:t>
            </w:r>
            <w:r>
              <w:rPr>
                <w:rFonts w:hint="eastAsia" w:ascii="宋体" w:hAnsi="宋体" w:eastAsia="宋体" w:cs="宋体"/>
                <w:b w:val="0"/>
                <w:bCs/>
                <w:color w:val="auto"/>
                <w:szCs w:val="21"/>
                <w:highlight w:val="none"/>
              </w:rPr>
              <w:t>元，如果中标人提交的履约保函的有效期先于合同要求的履约保函有效期到达，中标人应在原提交的履约保函有效期满前15天，无条件办理保函延期手续。否则，视为中标人违约，采购人可在保函到期前将保函金额转为现金存入履约保证金账户。</w:t>
            </w:r>
          </w:p>
          <w:p w14:paraId="1F0D493E">
            <w:pPr>
              <w:shd w:val="clear"/>
              <w:spacing w:after="0"/>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4.履约担保期限从合同签订之日起至</w:t>
            </w:r>
            <w:r>
              <w:rPr>
                <w:rFonts w:hint="eastAsia" w:ascii="宋体" w:hAnsi="宋体" w:cs="宋体"/>
                <w:b w:val="0"/>
                <w:bCs/>
                <w:color w:val="auto"/>
                <w:szCs w:val="21"/>
                <w:highlight w:val="none"/>
                <w:lang w:val="en-US" w:eastAsia="zh-CN"/>
              </w:rPr>
              <w:t>合同期限届满</w:t>
            </w:r>
            <w:r>
              <w:rPr>
                <w:rFonts w:hint="eastAsia" w:ascii="宋体" w:hAnsi="宋体" w:eastAsia="宋体" w:cs="宋体"/>
                <w:b w:val="0"/>
                <w:bCs/>
                <w:color w:val="auto"/>
                <w:szCs w:val="21"/>
                <w:highlight w:val="none"/>
              </w:rPr>
              <w:t>并结算完毕后，经双方签字7天内保持有效。</w:t>
            </w:r>
          </w:p>
          <w:p w14:paraId="46FA91EA">
            <w:pPr>
              <w:shd w:val="clear"/>
              <w:spacing w:after="0"/>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5.履约担保可以采用下列任何一种形式：</w:t>
            </w:r>
          </w:p>
          <w:p w14:paraId="37073BE2">
            <w:pPr>
              <w:shd w:val="clear"/>
              <w:spacing w:after="0"/>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（1）履约保函。如果中标人的履约担保是以银行保函形式提供的，则该银行保函应：</w:t>
            </w:r>
          </w:p>
          <w:p w14:paraId="47AAC40A">
            <w:pPr>
              <w:shd w:val="clear"/>
              <w:spacing w:after="0"/>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①保函应由银行支行或以上银行机构开具。</w:t>
            </w:r>
          </w:p>
          <w:p w14:paraId="4216E748">
            <w:pPr>
              <w:shd w:val="clear"/>
              <w:spacing w:after="0"/>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②保函的格式参考投标文件附件中提供的无条件、不可撤销履约保函格式，保函担保期内若项目延期，保函必须延期，办理延期手续时在银行方面所产生费用由中标人负责。</w:t>
            </w:r>
          </w:p>
          <w:p w14:paraId="789AD74E">
            <w:pPr>
              <w:shd w:val="clear"/>
              <w:spacing w:after="0"/>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③履约保函必须打印，手写、涂改无效。</w:t>
            </w:r>
          </w:p>
          <w:p w14:paraId="21DF3A7A">
            <w:pPr>
              <w:shd w:val="clear"/>
              <w:spacing w:after="0"/>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（2）履约保证金。可采用电汇、银行汇票等银行转账方式提交，但不可以采用现金方式提交。</w:t>
            </w:r>
          </w:p>
          <w:p w14:paraId="0C6FFDC9">
            <w:pPr>
              <w:shd w:val="clear"/>
              <w:spacing w:after="0"/>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①若中标人不能按本采购文件（履约担保形式中第（1）点和第（2）点）的规定提交履约担保的，采购人将有权取消中标人的中标资格（采购人可以按照评标委员会提出的中标候选人名单排序依次确定其他中标候选人为中标人，也可以重新采购），投标保证金不予退还，给采购人造成的损失如果超过投标保证金数额的，还应当对超过部分予以赔偿。</w:t>
            </w:r>
          </w:p>
          <w:p w14:paraId="54F1688C">
            <w:pPr>
              <w:shd w:val="clear"/>
              <w:spacing w:after="0"/>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6.为取得履约担保所需的费用，由中标人承担；若服务期延长，履约担保时间延长，延长费用由中标人承担。</w:t>
            </w:r>
          </w:p>
          <w:p w14:paraId="2FDB814B">
            <w:pPr>
              <w:shd w:val="clear"/>
              <w:spacing w:after="0"/>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7.若中标人在合同履行过程中出现食品安全事件、违约等情况，采购人有权将履约保函金额转为现金存入履约保证金账户</w:t>
            </w:r>
            <w:r>
              <w:rPr>
                <w:rFonts w:hint="eastAsia" w:ascii="宋体" w:hAnsi="宋体" w:cs="宋体"/>
                <w:b w:val="0"/>
                <w:bCs/>
                <w:color w:val="auto"/>
                <w:szCs w:val="21"/>
                <w:highlight w:val="none"/>
                <w:lang w:val="en-US" w:eastAsia="zh-CN"/>
              </w:rPr>
              <w:t>予以没收，或直接没收履约保证金</w:t>
            </w:r>
            <w:r>
              <w:rPr>
                <w:rFonts w:hint="eastAsia" w:ascii="宋体" w:hAnsi="宋体" w:eastAsia="宋体" w:cs="宋体"/>
                <w:b w:val="0"/>
                <w:bCs/>
                <w:color w:val="auto"/>
                <w:szCs w:val="21"/>
                <w:highlight w:val="none"/>
              </w:rPr>
              <w:t>；中标人造成采购人损失的，采购人有权立即没收其履约担保，若造成损失超过履约担保的，还应当对超过部分予以赔偿。</w:t>
            </w:r>
          </w:p>
          <w:p w14:paraId="3C5538B1">
            <w:pPr>
              <w:shd w:val="clear"/>
              <w:spacing w:after="0"/>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8.下列任何情况发生时，采购人有权行使享有的担保权利：</w:t>
            </w:r>
          </w:p>
          <w:p w14:paraId="34790914">
            <w:pPr>
              <w:shd w:val="clear"/>
              <w:spacing w:after="0"/>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（1）中标人将本项目转让给他人，或者在投标文件中未说明，且未经采购人同意，将中标项目分包给他人的；</w:t>
            </w:r>
          </w:p>
          <w:p w14:paraId="32217D07">
            <w:pPr>
              <w:shd w:val="clear"/>
              <w:spacing w:after="0"/>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（2）中标人在履行合同期间，违反有关法律法规的规定或合同约定。</w:t>
            </w:r>
          </w:p>
          <w:p w14:paraId="18BBDA95">
            <w:pPr>
              <w:shd w:val="clear"/>
              <w:spacing w:after="0"/>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9.在整个项目服务期结束</w:t>
            </w:r>
            <w:r>
              <w:rPr>
                <w:color w:val="auto"/>
                <w:sz w:val="21"/>
                <w:szCs w:val="21"/>
                <w:highlight w:val="none"/>
              </w:rPr>
              <w:t>且</w:t>
            </w:r>
            <w:r>
              <w:rPr>
                <w:rFonts w:hint="eastAsia"/>
                <w:color w:val="auto"/>
                <w:sz w:val="21"/>
                <w:szCs w:val="21"/>
                <w:highlight w:val="none"/>
                <w:lang w:val="en-US" w:eastAsia="zh-CN"/>
              </w:rPr>
              <w:t>采购人</w:t>
            </w:r>
            <w:r>
              <w:rPr>
                <w:color w:val="auto"/>
                <w:sz w:val="21"/>
                <w:szCs w:val="21"/>
                <w:highlight w:val="none"/>
              </w:rPr>
              <w:t>扣除</w:t>
            </w:r>
            <w:r>
              <w:rPr>
                <w:rFonts w:hint="eastAsia"/>
                <w:color w:val="auto"/>
                <w:sz w:val="21"/>
                <w:szCs w:val="21"/>
                <w:highlight w:val="none"/>
                <w:lang w:val="en-US" w:eastAsia="zh-CN"/>
              </w:rPr>
              <w:t>中标人</w:t>
            </w:r>
            <w:r>
              <w:rPr>
                <w:color w:val="auto"/>
                <w:sz w:val="21"/>
                <w:szCs w:val="21"/>
                <w:highlight w:val="none"/>
              </w:rPr>
              <w:t>应向</w:t>
            </w:r>
            <w:r>
              <w:rPr>
                <w:rFonts w:hint="eastAsia"/>
                <w:color w:val="auto"/>
                <w:sz w:val="21"/>
                <w:szCs w:val="21"/>
                <w:highlight w:val="none"/>
                <w:lang w:val="en-US" w:eastAsia="zh-CN"/>
              </w:rPr>
              <w:t>采购人</w:t>
            </w:r>
            <w:r>
              <w:rPr>
                <w:color w:val="auto"/>
                <w:sz w:val="21"/>
                <w:szCs w:val="21"/>
                <w:highlight w:val="none"/>
              </w:rPr>
              <w:t>支付的违约金、赔偿金及所有未结费用</w:t>
            </w:r>
            <w:r>
              <w:rPr>
                <w:rFonts w:hint="eastAsia" w:ascii="宋体" w:hAnsi="宋体" w:eastAsia="宋体" w:cs="宋体"/>
                <w:b w:val="0"/>
                <w:bCs/>
                <w:color w:val="auto"/>
                <w:szCs w:val="21"/>
                <w:highlight w:val="none"/>
              </w:rPr>
              <w:t>后，中标人向采购人提交退回履约担保的申请，采购人办理履约担保退还手续。</w:t>
            </w:r>
          </w:p>
        </w:tc>
      </w:tr>
      <w:tr w14:paraId="582CE29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52" w:hRule="atLeast"/>
        </w:trPr>
        <w:tc>
          <w:tcPr>
            <w:tcW w:w="543" w:type="dxa"/>
            <w:vMerge w:val="restart"/>
            <w:tcBorders>
              <w:tl2br w:val="nil"/>
              <w:tr2bl w:val="nil"/>
            </w:tcBorders>
            <w:vAlign w:val="center"/>
          </w:tcPr>
          <w:p w14:paraId="5119F0E8">
            <w:pPr>
              <w:shd w:val="clear"/>
              <w:spacing w:after="0"/>
              <w:jc w:val="center"/>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17</w:t>
            </w:r>
          </w:p>
        </w:tc>
        <w:tc>
          <w:tcPr>
            <w:tcW w:w="7867" w:type="dxa"/>
            <w:gridSpan w:val="2"/>
            <w:tcBorders>
              <w:tl2br w:val="nil"/>
              <w:tr2bl w:val="nil"/>
            </w:tcBorders>
            <w:vAlign w:val="center"/>
          </w:tcPr>
          <w:p w14:paraId="4B237536">
            <w:pPr>
              <w:shd w:val="clear"/>
              <w:spacing w:after="0"/>
              <w:jc w:val="left"/>
              <w:rPr>
                <w:rFonts w:hint="eastAsia" w:ascii="宋体" w:hAnsi="宋体" w:eastAsia="宋体" w:cs="宋体"/>
                <w:b w:val="0"/>
                <w:bCs/>
                <w:color w:val="auto"/>
                <w:szCs w:val="21"/>
                <w:highlight w:val="none"/>
              </w:rPr>
            </w:pPr>
            <w:r>
              <w:rPr>
                <w:rFonts w:hint="eastAsia" w:ascii="宋体" w:hAnsi="宋体" w:eastAsia="宋体" w:cs="宋体"/>
                <w:b/>
                <w:bCs w:val="0"/>
                <w:color w:val="auto"/>
                <w:szCs w:val="21"/>
                <w:highlight w:val="none"/>
              </w:rPr>
              <w:t>中标服务费</w:t>
            </w:r>
          </w:p>
        </w:tc>
      </w:tr>
      <w:tr w14:paraId="5D3B342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543" w:type="dxa"/>
            <w:vMerge w:val="continue"/>
            <w:tcBorders>
              <w:tl2br w:val="nil"/>
              <w:tr2bl w:val="nil"/>
            </w:tcBorders>
            <w:vAlign w:val="center"/>
          </w:tcPr>
          <w:p w14:paraId="696DC981">
            <w:pPr>
              <w:shd w:val="clear"/>
              <w:spacing w:after="0"/>
              <w:jc w:val="center"/>
              <w:rPr>
                <w:rFonts w:hint="eastAsia" w:ascii="宋体" w:hAnsi="宋体" w:eastAsia="宋体" w:cs="宋体"/>
                <w:b w:val="0"/>
                <w:bCs/>
                <w:color w:val="auto"/>
                <w:szCs w:val="21"/>
                <w:highlight w:val="none"/>
              </w:rPr>
            </w:pPr>
          </w:p>
        </w:tc>
        <w:tc>
          <w:tcPr>
            <w:tcW w:w="7867" w:type="dxa"/>
            <w:gridSpan w:val="2"/>
            <w:tcBorders>
              <w:tl2br w:val="nil"/>
              <w:tr2bl w:val="nil"/>
            </w:tcBorders>
            <w:vAlign w:val="center"/>
          </w:tcPr>
          <w:p w14:paraId="5FCA1322">
            <w:pPr>
              <w:shd w:val="clear"/>
              <w:spacing w:after="0"/>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本项目中标服务费由项目采购人支付。</w:t>
            </w:r>
          </w:p>
        </w:tc>
      </w:tr>
      <w:tr w14:paraId="1EB9956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820" w:hRule="atLeast"/>
        </w:trPr>
        <w:tc>
          <w:tcPr>
            <w:tcW w:w="8410" w:type="dxa"/>
            <w:gridSpan w:val="3"/>
            <w:tcBorders>
              <w:tl2br w:val="nil"/>
              <w:tr2bl w:val="nil"/>
            </w:tcBorders>
            <w:vAlign w:val="center"/>
          </w:tcPr>
          <w:p w14:paraId="00881DB2">
            <w:pPr>
              <w:shd w:val="clear"/>
              <w:spacing w:after="0"/>
              <w:jc w:val="center"/>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注：本表关于要采购项目的具体资料，是对投标人须知的具体补充和修改，如有矛盾，应以本资料表为准。不满足采购文件中 “★”条款的投标文件将作无效投标处理。</w:t>
            </w:r>
          </w:p>
        </w:tc>
      </w:tr>
    </w:tbl>
    <w:p w14:paraId="5089831B">
      <w:pPr>
        <w:pageBreakBefore w:val="0"/>
        <w:shd w:val="clear"/>
        <w:kinsoku/>
        <w:wordWrap/>
        <w:overflowPunct/>
        <w:topLinePunct w:val="0"/>
        <w:autoSpaceDE/>
        <w:autoSpaceDN/>
        <w:bidi w:val="0"/>
        <w:spacing w:line="360" w:lineRule="auto"/>
        <w:jc w:val="center"/>
        <w:textAlignment w:val="auto"/>
        <w:rPr>
          <w:rFonts w:hint="eastAsia" w:ascii="宋体" w:hAnsi="宋体" w:cs="宋体"/>
          <w:color w:val="auto"/>
          <w:highlight w:val="none"/>
        </w:rPr>
      </w:pPr>
      <w:r>
        <w:rPr>
          <w:rFonts w:hint="eastAsia" w:ascii="宋体" w:hAnsi="宋体" w:cs="宋体"/>
          <w:color w:val="auto"/>
          <w:highlight w:val="none"/>
        </w:rPr>
        <w:br w:type="page"/>
      </w:r>
    </w:p>
    <w:p w14:paraId="1CB975A3">
      <w:pPr>
        <w:pStyle w:val="5"/>
        <w:shd w:val="clear"/>
        <w:spacing w:before="0" w:after="0" w:line="240" w:lineRule="auto"/>
        <w:jc w:val="center"/>
        <w:rPr>
          <w:rFonts w:hint="eastAsia" w:ascii="宋体" w:hAnsi="宋体" w:cs="宋体"/>
          <w:color w:val="auto"/>
          <w:sz w:val="24"/>
          <w:szCs w:val="24"/>
          <w:highlight w:val="none"/>
        </w:rPr>
      </w:pPr>
      <w:bookmarkStart w:id="9" w:name="_Toc18207"/>
      <w:bookmarkStart w:id="10" w:name="_Toc18950"/>
      <w:r>
        <w:rPr>
          <w:rFonts w:hint="eastAsia" w:ascii="宋体" w:hAnsi="宋体" w:cs="宋体"/>
          <w:color w:val="auto"/>
          <w:sz w:val="24"/>
          <w:szCs w:val="24"/>
          <w:highlight w:val="none"/>
        </w:rPr>
        <w:t>附表二：商务技术评分及价格权重表（满分100分）</w:t>
      </w:r>
      <w:bookmarkEnd w:id="9"/>
      <w:bookmarkEnd w:id="10"/>
    </w:p>
    <w:p w14:paraId="58C37103">
      <w:pPr>
        <w:shd w:val="clear"/>
        <w:spacing w:line="440" w:lineRule="exact"/>
        <w:jc w:val="center"/>
        <w:rPr>
          <w:b/>
          <w:bCs/>
          <w:color w:val="auto"/>
          <w:sz w:val="22"/>
          <w:highlight w:val="none"/>
        </w:rPr>
      </w:pPr>
      <w:r>
        <w:rPr>
          <w:rFonts w:hint="eastAsia" w:ascii="宋体" w:hAnsi="宋体" w:cs="宋体"/>
          <w:b/>
          <w:bCs/>
          <w:color w:val="auto"/>
          <w:sz w:val="22"/>
          <w:highlight w:val="none"/>
        </w:rPr>
        <w:t>以下适用包A</w:t>
      </w:r>
    </w:p>
    <w:tbl>
      <w:tblPr>
        <w:tblStyle w:val="3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2"/>
        <w:gridCol w:w="1081"/>
        <w:gridCol w:w="793"/>
        <w:gridCol w:w="5757"/>
      </w:tblGrid>
      <w:tr w14:paraId="2353B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399" w:type="pct"/>
            <w:tcBorders>
              <w:top w:val="single" w:color="auto" w:sz="4" w:space="0"/>
              <w:left w:val="single" w:color="auto" w:sz="4" w:space="0"/>
              <w:bottom w:val="single" w:color="auto" w:sz="4" w:space="0"/>
              <w:right w:val="single" w:color="auto" w:sz="4" w:space="0"/>
            </w:tcBorders>
            <w:vAlign w:val="center"/>
          </w:tcPr>
          <w:p w14:paraId="5D8D1606">
            <w:pPr>
              <w:pStyle w:val="48"/>
              <w:shd w:val="clear"/>
              <w:spacing w:after="0" w:line="360" w:lineRule="auto"/>
              <w:ind w:firstLine="0" w:firstLineChars="0"/>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序号</w:t>
            </w:r>
          </w:p>
        </w:tc>
        <w:tc>
          <w:tcPr>
            <w:tcW w:w="652" w:type="pct"/>
            <w:tcBorders>
              <w:top w:val="single" w:color="auto" w:sz="4" w:space="0"/>
              <w:left w:val="single" w:color="auto" w:sz="4" w:space="0"/>
              <w:bottom w:val="single" w:color="auto" w:sz="4" w:space="0"/>
              <w:right w:val="single" w:color="auto" w:sz="4" w:space="0"/>
            </w:tcBorders>
            <w:vAlign w:val="center"/>
          </w:tcPr>
          <w:p w14:paraId="66D47323">
            <w:pPr>
              <w:pStyle w:val="48"/>
              <w:shd w:val="clear"/>
              <w:spacing w:after="0" w:line="360" w:lineRule="auto"/>
              <w:ind w:firstLine="0" w:firstLineChars="0"/>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评审项目</w:t>
            </w:r>
          </w:p>
        </w:tc>
        <w:tc>
          <w:tcPr>
            <w:tcW w:w="478" w:type="pct"/>
            <w:tcBorders>
              <w:top w:val="single" w:color="auto" w:sz="4" w:space="0"/>
              <w:left w:val="single" w:color="auto" w:sz="4" w:space="0"/>
              <w:bottom w:val="single" w:color="auto" w:sz="4" w:space="0"/>
              <w:right w:val="single" w:color="auto" w:sz="4" w:space="0"/>
            </w:tcBorders>
            <w:vAlign w:val="center"/>
          </w:tcPr>
          <w:p w14:paraId="261FEACB">
            <w:pPr>
              <w:pStyle w:val="48"/>
              <w:shd w:val="clear"/>
              <w:spacing w:after="0" w:line="360" w:lineRule="auto"/>
              <w:ind w:firstLine="0" w:firstLineChars="0"/>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分值</w:t>
            </w:r>
          </w:p>
        </w:tc>
        <w:tc>
          <w:tcPr>
            <w:tcW w:w="3468" w:type="pct"/>
            <w:tcBorders>
              <w:top w:val="single" w:color="auto" w:sz="4" w:space="0"/>
              <w:left w:val="single" w:color="auto" w:sz="4" w:space="0"/>
              <w:bottom w:val="single" w:color="auto" w:sz="4" w:space="0"/>
              <w:right w:val="single" w:color="auto" w:sz="4" w:space="0"/>
            </w:tcBorders>
            <w:vAlign w:val="center"/>
          </w:tcPr>
          <w:p w14:paraId="261D9BFF">
            <w:pPr>
              <w:pStyle w:val="48"/>
              <w:shd w:val="clear"/>
              <w:spacing w:after="0" w:line="360" w:lineRule="auto"/>
              <w:ind w:firstLine="0" w:firstLineChars="0"/>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评审细则</w:t>
            </w:r>
          </w:p>
        </w:tc>
      </w:tr>
      <w:tr w14:paraId="572FA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5000" w:type="pct"/>
            <w:gridSpan w:val="4"/>
            <w:tcBorders>
              <w:top w:val="single" w:color="auto" w:sz="4" w:space="0"/>
              <w:left w:val="single" w:color="auto" w:sz="4" w:space="0"/>
              <w:bottom w:val="single" w:color="auto" w:sz="4" w:space="0"/>
              <w:right w:val="single" w:color="auto" w:sz="4" w:space="0"/>
            </w:tcBorders>
            <w:vAlign w:val="center"/>
          </w:tcPr>
          <w:p w14:paraId="3930FE07">
            <w:pPr>
              <w:pStyle w:val="48"/>
              <w:shd w:val="clear"/>
              <w:spacing w:after="0" w:line="360" w:lineRule="auto"/>
              <w:ind w:firstLine="0" w:firstLineChars="0"/>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商务评审（5</w:t>
            </w:r>
            <w:r>
              <w:rPr>
                <w:rFonts w:hint="eastAsia" w:ascii="宋体" w:eastAsia="宋体" w:cs="宋体"/>
                <w:b/>
                <w:bCs/>
                <w:color w:val="auto"/>
                <w:sz w:val="22"/>
                <w:szCs w:val="22"/>
                <w:highlight w:val="none"/>
                <w:lang w:val="en-US" w:eastAsia="zh-CN"/>
              </w:rPr>
              <w:t>5</w:t>
            </w:r>
            <w:r>
              <w:rPr>
                <w:rFonts w:hint="eastAsia" w:ascii="宋体" w:hAnsi="宋体" w:eastAsia="宋体" w:cs="宋体"/>
                <w:b/>
                <w:bCs/>
                <w:color w:val="auto"/>
                <w:sz w:val="22"/>
                <w:szCs w:val="22"/>
                <w:highlight w:val="none"/>
              </w:rPr>
              <w:t>分）</w:t>
            </w:r>
          </w:p>
        </w:tc>
      </w:tr>
      <w:tr w14:paraId="44746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0" w:hRule="atLeast"/>
          <w:jc w:val="center"/>
        </w:trPr>
        <w:tc>
          <w:tcPr>
            <w:tcW w:w="399" w:type="pct"/>
            <w:vMerge w:val="restart"/>
            <w:tcBorders>
              <w:top w:val="single" w:color="auto" w:sz="4" w:space="0"/>
              <w:left w:val="single" w:color="auto" w:sz="4" w:space="0"/>
              <w:right w:val="single" w:color="auto" w:sz="4" w:space="0"/>
            </w:tcBorders>
            <w:vAlign w:val="center"/>
          </w:tcPr>
          <w:p w14:paraId="703725D2">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1</w:t>
            </w:r>
          </w:p>
        </w:tc>
        <w:tc>
          <w:tcPr>
            <w:tcW w:w="652" w:type="pct"/>
            <w:vMerge w:val="restart"/>
            <w:tcBorders>
              <w:top w:val="single" w:color="auto" w:sz="4" w:space="0"/>
              <w:left w:val="single" w:color="auto" w:sz="4" w:space="0"/>
              <w:right w:val="single" w:color="auto" w:sz="4" w:space="0"/>
            </w:tcBorders>
            <w:vAlign w:val="center"/>
          </w:tcPr>
          <w:p w14:paraId="1B9155B8">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公司实力</w:t>
            </w:r>
          </w:p>
        </w:tc>
        <w:tc>
          <w:tcPr>
            <w:tcW w:w="478" w:type="pct"/>
            <w:vMerge w:val="restart"/>
            <w:tcBorders>
              <w:top w:val="single" w:color="auto" w:sz="4" w:space="0"/>
              <w:left w:val="single" w:color="auto" w:sz="4" w:space="0"/>
              <w:right w:val="single" w:color="auto" w:sz="4" w:space="0"/>
            </w:tcBorders>
            <w:vAlign w:val="center"/>
          </w:tcPr>
          <w:p w14:paraId="71AA7912">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8分</w:t>
            </w:r>
          </w:p>
        </w:tc>
        <w:tc>
          <w:tcPr>
            <w:tcW w:w="3468" w:type="pct"/>
            <w:tcBorders>
              <w:top w:val="single" w:color="auto" w:sz="4" w:space="0"/>
              <w:left w:val="single" w:color="auto" w:sz="4" w:space="0"/>
              <w:bottom w:val="single" w:color="auto" w:sz="4" w:space="0"/>
              <w:right w:val="single" w:color="auto" w:sz="4" w:space="0"/>
            </w:tcBorders>
            <w:vAlign w:val="center"/>
          </w:tcPr>
          <w:p w14:paraId="277B6EC7">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1、纳税信用状况:投标人提供2023年、2024年、2025年的纳税信用等级，纳税信用等级连续三年为A级(含)以上的得</w:t>
            </w:r>
            <w:r>
              <w:rPr>
                <w:rFonts w:hint="eastAsia" w:ascii="宋体" w:hAnsi="宋体" w:cs="宋体"/>
                <w:color w:val="auto"/>
                <w:sz w:val="22"/>
                <w:szCs w:val="22"/>
                <w:highlight w:val="none"/>
                <w:lang w:val="en-US" w:eastAsia="zh-CN"/>
              </w:rPr>
              <w:t>3</w:t>
            </w:r>
            <w:r>
              <w:rPr>
                <w:rFonts w:hint="eastAsia" w:ascii="宋体" w:hAnsi="宋体" w:eastAsia="宋体" w:cs="宋体"/>
                <w:color w:val="auto"/>
                <w:sz w:val="22"/>
                <w:szCs w:val="22"/>
                <w:highlight w:val="none"/>
                <w:lang w:val="en-US" w:eastAsia="zh-CN"/>
              </w:rPr>
              <w:t>分，有两年为A级(含)以上的得</w:t>
            </w:r>
            <w:r>
              <w:rPr>
                <w:rFonts w:hint="eastAsia" w:ascii="宋体" w:hAnsi="宋体" w:cs="宋体"/>
                <w:color w:val="auto"/>
                <w:sz w:val="22"/>
                <w:szCs w:val="22"/>
                <w:highlight w:val="none"/>
                <w:lang w:val="en-US" w:eastAsia="zh-CN"/>
              </w:rPr>
              <w:t>2</w:t>
            </w:r>
            <w:r>
              <w:rPr>
                <w:rFonts w:hint="eastAsia" w:ascii="宋体" w:hAnsi="宋体" w:eastAsia="宋体" w:cs="宋体"/>
                <w:color w:val="auto"/>
                <w:sz w:val="22"/>
                <w:szCs w:val="22"/>
                <w:highlight w:val="none"/>
                <w:lang w:val="en-US" w:eastAsia="zh-CN"/>
              </w:rPr>
              <w:t>分，其它情况不得分。</w:t>
            </w:r>
          </w:p>
          <w:p w14:paraId="49C5B858">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注：须提供电子税务局</w:t>
            </w:r>
            <w:r>
              <w:rPr>
                <w:rFonts w:hint="eastAsia" w:ascii="宋体" w:hAnsi="宋体" w:cs="宋体"/>
                <w:b/>
                <w:bCs/>
                <w:color w:val="auto"/>
                <w:sz w:val="22"/>
                <w:szCs w:val="22"/>
                <w:highlight w:val="none"/>
                <w:lang w:val="en-US" w:eastAsia="zh-CN"/>
              </w:rPr>
              <w:t>（</w:t>
            </w:r>
            <w:r>
              <w:rPr>
                <w:rFonts w:hint="eastAsia" w:ascii="宋体" w:hAnsi="宋体" w:eastAsia="宋体" w:cs="宋体"/>
                <w:b/>
                <w:bCs/>
                <w:color w:val="auto"/>
                <w:sz w:val="22"/>
                <w:szCs w:val="22"/>
                <w:highlight w:val="none"/>
                <w:lang w:val="en-US" w:eastAsia="zh-CN"/>
              </w:rPr>
              <w:t>或税务官网</w:t>
            </w:r>
            <w:r>
              <w:rPr>
                <w:rFonts w:hint="eastAsia" w:ascii="宋体" w:hAnsi="宋体" w:cs="宋体"/>
                <w:b/>
                <w:bCs/>
                <w:color w:val="auto"/>
                <w:sz w:val="22"/>
                <w:szCs w:val="22"/>
                <w:highlight w:val="none"/>
                <w:lang w:val="en-US" w:eastAsia="zh-CN"/>
              </w:rPr>
              <w:t>）</w:t>
            </w:r>
            <w:r>
              <w:rPr>
                <w:rFonts w:hint="eastAsia" w:ascii="宋体" w:hAnsi="宋体" w:eastAsia="宋体" w:cs="宋体"/>
                <w:b/>
                <w:bCs/>
                <w:color w:val="auto"/>
                <w:sz w:val="22"/>
                <w:szCs w:val="22"/>
                <w:highlight w:val="none"/>
                <w:lang w:val="en-US" w:eastAsia="zh-CN"/>
              </w:rPr>
              <w:t>截图</w:t>
            </w:r>
            <w:r>
              <w:rPr>
                <w:rFonts w:hint="eastAsia" w:ascii="宋体" w:hAnsi="宋体" w:cs="宋体"/>
                <w:b/>
                <w:bCs/>
                <w:color w:val="auto"/>
                <w:sz w:val="22"/>
                <w:szCs w:val="22"/>
                <w:highlight w:val="none"/>
                <w:lang w:val="en-US" w:eastAsia="zh-CN"/>
              </w:rPr>
              <w:t>或</w:t>
            </w:r>
            <w:r>
              <w:rPr>
                <w:rFonts w:hint="eastAsia" w:ascii="宋体" w:hAnsi="宋体" w:eastAsia="宋体" w:cs="宋体"/>
                <w:b/>
                <w:bCs/>
                <w:color w:val="auto"/>
                <w:sz w:val="22"/>
                <w:szCs w:val="22"/>
                <w:highlight w:val="none"/>
                <w:lang w:val="en-US" w:eastAsia="zh-CN"/>
              </w:rPr>
              <w:t>纳税信用等级证书复印件加盖投标人公章</w:t>
            </w:r>
            <w:r>
              <w:rPr>
                <w:rFonts w:hint="eastAsia" w:ascii="宋体" w:hAnsi="宋体" w:cs="宋体"/>
                <w:b/>
                <w:bCs/>
                <w:color w:val="auto"/>
                <w:sz w:val="22"/>
                <w:szCs w:val="22"/>
                <w:highlight w:val="none"/>
                <w:lang w:val="en-US" w:eastAsia="zh-CN"/>
              </w:rPr>
              <w:t>。</w:t>
            </w:r>
          </w:p>
        </w:tc>
      </w:tr>
      <w:tr w14:paraId="19EF4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5" w:hRule="atLeast"/>
          <w:jc w:val="center"/>
        </w:trPr>
        <w:tc>
          <w:tcPr>
            <w:tcW w:w="399" w:type="pct"/>
            <w:vMerge w:val="continue"/>
            <w:tcBorders>
              <w:left w:val="single" w:color="auto" w:sz="4" w:space="0"/>
              <w:right w:val="single" w:color="auto" w:sz="4" w:space="0"/>
            </w:tcBorders>
            <w:vAlign w:val="center"/>
          </w:tcPr>
          <w:p w14:paraId="7B5FA661">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eastAsia" w:ascii="宋体" w:hAnsi="宋体" w:eastAsia="宋体" w:cs="宋体"/>
                <w:color w:val="auto"/>
                <w:sz w:val="22"/>
                <w:szCs w:val="22"/>
                <w:highlight w:val="none"/>
                <w:lang w:eastAsia="zh-CN"/>
              </w:rPr>
            </w:pPr>
          </w:p>
        </w:tc>
        <w:tc>
          <w:tcPr>
            <w:tcW w:w="652" w:type="pct"/>
            <w:vMerge w:val="continue"/>
            <w:tcBorders>
              <w:left w:val="single" w:color="auto" w:sz="4" w:space="0"/>
              <w:right w:val="single" w:color="auto" w:sz="4" w:space="0"/>
            </w:tcBorders>
            <w:vAlign w:val="center"/>
          </w:tcPr>
          <w:p w14:paraId="02AD181B">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eastAsia" w:ascii="宋体" w:hAnsi="宋体" w:eastAsia="宋体" w:cs="宋体"/>
                <w:color w:val="auto"/>
                <w:sz w:val="22"/>
                <w:szCs w:val="22"/>
                <w:highlight w:val="none"/>
                <w:lang w:eastAsia="zh-CN"/>
              </w:rPr>
            </w:pPr>
          </w:p>
        </w:tc>
        <w:tc>
          <w:tcPr>
            <w:tcW w:w="478" w:type="pct"/>
            <w:vMerge w:val="continue"/>
            <w:tcBorders>
              <w:left w:val="single" w:color="auto" w:sz="4" w:space="0"/>
              <w:bottom w:val="single" w:color="auto" w:sz="4" w:space="0"/>
              <w:right w:val="single" w:color="auto" w:sz="4" w:space="0"/>
            </w:tcBorders>
            <w:vAlign w:val="center"/>
          </w:tcPr>
          <w:p w14:paraId="7435192A">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eastAsia" w:ascii="宋体" w:hAnsi="宋体" w:eastAsia="宋体" w:cs="宋体"/>
                <w:color w:val="auto"/>
                <w:sz w:val="22"/>
                <w:szCs w:val="22"/>
                <w:highlight w:val="none"/>
                <w:lang w:eastAsia="zh-CN"/>
              </w:rPr>
            </w:pPr>
          </w:p>
        </w:tc>
        <w:tc>
          <w:tcPr>
            <w:tcW w:w="3468" w:type="pct"/>
            <w:tcBorders>
              <w:top w:val="single" w:color="auto" w:sz="4" w:space="0"/>
              <w:left w:val="single" w:color="auto" w:sz="4" w:space="0"/>
              <w:bottom w:val="single" w:color="auto" w:sz="4" w:space="0"/>
              <w:right w:val="single" w:color="auto" w:sz="4" w:space="0"/>
            </w:tcBorders>
            <w:vAlign w:val="center"/>
          </w:tcPr>
          <w:p w14:paraId="746C9B17">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2、投标人具有由国家认证认可监督管理部门批准设立的认证机构颁发并有效的认证证书，每提供一个证书得1分，</w:t>
            </w:r>
            <w:r>
              <w:rPr>
                <w:rFonts w:hint="eastAsia" w:ascii="宋体" w:hAnsi="宋体" w:cs="宋体"/>
                <w:color w:val="auto"/>
                <w:sz w:val="22"/>
                <w:szCs w:val="22"/>
                <w:highlight w:val="none"/>
                <w:lang w:val="en-US" w:eastAsia="zh-CN"/>
              </w:rPr>
              <w:t>满分</w:t>
            </w:r>
            <w:r>
              <w:rPr>
                <w:rFonts w:hint="eastAsia" w:ascii="宋体" w:hAnsi="宋体" w:eastAsia="宋体" w:cs="宋体"/>
                <w:color w:val="auto"/>
                <w:sz w:val="22"/>
                <w:szCs w:val="22"/>
                <w:highlight w:val="none"/>
                <w:lang w:val="en-US" w:eastAsia="zh-CN"/>
              </w:rPr>
              <w:t>5分：</w:t>
            </w:r>
          </w:p>
          <w:p w14:paraId="491FD641">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（1）质量管理体系认证证书；</w:t>
            </w:r>
          </w:p>
          <w:p w14:paraId="3C53BF3A">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（2）环境管理体系认证证书；</w:t>
            </w:r>
          </w:p>
          <w:p w14:paraId="181A8AED">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（3）职业健康安全管理体系认证证书；</w:t>
            </w:r>
          </w:p>
          <w:p w14:paraId="28023808">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（4）食品安全管理体系认证证书；</w:t>
            </w:r>
          </w:p>
          <w:p w14:paraId="2145A4AD">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（5）</w:t>
            </w:r>
            <w:r>
              <w:rPr>
                <w:rFonts w:hint="eastAsia" w:ascii="宋体" w:hAnsi="宋体" w:cs="宋体"/>
                <w:color w:val="auto"/>
                <w:sz w:val="22"/>
                <w:highlight w:val="none"/>
                <w:lang w:eastAsia="zh-CN"/>
              </w:rPr>
              <w:t>危害分析与关键控制点（HACCP）认证体系证书。</w:t>
            </w:r>
          </w:p>
          <w:p w14:paraId="06C197B9">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注：须提供在有效期内的证书及证书在全国认证认可信息公共服务平台（https://www.cnca.gov.cn/）有效信息的查询截图，以上复印件加盖章投标人公章。</w:t>
            </w:r>
          </w:p>
        </w:tc>
      </w:tr>
      <w:tr w14:paraId="026F0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9" w:hRule="atLeast"/>
          <w:jc w:val="center"/>
        </w:trPr>
        <w:tc>
          <w:tcPr>
            <w:tcW w:w="399" w:type="pct"/>
            <w:tcBorders>
              <w:top w:val="single" w:color="auto" w:sz="4" w:space="0"/>
              <w:left w:val="single" w:color="auto" w:sz="4" w:space="0"/>
              <w:bottom w:val="single" w:color="auto" w:sz="4" w:space="0"/>
              <w:right w:val="single" w:color="auto" w:sz="4" w:space="0"/>
            </w:tcBorders>
            <w:vAlign w:val="center"/>
          </w:tcPr>
          <w:p w14:paraId="707B9421">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2</w:t>
            </w:r>
          </w:p>
        </w:tc>
        <w:tc>
          <w:tcPr>
            <w:tcW w:w="652" w:type="pct"/>
            <w:tcBorders>
              <w:top w:val="single" w:color="auto" w:sz="4" w:space="0"/>
              <w:left w:val="single" w:color="auto" w:sz="4" w:space="0"/>
              <w:bottom w:val="single" w:color="auto" w:sz="4" w:space="0"/>
              <w:right w:val="single" w:color="auto" w:sz="4" w:space="0"/>
            </w:tcBorders>
            <w:vAlign w:val="center"/>
          </w:tcPr>
          <w:p w14:paraId="00DB8227">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投标人业绩情况</w:t>
            </w:r>
          </w:p>
        </w:tc>
        <w:tc>
          <w:tcPr>
            <w:tcW w:w="478" w:type="pct"/>
            <w:tcBorders>
              <w:top w:val="single" w:color="auto" w:sz="4" w:space="0"/>
              <w:left w:val="single" w:color="auto" w:sz="4" w:space="0"/>
              <w:bottom w:val="single" w:color="auto" w:sz="4" w:space="0"/>
              <w:right w:val="single" w:color="auto" w:sz="4" w:space="0"/>
            </w:tcBorders>
            <w:vAlign w:val="center"/>
          </w:tcPr>
          <w:p w14:paraId="611B8EF8">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20分</w:t>
            </w:r>
          </w:p>
        </w:tc>
        <w:tc>
          <w:tcPr>
            <w:tcW w:w="3468" w:type="pct"/>
            <w:tcBorders>
              <w:top w:val="single" w:color="auto" w:sz="4" w:space="0"/>
              <w:left w:val="single" w:color="auto" w:sz="4" w:space="0"/>
              <w:bottom w:val="single" w:color="auto" w:sz="4" w:space="0"/>
              <w:right w:val="single" w:color="auto" w:sz="4" w:space="0"/>
            </w:tcBorders>
            <w:vAlign w:val="center"/>
          </w:tcPr>
          <w:p w14:paraId="4955CE8C">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b/>
                <w:bCs/>
                <w:color w:val="auto"/>
                <w:sz w:val="22"/>
                <w:szCs w:val="22"/>
                <w:highlight w:val="none"/>
                <w:lang w:val="pt-BR" w:eastAsia="zh-CN"/>
              </w:rPr>
            </w:pPr>
            <w:r>
              <w:rPr>
                <w:rFonts w:hint="eastAsia" w:ascii="宋体" w:hAnsi="宋体" w:eastAsia="宋体" w:cs="宋体"/>
                <w:b/>
                <w:bCs/>
                <w:color w:val="auto"/>
                <w:sz w:val="22"/>
                <w:szCs w:val="22"/>
                <w:highlight w:val="none"/>
                <w:lang w:val="pt-BR" w:eastAsia="zh-CN"/>
              </w:rPr>
              <w:t>投标人自2023年1月1日（以合同签订的时间为准）至今已完成或正在服务的</w:t>
            </w:r>
            <w:r>
              <w:rPr>
                <w:rFonts w:hint="eastAsia" w:ascii="宋体" w:hAnsi="宋体" w:cs="宋体"/>
                <w:b/>
                <w:bCs/>
                <w:color w:val="auto"/>
                <w:sz w:val="22"/>
                <w:szCs w:val="22"/>
                <w:highlight w:val="none"/>
                <w:lang w:val="en-US" w:eastAsia="zh-CN"/>
              </w:rPr>
              <w:t>经营性餐饮企业或大型商超的食材</w:t>
            </w:r>
            <w:r>
              <w:rPr>
                <w:rFonts w:hint="default" w:ascii="宋体" w:hAnsi="宋体" w:eastAsia="宋体" w:cs="宋体"/>
                <w:b/>
                <w:bCs/>
                <w:color w:val="auto"/>
                <w:sz w:val="22"/>
                <w:szCs w:val="22"/>
                <w:highlight w:val="none"/>
                <w:lang w:val="en-US" w:eastAsia="zh-CN"/>
              </w:rPr>
              <w:t>配送</w:t>
            </w:r>
            <w:r>
              <w:rPr>
                <w:rFonts w:hint="eastAsia" w:ascii="宋体" w:hAnsi="宋体" w:cs="宋体"/>
                <w:b/>
                <w:bCs/>
                <w:color w:val="auto"/>
                <w:sz w:val="22"/>
                <w:szCs w:val="22"/>
                <w:highlight w:val="none"/>
                <w:lang w:val="en-US" w:eastAsia="zh-CN"/>
              </w:rPr>
              <w:t>类</w:t>
            </w:r>
            <w:r>
              <w:rPr>
                <w:rFonts w:hint="eastAsia" w:ascii="宋体" w:hAnsi="宋体" w:eastAsia="宋体" w:cs="宋体"/>
                <w:b/>
                <w:bCs/>
                <w:color w:val="auto"/>
                <w:sz w:val="22"/>
                <w:szCs w:val="22"/>
                <w:highlight w:val="none"/>
                <w:lang w:val="pt-BR" w:eastAsia="zh-CN"/>
              </w:rPr>
              <w:t>合同（内容含</w:t>
            </w:r>
            <w:r>
              <w:rPr>
                <w:rFonts w:hint="eastAsia" w:ascii="宋体" w:hAnsi="宋体" w:cs="宋体"/>
                <w:b/>
                <w:bCs/>
                <w:color w:val="auto"/>
                <w:sz w:val="22"/>
                <w:szCs w:val="22"/>
                <w:highlight w:val="none"/>
                <w:lang w:val="pt-BR" w:eastAsia="zh-CN"/>
              </w:rPr>
              <w:t>海鲜水产类</w:t>
            </w:r>
            <w:r>
              <w:rPr>
                <w:rFonts w:hint="eastAsia" w:ascii="宋体" w:hAnsi="宋体" w:eastAsia="宋体" w:cs="宋体"/>
                <w:b/>
                <w:bCs/>
                <w:color w:val="auto"/>
                <w:sz w:val="22"/>
                <w:szCs w:val="22"/>
                <w:highlight w:val="none"/>
                <w:lang w:val="pt-BR" w:eastAsia="zh-CN"/>
              </w:rPr>
              <w:t>）供货业绩，按下列情况评分，满分20分：</w:t>
            </w:r>
          </w:p>
          <w:p w14:paraId="13193469">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pt-BR" w:eastAsia="zh-CN"/>
              </w:rPr>
              <w:t>（1）项目服务合同中，单个</w:t>
            </w:r>
            <w:r>
              <w:rPr>
                <w:rFonts w:hint="eastAsia" w:ascii="宋体" w:hAnsi="宋体" w:cs="宋体"/>
                <w:color w:val="auto"/>
                <w:sz w:val="22"/>
                <w:szCs w:val="22"/>
                <w:highlight w:val="none"/>
                <w:lang w:val="en-US" w:eastAsia="zh-CN"/>
              </w:rPr>
              <w:t>合同</w:t>
            </w:r>
            <w:r>
              <w:rPr>
                <w:rFonts w:hint="eastAsia" w:ascii="宋体" w:hAnsi="宋体" w:eastAsia="宋体" w:cs="宋体"/>
                <w:color w:val="auto"/>
                <w:sz w:val="22"/>
                <w:szCs w:val="22"/>
                <w:highlight w:val="none"/>
                <w:lang w:val="pt-BR" w:eastAsia="zh-CN"/>
              </w:rPr>
              <w:t>年度</w:t>
            </w:r>
            <w:r>
              <w:rPr>
                <w:rFonts w:hint="eastAsia" w:ascii="宋体" w:hAnsi="宋体" w:cs="宋体"/>
                <w:color w:val="auto"/>
                <w:sz w:val="22"/>
                <w:szCs w:val="22"/>
                <w:highlight w:val="none"/>
                <w:lang w:val="pt-BR" w:eastAsia="zh-CN"/>
              </w:rPr>
              <w:t>海鲜水产类</w:t>
            </w:r>
            <w:r>
              <w:rPr>
                <w:rFonts w:hint="eastAsia" w:ascii="宋体" w:hAnsi="宋体" w:eastAsia="宋体" w:cs="宋体"/>
                <w:color w:val="auto"/>
                <w:sz w:val="22"/>
                <w:szCs w:val="22"/>
                <w:highlight w:val="none"/>
                <w:lang w:val="pt-BR" w:eastAsia="zh-CN"/>
              </w:rPr>
              <w:t>配送总金额≥</w:t>
            </w:r>
            <w:r>
              <w:rPr>
                <w:rFonts w:hint="eastAsia" w:ascii="宋体" w:hAnsi="宋体" w:cs="宋体"/>
                <w:color w:val="auto"/>
                <w:sz w:val="22"/>
                <w:szCs w:val="22"/>
                <w:highlight w:val="none"/>
                <w:lang w:val="en-US" w:eastAsia="zh-CN"/>
              </w:rPr>
              <w:t>8</w:t>
            </w:r>
            <w:r>
              <w:rPr>
                <w:rFonts w:hint="eastAsia" w:ascii="宋体" w:hAnsi="宋体" w:eastAsia="宋体" w:cs="宋体"/>
                <w:color w:val="auto"/>
                <w:sz w:val="22"/>
                <w:szCs w:val="22"/>
                <w:highlight w:val="none"/>
                <w:lang w:val="pt-BR" w:eastAsia="zh-CN"/>
              </w:rPr>
              <w:t>00万元的前述业绩，每份合</w:t>
            </w:r>
            <w:r>
              <w:rPr>
                <w:rFonts w:hint="eastAsia" w:ascii="宋体" w:hAnsi="宋体" w:eastAsia="宋体" w:cs="宋体"/>
                <w:color w:val="auto"/>
                <w:sz w:val="22"/>
                <w:szCs w:val="22"/>
                <w:highlight w:val="none"/>
                <w:lang w:val="en-US" w:eastAsia="zh-CN"/>
              </w:rPr>
              <w:t>同</w:t>
            </w:r>
            <w:r>
              <w:rPr>
                <w:rFonts w:hint="eastAsia" w:ascii="宋体" w:hAnsi="宋体" w:eastAsia="宋体" w:cs="宋体"/>
                <w:color w:val="auto"/>
                <w:sz w:val="22"/>
                <w:szCs w:val="22"/>
                <w:highlight w:val="none"/>
                <w:lang w:val="pt-BR" w:eastAsia="zh-CN"/>
              </w:rPr>
              <w:t>得</w:t>
            </w:r>
            <w:r>
              <w:rPr>
                <w:rFonts w:hint="eastAsia" w:ascii="宋体" w:hAnsi="宋体" w:eastAsia="宋体" w:cs="宋体"/>
                <w:color w:val="auto"/>
                <w:sz w:val="22"/>
                <w:szCs w:val="22"/>
                <w:highlight w:val="none"/>
                <w:lang w:val="en-US" w:eastAsia="zh-CN"/>
              </w:rPr>
              <w:t>4</w:t>
            </w:r>
            <w:r>
              <w:rPr>
                <w:rFonts w:hint="eastAsia" w:ascii="宋体" w:hAnsi="宋体" w:eastAsia="宋体" w:cs="宋体"/>
                <w:color w:val="auto"/>
                <w:sz w:val="22"/>
                <w:szCs w:val="22"/>
                <w:highlight w:val="none"/>
                <w:lang w:val="pt-BR" w:eastAsia="zh-CN"/>
              </w:rPr>
              <w:t>分</w:t>
            </w:r>
            <w:r>
              <w:rPr>
                <w:rFonts w:hint="eastAsia" w:ascii="宋体" w:hAnsi="宋体" w:eastAsia="宋体" w:cs="宋体"/>
                <w:color w:val="auto"/>
                <w:sz w:val="22"/>
                <w:szCs w:val="22"/>
                <w:highlight w:val="none"/>
                <w:lang w:val="en-US" w:eastAsia="zh-CN"/>
              </w:rPr>
              <w:t>；</w:t>
            </w:r>
          </w:p>
          <w:p w14:paraId="4F8F7F90">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（2）</w:t>
            </w:r>
            <w:r>
              <w:rPr>
                <w:rFonts w:hint="eastAsia" w:ascii="宋体" w:hAnsi="宋体" w:eastAsia="宋体" w:cs="宋体"/>
                <w:color w:val="auto"/>
                <w:sz w:val="22"/>
                <w:szCs w:val="22"/>
                <w:highlight w:val="none"/>
                <w:lang w:val="pt-BR" w:eastAsia="zh-CN"/>
              </w:rPr>
              <w:t>项目服务</w:t>
            </w:r>
            <w:r>
              <w:rPr>
                <w:rFonts w:hint="eastAsia" w:ascii="宋体" w:hAnsi="宋体" w:eastAsia="宋体" w:cs="宋体"/>
                <w:color w:val="auto"/>
                <w:sz w:val="22"/>
                <w:szCs w:val="22"/>
                <w:highlight w:val="none"/>
                <w:lang w:val="en-US" w:eastAsia="zh-CN"/>
              </w:rPr>
              <w:t>合同中，</w:t>
            </w:r>
            <w:r>
              <w:rPr>
                <w:rFonts w:hint="eastAsia" w:ascii="宋体" w:hAnsi="宋体" w:cs="宋体"/>
                <w:color w:val="auto"/>
                <w:sz w:val="22"/>
                <w:szCs w:val="22"/>
                <w:highlight w:val="none"/>
                <w:lang w:val="en-US" w:eastAsia="zh-CN"/>
              </w:rPr>
              <w:t>60</w:t>
            </w:r>
            <w:r>
              <w:rPr>
                <w:rFonts w:hint="eastAsia" w:ascii="宋体" w:hAnsi="宋体" w:eastAsia="宋体" w:cs="宋体"/>
                <w:color w:val="auto"/>
                <w:sz w:val="22"/>
                <w:szCs w:val="22"/>
                <w:highlight w:val="none"/>
                <w:lang w:val="en-US" w:eastAsia="zh-CN"/>
              </w:rPr>
              <w:t>0</w:t>
            </w:r>
            <w:r>
              <w:rPr>
                <w:rFonts w:hint="eastAsia" w:ascii="宋体" w:hAnsi="宋体" w:eastAsia="宋体" w:cs="宋体"/>
                <w:color w:val="auto"/>
                <w:sz w:val="22"/>
                <w:szCs w:val="22"/>
                <w:highlight w:val="none"/>
                <w:lang w:val="pt-BR" w:eastAsia="zh-CN"/>
              </w:rPr>
              <w:t>万元</w:t>
            </w:r>
            <w:r>
              <w:rPr>
                <w:rFonts w:hint="eastAsia" w:ascii="宋体" w:hAnsi="宋体" w:cs="宋体"/>
                <w:color w:val="auto"/>
                <w:sz w:val="22"/>
                <w:szCs w:val="22"/>
                <w:highlight w:val="none"/>
                <w:lang w:val="en-US" w:eastAsia="zh-CN"/>
              </w:rPr>
              <w:t>≤</w:t>
            </w:r>
            <w:r>
              <w:rPr>
                <w:rFonts w:hint="eastAsia" w:ascii="宋体" w:hAnsi="宋体" w:eastAsia="宋体" w:cs="宋体"/>
                <w:color w:val="auto"/>
                <w:sz w:val="22"/>
                <w:szCs w:val="22"/>
                <w:highlight w:val="none"/>
                <w:lang w:val="en-US" w:eastAsia="zh-CN"/>
              </w:rPr>
              <w:t>单个年度</w:t>
            </w:r>
            <w:r>
              <w:rPr>
                <w:rFonts w:hint="eastAsia" w:ascii="宋体" w:hAnsi="宋体" w:cs="宋体"/>
                <w:color w:val="auto"/>
                <w:sz w:val="22"/>
                <w:szCs w:val="22"/>
                <w:highlight w:val="none"/>
                <w:lang w:val="en-US" w:eastAsia="zh-CN"/>
              </w:rPr>
              <w:t>海鲜水产类</w:t>
            </w:r>
            <w:r>
              <w:rPr>
                <w:rFonts w:hint="eastAsia" w:ascii="宋体" w:hAnsi="宋体" w:eastAsia="宋体" w:cs="宋体"/>
                <w:color w:val="auto"/>
                <w:sz w:val="22"/>
                <w:szCs w:val="22"/>
                <w:highlight w:val="none"/>
                <w:lang w:val="en-US" w:eastAsia="zh-CN"/>
              </w:rPr>
              <w:t>配送</w:t>
            </w:r>
            <w:r>
              <w:rPr>
                <w:rFonts w:hint="eastAsia" w:ascii="宋体" w:hAnsi="宋体" w:eastAsia="宋体" w:cs="宋体"/>
                <w:color w:val="auto"/>
                <w:sz w:val="22"/>
                <w:szCs w:val="22"/>
                <w:highlight w:val="none"/>
                <w:lang w:val="pt-BR" w:eastAsia="zh-CN"/>
              </w:rPr>
              <w:t>总金额</w:t>
            </w:r>
            <w:r>
              <w:rPr>
                <w:rFonts w:hint="eastAsia" w:ascii="宋体" w:hAnsi="宋体" w:cs="宋体"/>
                <w:color w:val="auto"/>
                <w:sz w:val="22"/>
                <w:szCs w:val="22"/>
                <w:highlight w:val="none"/>
                <w:lang w:val="en-US" w:eastAsia="zh-CN"/>
              </w:rPr>
              <w:t>＜8</w:t>
            </w:r>
            <w:r>
              <w:rPr>
                <w:rFonts w:hint="eastAsia" w:ascii="宋体" w:hAnsi="宋体" w:eastAsia="宋体" w:cs="宋体"/>
                <w:color w:val="auto"/>
                <w:sz w:val="22"/>
                <w:szCs w:val="22"/>
                <w:highlight w:val="none"/>
                <w:lang w:val="en-US" w:eastAsia="zh-CN"/>
              </w:rPr>
              <w:t>00</w:t>
            </w:r>
            <w:r>
              <w:rPr>
                <w:rFonts w:hint="eastAsia" w:ascii="宋体" w:hAnsi="宋体" w:eastAsia="宋体" w:cs="宋体"/>
                <w:color w:val="auto"/>
                <w:sz w:val="22"/>
                <w:szCs w:val="22"/>
                <w:highlight w:val="none"/>
                <w:lang w:val="pt-BR" w:eastAsia="zh-CN"/>
              </w:rPr>
              <w:t>万元，每</w:t>
            </w:r>
            <w:r>
              <w:rPr>
                <w:rFonts w:hint="eastAsia" w:ascii="宋体" w:hAnsi="宋体" w:eastAsia="宋体" w:cs="宋体"/>
                <w:color w:val="auto"/>
                <w:sz w:val="22"/>
                <w:szCs w:val="22"/>
                <w:highlight w:val="none"/>
                <w:lang w:val="en-US" w:eastAsia="zh-CN"/>
              </w:rPr>
              <w:t>份合同</w:t>
            </w:r>
            <w:r>
              <w:rPr>
                <w:rFonts w:hint="eastAsia" w:ascii="宋体" w:hAnsi="宋体" w:eastAsia="宋体" w:cs="宋体"/>
                <w:color w:val="auto"/>
                <w:sz w:val="22"/>
                <w:szCs w:val="22"/>
                <w:highlight w:val="none"/>
                <w:lang w:val="pt-BR" w:eastAsia="zh-CN"/>
              </w:rPr>
              <w:t>得</w:t>
            </w:r>
            <w:r>
              <w:rPr>
                <w:rFonts w:hint="eastAsia" w:ascii="宋体" w:hAnsi="宋体" w:cs="宋体"/>
                <w:color w:val="auto"/>
                <w:sz w:val="22"/>
                <w:szCs w:val="22"/>
                <w:highlight w:val="none"/>
                <w:lang w:val="en-US" w:eastAsia="zh-CN"/>
              </w:rPr>
              <w:t>3</w:t>
            </w:r>
            <w:r>
              <w:rPr>
                <w:rFonts w:hint="eastAsia" w:ascii="宋体" w:hAnsi="宋体" w:eastAsia="宋体" w:cs="宋体"/>
                <w:color w:val="auto"/>
                <w:sz w:val="22"/>
                <w:szCs w:val="22"/>
                <w:highlight w:val="none"/>
                <w:lang w:val="pt-BR" w:eastAsia="zh-CN"/>
              </w:rPr>
              <w:t>分</w:t>
            </w:r>
            <w:r>
              <w:rPr>
                <w:rFonts w:hint="eastAsia" w:ascii="宋体" w:hAnsi="宋体" w:eastAsia="宋体" w:cs="宋体"/>
                <w:color w:val="auto"/>
                <w:sz w:val="22"/>
                <w:szCs w:val="22"/>
                <w:highlight w:val="none"/>
                <w:lang w:val="en-US" w:eastAsia="zh-CN"/>
              </w:rPr>
              <w:t>；</w:t>
            </w:r>
          </w:p>
          <w:p w14:paraId="3E4E6224">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pt-BR" w:eastAsia="zh-CN"/>
              </w:rPr>
              <w:t>（</w:t>
            </w:r>
            <w:r>
              <w:rPr>
                <w:rFonts w:hint="eastAsia" w:ascii="宋体" w:hAnsi="宋体" w:cs="宋体"/>
                <w:color w:val="auto"/>
                <w:sz w:val="22"/>
                <w:szCs w:val="22"/>
                <w:highlight w:val="none"/>
                <w:lang w:val="en-US" w:eastAsia="zh-CN"/>
              </w:rPr>
              <w:t>3</w:t>
            </w:r>
            <w:r>
              <w:rPr>
                <w:rFonts w:hint="eastAsia" w:ascii="宋体" w:hAnsi="宋体" w:eastAsia="宋体" w:cs="宋体"/>
                <w:color w:val="auto"/>
                <w:sz w:val="22"/>
                <w:szCs w:val="22"/>
                <w:highlight w:val="none"/>
                <w:lang w:val="pt-BR" w:eastAsia="zh-CN"/>
              </w:rPr>
              <w:t>）项目服务</w:t>
            </w:r>
            <w:r>
              <w:rPr>
                <w:rFonts w:hint="eastAsia" w:ascii="宋体" w:hAnsi="宋体" w:eastAsia="宋体" w:cs="宋体"/>
                <w:color w:val="auto"/>
                <w:sz w:val="22"/>
                <w:szCs w:val="22"/>
                <w:highlight w:val="none"/>
                <w:lang w:val="en-US" w:eastAsia="zh-CN"/>
              </w:rPr>
              <w:t>合同中，</w:t>
            </w:r>
            <w:r>
              <w:rPr>
                <w:rFonts w:hint="eastAsia" w:ascii="宋体" w:hAnsi="宋体" w:cs="宋体"/>
                <w:color w:val="auto"/>
                <w:sz w:val="22"/>
                <w:szCs w:val="22"/>
                <w:highlight w:val="none"/>
                <w:lang w:val="en-US" w:eastAsia="zh-CN"/>
              </w:rPr>
              <w:t>40</w:t>
            </w:r>
            <w:r>
              <w:rPr>
                <w:rFonts w:hint="eastAsia" w:ascii="宋体" w:hAnsi="宋体" w:eastAsia="宋体" w:cs="宋体"/>
                <w:color w:val="auto"/>
                <w:sz w:val="22"/>
                <w:szCs w:val="22"/>
                <w:highlight w:val="none"/>
                <w:lang w:val="en-US" w:eastAsia="zh-CN"/>
              </w:rPr>
              <w:t>0</w:t>
            </w:r>
            <w:r>
              <w:rPr>
                <w:rFonts w:hint="eastAsia" w:ascii="宋体" w:hAnsi="宋体" w:eastAsia="宋体" w:cs="宋体"/>
                <w:color w:val="auto"/>
                <w:sz w:val="22"/>
                <w:szCs w:val="22"/>
                <w:highlight w:val="none"/>
                <w:lang w:val="pt-BR" w:eastAsia="zh-CN"/>
              </w:rPr>
              <w:t>万元</w:t>
            </w:r>
            <w:r>
              <w:rPr>
                <w:rFonts w:hint="eastAsia" w:ascii="宋体" w:hAnsi="宋体" w:cs="宋体"/>
                <w:color w:val="auto"/>
                <w:sz w:val="22"/>
                <w:szCs w:val="22"/>
                <w:highlight w:val="none"/>
                <w:lang w:val="en-US" w:eastAsia="zh-CN"/>
              </w:rPr>
              <w:t>≤</w:t>
            </w:r>
            <w:r>
              <w:rPr>
                <w:rFonts w:hint="eastAsia" w:ascii="宋体" w:hAnsi="宋体" w:eastAsia="宋体" w:cs="宋体"/>
                <w:color w:val="auto"/>
                <w:sz w:val="22"/>
                <w:szCs w:val="22"/>
                <w:highlight w:val="none"/>
                <w:lang w:val="en-US" w:eastAsia="zh-CN"/>
              </w:rPr>
              <w:t>单个年度</w:t>
            </w:r>
            <w:r>
              <w:rPr>
                <w:rFonts w:hint="eastAsia" w:ascii="宋体" w:hAnsi="宋体" w:cs="宋体"/>
                <w:color w:val="auto"/>
                <w:sz w:val="22"/>
                <w:szCs w:val="22"/>
                <w:highlight w:val="none"/>
                <w:lang w:val="en-US" w:eastAsia="zh-CN"/>
              </w:rPr>
              <w:t>海鲜水产类</w:t>
            </w:r>
            <w:r>
              <w:rPr>
                <w:rFonts w:hint="eastAsia" w:ascii="宋体" w:hAnsi="宋体" w:eastAsia="宋体" w:cs="宋体"/>
                <w:color w:val="auto"/>
                <w:sz w:val="22"/>
                <w:szCs w:val="22"/>
                <w:highlight w:val="none"/>
                <w:lang w:val="en-US" w:eastAsia="zh-CN"/>
              </w:rPr>
              <w:t>配送</w:t>
            </w:r>
            <w:r>
              <w:rPr>
                <w:rFonts w:hint="eastAsia" w:ascii="宋体" w:hAnsi="宋体" w:eastAsia="宋体" w:cs="宋体"/>
                <w:color w:val="auto"/>
                <w:sz w:val="22"/>
                <w:szCs w:val="22"/>
                <w:highlight w:val="none"/>
                <w:lang w:val="pt-BR" w:eastAsia="zh-CN"/>
              </w:rPr>
              <w:t>总金额</w:t>
            </w:r>
            <w:r>
              <w:rPr>
                <w:rFonts w:hint="eastAsia" w:ascii="宋体" w:hAnsi="宋体" w:cs="宋体"/>
                <w:color w:val="auto"/>
                <w:sz w:val="22"/>
                <w:szCs w:val="22"/>
                <w:highlight w:val="none"/>
                <w:lang w:val="en-US" w:eastAsia="zh-CN"/>
              </w:rPr>
              <w:t>＜6</w:t>
            </w:r>
            <w:r>
              <w:rPr>
                <w:rFonts w:hint="eastAsia" w:ascii="宋体" w:hAnsi="宋体" w:eastAsia="宋体" w:cs="宋体"/>
                <w:color w:val="auto"/>
                <w:sz w:val="22"/>
                <w:szCs w:val="22"/>
                <w:highlight w:val="none"/>
                <w:lang w:val="en-US" w:eastAsia="zh-CN"/>
              </w:rPr>
              <w:t>00</w:t>
            </w:r>
            <w:r>
              <w:rPr>
                <w:rFonts w:hint="eastAsia" w:ascii="宋体" w:hAnsi="宋体" w:eastAsia="宋体" w:cs="宋体"/>
                <w:color w:val="auto"/>
                <w:sz w:val="22"/>
                <w:szCs w:val="22"/>
                <w:highlight w:val="none"/>
                <w:lang w:val="pt-BR" w:eastAsia="zh-CN"/>
              </w:rPr>
              <w:t>万元，每份合</w:t>
            </w:r>
            <w:r>
              <w:rPr>
                <w:rFonts w:hint="eastAsia" w:ascii="宋体" w:hAnsi="宋体" w:eastAsia="宋体" w:cs="宋体"/>
                <w:color w:val="auto"/>
                <w:sz w:val="22"/>
                <w:szCs w:val="22"/>
                <w:highlight w:val="none"/>
                <w:lang w:val="en-US" w:eastAsia="zh-CN"/>
              </w:rPr>
              <w:t>同</w:t>
            </w:r>
            <w:r>
              <w:rPr>
                <w:rFonts w:hint="eastAsia" w:ascii="宋体" w:hAnsi="宋体" w:eastAsia="宋体" w:cs="宋体"/>
                <w:color w:val="auto"/>
                <w:sz w:val="22"/>
                <w:szCs w:val="22"/>
                <w:highlight w:val="none"/>
                <w:lang w:val="pt-BR" w:eastAsia="zh-CN"/>
              </w:rPr>
              <w:t>得</w:t>
            </w:r>
            <w:r>
              <w:rPr>
                <w:rFonts w:hint="eastAsia" w:ascii="宋体" w:hAnsi="宋体" w:cs="宋体"/>
                <w:color w:val="auto"/>
                <w:sz w:val="22"/>
                <w:szCs w:val="22"/>
                <w:highlight w:val="none"/>
                <w:lang w:val="en-US" w:eastAsia="zh-CN"/>
              </w:rPr>
              <w:t>2</w:t>
            </w:r>
            <w:r>
              <w:rPr>
                <w:rFonts w:hint="eastAsia" w:ascii="宋体" w:hAnsi="宋体" w:eastAsia="宋体" w:cs="宋体"/>
                <w:color w:val="auto"/>
                <w:sz w:val="22"/>
                <w:szCs w:val="22"/>
                <w:highlight w:val="none"/>
                <w:lang w:val="pt-BR" w:eastAsia="zh-CN"/>
              </w:rPr>
              <w:t>分</w:t>
            </w:r>
            <w:r>
              <w:rPr>
                <w:rFonts w:hint="eastAsia" w:ascii="宋体" w:hAnsi="宋体" w:eastAsia="宋体" w:cs="宋体"/>
                <w:color w:val="auto"/>
                <w:sz w:val="22"/>
                <w:szCs w:val="22"/>
                <w:highlight w:val="none"/>
                <w:lang w:val="en-US" w:eastAsia="zh-CN"/>
              </w:rPr>
              <w:t>；</w:t>
            </w:r>
          </w:p>
          <w:p w14:paraId="34B7ECEA">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w:t>
            </w:r>
            <w:r>
              <w:rPr>
                <w:rFonts w:hint="eastAsia" w:ascii="宋体" w:hAnsi="宋体" w:cs="宋体"/>
                <w:color w:val="auto"/>
                <w:sz w:val="22"/>
                <w:szCs w:val="22"/>
                <w:highlight w:val="none"/>
                <w:lang w:val="en-US" w:eastAsia="zh-CN"/>
              </w:rPr>
              <w:t>4</w:t>
            </w:r>
            <w:r>
              <w:rPr>
                <w:rFonts w:hint="eastAsia" w:ascii="宋体" w:hAnsi="宋体" w:eastAsia="宋体" w:cs="宋体"/>
                <w:color w:val="auto"/>
                <w:sz w:val="22"/>
                <w:szCs w:val="22"/>
                <w:highlight w:val="none"/>
                <w:lang w:val="en-US" w:eastAsia="zh-CN"/>
              </w:rPr>
              <w:t>）</w:t>
            </w:r>
            <w:r>
              <w:rPr>
                <w:rFonts w:hint="eastAsia" w:ascii="宋体" w:hAnsi="宋体" w:eastAsia="宋体" w:cs="宋体"/>
                <w:color w:val="auto"/>
                <w:sz w:val="22"/>
                <w:szCs w:val="22"/>
                <w:highlight w:val="none"/>
                <w:lang w:val="pt-BR" w:eastAsia="zh-CN"/>
              </w:rPr>
              <w:t>项目服务</w:t>
            </w:r>
            <w:r>
              <w:rPr>
                <w:rFonts w:hint="eastAsia" w:ascii="宋体" w:hAnsi="宋体" w:eastAsia="宋体" w:cs="宋体"/>
                <w:color w:val="auto"/>
                <w:sz w:val="22"/>
                <w:szCs w:val="22"/>
                <w:highlight w:val="none"/>
                <w:lang w:val="en-US" w:eastAsia="zh-CN"/>
              </w:rPr>
              <w:t>合同中，</w:t>
            </w:r>
            <w:r>
              <w:rPr>
                <w:rFonts w:hint="eastAsia" w:ascii="宋体" w:hAnsi="宋体" w:cs="宋体"/>
                <w:color w:val="auto"/>
                <w:sz w:val="22"/>
                <w:szCs w:val="22"/>
                <w:highlight w:val="none"/>
                <w:lang w:val="en-US" w:eastAsia="zh-CN"/>
              </w:rPr>
              <w:t>30</w:t>
            </w:r>
            <w:r>
              <w:rPr>
                <w:rFonts w:hint="eastAsia" w:ascii="宋体" w:hAnsi="宋体" w:eastAsia="宋体" w:cs="宋体"/>
                <w:color w:val="auto"/>
                <w:sz w:val="22"/>
                <w:szCs w:val="22"/>
                <w:highlight w:val="none"/>
                <w:lang w:val="en-US" w:eastAsia="zh-CN"/>
              </w:rPr>
              <w:t>0</w:t>
            </w:r>
            <w:r>
              <w:rPr>
                <w:rFonts w:hint="eastAsia" w:ascii="宋体" w:hAnsi="宋体" w:eastAsia="宋体" w:cs="宋体"/>
                <w:color w:val="auto"/>
                <w:sz w:val="22"/>
                <w:szCs w:val="22"/>
                <w:highlight w:val="none"/>
                <w:lang w:val="pt-BR" w:eastAsia="zh-CN"/>
              </w:rPr>
              <w:t>万元</w:t>
            </w:r>
            <w:r>
              <w:rPr>
                <w:rFonts w:hint="eastAsia" w:ascii="宋体" w:hAnsi="宋体" w:cs="宋体"/>
                <w:color w:val="auto"/>
                <w:sz w:val="22"/>
                <w:szCs w:val="22"/>
                <w:highlight w:val="none"/>
                <w:lang w:val="en-US" w:eastAsia="zh-CN"/>
              </w:rPr>
              <w:t>≤</w:t>
            </w:r>
            <w:r>
              <w:rPr>
                <w:rFonts w:hint="eastAsia" w:ascii="宋体" w:hAnsi="宋体" w:eastAsia="宋体" w:cs="宋体"/>
                <w:color w:val="auto"/>
                <w:sz w:val="22"/>
                <w:szCs w:val="22"/>
                <w:highlight w:val="none"/>
                <w:lang w:val="en-US" w:eastAsia="zh-CN"/>
              </w:rPr>
              <w:t>单个年度</w:t>
            </w:r>
            <w:r>
              <w:rPr>
                <w:rFonts w:hint="eastAsia" w:ascii="宋体" w:hAnsi="宋体" w:cs="宋体"/>
                <w:color w:val="auto"/>
                <w:sz w:val="22"/>
                <w:szCs w:val="22"/>
                <w:highlight w:val="none"/>
                <w:lang w:val="en-US" w:eastAsia="zh-CN"/>
              </w:rPr>
              <w:t>海鲜水产类</w:t>
            </w:r>
            <w:r>
              <w:rPr>
                <w:rFonts w:hint="eastAsia" w:ascii="宋体" w:hAnsi="宋体" w:eastAsia="宋体" w:cs="宋体"/>
                <w:color w:val="auto"/>
                <w:sz w:val="22"/>
                <w:szCs w:val="22"/>
                <w:highlight w:val="none"/>
                <w:lang w:val="en-US" w:eastAsia="zh-CN"/>
              </w:rPr>
              <w:t>配送</w:t>
            </w:r>
            <w:r>
              <w:rPr>
                <w:rFonts w:hint="eastAsia" w:ascii="宋体" w:hAnsi="宋体" w:eastAsia="宋体" w:cs="宋体"/>
                <w:color w:val="auto"/>
                <w:sz w:val="22"/>
                <w:szCs w:val="22"/>
                <w:highlight w:val="none"/>
                <w:lang w:val="pt-BR" w:eastAsia="zh-CN"/>
              </w:rPr>
              <w:t>总金额</w:t>
            </w:r>
            <w:r>
              <w:rPr>
                <w:rFonts w:hint="eastAsia" w:ascii="宋体" w:hAnsi="宋体" w:cs="宋体"/>
                <w:color w:val="auto"/>
                <w:sz w:val="22"/>
                <w:szCs w:val="22"/>
                <w:highlight w:val="none"/>
                <w:lang w:val="en-US" w:eastAsia="zh-CN"/>
              </w:rPr>
              <w:t>＜4</w:t>
            </w:r>
            <w:r>
              <w:rPr>
                <w:rFonts w:hint="eastAsia" w:ascii="宋体" w:hAnsi="宋体" w:eastAsia="宋体" w:cs="宋体"/>
                <w:color w:val="auto"/>
                <w:sz w:val="22"/>
                <w:szCs w:val="22"/>
                <w:highlight w:val="none"/>
                <w:lang w:val="en-US" w:eastAsia="zh-CN"/>
              </w:rPr>
              <w:t>00</w:t>
            </w:r>
            <w:r>
              <w:rPr>
                <w:rFonts w:hint="eastAsia" w:ascii="宋体" w:hAnsi="宋体" w:eastAsia="宋体" w:cs="宋体"/>
                <w:color w:val="auto"/>
                <w:sz w:val="22"/>
                <w:szCs w:val="22"/>
                <w:highlight w:val="none"/>
                <w:lang w:val="pt-BR" w:eastAsia="zh-CN"/>
              </w:rPr>
              <w:t>万元，每</w:t>
            </w:r>
            <w:r>
              <w:rPr>
                <w:rFonts w:hint="eastAsia" w:ascii="宋体" w:hAnsi="宋体" w:eastAsia="宋体" w:cs="宋体"/>
                <w:color w:val="auto"/>
                <w:sz w:val="22"/>
                <w:szCs w:val="22"/>
                <w:highlight w:val="none"/>
                <w:lang w:val="en-US" w:eastAsia="zh-CN"/>
              </w:rPr>
              <w:t>份合同</w:t>
            </w:r>
            <w:r>
              <w:rPr>
                <w:rFonts w:hint="eastAsia" w:ascii="宋体" w:hAnsi="宋体" w:eastAsia="宋体" w:cs="宋体"/>
                <w:color w:val="auto"/>
                <w:sz w:val="22"/>
                <w:szCs w:val="22"/>
                <w:highlight w:val="none"/>
                <w:lang w:val="pt-BR" w:eastAsia="zh-CN"/>
              </w:rPr>
              <w:t>得</w:t>
            </w:r>
            <w:r>
              <w:rPr>
                <w:rFonts w:hint="eastAsia" w:ascii="宋体" w:hAnsi="宋体" w:cs="宋体"/>
                <w:color w:val="auto"/>
                <w:sz w:val="22"/>
                <w:szCs w:val="22"/>
                <w:highlight w:val="none"/>
                <w:lang w:val="en-US" w:eastAsia="zh-CN"/>
              </w:rPr>
              <w:t>1.5</w:t>
            </w:r>
            <w:r>
              <w:rPr>
                <w:rFonts w:hint="eastAsia" w:ascii="宋体" w:hAnsi="宋体" w:eastAsia="宋体" w:cs="宋体"/>
                <w:color w:val="auto"/>
                <w:sz w:val="22"/>
                <w:szCs w:val="22"/>
                <w:highlight w:val="none"/>
                <w:lang w:val="pt-BR" w:eastAsia="zh-CN"/>
              </w:rPr>
              <w:t>分</w:t>
            </w:r>
            <w:r>
              <w:rPr>
                <w:rFonts w:hint="eastAsia" w:ascii="宋体" w:hAnsi="宋体" w:eastAsia="宋体" w:cs="宋体"/>
                <w:color w:val="auto"/>
                <w:sz w:val="22"/>
                <w:szCs w:val="22"/>
                <w:highlight w:val="none"/>
                <w:lang w:val="en-US" w:eastAsia="zh-CN"/>
              </w:rPr>
              <w:t>；</w:t>
            </w:r>
          </w:p>
          <w:p w14:paraId="13523B30">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w:t>
            </w:r>
            <w:r>
              <w:rPr>
                <w:rFonts w:hint="eastAsia" w:ascii="宋体" w:hAnsi="宋体" w:cs="宋体"/>
                <w:color w:val="auto"/>
                <w:sz w:val="22"/>
                <w:szCs w:val="22"/>
                <w:highlight w:val="none"/>
                <w:lang w:val="en-US" w:eastAsia="zh-CN"/>
              </w:rPr>
              <w:t>5</w:t>
            </w:r>
            <w:r>
              <w:rPr>
                <w:rFonts w:hint="eastAsia" w:ascii="宋体" w:hAnsi="宋体" w:eastAsia="宋体" w:cs="宋体"/>
                <w:color w:val="auto"/>
                <w:sz w:val="22"/>
                <w:szCs w:val="22"/>
                <w:highlight w:val="none"/>
                <w:lang w:val="en-US" w:eastAsia="zh-CN"/>
              </w:rPr>
              <w:t>）</w:t>
            </w:r>
            <w:r>
              <w:rPr>
                <w:rFonts w:hint="eastAsia" w:ascii="宋体" w:hAnsi="宋体" w:eastAsia="宋体" w:cs="宋体"/>
                <w:color w:val="auto"/>
                <w:sz w:val="22"/>
                <w:szCs w:val="22"/>
                <w:highlight w:val="none"/>
                <w:lang w:val="pt-BR" w:eastAsia="zh-CN"/>
              </w:rPr>
              <w:t>项目服务</w:t>
            </w:r>
            <w:r>
              <w:rPr>
                <w:rFonts w:hint="eastAsia" w:ascii="宋体" w:hAnsi="宋体" w:eastAsia="宋体" w:cs="宋体"/>
                <w:color w:val="auto"/>
                <w:sz w:val="22"/>
                <w:szCs w:val="22"/>
                <w:highlight w:val="none"/>
                <w:lang w:val="en-US" w:eastAsia="zh-CN"/>
              </w:rPr>
              <w:t>合同中，</w:t>
            </w:r>
            <w:r>
              <w:rPr>
                <w:rFonts w:hint="eastAsia" w:ascii="宋体" w:hAnsi="宋体" w:cs="宋体"/>
                <w:color w:val="auto"/>
                <w:sz w:val="22"/>
                <w:szCs w:val="22"/>
                <w:highlight w:val="none"/>
                <w:lang w:val="en-US" w:eastAsia="zh-CN"/>
              </w:rPr>
              <w:t>20</w:t>
            </w:r>
            <w:r>
              <w:rPr>
                <w:rFonts w:hint="eastAsia" w:ascii="宋体" w:hAnsi="宋体" w:eastAsia="宋体" w:cs="宋体"/>
                <w:color w:val="auto"/>
                <w:sz w:val="22"/>
                <w:szCs w:val="22"/>
                <w:highlight w:val="none"/>
                <w:lang w:val="en-US" w:eastAsia="zh-CN"/>
              </w:rPr>
              <w:t>0</w:t>
            </w:r>
            <w:r>
              <w:rPr>
                <w:rFonts w:hint="eastAsia" w:ascii="宋体" w:hAnsi="宋体" w:eastAsia="宋体" w:cs="宋体"/>
                <w:color w:val="auto"/>
                <w:sz w:val="22"/>
                <w:szCs w:val="22"/>
                <w:highlight w:val="none"/>
                <w:lang w:val="pt-BR" w:eastAsia="zh-CN"/>
              </w:rPr>
              <w:t>万元</w:t>
            </w:r>
            <w:r>
              <w:rPr>
                <w:rFonts w:hint="eastAsia" w:ascii="宋体" w:hAnsi="宋体" w:cs="宋体"/>
                <w:color w:val="auto"/>
                <w:sz w:val="22"/>
                <w:szCs w:val="22"/>
                <w:highlight w:val="none"/>
                <w:lang w:val="en-US" w:eastAsia="zh-CN"/>
              </w:rPr>
              <w:t>≤</w:t>
            </w:r>
            <w:r>
              <w:rPr>
                <w:rFonts w:hint="eastAsia" w:ascii="宋体" w:hAnsi="宋体" w:eastAsia="宋体" w:cs="宋体"/>
                <w:color w:val="auto"/>
                <w:sz w:val="22"/>
                <w:szCs w:val="22"/>
                <w:highlight w:val="none"/>
                <w:lang w:val="en-US" w:eastAsia="zh-CN"/>
              </w:rPr>
              <w:t>单个年度</w:t>
            </w:r>
            <w:r>
              <w:rPr>
                <w:rFonts w:hint="eastAsia" w:ascii="宋体" w:hAnsi="宋体" w:cs="宋体"/>
                <w:color w:val="auto"/>
                <w:sz w:val="22"/>
                <w:szCs w:val="22"/>
                <w:highlight w:val="none"/>
                <w:lang w:val="en-US" w:eastAsia="zh-CN"/>
              </w:rPr>
              <w:t>海鲜水产类</w:t>
            </w:r>
            <w:r>
              <w:rPr>
                <w:rFonts w:hint="eastAsia" w:ascii="宋体" w:hAnsi="宋体" w:eastAsia="宋体" w:cs="宋体"/>
                <w:color w:val="auto"/>
                <w:sz w:val="22"/>
                <w:szCs w:val="22"/>
                <w:highlight w:val="none"/>
                <w:lang w:val="en-US" w:eastAsia="zh-CN"/>
              </w:rPr>
              <w:t>配送</w:t>
            </w:r>
            <w:r>
              <w:rPr>
                <w:rFonts w:hint="eastAsia" w:ascii="宋体" w:hAnsi="宋体" w:eastAsia="宋体" w:cs="宋体"/>
                <w:color w:val="auto"/>
                <w:sz w:val="22"/>
                <w:szCs w:val="22"/>
                <w:highlight w:val="none"/>
                <w:lang w:val="pt-BR" w:eastAsia="zh-CN"/>
              </w:rPr>
              <w:t>总金额</w:t>
            </w:r>
            <w:r>
              <w:rPr>
                <w:rFonts w:hint="eastAsia" w:ascii="宋体" w:hAnsi="宋体" w:cs="宋体"/>
                <w:color w:val="auto"/>
                <w:sz w:val="22"/>
                <w:szCs w:val="22"/>
                <w:highlight w:val="none"/>
                <w:lang w:val="en-US" w:eastAsia="zh-CN"/>
              </w:rPr>
              <w:t>＜3</w:t>
            </w:r>
            <w:r>
              <w:rPr>
                <w:rFonts w:hint="eastAsia" w:ascii="宋体" w:hAnsi="宋体" w:eastAsia="宋体" w:cs="宋体"/>
                <w:color w:val="auto"/>
                <w:sz w:val="22"/>
                <w:szCs w:val="22"/>
                <w:highlight w:val="none"/>
                <w:lang w:val="en-US" w:eastAsia="zh-CN"/>
              </w:rPr>
              <w:t>00</w:t>
            </w:r>
            <w:r>
              <w:rPr>
                <w:rFonts w:hint="eastAsia" w:ascii="宋体" w:hAnsi="宋体" w:eastAsia="宋体" w:cs="宋体"/>
                <w:color w:val="auto"/>
                <w:sz w:val="22"/>
                <w:szCs w:val="22"/>
                <w:highlight w:val="none"/>
                <w:lang w:val="pt-BR" w:eastAsia="zh-CN"/>
              </w:rPr>
              <w:t>万元，每</w:t>
            </w:r>
            <w:r>
              <w:rPr>
                <w:rFonts w:hint="eastAsia" w:ascii="宋体" w:hAnsi="宋体" w:eastAsia="宋体" w:cs="宋体"/>
                <w:color w:val="auto"/>
                <w:sz w:val="22"/>
                <w:szCs w:val="22"/>
                <w:highlight w:val="none"/>
                <w:lang w:val="en-US" w:eastAsia="zh-CN"/>
              </w:rPr>
              <w:t>份合同</w:t>
            </w:r>
            <w:r>
              <w:rPr>
                <w:rFonts w:hint="eastAsia" w:ascii="宋体" w:hAnsi="宋体" w:eastAsia="宋体" w:cs="宋体"/>
                <w:color w:val="auto"/>
                <w:sz w:val="22"/>
                <w:szCs w:val="22"/>
                <w:highlight w:val="none"/>
                <w:lang w:val="pt-BR" w:eastAsia="zh-CN"/>
              </w:rPr>
              <w:t>得</w:t>
            </w:r>
            <w:r>
              <w:rPr>
                <w:rFonts w:hint="eastAsia" w:ascii="宋体" w:hAnsi="宋体" w:cs="宋体"/>
                <w:color w:val="auto"/>
                <w:sz w:val="22"/>
                <w:szCs w:val="22"/>
                <w:highlight w:val="none"/>
                <w:lang w:val="en-US" w:eastAsia="zh-CN"/>
              </w:rPr>
              <w:t>1</w:t>
            </w:r>
            <w:r>
              <w:rPr>
                <w:rFonts w:hint="eastAsia" w:ascii="宋体" w:hAnsi="宋体" w:eastAsia="宋体" w:cs="宋体"/>
                <w:color w:val="auto"/>
                <w:sz w:val="22"/>
                <w:szCs w:val="22"/>
                <w:highlight w:val="none"/>
                <w:lang w:val="pt-BR" w:eastAsia="zh-CN"/>
              </w:rPr>
              <w:t>分</w:t>
            </w:r>
            <w:r>
              <w:rPr>
                <w:rFonts w:hint="eastAsia" w:ascii="宋体" w:hAnsi="宋体" w:eastAsia="宋体" w:cs="宋体"/>
                <w:color w:val="auto"/>
                <w:sz w:val="22"/>
                <w:szCs w:val="22"/>
                <w:highlight w:val="none"/>
                <w:lang w:val="en-US" w:eastAsia="zh-CN"/>
              </w:rPr>
              <w:t>；</w:t>
            </w:r>
          </w:p>
          <w:p w14:paraId="7F7B4724">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default" w:ascii="宋体" w:hAnsi="宋体" w:eastAsia="宋体" w:cs="宋体"/>
                <w:b w:val="0"/>
                <w:bCs w:val="0"/>
                <w:color w:val="auto"/>
                <w:sz w:val="22"/>
                <w:szCs w:val="22"/>
                <w:highlight w:val="none"/>
                <w:lang w:val="en-US" w:eastAsia="zh-CN"/>
              </w:rPr>
            </w:pPr>
            <w:r>
              <w:rPr>
                <w:rFonts w:hint="eastAsia" w:ascii="宋体" w:hAnsi="宋体" w:cs="宋体"/>
                <w:b w:val="0"/>
                <w:bCs w:val="0"/>
                <w:color w:val="auto"/>
                <w:sz w:val="22"/>
                <w:szCs w:val="22"/>
                <w:highlight w:val="none"/>
                <w:lang w:val="en-US" w:eastAsia="zh-CN"/>
              </w:rPr>
              <w:t>（6）其它情况不得分。</w:t>
            </w:r>
          </w:p>
          <w:p w14:paraId="71D411D7">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注：</w:t>
            </w:r>
          </w:p>
          <w:p w14:paraId="214D90F8">
            <w:pPr>
              <w:keepNext w:val="0"/>
              <w:keepLines w:val="0"/>
              <w:pageBreakBefore w:val="0"/>
              <w:widowControl/>
              <w:numPr>
                <w:ilvl w:val="0"/>
                <w:numId w:val="0"/>
              </w:numPr>
              <w:shd w:val="clear"/>
              <w:kinsoku/>
              <w:wordWrap/>
              <w:overflowPunct/>
              <w:topLinePunct w:val="0"/>
              <w:autoSpaceDE/>
              <w:autoSpaceDN/>
              <w:bidi w:val="0"/>
              <w:spacing w:after="0" w:line="440" w:lineRule="exact"/>
              <w:ind w:firstLine="0" w:firstLineChars="0"/>
              <w:textAlignment w:val="auto"/>
              <w:rPr>
                <w:rFonts w:hint="default" w:ascii="宋体" w:hAnsi="宋体" w:cs="宋体"/>
                <w:b/>
                <w:bCs/>
                <w:color w:val="auto"/>
                <w:sz w:val="22"/>
                <w:szCs w:val="22"/>
                <w:highlight w:val="none"/>
                <w:lang w:val="en-US" w:eastAsia="zh-CN"/>
              </w:rPr>
            </w:pPr>
            <w:r>
              <w:rPr>
                <w:rFonts w:hint="eastAsia" w:ascii="宋体" w:hAnsi="宋体" w:cs="宋体"/>
                <w:b/>
                <w:bCs/>
                <w:color w:val="auto"/>
                <w:sz w:val="22"/>
                <w:szCs w:val="22"/>
                <w:highlight w:val="none"/>
                <w:lang w:val="en-US" w:eastAsia="zh-CN"/>
              </w:rPr>
              <w:t>（1）①食堂配送类或食堂经营类或食堂承包类合同不得分；②大型商超业绩以单个营业点的配送（供货）金额作为评分标准，若同一份合同为多个营业点提供配送（供货）服务的，只对配送（供货）金额最高营业点计算得分，无法区分单个营业点配送（供货）金额的业绩不得分。</w:t>
            </w:r>
          </w:p>
          <w:p w14:paraId="57A62AA3">
            <w:pPr>
              <w:keepNext w:val="0"/>
              <w:keepLines w:val="0"/>
              <w:pageBreakBefore w:val="0"/>
              <w:widowControl/>
              <w:numPr>
                <w:ilvl w:val="0"/>
                <w:numId w:val="0"/>
              </w:numPr>
              <w:shd w:val="clear"/>
              <w:kinsoku/>
              <w:wordWrap/>
              <w:overflowPunct/>
              <w:topLinePunct w:val="0"/>
              <w:autoSpaceDE/>
              <w:autoSpaceDN/>
              <w:bidi w:val="0"/>
              <w:spacing w:after="0" w:line="440" w:lineRule="exact"/>
              <w:ind w:firstLine="0" w:firstLineChars="0"/>
              <w:textAlignment w:val="auto"/>
              <w:rPr>
                <w:rFonts w:hint="eastAsia" w:ascii="宋体" w:hAnsi="宋体" w:eastAsia="宋体" w:cs="宋体"/>
                <w:b/>
                <w:bCs/>
                <w:color w:val="auto"/>
                <w:sz w:val="22"/>
                <w:szCs w:val="22"/>
                <w:highlight w:val="none"/>
                <w:lang w:val="en-US" w:eastAsia="zh-CN"/>
              </w:rPr>
            </w:pPr>
            <w:r>
              <w:rPr>
                <w:rFonts w:hint="eastAsia" w:ascii="宋体" w:hAnsi="宋体" w:cs="宋体"/>
                <w:b/>
                <w:bCs/>
                <w:color w:val="auto"/>
                <w:sz w:val="22"/>
                <w:szCs w:val="22"/>
                <w:highlight w:val="none"/>
                <w:lang w:val="en-US" w:eastAsia="zh-CN"/>
              </w:rPr>
              <w:t>（2）</w:t>
            </w:r>
            <w:r>
              <w:rPr>
                <w:rFonts w:hint="eastAsia" w:ascii="宋体" w:hAnsi="宋体" w:eastAsia="宋体" w:cs="宋体"/>
                <w:b/>
                <w:bCs/>
                <w:color w:val="auto"/>
                <w:sz w:val="22"/>
                <w:szCs w:val="22"/>
                <w:highlight w:val="none"/>
                <w:lang w:val="en-US" w:eastAsia="zh-CN"/>
              </w:rPr>
              <w:t>同一业主单位的多份合同不得重复得分，只计算最高得分。业绩须附合同复印件及合同期内任意一期发票</w:t>
            </w:r>
            <w:r>
              <w:rPr>
                <w:rFonts w:hint="eastAsia" w:ascii="宋体" w:hAnsi="宋体" w:cs="宋体"/>
                <w:b/>
                <w:bCs/>
                <w:color w:val="auto"/>
                <w:sz w:val="22"/>
                <w:szCs w:val="22"/>
                <w:highlight w:val="none"/>
                <w:lang w:val="en-US" w:eastAsia="zh-CN"/>
              </w:rPr>
              <w:t>（发票</w:t>
            </w:r>
            <w:r>
              <w:rPr>
                <w:rFonts w:hint="eastAsia" w:ascii="宋体" w:hAnsi="宋体" w:eastAsia="宋体" w:cs="宋体"/>
                <w:b/>
                <w:bCs/>
                <w:color w:val="auto"/>
                <w:sz w:val="22"/>
                <w:szCs w:val="22"/>
                <w:highlight w:val="none"/>
                <w:lang w:val="pt-BR" w:eastAsia="zh-CN"/>
              </w:rPr>
              <w:t>内容含</w:t>
            </w:r>
            <w:r>
              <w:rPr>
                <w:rFonts w:hint="eastAsia" w:ascii="宋体" w:hAnsi="宋体" w:cs="宋体"/>
                <w:b/>
                <w:bCs/>
                <w:color w:val="auto"/>
                <w:sz w:val="22"/>
                <w:szCs w:val="22"/>
                <w:highlight w:val="none"/>
                <w:lang w:val="pt-BR" w:eastAsia="zh-CN"/>
              </w:rPr>
              <w:t>海鲜水产类</w:t>
            </w:r>
            <w:r>
              <w:rPr>
                <w:rFonts w:hint="eastAsia" w:ascii="宋体" w:hAnsi="宋体" w:cs="宋体"/>
                <w:b/>
                <w:bCs/>
                <w:color w:val="auto"/>
                <w:sz w:val="22"/>
                <w:szCs w:val="22"/>
                <w:highlight w:val="none"/>
                <w:lang w:val="en-US" w:eastAsia="zh-CN"/>
              </w:rPr>
              <w:t>）</w:t>
            </w:r>
            <w:r>
              <w:rPr>
                <w:rFonts w:hint="eastAsia" w:ascii="宋体" w:hAnsi="宋体" w:eastAsia="宋体" w:cs="宋体"/>
                <w:b/>
                <w:bCs/>
                <w:color w:val="auto"/>
                <w:sz w:val="22"/>
                <w:szCs w:val="22"/>
                <w:highlight w:val="none"/>
                <w:lang w:val="en-US" w:eastAsia="zh-CN"/>
              </w:rPr>
              <w:t>，加盖投标人公章；</w:t>
            </w:r>
          </w:p>
          <w:p w14:paraId="09466000">
            <w:pPr>
              <w:keepNext w:val="0"/>
              <w:keepLines w:val="0"/>
              <w:pageBreakBefore w:val="0"/>
              <w:widowControl/>
              <w:numPr>
                <w:ilvl w:val="0"/>
                <w:numId w:val="0"/>
              </w:numPr>
              <w:shd w:val="clear"/>
              <w:kinsoku/>
              <w:wordWrap/>
              <w:overflowPunct/>
              <w:topLinePunct w:val="0"/>
              <w:autoSpaceDE/>
              <w:autoSpaceDN/>
              <w:bidi w:val="0"/>
              <w:spacing w:after="0" w:line="440" w:lineRule="exact"/>
              <w:ind w:firstLine="0" w:firstLineChars="0"/>
              <w:textAlignment w:val="auto"/>
              <w:rPr>
                <w:rFonts w:hint="eastAsia" w:ascii="宋体" w:hAnsi="宋体" w:eastAsia="宋体" w:cs="宋体"/>
                <w:b/>
                <w:bCs/>
                <w:color w:val="auto"/>
                <w:sz w:val="22"/>
                <w:szCs w:val="22"/>
                <w:highlight w:val="none"/>
                <w:lang w:val="en-US" w:eastAsia="zh-CN"/>
              </w:rPr>
            </w:pPr>
            <w:r>
              <w:rPr>
                <w:rFonts w:hint="eastAsia" w:ascii="宋体" w:hAnsi="宋体" w:cs="宋体"/>
                <w:b/>
                <w:bCs/>
                <w:color w:val="auto"/>
                <w:sz w:val="22"/>
                <w:szCs w:val="22"/>
                <w:highlight w:val="none"/>
                <w:lang w:val="en-US" w:eastAsia="zh-CN"/>
              </w:rPr>
              <w:t>（3）所提供的</w:t>
            </w:r>
            <w:r>
              <w:rPr>
                <w:rFonts w:hint="eastAsia" w:ascii="宋体" w:hAnsi="宋体" w:eastAsia="宋体" w:cs="宋体"/>
                <w:b/>
                <w:bCs/>
                <w:color w:val="auto"/>
                <w:sz w:val="22"/>
                <w:szCs w:val="22"/>
                <w:highlight w:val="none"/>
                <w:lang w:val="en-US" w:eastAsia="zh-CN"/>
              </w:rPr>
              <w:t>合同</w:t>
            </w:r>
            <w:r>
              <w:rPr>
                <w:rFonts w:hint="eastAsia" w:ascii="宋体" w:hAnsi="宋体" w:cs="宋体"/>
                <w:b/>
                <w:bCs/>
                <w:color w:val="auto"/>
                <w:sz w:val="22"/>
                <w:szCs w:val="22"/>
                <w:highlight w:val="none"/>
                <w:lang w:val="en-US" w:eastAsia="zh-CN"/>
              </w:rPr>
              <w:t>复印件</w:t>
            </w:r>
            <w:r>
              <w:rPr>
                <w:rFonts w:hint="eastAsia" w:ascii="宋体" w:hAnsi="宋体" w:eastAsia="宋体" w:cs="宋体"/>
                <w:b/>
                <w:bCs/>
                <w:color w:val="auto"/>
                <w:sz w:val="22"/>
                <w:szCs w:val="22"/>
                <w:highlight w:val="none"/>
                <w:lang w:val="en-US" w:eastAsia="zh-CN"/>
              </w:rPr>
              <w:t>必须能反映评分条件（合同签订日期为2023年1月1日或以后，配送</w:t>
            </w:r>
            <w:r>
              <w:rPr>
                <w:rFonts w:hint="eastAsia" w:ascii="宋体" w:hAnsi="宋体" w:cs="宋体"/>
                <w:b/>
                <w:bCs/>
                <w:color w:val="auto"/>
                <w:sz w:val="22"/>
                <w:szCs w:val="22"/>
                <w:highlight w:val="none"/>
                <w:lang w:val="en-US" w:eastAsia="zh-CN"/>
              </w:rPr>
              <w:t>（供货）</w:t>
            </w:r>
            <w:r>
              <w:rPr>
                <w:rFonts w:hint="eastAsia" w:ascii="宋体" w:hAnsi="宋体" w:eastAsia="宋体" w:cs="宋体"/>
                <w:b/>
                <w:bCs/>
                <w:color w:val="auto"/>
                <w:sz w:val="22"/>
                <w:szCs w:val="22"/>
                <w:highlight w:val="none"/>
                <w:lang w:val="en-US" w:eastAsia="zh-CN"/>
              </w:rPr>
              <w:t>合同内容含</w:t>
            </w:r>
            <w:r>
              <w:rPr>
                <w:rFonts w:hint="eastAsia" w:ascii="宋体" w:hAnsi="宋体" w:cs="宋体"/>
                <w:b/>
                <w:bCs/>
                <w:color w:val="auto"/>
                <w:sz w:val="22"/>
                <w:szCs w:val="22"/>
                <w:highlight w:val="none"/>
                <w:lang w:val="en-US" w:eastAsia="zh-CN"/>
              </w:rPr>
              <w:t>海鲜水产类</w:t>
            </w:r>
            <w:r>
              <w:rPr>
                <w:rFonts w:hint="eastAsia" w:ascii="宋体" w:hAnsi="宋体" w:eastAsia="宋体" w:cs="宋体"/>
                <w:b/>
                <w:bCs/>
                <w:color w:val="auto"/>
                <w:sz w:val="22"/>
                <w:szCs w:val="22"/>
                <w:highlight w:val="none"/>
                <w:lang w:val="en-US" w:eastAsia="zh-CN"/>
              </w:rPr>
              <w:t>，年度</w:t>
            </w:r>
            <w:r>
              <w:rPr>
                <w:rFonts w:hint="eastAsia" w:ascii="宋体" w:hAnsi="宋体" w:cs="宋体"/>
                <w:b/>
                <w:bCs/>
                <w:color w:val="auto"/>
                <w:sz w:val="22"/>
                <w:szCs w:val="22"/>
                <w:highlight w:val="none"/>
                <w:lang w:val="en-US" w:eastAsia="zh-CN"/>
              </w:rPr>
              <w:t>海鲜水产类配送</w:t>
            </w:r>
            <w:r>
              <w:rPr>
                <w:rFonts w:hint="eastAsia" w:ascii="宋体" w:hAnsi="宋体" w:eastAsia="宋体" w:cs="宋体"/>
                <w:b/>
                <w:bCs/>
                <w:color w:val="auto"/>
                <w:sz w:val="22"/>
                <w:szCs w:val="22"/>
                <w:highlight w:val="none"/>
                <w:lang w:val="en-US" w:eastAsia="zh-CN"/>
              </w:rPr>
              <w:t>金额）。若合同中未明确</w:t>
            </w:r>
            <w:r>
              <w:rPr>
                <w:rFonts w:hint="eastAsia" w:ascii="宋体" w:hAnsi="宋体" w:cs="宋体"/>
                <w:b/>
                <w:bCs/>
                <w:color w:val="auto"/>
                <w:sz w:val="22"/>
                <w:szCs w:val="22"/>
                <w:highlight w:val="none"/>
                <w:lang w:val="pt-BR" w:eastAsia="zh-CN"/>
              </w:rPr>
              <w:t>海鲜水产类</w:t>
            </w:r>
            <w:r>
              <w:rPr>
                <w:rFonts w:hint="eastAsia" w:ascii="宋体" w:hAnsi="宋体" w:eastAsia="宋体" w:cs="宋体"/>
                <w:b/>
                <w:bCs/>
                <w:color w:val="auto"/>
                <w:sz w:val="22"/>
                <w:szCs w:val="22"/>
                <w:highlight w:val="none"/>
                <w:lang w:val="en-US" w:eastAsia="zh-CN"/>
              </w:rPr>
              <w:t>年度金额则需同时提供</w:t>
            </w:r>
            <w:r>
              <w:rPr>
                <w:rFonts w:hint="eastAsia" w:ascii="宋体" w:hAnsi="宋体" w:cs="宋体"/>
                <w:b/>
                <w:bCs/>
                <w:color w:val="auto"/>
                <w:sz w:val="22"/>
                <w:szCs w:val="22"/>
                <w:highlight w:val="none"/>
                <w:lang w:val="pt-BR" w:eastAsia="zh-CN"/>
              </w:rPr>
              <w:t>海鲜水产类</w:t>
            </w:r>
            <w:r>
              <w:rPr>
                <w:rFonts w:hint="eastAsia" w:ascii="宋体" w:hAnsi="宋体" w:eastAsia="宋体" w:cs="宋体"/>
                <w:b/>
                <w:bCs/>
                <w:color w:val="auto"/>
                <w:sz w:val="22"/>
                <w:szCs w:val="22"/>
                <w:highlight w:val="none"/>
                <w:lang w:val="en-US" w:eastAsia="zh-CN"/>
              </w:rPr>
              <w:t>年度金额的发票作为辅助证明；</w:t>
            </w:r>
          </w:p>
          <w:p w14:paraId="64DD7195">
            <w:pPr>
              <w:keepNext w:val="0"/>
              <w:keepLines w:val="0"/>
              <w:pageBreakBefore w:val="0"/>
              <w:widowControl/>
              <w:numPr>
                <w:ilvl w:val="0"/>
                <w:numId w:val="0"/>
              </w:numPr>
              <w:shd w:val="clear"/>
              <w:kinsoku/>
              <w:wordWrap/>
              <w:overflowPunct/>
              <w:topLinePunct w:val="0"/>
              <w:autoSpaceDE/>
              <w:autoSpaceDN/>
              <w:bidi w:val="0"/>
              <w:spacing w:after="0" w:line="440" w:lineRule="exact"/>
              <w:ind w:firstLine="0" w:firstLineChars="0"/>
              <w:textAlignment w:val="auto"/>
              <w:rPr>
                <w:rFonts w:hint="eastAsia" w:ascii="宋体" w:hAnsi="宋体" w:eastAsia="宋体" w:cs="宋体"/>
                <w:b/>
                <w:bCs/>
                <w:color w:val="auto"/>
                <w:sz w:val="22"/>
                <w:szCs w:val="22"/>
                <w:highlight w:val="none"/>
                <w:lang w:val="en-US" w:eastAsia="zh-CN"/>
              </w:rPr>
            </w:pPr>
            <w:r>
              <w:rPr>
                <w:rFonts w:hint="eastAsia" w:ascii="宋体" w:hAnsi="宋体" w:cs="宋体"/>
                <w:b/>
                <w:bCs/>
                <w:color w:val="auto"/>
                <w:sz w:val="22"/>
                <w:szCs w:val="22"/>
                <w:highlight w:val="none"/>
                <w:lang w:val="en-US" w:eastAsia="zh-CN"/>
              </w:rPr>
              <w:t>（4）</w:t>
            </w:r>
            <w:r>
              <w:rPr>
                <w:rFonts w:hint="eastAsia" w:ascii="宋体" w:hAnsi="宋体" w:eastAsia="宋体" w:cs="宋体"/>
                <w:b/>
                <w:bCs/>
                <w:color w:val="auto"/>
                <w:sz w:val="22"/>
                <w:szCs w:val="22"/>
                <w:highlight w:val="none"/>
                <w:lang w:val="en-US" w:eastAsia="zh-CN"/>
              </w:rPr>
              <w:t>若业绩为框架式协议或资格入围无明确金额的合同，必须同时提供</w:t>
            </w:r>
            <w:r>
              <w:rPr>
                <w:rFonts w:hint="eastAsia" w:ascii="宋体" w:hAnsi="宋体" w:cs="宋体"/>
                <w:b/>
                <w:bCs/>
                <w:color w:val="auto"/>
                <w:sz w:val="22"/>
                <w:szCs w:val="22"/>
                <w:highlight w:val="none"/>
                <w:lang w:val="en-US" w:eastAsia="zh-CN"/>
              </w:rPr>
              <w:t>单个</w:t>
            </w:r>
            <w:r>
              <w:rPr>
                <w:rFonts w:hint="eastAsia" w:ascii="宋体" w:hAnsi="宋体" w:eastAsia="宋体" w:cs="宋体"/>
                <w:b/>
                <w:bCs/>
                <w:color w:val="auto"/>
                <w:sz w:val="22"/>
                <w:szCs w:val="22"/>
                <w:highlight w:val="none"/>
                <w:lang w:val="en-US" w:eastAsia="zh-CN"/>
              </w:rPr>
              <w:t>年度内</w:t>
            </w:r>
            <w:r>
              <w:rPr>
                <w:rFonts w:hint="eastAsia" w:ascii="宋体" w:hAnsi="宋体" w:cs="宋体"/>
                <w:b/>
                <w:bCs/>
                <w:color w:val="auto"/>
                <w:sz w:val="22"/>
                <w:szCs w:val="22"/>
                <w:highlight w:val="none"/>
                <w:lang w:val="en-US" w:eastAsia="zh-CN"/>
              </w:rPr>
              <w:t>累计</w:t>
            </w:r>
            <w:r>
              <w:rPr>
                <w:rFonts w:hint="eastAsia" w:ascii="宋体" w:hAnsi="宋体" w:eastAsia="宋体" w:cs="宋体"/>
                <w:b/>
                <w:bCs/>
                <w:color w:val="auto"/>
                <w:sz w:val="22"/>
                <w:szCs w:val="22"/>
                <w:highlight w:val="none"/>
                <w:lang w:val="en-US" w:eastAsia="zh-CN"/>
              </w:rPr>
              <w:t>发生</w:t>
            </w:r>
            <w:r>
              <w:rPr>
                <w:rFonts w:hint="eastAsia" w:ascii="宋体" w:hAnsi="宋体" w:cs="宋体"/>
                <w:b/>
                <w:bCs/>
                <w:color w:val="auto"/>
                <w:sz w:val="22"/>
                <w:szCs w:val="22"/>
                <w:highlight w:val="none"/>
                <w:lang w:val="pt-BR" w:eastAsia="zh-CN"/>
              </w:rPr>
              <w:t>海鲜水产类</w:t>
            </w:r>
            <w:r>
              <w:rPr>
                <w:rFonts w:hint="eastAsia" w:ascii="宋体" w:hAnsi="宋体" w:eastAsia="宋体" w:cs="宋体"/>
                <w:b/>
                <w:bCs/>
                <w:color w:val="auto"/>
                <w:sz w:val="22"/>
                <w:szCs w:val="22"/>
                <w:highlight w:val="none"/>
                <w:lang w:val="en-US" w:eastAsia="zh-CN"/>
              </w:rPr>
              <w:t>金额的发票</w:t>
            </w:r>
            <w:r>
              <w:rPr>
                <w:rFonts w:hint="eastAsia" w:ascii="宋体" w:hAnsi="宋体" w:cs="宋体"/>
                <w:b/>
                <w:bCs/>
                <w:color w:val="auto"/>
                <w:sz w:val="22"/>
                <w:szCs w:val="22"/>
                <w:highlight w:val="none"/>
              </w:rPr>
              <w:t>（开票日期须在合同期单个年度内）</w:t>
            </w:r>
            <w:r>
              <w:rPr>
                <w:rFonts w:hint="eastAsia" w:ascii="宋体" w:hAnsi="宋体" w:eastAsia="宋体" w:cs="宋体"/>
                <w:b/>
                <w:bCs/>
                <w:color w:val="auto"/>
                <w:sz w:val="22"/>
                <w:szCs w:val="22"/>
                <w:highlight w:val="none"/>
                <w:lang w:val="en-US" w:eastAsia="zh-CN"/>
              </w:rPr>
              <w:t>作为合同年度金额的辅助证明；</w:t>
            </w:r>
          </w:p>
          <w:p w14:paraId="4744CD3D">
            <w:pPr>
              <w:keepNext w:val="0"/>
              <w:keepLines w:val="0"/>
              <w:pageBreakBefore w:val="0"/>
              <w:widowControl/>
              <w:numPr>
                <w:ilvl w:val="0"/>
                <w:numId w:val="0"/>
              </w:numPr>
              <w:shd w:val="clear"/>
              <w:kinsoku/>
              <w:wordWrap/>
              <w:overflowPunct/>
              <w:topLinePunct w:val="0"/>
              <w:autoSpaceDE/>
              <w:autoSpaceDN/>
              <w:bidi w:val="0"/>
              <w:spacing w:after="0" w:line="440" w:lineRule="exact"/>
              <w:ind w:firstLine="0" w:firstLineChars="0"/>
              <w:textAlignment w:val="auto"/>
              <w:rPr>
                <w:rFonts w:hint="eastAsia" w:ascii="宋体" w:eastAsia="宋体" w:cs="宋体"/>
                <w:bCs/>
                <w:color w:val="auto"/>
                <w:sz w:val="22"/>
                <w:highlight w:val="none"/>
                <w:u w:val="single"/>
                <w:lang w:val="zh-CN"/>
              </w:rPr>
            </w:pPr>
            <w:r>
              <w:rPr>
                <w:rFonts w:hint="eastAsia" w:ascii="宋体" w:hAnsi="宋体" w:cs="宋体"/>
                <w:b/>
                <w:bCs/>
                <w:color w:val="auto"/>
                <w:sz w:val="22"/>
                <w:szCs w:val="22"/>
                <w:highlight w:val="none"/>
                <w:lang w:val="en-US" w:eastAsia="zh-CN"/>
              </w:rPr>
              <w:t>（5）</w:t>
            </w:r>
            <w:r>
              <w:rPr>
                <w:rFonts w:hint="eastAsia" w:ascii="宋体" w:hAnsi="宋体" w:eastAsia="宋体" w:cs="宋体"/>
                <w:b/>
                <w:bCs/>
                <w:color w:val="auto"/>
                <w:sz w:val="22"/>
                <w:szCs w:val="22"/>
                <w:highlight w:val="none"/>
                <w:lang w:val="en-US" w:eastAsia="zh-CN"/>
              </w:rPr>
              <w:t>未按上述要求提供证明材料的业绩，或所附材料无法证明填报项目符合本项评分要求的业绩，在评标时将不予考虑。</w:t>
            </w:r>
          </w:p>
        </w:tc>
      </w:tr>
      <w:tr w14:paraId="2BA5F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399" w:type="pct"/>
            <w:tcBorders>
              <w:top w:val="single" w:color="auto" w:sz="4" w:space="0"/>
              <w:left w:val="single" w:color="auto" w:sz="4" w:space="0"/>
              <w:bottom w:val="single" w:color="auto" w:sz="4" w:space="0"/>
              <w:right w:val="single" w:color="auto" w:sz="4" w:space="0"/>
            </w:tcBorders>
            <w:vAlign w:val="center"/>
          </w:tcPr>
          <w:p w14:paraId="31D9C9C3">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3</w:t>
            </w:r>
          </w:p>
        </w:tc>
        <w:tc>
          <w:tcPr>
            <w:tcW w:w="652" w:type="pct"/>
            <w:tcBorders>
              <w:top w:val="single" w:color="auto" w:sz="4" w:space="0"/>
              <w:left w:val="single" w:color="auto" w:sz="4" w:space="0"/>
              <w:bottom w:val="single" w:color="auto" w:sz="4" w:space="0"/>
              <w:right w:val="single" w:color="auto" w:sz="4" w:space="0"/>
            </w:tcBorders>
            <w:vAlign w:val="center"/>
          </w:tcPr>
          <w:p w14:paraId="7AA3A5E3">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保险保障</w:t>
            </w:r>
          </w:p>
        </w:tc>
        <w:tc>
          <w:tcPr>
            <w:tcW w:w="478" w:type="pct"/>
            <w:tcBorders>
              <w:top w:val="single" w:color="auto" w:sz="4" w:space="0"/>
              <w:left w:val="single" w:color="auto" w:sz="4" w:space="0"/>
              <w:bottom w:val="single" w:color="auto" w:sz="4" w:space="0"/>
              <w:right w:val="single" w:color="auto" w:sz="4" w:space="0"/>
            </w:tcBorders>
            <w:vAlign w:val="center"/>
          </w:tcPr>
          <w:p w14:paraId="33814E98">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5分</w:t>
            </w:r>
          </w:p>
        </w:tc>
        <w:tc>
          <w:tcPr>
            <w:tcW w:w="3468" w:type="pct"/>
            <w:tcBorders>
              <w:top w:val="single" w:color="auto" w:sz="4" w:space="0"/>
              <w:left w:val="single" w:color="auto" w:sz="4" w:space="0"/>
              <w:bottom w:val="single" w:color="auto" w:sz="4" w:space="0"/>
              <w:right w:val="single" w:color="auto" w:sz="4" w:space="0"/>
            </w:tcBorders>
            <w:vAlign w:val="center"/>
          </w:tcPr>
          <w:p w14:paraId="5A55F165">
            <w:pPr>
              <w:numPr>
                <w:ilvl w:val="0"/>
                <w:numId w:val="0"/>
              </w:numPr>
              <w:shd w:val="clear"/>
              <w:spacing w:after="0" w:line="440" w:lineRule="exact"/>
              <w:rPr>
                <w:rFonts w:hint="default"/>
                <w:color w:val="auto"/>
                <w:highlight w:val="none"/>
                <w:lang w:val="en-US" w:eastAsia="zh-CN"/>
              </w:rPr>
            </w:pPr>
            <w:r>
              <w:rPr>
                <w:rFonts w:hint="eastAsia" w:ascii="宋体" w:hAnsi="宋体" w:cs="宋体"/>
                <w:color w:val="auto"/>
                <w:sz w:val="22"/>
                <w:szCs w:val="22"/>
                <w:highlight w:val="none"/>
                <w:lang w:val="en-US" w:eastAsia="zh-CN"/>
              </w:rPr>
              <w:t>投标人须承诺</w:t>
            </w:r>
            <w:r>
              <w:rPr>
                <w:rFonts w:hint="eastAsia" w:ascii="宋体" w:hAnsi="宋体" w:eastAsia="宋体" w:cs="宋体"/>
                <w:color w:val="auto"/>
                <w:sz w:val="22"/>
                <w:szCs w:val="22"/>
                <w:highlight w:val="none"/>
                <w:lang w:val="pt-BR" w:eastAsia="zh-CN"/>
              </w:rPr>
              <w:t>中标后为采购人提供一份食品安全责任险</w:t>
            </w:r>
            <w:r>
              <w:rPr>
                <w:rFonts w:hint="eastAsia" w:ascii="宋体" w:hAnsi="宋体" w:cs="宋体"/>
                <w:color w:val="auto"/>
                <w:sz w:val="22"/>
                <w:szCs w:val="22"/>
                <w:highlight w:val="none"/>
                <w:lang w:val="pt-BR" w:eastAsia="zh-CN"/>
              </w:rPr>
              <w:t>，</w:t>
            </w:r>
            <w:r>
              <w:rPr>
                <w:rFonts w:hint="eastAsia" w:ascii="宋体" w:hAnsi="宋体" w:eastAsia="宋体" w:cs="宋体"/>
                <w:color w:val="auto"/>
                <w:sz w:val="22"/>
                <w:szCs w:val="22"/>
                <w:highlight w:val="none"/>
                <w:lang w:val="pt-BR" w:eastAsia="zh-CN"/>
              </w:rPr>
              <w:t>以采购人为受益人</w:t>
            </w:r>
            <w:r>
              <w:rPr>
                <w:rFonts w:hint="eastAsia" w:ascii="宋体" w:hAnsi="宋体" w:cs="宋体"/>
                <w:color w:val="auto"/>
                <w:sz w:val="22"/>
                <w:szCs w:val="22"/>
                <w:highlight w:val="none"/>
                <w:lang w:val="pt-BR" w:eastAsia="zh-CN"/>
              </w:rPr>
              <w:t>，</w:t>
            </w:r>
            <w:r>
              <w:rPr>
                <w:rFonts w:hint="eastAsia" w:ascii="宋体" w:hAnsi="宋体" w:cs="宋体"/>
                <w:color w:val="auto"/>
                <w:sz w:val="22"/>
                <w:szCs w:val="22"/>
                <w:highlight w:val="none"/>
                <w:lang w:val="en-US" w:eastAsia="zh-CN"/>
              </w:rPr>
              <w:t>保险期覆盖本项目合同有效期且</w:t>
            </w:r>
            <w:r>
              <w:rPr>
                <w:rFonts w:hint="eastAsia" w:ascii="宋体" w:hAnsi="宋体" w:eastAsia="宋体" w:cs="宋体"/>
                <w:color w:val="auto"/>
                <w:sz w:val="22"/>
                <w:szCs w:val="22"/>
                <w:highlight w:val="none"/>
                <w:lang w:val="pt-BR" w:eastAsia="zh-CN"/>
              </w:rPr>
              <w:t>食品安全责任险保险金额</w:t>
            </w:r>
            <w:r>
              <w:rPr>
                <w:rFonts w:hint="eastAsia" w:ascii="宋体" w:hAnsi="宋体" w:cs="宋体"/>
                <w:color w:val="auto"/>
                <w:sz w:val="22"/>
                <w:szCs w:val="22"/>
                <w:highlight w:val="none"/>
                <w:lang w:val="en-US" w:eastAsia="zh-CN"/>
              </w:rPr>
              <w:t>承诺不低于5</w:t>
            </w:r>
            <w:r>
              <w:rPr>
                <w:rFonts w:hint="eastAsia" w:ascii="宋体" w:hAnsi="宋体" w:eastAsia="宋体" w:cs="宋体"/>
                <w:color w:val="auto"/>
                <w:sz w:val="22"/>
                <w:szCs w:val="22"/>
                <w:highlight w:val="none"/>
                <w:lang w:val="pt-BR" w:eastAsia="zh-CN"/>
              </w:rPr>
              <w:t>00万元</w:t>
            </w:r>
            <w:r>
              <w:rPr>
                <w:rFonts w:hint="eastAsia" w:ascii="宋体" w:hAnsi="宋体" w:cs="宋体"/>
                <w:color w:val="auto"/>
                <w:sz w:val="22"/>
                <w:szCs w:val="22"/>
                <w:highlight w:val="none"/>
                <w:lang w:val="pt-BR" w:eastAsia="zh-CN"/>
              </w:rPr>
              <w:t>，</w:t>
            </w:r>
            <w:r>
              <w:rPr>
                <w:rFonts w:hint="eastAsia" w:ascii="宋体" w:hAnsi="宋体" w:cs="宋体"/>
                <w:color w:val="auto"/>
                <w:sz w:val="22"/>
                <w:szCs w:val="22"/>
                <w:highlight w:val="none"/>
                <w:lang w:val="en-US" w:eastAsia="zh-CN"/>
              </w:rPr>
              <w:t>在此基础上保险金额每增加300万元得1分，最高得5分：</w:t>
            </w:r>
          </w:p>
          <w:p w14:paraId="10478669">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color w:val="auto"/>
                <w:sz w:val="22"/>
                <w:szCs w:val="22"/>
                <w:highlight w:val="none"/>
                <w:lang w:val="zh-CN" w:eastAsia="zh-CN"/>
              </w:rPr>
            </w:pPr>
            <w:r>
              <w:rPr>
                <w:rFonts w:hint="eastAsia" w:ascii="宋体" w:hAnsi="宋体" w:eastAsia="宋体" w:cs="宋体"/>
                <w:b/>
                <w:bCs/>
                <w:color w:val="auto"/>
                <w:sz w:val="22"/>
                <w:szCs w:val="22"/>
                <w:highlight w:val="none"/>
                <w:lang w:val="pt-BR" w:eastAsia="zh-CN"/>
              </w:rPr>
              <w:t>注：提供承诺函加盖投标人公章。未提供或提供不清晰导致无法判断的不得分。</w:t>
            </w:r>
          </w:p>
        </w:tc>
      </w:tr>
      <w:tr w14:paraId="43187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399" w:type="pct"/>
            <w:tcBorders>
              <w:top w:val="single" w:color="auto" w:sz="4" w:space="0"/>
              <w:left w:val="single" w:color="auto" w:sz="4" w:space="0"/>
              <w:bottom w:val="single" w:color="auto" w:sz="4" w:space="0"/>
              <w:right w:val="single" w:color="auto" w:sz="4" w:space="0"/>
            </w:tcBorders>
            <w:vAlign w:val="center"/>
          </w:tcPr>
          <w:p w14:paraId="4F5DD266">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4</w:t>
            </w:r>
          </w:p>
        </w:tc>
        <w:tc>
          <w:tcPr>
            <w:tcW w:w="652" w:type="pct"/>
            <w:tcBorders>
              <w:top w:val="single" w:color="auto" w:sz="4" w:space="0"/>
              <w:left w:val="single" w:color="auto" w:sz="4" w:space="0"/>
              <w:bottom w:val="single" w:color="auto" w:sz="4" w:space="0"/>
              <w:right w:val="single" w:color="auto" w:sz="4" w:space="0"/>
            </w:tcBorders>
            <w:vAlign w:val="center"/>
          </w:tcPr>
          <w:p w14:paraId="3538750F">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第三方检验检测报告</w:t>
            </w:r>
          </w:p>
        </w:tc>
        <w:tc>
          <w:tcPr>
            <w:tcW w:w="478" w:type="pct"/>
            <w:tcBorders>
              <w:top w:val="single" w:color="auto" w:sz="4" w:space="0"/>
              <w:left w:val="single" w:color="auto" w:sz="4" w:space="0"/>
              <w:bottom w:val="single" w:color="auto" w:sz="4" w:space="0"/>
              <w:right w:val="single" w:color="auto" w:sz="4" w:space="0"/>
            </w:tcBorders>
            <w:vAlign w:val="center"/>
          </w:tcPr>
          <w:p w14:paraId="58CEB69B">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val="en-US" w:eastAsia="zh-CN"/>
              </w:rPr>
              <w:t>4</w:t>
            </w:r>
            <w:r>
              <w:rPr>
                <w:rFonts w:hint="eastAsia" w:ascii="宋体" w:hAnsi="宋体" w:eastAsia="宋体" w:cs="宋体"/>
                <w:color w:val="auto"/>
                <w:sz w:val="22"/>
                <w:szCs w:val="22"/>
                <w:highlight w:val="none"/>
                <w:lang w:eastAsia="zh-CN"/>
              </w:rPr>
              <w:t>分</w:t>
            </w:r>
          </w:p>
        </w:tc>
        <w:tc>
          <w:tcPr>
            <w:tcW w:w="3468" w:type="pct"/>
            <w:tcBorders>
              <w:top w:val="single" w:color="auto" w:sz="4" w:space="0"/>
              <w:left w:val="single" w:color="auto" w:sz="4" w:space="0"/>
              <w:bottom w:val="single" w:color="auto" w:sz="4" w:space="0"/>
              <w:right w:val="single" w:color="auto" w:sz="4" w:space="0"/>
            </w:tcBorders>
            <w:vAlign w:val="center"/>
          </w:tcPr>
          <w:p w14:paraId="49444C85">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color w:val="auto"/>
                <w:sz w:val="22"/>
                <w:szCs w:val="22"/>
                <w:highlight w:val="none"/>
                <w:lang w:val="pt-BR" w:eastAsia="zh-CN"/>
              </w:rPr>
            </w:pPr>
            <w:r>
              <w:rPr>
                <w:rFonts w:hint="eastAsia" w:ascii="宋体" w:hAnsi="宋体" w:eastAsia="宋体" w:cs="宋体"/>
                <w:color w:val="auto"/>
                <w:sz w:val="22"/>
                <w:szCs w:val="22"/>
                <w:highlight w:val="none"/>
                <w:lang w:val="pt-BR" w:eastAsia="zh-CN"/>
              </w:rPr>
              <w:t>1、提供2025年度至今由具备</w:t>
            </w:r>
            <w:r>
              <w:rPr>
                <w:rFonts w:hint="eastAsia" w:ascii="宋体" w:hAnsi="宋体" w:cs="宋体"/>
                <w:color w:val="auto"/>
                <w:sz w:val="22"/>
                <w:szCs w:val="22"/>
                <w:highlight w:val="none"/>
                <w:lang w:val="en-US" w:eastAsia="zh-CN"/>
              </w:rPr>
              <w:t>资质的</w:t>
            </w:r>
            <w:r>
              <w:rPr>
                <w:rFonts w:hint="eastAsia" w:ascii="宋体" w:hAnsi="宋体" w:eastAsia="宋体" w:cs="宋体"/>
                <w:color w:val="auto"/>
                <w:sz w:val="22"/>
                <w:szCs w:val="22"/>
                <w:highlight w:val="none"/>
                <w:lang w:val="pt-BR" w:eastAsia="zh-CN"/>
              </w:rPr>
              <w:t>第三方检测</w:t>
            </w:r>
            <w:r>
              <w:rPr>
                <w:rFonts w:hint="eastAsia" w:ascii="宋体" w:hAnsi="宋体" w:cs="宋体"/>
                <w:color w:val="auto"/>
                <w:sz w:val="22"/>
                <w:szCs w:val="22"/>
                <w:highlight w:val="none"/>
                <w:lang w:val="en-US" w:eastAsia="zh-CN"/>
              </w:rPr>
              <w:t>机构</w:t>
            </w:r>
            <w:r>
              <w:rPr>
                <w:rFonts w:hint="eastAsia" w:ascii="宋体" w:hAnsi="宋体" w:eastAsia="宋体" w:cs="宋体"/>
                <w:color w:val="auto"/>
                <w:sz w:val="22"/>
                <w:szCs w:val="22"/>
                <w:highlight w:val="none"/>
                <w:lang w:val="pt-BR" w:eastAsia="zh-CN"/>
              </w:rPr>
              <w:t>出具的检测报告（检测报告的委托单位需为投标人）：</w:t>
            </w:r>
          </w:p>
          <w:p w14:paraId="546E8BC7">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color w:val="auto"/>
                <w:sz w:val="22"/>
                <w:szCs w:val="22"/>
                <w:highlight w:val="none"/>
                <w:lang w:val="pt-BR" w:eastAsia="zh-CN"/>
              </w:rPr>
            </w:pPr>
            <w:r>
              <w:rPr>
                <w:rFonts w:hint="eastAsia" w:ascii="宋体" w:hAnsi="宋体" w:eastAsia="宋体" w:cs="宋体"/>
                <w:color w:val="auto"/>
                <w:sz w:val="22"/>
                <w:szCs w:val="22"/>
                <w:highlight w:val="none"/>
                <w:lang w:val="pt-BR" w:eastAsia="zh-CN"/>
              </w:rPr>
              <w:t>第三方检验检测报告包括兽药残留、污染物、卫生学指标（微生物）五类、重金属，每提供</w:t>
            </w:r>
            <w:r>
              <w:rPr>
                <w:rFonts w:hint="eastAsia" w:ascii="宋体" w:hAnsi="宋体" w:cs="宋体"/>
                <w:color w:val="auto"/>
                <w:sz w:val="22"/>
                <w:szCs w:val="22"/>
                <w:highlight w:val="none"/>
                <w:lang w:val="en-US" w:eastAsia="zh-CN"/>
              </w:rPr>
              <w:t>上述</w:t>
            </w:r>
            <w:r>
              <w:rPr>
                <w:rFonts w:hint="eastAsia" w:ascii="宋体" w:hAnsi="宋体" w:eastAsia="宋体" w:cs="宋体"/>
                <w:color w:val="auto"/>
                <w:sz w:val="22"/>
                <w:szCs w:val="22"/>
                <w:highlight w:val="none"/>
                <w:lang w:val="pt-BR" w:eastAsia="zh-CN"/>
              </w:rPr>
              <w:t>一类食品相关检测报告得</w:t>
            </w:r>
            <w:r>
              <w:rPr>
                <w:rFonts w:hint="eastAsia" w:ascii="宋体" w:hAnsi="宋体" w:cs="宋体"/>
                <w:color w:val="auto"/>
                <w:sz w:val="22"/>
                <w:szCs w:val="22"/>
                <w:highlight w:val="none"/>
                <w:lang w:val="en-US" w:eastAsia="zh-CN"/>
              </w:rPr>
              <w:t>0.5</w:t>
            </w:r>
            <w:r>
              <w:rPr>
                <w:rFonts w:hint="eastAsia" w:ascii="宋体" w:hAnsi="宋体" w:eastAsia="宋体" w:cs="宋体"/>
                <w:color w:val="auto"/>
                <w:sz w:val="22"/>
                <w:szCs w:val="22"/>
                <w:highlight w:val="none"/>
                <w:lang w:val="pt-BR" w:eastAsia="zh-CN"/>
              </w:rPr>
              <w:t>分，</w:t>
            </w:r>
            <w:r>
              <w:rPr>
                <w:rFonts w:hint="eastAsia" w:ascii="宋体" w:hAnsi="宋体" w:cs="宋体"/>
                <w:color w:val="auto"/>
                <w:sz w:val="22"/>
                <w:szCs w:val="22"/>
                <w:highlight w:val="none"/>
                <w:lang w:val="en-US" w:eastAsia="zh-CN"/>
              </w:rPr>
              <w:t>满分2</w:t>
            </w:r>
            <w:r>
              <w:rPr>
                <w:rFonts w:hint="eastAsia" w:ascii="宋体" w:hAnsi="宋体" w:eastAsia="宋体" w:cs="宋体"/>
                <w:color w:val="auto"/>
                <w:sz w:val="22"/>
                <w:szCs w:val="22"/>
                <w:highlight w:val="none"/>
                <w:lang w:val="pt-BR" w:eastAsia="zh-CN"/>
              </w:rPr>
              <w:t>分。</w:t>
            </w:r>
          </w:p>
          <w:p w14:paraId="115E553A">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b/>
                <w:bCs/>
                <w:color w:val="auto"/>
                <w:sz w:val="22"/>
                <w:szCs w:val="22"/>
                <w:highlight w:val="none"/>
                <w:lang w:val="pt-BR" w:eastAsia="zh-CN"/>
              </w:rPr>
            </w:pPr>
            <w:r>
              <w:rPr>
                <w:rFonts w:hint="eastAsia" w:ascii="宋体" w:hAnsi="宋体" w:eastAsia="宋体" w:cs="宋体"/>
                <w:b/>
                <w:bCs/>
                <w:color w:val="auto"/>
                <w:sz w:val="22"/>
                <w:szCs w:val="22"/>
                <w:highlight w:val="none"/>
                <w:lang w:val="pt-BR" w:eastAsia="zh-CN"/>
              </w:rPr>
              <w:t>注：提供相关检测报告</w:t>
            </w:r>
            <w:r>
              <w:rPr>
                <w:rFonts w:hint="eastAsia" w:ascii="宋体" w:hAnsi="宋体" w:cs="宋体"/>
                <w:b/>
                <w:bCs/>
                <w:color w:val="auto"/>
                <w:sz w:val="22"/>
                <w:szCs w:val="22"/>
                <w:highlight w:val="none"/>
                <w:lang w:val="en-US" w:eastAsia="zh-CN"/>
              </w:rPr>
              <w:t>及第三方检测机构资质文件</w:t>
            </w:r>
            <w:r>
              <w:rPr>
                <w:rFonts w:hint="eastAsia" w:ascii="宋体" w:hAnsi="宋体" w:eastAsia="宋体" w:cs="宋体"/>
                <w:b/>
                <w:bCs/>
                <w:color w:val="auto"/>
                <w:sz w:val="22"/>
                <w:szCs w:val="22"/>
                <w:highlight w:val="none"/>
                <w:lang w:val="pt-BR" w:eastAsia="zh-CN"/>
              </w:rPr>
              <w:t>扫描件加盖投标人公章。未提供或提供不清晰导致无法判断的不得分。</w:t>
            </w:r>
          </w:p>
          <w:p w14:paraId="3787AED4">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color w:val="auto"/>
                <w:sz w:val="22"/>
                <w:szCs w:val="22"/>
                <w:highlight w:val="none"/>
                <w:lang w:val="pt-BR" w:eastAsia="zh-CN"/>
              </w:rPr>
            </w:pPr>
            <w:r>
              <w:rPr>
                <w:rFonts w:hint="eastAsia" w:ascii="宋体" w:hAnsi="宋体" w:eastAsia="宋体" w:cs="宋体"/>
                <w:color w:val="auto"/>
                <w:sz w:val="22"/>
                <w:szCs w:val="22"/>
                <w:highlight w:val="none"/>
                <w:lang w:val="pt-BR" w:eastAsia="zh-CN"/>
              </w:rPr>
              <w:t>2、根据投标人自身具备检测能力进行评审，包括兽药残留检测仪、污染物检测仪、卫生学指标（微生物）五类检测检测仪、重金属检测仪，每提供一项得</w:t>
            </w:r>
            <w:r>
              <w:rPr>
                <w:rFonts w:hint="eastAsia" w:ascii="宋体" w:hAnsi="宋体" w:cs="宋体"/>
                <w:color w:val="auto"/>
                <w:sz w:val="22"/>
                <w:szCs w:val="22"/>
                <w:highlight w:val="none"/>
                <w:lang w:val="en-US" w:eastAsia="zh-CN"/>
              </w:rPr>
              <w:t>0.5</w:t>
            </w:r>
            <w:r>
              <w:rPr>
                <w:rFonts w:hint="eastAsia" w:ascii="宋体" w:hAnsi="宋体" w:eastAsia="宋体" w:cs="宋体"/>
                <w:color w:val="auto"/>
                <w:sz w:val="22"/>
                <w:szCs w:val="22"/>
                <w:highlight w:val="none"/>
                <w:lang w:val="pt-BR" w:eastAsia="zh-CN"/>
              </w:rPr>
              <w:t>分，</w:t>
            </w:r>
            <w:r>
              <w:rPr>
                <w:rFonts w:hint="eastAsia" w:ascii="宋体" w:hAnsi="宋体" w:cs="宋体"/>
                <w:color w:val="auto"/>
                <w:sz w:val="22"/>
                <w:szCs w:val="22"/>
                <w:highlight w:val="none"/>
                <w:lang w:val="en-US" w:eastAsia="zh-CN"/>
              </w:rPr>
              <w:t>满分2</w:t>
            </w:r>
            <w:r>
              <w:rPr>
                <w:rFonts w:hint="eastAsia" w:ascii="宋体" w:hAnsi="宋体" w:eastAsia="宋体" w:cs="宋体"/>
                <w:color w:val="auto"/>
                <w:sz w:val="22"/>
                <w:szCs w:val="22"/>
                <w:highlight w:val="none"/>
                <w:lang w:val="pt-BR" w:eastAsia="zh-CN"/>
              </w:rPr>
              <w:t>分。</w:t>
            </w:r>
          </w:p>
          <w:p w14:paraId="55C07DBB">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color w:val="auto"/>
                <w:sz w:val="22"/>
                <w:szCs w:val="22"/>
                <w:highlight w:val="none"/>
                <w:lang w:val="pt-BR" w:eastAsia="zh-CN"/>
              </w:rPr>
            </w:pPr>
            <w:r>
              <w:rPr>
                <w:rFonts w:hint="eastAsia" w:ascii="宋体" w:hAnsi="宋体" w:eastAsia="宋体" w:cs="宋体"/>
                <w:b/>
                <w:bCs/>
                <w:color w:val="auto"/>
                <w:sz w:val="22"/>
                <w:szCs w:val="22"/>
                <w:highlight w:val="none"/>
                <w:lang w:val="pt-BR" w:eastAsia="zh-CN"/>
              </w:rPr>
              <w:t>注：提供检测设备的购买发票复印件并加盖投标人公章，以及提供上述四类检测的方案，未提供或提供不清晰导致无法判断的不得分。</w:t>
            </w:r>
          </w:p>
        </w:tc>
      </w:tr>
      <w:tr w14:paraId="5D41A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399" w:type="pct"/>
            <w:tcBorders>
              <w:top w:val="single" w:color="auto" w:sz="4" w:space="0"/>
              <w:left w:val="single" w:color="auto" w:sz="4" w:space="0"/>
              <w:bottom w:val="single" w:color="auto" w:sz="4" w:space="0"/>
              <w:right w:val="single" w:color="auto" w:sz="4" w:space="0"/>
            </w:tcBorders>
            <w:vAlign w:val="center"/>
          </w:tcPr>
          <w:p w14:paraId="30FD9FFA">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5</w:t>
            </w:r>
          </w:p>
        </w:tc>
        <w:tc>
          <w:tcPr>
            <w:tcW w:w="652" w:type="pct"/>
            <w:tcBorders>
              <w:top w:val="single" w:color="auto" w:sz="4" w:space="0"/>
              <w:left w:val="single" w:color="auto" w:sz="4" w:space="0"/>
              <w:bottom w:val="single" w:color="auto" w:sz="4" w:space="0"/>
              <w:right w:val="single" w:color="auto" w:sz="4" w:space="0"/>
            </w:tcBorders>
            <w:vAlign w:val="center"/>
          </w:tcPr>
          <w:p w14:paraId="39CB871C">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服务响应</w:t>
            </w:r>
          </w:p>
        </w:tc>
        <w:tc>
          <w:tcPr>
            <w:tcW w:w="478" w:type="pct"/>
            <w:tcBorders>
              <w:top w:val="single" w:color="auto" w:sz="4" w:space="0"/>
              <w:left w:val="single" w:color="auto" w:sz="4" w:space="0"/>
              <w:bottom w:val="single" w:color="auto" w:sz="4" w:space="0"/>
              <w:right w:val="single" w:color="auto" w:sz="4" w:space="0"/>
            </w:tcBorders>
            <w:vAlign w:val="center"/>
          </w:tcPr>
          <w:p w14:paraId="5B7ABBB8">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val="en-US" w:eastAsia="zh-CN"/>
              </w:rPr>
              <w:t>7</w:t>
            </w:r>
            <w:r>
              <w:rPr>
                <w:rFonts w:hint="eastAsia" w:ascii="宋体" w:hAnsi="宋体" w:eastAsia="宋体" w:cs="宋体"/>
                <w:color w:val="auto"/>
                <w:sz w:val="22"/>
                <w:szCs w:val="22"/>
                <w:highlight w:val="none"/>
                <w:lang w:eastAsia="zh-CN"/>
              </w:rPr>
              <w:t>分</w:t>
            </w:r>
          </w:p>
        </w:tc>
        <w:tc>
          <w:tcPr>
            <w:tcW w:w="3468" w:type="pct"/>
            <w:tcBorders>
              <w:top w:val="single" w:color="auto" w:sz="4" w:space="0"/>
              <w:left w:val="single" w:color="auto" w:sz="4" w:space="0"/>
              <w:bottom w:val="single" w:color="auto" w:sz="4" w:space="0"/>
              <w:right w:val="single" w:color="auto" w:sz="4" w:space="0"/>
            </w:tcBorders>
            <w:vAlign w:val="center"/>
          </w:tcPr>
          <w:p w14:paraId="5E8BCCE6">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color w:val="auto"/>
                <w:sz w:val="22"/>
                <w:szCs w:val="22"/>
                <w:highlight w:val="none"/>
                <w:lang w:val="pt-BR" w:eastAsia="zh-CN"/>
              </w:rPr>
            </w:pPr>
            <w:r>
              <w:rPr>
                <w:rFonts w:hint="eastAsia" w:ascii="宋体" w:hAnsi="宋体" w:eastAsia="宋体" w:cs="宋体"/>
                <w:color w:val="auto"/>
                <w:sz w:val="22"/>
                <w:szCs w:val="22"/>
                <w:highlight w:val="none"/>
                <w:lang w:val="pt-BR" w:eastAsia="zh-CN"/>
              </w:rPr>
              <w:t>1、应急响应机制（2分）：</w:t>
            </w:r>
          </w:p>
          <w:p w14:paraId="7B27388A">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color w:val="auto"/>
                <w:sz w:val="22"/>
                <w:szCs w:val="22"/>
                <w:highlight w:val="none"/>
                <w:lang w:val="pt-BR" w:eastAsia="zh-CN"/>
              </w:rPr>
            </w:pPr>
            <w:r>
              <w:rPr>
                <w:rFonts w:hint="eastAsia" w:ascii="宋体" w:hAnsi="宋体" w:eastAsia="宋体" w:cs="宋体"/>
                <w:color w:val="auto"/>
                <w:sz w:val="22"/>
                <w:szCs w:val="22"/>
                <w:highlight w:val="none"/>
                <w:lang w:val="pt-BR" w:eastAsia="zh-CN"/>
              </w:rPr>
              <w:t>（1）提供针对本项目成立的应急管理机构名单、应急工作队伍名单、应急联系方式（含至少2名专人及24小时联系电话），得1分；</w:t>
            </w:r>
          </w:p>
          <w:p w14:paraId="5B1928FB">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color w:val="auto"/>
                <w:sz w:val="22"/>
                <w:szCs w:val="22"/>
                <w:highlight w:val="none"/>
                <w:lang w:val="pt-BR" w:eastAsia="zh-CN"/>
              </w:rPr>
            </w:pPr>
            <w:r>
              <w:rPr>
                <w:rFonts w:hint="eastAsia" w:ascii="宋体" w:hAnsi="宋体" w:eastAsia="宋体" w:cs="宋体"/>
                <w:color w:val="auto"/>
                <w:sz w:val="22"/>
                <w:szCs w:val="22"/>
                <w:highlight w:val="none"/>
                <w:lang w:val="pt-BR" w:eastAsia="zh-CN"/>
              </w:rPr>
              <w:t>（2）提供书面应急处置措施方案，明确承诺在接到采购人应急需求后1小时内完成配送并送达指定地点，且不影响采购人正常工作的，且在恶劣天气等特殊情况下仍能保障按时配送，得1分</w:t>
            </w:r>
            <w:r>
              <w:rPr>
                <w:rFonts w:hint="eastAsia" w:ascii="宋体" w:hAnsi="宋体" w:cs="宋体"/>
                <w:color w:val="auto"/>
                <w:sz w:val="22"/>
                <w:szCs w:val="22"/>
                <w:highlight w:val="none"/>
                <w:lang w:val="pt-BR" w:eastAsia="zh-CN"/>
              </w:rPr>
              <w:t>。</w:t>
            </w:r>
          </w:p>
          <w:p w14:paraId="1716BDD9">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color w:val="auto"/>
                <w:sz w:val="22"/>
                <w:szCs w:val="22"/>
                <w:highlight w:val="none"/>
                <w:lang w:val="pt-BR" w:eastAsia="zh-CN"/>
              </w:rPr>
            </w:pPr>
            <w:r>
              <w:rPr>
                <w:rFonts w:hint="eastAsia" w:ascii="宋体" w:hAnsi="宋体" w:eastAsia="宋体" w:cs="宋体"/>
                <w:color w:val="auto"/>
                <w:sz w:val="22"/>
                <w:szCs w:val="22"/>
                <w:highlight w:val="none"/>
                <w:lang w:val="pt-BR" w:eastAsia="zh-CN"/>
              </w:rPr>
              <w:t>2、售后服务保障（</w:t>
            </w:r>
            <w:r>
              <w:rPr>
                <w:rFonts w:hint="default" w:ascii="宋体" w:hAnsi="宋体" w:cs="宋体"/>
                <w:color w:val="auto"/>
                <w:sz w:val="22"/>
                <w:szCs w:val="22"/>
                <w:highlight w:val="none"/>
                <w:lang w:val="en-US" w:eastAsia="zh-CN"/>
              </w:rPr>
              <w:t>4</w:t>
            </w:r>
            <w:r>
              <w:rPr>
                <w:rFonts w:hint="eastAsia" w:ascii="宋体" w:hAnsi="宋体" w:eastAsia="宋体" w:cs="宋体"/>
                <w:color w:val="auto"/>
                <w:sz w:val="22"/>
                <w:szCs w:val="22"/>
                <w:highlight w:val="none"/>
                <w:lang w:val="pt-BR" w:eastAsia="zh-CN"/>
              </w:rPr>
              <w:t>分）：</w:t>
            </w:r>
          </w:p>
          <w:p w14:paraId="7F74E4EF">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color w:val="auto"/>
                <w:sz w:val="22"/>
                <w:szCs w:val="22"/>
                <w:highlight w:val="none"/>
                <w:lang w:val="pt-BR" w:eastAsia="zh-CN"/>
              </w:rPr>
            </w:pPr>
            <w:r>
              <w:rPr>
                <w:rFonts w:hint="eastAsia" w:ascii="宋体" w:hAnsi="宋体" w:eastAsia="宋体" w:cs="宋体"/>
                <w:color w:val="auto"/>
                <w:sz w:val="22"/>
                <w:szCs w:val="22"/>
                <w:highlight w:val="none"/>
                <w:lang w:val="pt-BR" w:eastAsia="zh-CN"/>
              </w:rPr>
              <w:t>（1）提供专门为本项目配置的售后服务人员名单及职责分工，并承诺实行“三包”服务（包质量、包数量、包调换）的，得1分；</w:t>
            </w:r>
          </w:p>
          <w:p w14:paraId="1B399437">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color w:val="auto"/>
                <w:sz w:val="22"/>
                <w:szCs w:val="22"/>
                <w:highlight w:val="none"/>
                <w:lang w:val="pt-BR" w:eastAsia="zh-CN"/>
              </w:rPr>
            </w:pPr>
            <w:r>
              <w:rPr>
                <w:rFonts w:hint="eastAsia" w:ascii="宋体" w:hAnsi="宋体" w:eastAsia="宋体" w:cs="宋体"/>
                <w:color w:val="auto"/>
                <w:sz w:val="22"/>
                <w:szCs w:val="22"/>
                <w:highlight w:val="none"/>
                <w:lang w:val="pt-BR" w:eastAsia="zh-CN"/>
              </w:rPr>
              <w:t>（2）提供书面定期满意度回访制度及内部服务考核办法的，得0.5分；</w:t>
            </w:r>
          </w:p>
          <w:p w14:paraId="65001649">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color w:val="auto"/>
                <w:sz w:val="22"/>
                <w:szCs w:val="22"/>
                <w:highlight w:val="none"/>
                <w:lang w:val="pt-BR" w:eastAsia="zh-CN"/>
              </w:rPr>
            </w:pPr>
            <w:r>
              <w:rPr>
                <w:rFonts w:hint="eastAsia" w:ascii="宋体" w:hAnsi="宋体" w:eastAsia="宋体" w:cs="宋体"/>
                <w:color w:val="auto"/>
                <w:sz w:val="22"/>
                <w:szCs w:val="22"/>
                <w:highlight w:val="none"/>
                <w:lang w:val="pt-BR" w:eastAsia="zh-CN"/>
              </w:rPr>
              <w:t>（3）承诺在市场价格发生波动时，</w:t>
            </w:r>
            <w:r>
              <w:rPr>
                <w:rFonts w:hint="eastAsia" w:ascii="宋体" w:hAnsi="宋体" w:cs="宋体"/>
                <w:color w:val="auto"/>
                <w:sz w:val="22"/>
                <w:szCs w:val="22"/>
                <w:highlight w:val="none"/>
                <w:lang w:val="pt-BR" w:eastAsia="zh-CN"/>
              </w:rPr>
              <w:t>仍按采购人已审批确定的当期价格</w:t>
            </w:r>
            <w:r>
              <w:rPr>
                <w:rFonts w:hint="eastAsia" w:ascii="宋体" w:hAnsi="宋体" w:eastAsia="宋体" w:cs="宋体"/>
                <w:color w:val="auto"/>
                <w:sz w:val="22"/>
                <w:szCs w:val="22"/>
                <w:highlight w:val="none"/>
                <w:lang w:val="pt-BR" w:eastAsia="zh-CN"/>
              </w:rPr>
              <w:t>优先保障供应，确需调价的须事先书面协商并取得采购人同意，得</w:t>
            </w:r>
            <w:r>
              <w:rPr>
                <w:rFonts w:hint="default" w:ascii="宋体" w:hAnsi="宋体" w:cs="宋体"/>
                <w:color w:val="auto"/>
                <w:sz w:val="22"/>
                <w:szCs w:val="22"/>
                <w:highlight w:val="none"/>
                <w:lang w:val="en-US" w:eastAsia="zh-CN"/>
              </w:rPr>
              <w:t>2</w:t>
            </w:r>
            <w:r>
              <w:rPr>
                <w:rFonts w:hint="eastAsia" w:ascii="宋体" w:hAnsi="宋体" w:cs="宋体"/>
                <w:color w:val="auto"/>
                <w:sz w:val="22"/>
                <w:szCs w:val="22"/>
                <w:highlight w:val="none"/>
                <w:lang w:val="en-US" w:eastAsia="zh-CN"/>
              </w:rPr>
              <w:t>.5</w:t>
            </w:r>
            <w:r>
              <w:rPr>
                <w:rFonts w:hint="eastAsia" w:ascii="宋体" w:hAnsi="宋体" w:eastAsia="宋体" w:cs="宋体"/>
                <w:color w:val="auto"/>
                <w:sz w:val="22"/>
                <w:szCs w:val="22"/>
                <w:highlight w:val="none"/>
                <w:lang w:val="pt-BR" w:eastAsia="zh-CN"/>
              </w:rPr>
              <w:t>分</w:t>
            </w:r>
            <w:r>
              <w:rPr>
                <w:rFonts w:hint="eastAsia" w:ascii="宋体" w:hAnsi="宋体" w:cs="宋体"/>
                <w:color w:val="auto"/>
                <w:sz w:val="22"/>
                <w:szCs w:val="22"/>
                <w:highlight w:val="none"/>
                <w:lang w:val="pt-BR" w:eastAsia="zh-CN"/>
              </w:rPr>
              <w:t>。</w:t>
            </w:r>
          </w:p>
          <w:p w14:paraId="04356613">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color w:val="auto"/>
                <w:sz w:val="22"/>
                <w:szCs w:val="22"/>
                <w:highlight w:val="none"/>
                <w:lang w:val="pt-BR" w:eastAsia="zh-CN"/>
              </w:rPr>
            </w:pPr>
            <w:r>
              <w:rPr>
                <w:rFonts w:hint="eastAsia" w:ascii="宋体" w:hAnsi="宋体" w:eastAsia="宋体" w:cs="宋体"/>
                <w:color w:val="auto"/>
                <w:sz w:val="22"/>
                <w:szCs w:val="22"/>
                <w:highlight w:val="none"/>
                <w:lang w:val="pt-BR" w:eastAsia="zh-CN"/>
              </w:rPr>
              <w:t>3、安全责任承诺（</w:t>
            </w:r>
            <w:r>
              <w:rPr>
                <w:rFonts w:hint="eastAsia" w:ascii="宋体" w:hAnsi="宋体" w:cs="宋体"/>
                <w:color w:val="auto"/>
                <w:sz w:val="22"/>
                <w:szCs w:val="22"/>
                <w:highlight w:val="none"/>
                <w:lang w:val="en-US" w:eastAsia="zh-CN"/>
              </w:rPr>
              <w:t>1</w:t>
            </w:r>
            <w:r>
              <w:rPr>
                <w:rFonts w:hint="eastAsia" w:ascii="宋体" w:hAnsi="宋体" w:eastAsia="宋体" w:cs="宋体"/>
                <w:color w:val="auto"/>
                <w:sz w:val="22"/>
                <w:szCs w:val="22"/>
                <w:highlight w:val="none"/>
                <w:lang w:val="pt-BR" w:eastAsia="zh-CN"/>
              </w:rPr>
              <w:t>分）：</w:t>
            </w:r>
          </w:p>
          <w:p w14:paraId="7D5F27B9">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color w:val="auto"/>
                <w:sz w:val="22"/>
                <w:szCs w:val="22"/>
                <w:highlight w:val="none"/>
                <w:lang w:val="pt-BR" w:eastAsia="zh-CN"/>
              </w:rPr>
            </w:pPr>
            <w:r>
              <w:rPr>
                <w:rFonts w:hint="eastAsia" w:ascii="宋体" w:hAnsi="宋体" w:eastAsia="宋体" w:cs="宋体"/>
                <w:color w:val="auto"/>
                <w:sz w:val="22"/>
                <w:szCs w:val="22"/>
                <w:highlight w:val="none"/>
                <w:lang w:val="pt-BR" w:eastAsia="zh-CN"/>
              </w:rPr>
              <w:t>（1）承诺在发生食品安全事故或重大质量问题时，企业主要负责人及相关主管人员必须在2小时内到达现场处理，并提供书面安抚及善后处理方案的，得</w:t>
            </w:r>
            <w:r>
              <w:rPr>
                <w:rFonts w:hint="eastAsia" w:ascii="宋体" w:hAnsi="宋体" w:cs="宋体"/>
                <w:color w:val="auto"/>
                <w:sz w:val="22"/>
                <w:szCs w:val="22"/>
                <w:highlight w:val="none"/>
                <w:lang w:val="en-US" w:eastAsia="zh-CN"/>
              </w:rPr>
              <w:t>0.5</w:t>
            </w:r>
            <w:r>
              <w:rPr>
                <w:rFonts w:hint="eastAsia" w:ascii="宋体" w:hAnsi="宋体" w:eastAsia="宋体" w:cs="宋体"/>
                <w:color w:val="auto"/>
                <w:sz w:val="22"/>
                <w:szCs w:val="22"/>
                <w:highlight w:val="none"/>
                <w:lang w:val="pt-BR" w:eastAsia="zh-CN"/>
              </w:rPr>
              <w:t>分；</w:t>
            </w:r>
          </w:p>
          <w:p w14:paraId="5BF450EE">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color w:val="auto"/>
                <w:sz w:val="22"/>
                <w:szCs w:val="22"/>
                <w:highlight w:val="none"/>
                <w:lang w:val="pt-BR" w:eastAsia="zh-CN"/>
              </w:rPr>
            </w:pPr>
            <w:r>
              <w:rPr>
                <w:rFonts w:hint="eastAsia" w:ascii="宋体" w:hAnsi="宋体" w:eastAsia="宋体" w:cs="宋体"/>
                <w:color w:val="auto"/>
                <w:sz w:val="22"/>
                <w:szCs w:val="22"/>
                <w:highlight w:val="none"/>
                <w:lang w:val="pt-BR" w:eastAsia="zh-CN"/>
              </w:rPr>
              <w:t>（2）承诺如因质量问题或配送运输引发安全事故，承担全部法律责任及全部经济损失，并提供相关法律承诺函的，得</w:t>
            </w:r>
            <w:r>
              <w:rPr>
                <w:rFonts w:hint="eastAsia" w:ascii="宋体" w:hAnsi="宋体" w:cs="宋体"/>
                <w:color w:val="auto"/>
                <w:sz w:val="22"/>
                <w:szCs w:val="22"/>
                <w:highlight w:val="none"/>
                <w:lang w:val="en-US" w:eastAsia="zh-CN"/>
              </w:rPr>
              <w:t>0.5</w:t>
            </w:r>
            <w:r>
              <w:rPr>
                <w:rFonts w:hint="eastAsia" w:ascii="宋体" w:hAnsi="宋体" w:eastAsia="宋体" w:cs="宋体"/>
                <w:color w:val="auto"/>
                <w:sz w:val="22"/>
                <w:szCs w:val="22"/>
                <w:highlight w:val="none"/>
                <w:lang w:val="pt-BR" w:eastAsia="zh-CN"/>
              </w:rPr>
              <w:t>分</w:t>
            </w:r>
          </w:p>
          <w:p w14:paraId="46798178">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color w:val="auto"/>
                <w:sz w:val="22"/>
                <w:szCs w:val="22"/>
                <w:highlight w:val="none"/>
                <w:lang w:val="pt-BR" w:eastAsia="zh-CN"/>
              </w:rPr>
            </w:pPr>
            <w:r>
              <w:rPr>
                <w:rFonts w:hint="eastAsia" w:ascii="宋体" w:hAnsi="宋体" w:eastAsia="宋体" w:cs="宋体"/>
                <w:b/>
                <w:bCs/>
                <w:color w:val="auto"/>
                <w:sz w:val="22"/>
                <w:szCs w:val="22"/>
                <w:highlight w:val="none"/>
                <w:lang w:val="pt-BR" w:eastAsia="zh-CN"/>
              </w:rPr>
              <w:t>注：以上各项均须提供加盖公章的承诺函或证明材料扫描件，</w:t>
            </w:r>
            <w:r>
              <w:rPr>
                <w:rFonts w:hint="eastAsia" w:ascii="宋体" w:hAnsi="宋体" w:cs="宋体"/>
                <w:b/>
                <w:bCs/>
                <w:color w:val="auto"/>
                <w:sz w:val="22"/>
                <w:szCs w:val="22"/>
                <w:highlight w:val="none"/>
                <w:lang w:val="en-US" w:eastAsia="zh-CN"/>
              </w:rPr>
              <w:t>格式自拟，</w:t>
            </w:r>
            <w:r>
              <w:rPr>
                <w:rFonts w:hint="eastAsia" w:ascii="宋体" w:hAnsi="宋体" w:eastAsia="宋体" w:cs="宋体"/>
                <w:b/>
                <w:bCs/>
                <w:color w:val="auto"/>
                <w:sz w:val="22"/>
                <w:szCs w:val="22"/>
                <w:highlight w:val="none"/>
                <w:lang w:val="pt-BR" w:eastAsia="zh-CN"/>
              </w:rPr>
              <w:t>未提供或提供不清晰导致无法判断的不得分</w:t>
            </w:r>
            <w:r>
              <w:rPr>
                <w:rFonts w:hint="eastAsia" w:ascii="宋体" w:hAnsi="宋体" w:cs="宋体"/>
                <w:b/>
                <w:bCs/>
                <w:color w:val="auto"/>
                <w:sz w:val="22"/>
                <w:szCs w:val="22"/>
                <w:highlight w:val="none"/>
                <w:lang w:val="pt-BR" w:eastAsia="zh-CN"/>
              </w:rPr>
              <w:t>。</w:t>
            </w:r>
          </w:p>
        </w:tc>
      </w:tr>
      <w:tr w14:paraId="1C65A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399" w:type="pct"/>
            <w:vMerge w:val="restart"/>
            <w:tcBorders>
              <w:top w:val="single" w:color="auto" w:sz="4" w:space="0"/>
              <w:left w:val="single" w:color="auto" w:sz="4" w:space="0"/>
              <w:right w:val="single" w:color="auto" w:sz="4" w:space="0"/>
            </w:tcBorders>
            <w:vAlign w:val="center"/>
          </w:tcPr>
          <w:p w14:paraId="0885A79C">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6</w:t>
            </w:r>
          </w:p>
        </w:tc>
        <w:tc>
          <w:tcPr>
            <w:tcW w:w="652" w:type="pct"/>
            <w:vMerge w:val="restart"/>
            <w:tcBorders>
              <w:top w:val="single" w:color="auto" w:sz="4" w:space="0"/>
              <w:left w:val="single" w:color="auto" w:sz="4" w:space="0"/>
              <w:right w:val="single" w:color="auto" w:sz="4" w:space="0"/>
            </w:tcBorders>
            <w:vAlign w:val="center"/>
          </w:tcPr>
          <w:p w14:paraId="6061DC20">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配送保障能力</w:t>
            </w:r>
          </w:p>
        </w:tc>
        <w:tc>
          <w:tcPr>
            <w:tcW w:w="478" w:type="pct"/>
            <w:tcBorders>
              <w:top w:val="single" w:color="auto" w:sz="4" w:space="0"/>
              <w:left w:val="single" w:color="auto" w:sz="4" w:space="0"/>
              <w:bottom w:val="single" w:color="auto" w:sz="4" w:space="0"/>
              <w:right w:val="single" w:color="auto" w:sz="4" w:space="0"/>
            </w:tcBorders>
            <w:vAlign w:val="center"/>
          </w:tcPr>
          <w:p w14:paraId="2F11F7A8">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val="en-US" w:eastAsia="zh-CN"/>
              </w:rPr>
              <w:t>2</w:t>
            </w:r>
            <w:r>
              <w:rPr>
                <w:rFonts w:hint="eastAsia" w:ascii="宋体" w:hAnsi="宋体" w:eastAsia="宋体" w:cs="宋体"/>
                <w:color w:val="auto"/>
                <w:sz w:val="22"/>
                <w:szCs w:val="22"/>
                <w:highlight w:val="none"/>
                <w:lang w:eastAsia="zh-CN"/>
              </w:rPr>
              <w:t>分</w:t>
            </w:r>
          </w:p>
        </w:tc>
        <w:tc>
          <w:tcPr>
            <w:tcW w:w="3468" w:type="pct"/>
            <w:tcBorders>
              <w:top w:val="single" w:color="auto" w:sz="4" w:space="0"/>
              <w:left w:val="single" w:color="auto" w:sz="4" w:space="0"/>
              <w:bottom w:val="single" w:color="auto" w:sz="4" w:space="0"/>
              <w:right w:val="single" w:color="auto" w:sz="4" w:space="0"/>
            </w:tcBorders>
            <w:vAlign w:val="center"/>
          </w:tcPr>
          <w:p w14:paraId="6B9767BA">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pt-BR" w:eastAsia="zh-CN"/>
              </w:rPr>
              <w:t>（</w:t>
            </w:r>
            <w:r>
              <w:rPr>
                <w:rFonts w:hint="eastAsia" w:ascii="宋体" w:hAnsi="宋体" w:cs="宋体"/>
                <w:color w:val="auto"/>
                <w:sz w:val="22"/>
                <w:szCs w:val="22"/>
                <w:highlight w:val="none"/>
                <w:lang w:val="en-US" w:eastAsia="zh-CN"/>
              </w:rPr>
              <w:t>一</w:t>
            </w:r>
            <w:r>
              <w:rPr>
                <w:rFonts w:hint="eastAsia" w:ascii="宋体" w:hAnsi="宋体" w:cs="宋体"/>
                <w:color w:val="auto"/>
                <w:sz w:val="22"/>
                <w:szCs w:val="22"/>
                <w:highlight w:val="none"/>
                <w:lang w:val="pt-BR" w:eastAsia="zh-CN"/>
              </w:rPr>
              <w:t>）</w:t>
            </w:r>
            <w:r>
              <w:rPr>
                <w:rFonts w:hint="eastAsia" w:ascii="宋体" w:hAnsi="宋体" w:cs="宋体"/>
                <w:color w:val="auto"/>
                <w:sz w:val="22"/>
                <w:szCs w:val="22"/>
                <w:highlight w:val="none"/>
                <w:lang w:val="en-US" w:eastAsia="zh-CN"/>
              </w:rPr>
              <w:t>运输能力：</w:t>
            </w:r>
          </w:p>
          <w:p w14:paraId="4A31FE60">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b w:val="0"/>
                <w:bCs w:val="0"/>
                <w:color w:val="auto"/>
                <w:sz w:val="22"/>
                <w:szCs w:val="22"/>
                <w:highlight w:val="none"/>
                <w:lang w:val="pt-BR" w:eastAsia="zh-CN"/>
              </w:rPr>
            </w:pPr>
            <w:r>
              <w:rPr>
                <w:rFonts w:hint="eastAsia" w:ascii="宋体" w:hAnsi="宋体" w:cs="宋体"/>
                <w:b w:val="0"/>
                <w:bCs w:val="0"/>
                <w:color w:val="auto"/>
                <w:sz w:val="22"/>
                <w:szCs w:val="22"/>
                <w:highlight w:val="none"/>
                <w:lang w:val="en-US" w:eastAsia="zh-CN"/>
              </w:rPr>
              <w:t>根据投标人</w:t>
            </w:r>
            <w:r>
              <w:rPr>
                <w:rFonts w:hint="eastAsia" w:ascii="宋体" w:hAnsi="宋体" w:eastAsia="宋体" w:cs="宋体"/>
                <w:b w:val="0"/>
                <w:bCs w:val="0"/>
                <w:color w:val="auto"/>
                <w:sz w:val="22"/>
                <w:szCs w:val="22"/>
                <w:highlight w:val="none"/>
                <w:lang w:val="pt-BR" w:eastAsia="zh-CN"/>
              </w:rPr>
              <w:t>自</w:t>
            </w:r>
            <w:r>
              <w:rPr>
                <w:rFonts w:hint="eastAsia" w:ascii="宋体" w:hAnsi="宋体" w:cs="宋体"/>
                <w:b w:val="0"/>
                <w:bCs w:val="0"/>
                <w:color w:val="auto"/>
                <w:sz w:val="22"/>
                <w:szCs w:val="22"/>
                <w:highlight w:val="none"/>
                <w:lang w:val="en-US" w:eastAsia="zh-CN"/>
              </w:rPr>
              <w:t>有的（</w:t>
            </w:r>
            <w:r>
              <w:rPr>
                <w:rFonts w:hint="eastAsia" w:ascii="宋体" w:hAnsi="宋体" w:eastAsia="宋体" w:cs="宋体"/>
                <w:b w:val="0"/>
                <w:bCs w:val="0"/>
                <w:color w:val="auto"/>
                <w:sz w:val="22"/>
                <w:szCs w:val="22"/>
                <w:highlight w:val="none"/>
                <w:lang w:val="pt-BR" w:eastAsia="zh-CN"/>
              </w:rPr>
              <w:t>或</w:t>
            </w:r>
            <w:r>
              <w:rPr>
                <w:rFonts w:hint="eastAsia" w:ascii="宋体" w:hAnsi="宋体" w:cs="宋体"/>
                <w:b w:val="0"/>
                <w:bCs w:val="0"/>
                <w:color w:val="auto"/>
                <w:sz w:val="22"/>
                <w:szCs w:val="22"/>
                <w:highlight w:val="none"/>
                <w:lang w:val="en-US" w:eastAsia="zh-CN"/>
              </w:rPr>
              <w:t>租赁</w:t>
            </w:r>
            <w:r>
              <w:rPr>
                <w:rFonts w:hint="eastAsia" w:ascii="宋体" w:hAnsi="宋体" w:eastAsia="宋体" w:cs="宋体"/>
                <w:b w:val="0"/>
                <w:bCs w:val="0"/>
                <w:color w:val="auto"/>
                <w:sz w:val="22"/>
                <w:szCs w:val="22"/>
                <w:highlight w:val="none"/>
                <w:lang w:val="pt-BR" w:eastAsia="zh-CN"/>
              </w:rPr>
              <w:t>的</w:t>
            </w:r>
            <w:r>
              <w:rPr>
                <w:rFonts w:hint="eastAsia" w:ascii="宋体" w:hAnsi="宋体" w:cs="宋体"/>
                <w:b w:val="0"/>
                <w:bCs w:val="0"/>
                <w:color w:val="auto"/>
                <w:sz w:val="22"/>
                <w:szCs w:val="22"/>
                <w:highlight w:val="none"/>
                <w:lang w:val="en-US" w:eastAsia="zh-CN"/>
              </w:rPr>
              <w:t>）运输车辆情</w:t>
            </w:r>
            <w:r>
              <w:rPr>
                <w:rFonts w:hint="eastAsia" w:ascii="宋体" w:hAnsi="宋体" w:eastAsia="宋体" w:cs="宋体"/>
                <w:color w:val="auto"/>
                <w:sz w:val="22"/>
                <w:szCs w:val="22"/>
                <w:highlight w:val="none"/>
                <w:lang w:val="en-US" w:eastAsia="zh-CN"/>
              </w:rPr>
              <w:t>况</w:t>
            </w:r>
            <w:r>
              <w:rPr>
                <w:rFonts w:hint="eastAsia" w:ascii="宋体" w:hAnsi="宋体" w:eastAsia="宋体" w:cs="宋体"/>
                <w:b w:val="0"/>
                <w:bCs w:val="0"/>
                <w:color w:val="auto"/>
                <w:sz w:val="22"/>
                <w:szCs w:val="22"/>
                <w:highlight w:val="none"/>
                <w:lang w:val="pt-BR" w:eastAsia="zh-CN"/>
              </w:rPr>
              <w:t>，进行评分</w:t>
            </w:r>
            <w:r>
              <w:rPr>
                <w:rFonts w:hint="eastAsia" w:ascii="宋体" w:hAnsi="宋体" w:cs="宋体"/>
                <w:b w:val="0"/>
                <w:bCs w:val="0"/>
                <w:color w:val="auto"/>
                <w:sz w:val="22"/>
                <w:szCs w:val="22"/>
                <w:highlight w:val="none"/>
                <w:lang w:val="pt-BR" w:eastAsia="zh-CN"/>
              </w:rPr>
              <w:t>，</w:t>
            </w:r>
            <w:r>
              <w:rPr>
                <w:rFonts w:hint="eastAsia" w:ascii="宋体" w:hAnsi="宋体" w:cs="宋体"/>
                <w:b w:val="0"/>
                <w:bCs w:val="0"/>
                <w:color w:val="auto"/>
                <w:sz w:val="22"/>
                <w:szCs w:val="22"/>
                <w:highlight w:val="none"/>
                <w:lang w:val="en-US" w:eastAsia="zh-CN"/>
              </w:rPr>
              <w:t>满分2</w:t>
            </w:r>
            <w:r>
              <w:rPr>
                <w:rFonts w:hint="eastAsia" w:ascii="宋体" w:hAnsi="宋体" w:eastAsia="宋体" w:cs="宋体"/>
                <w:b w:val="0"/>
                <w:bCs w:val="0"/>
                <w:color w:val="auto"/>
                <w:sz w:val="22"/>
                <w:szCs w:val="22"/>
                <w:highlight w:val="none"/>
                <w:lang w:val="pt-BR" w:eastAsia="zh-CN"/>
              </w:rPr>
              <w:t>分：</w:t>
            </w:r>
          </w:p>
          <w:p w14:paraId="4A5EA603">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color w:val="auto"/>
                <w:sz w:val="22"/>
                <w:szCs w:val="22"/>
                <w:highlight w:val="none"/>
                <w:lang w:val="pt-BR" w:eastAsia="zh-CN"/>
              </w:rPr>
            </w:pPr>
            <w:r>
              <w:rPr>
                <w:rFonts w:hint="eastAsia" w:ascii="宋体" w:hAnsi="宋体" w:eastAsia="宋体" w:cs="宋体"/>
                <w:color w:val="auto"/>
                <w:sz w:val="22"/>
                <w:szCs w:val="22"/>
                <w:highlight w:val="none"/>
                <w:lang w:val="pt-BR" w:eastAsia="zh-CN"/>
              </w:rPr>
              <w:t>本项目至少投入三台厢式运输车，在此基础上每多投入一台厢式运输车的得</w:t>
            </w:r>
            <w:r>
              <w:rPr>
                <w:rFonts w:hint="eastAsia" w:ascii="宋体" w:hAnsi="宋体" w:cs="宋体"/>
                <w:color w:val="auto"/>
                <w:sz w:val="22"/>
                <w:szCs w:val="22"/>
                <w:highlight w:val="none"/>
                <w:lang w:val="en-US" w:eastAsia="zh-CN"/>
              </w:rPr>
              <w:t>1</w:t>
            </w:r>
            <w:r>
              <w:rPr>
                <w:rFonts w:hint="eastAsia" w:ascii="宋体" w:hAnsi="宋体" w:eastAsia="宋体" w:cs="宋体"/>
                <w:color w:val="auto"/>
                <w:sz w:val="22"/>
                <w:szCs w:val="22"/>
                <w:highlight w:val="none"/>
                <w:lang w:val="pt-BR" w:eastAsia="zh-CN"/>
              </w:rPr>
              <w:t>分，最高得2分</w:t>
            </w:r>
            <w:r>
              <w:rPr>
                <w:rFonts w:hint="eastAsia" w:ascii="宋体" w:hAnsi="宋体" w:cs="宋体"/>
                <w:color w:val="auto"/>
                <w:sz w:val="22"/>
                <w:szCs w:val="22"/>
                <w:highlight w:val="none"/>
                <w:lang w:val="pt-BR" w:eastAsia="zh-CN"/>
              </w:rPr>
              <w:t>。</w:t>
            </w:r>
          </w:p>
          <w:p w14:paraId="13A5C961">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b/>
                <w:bCs/>
                <w:color w:val="auto"/>
                <w:sz w:val="22"/>
                <w:szCs w:val="22"/>
                <w:highlight w:val="none"/>
                <w:lang w:val="pt-BR" w:eastAsia="zh-CN"/>
              </w:rPr>
            </w:pPr>
            <w:r>
              <w:rPr>
                <w:rFonts w:hint="eastAsia" w:ascii="宋体" w:hAnsi="宋体" w:eastAsia="宋体" w:cs="宋体"/>
                <w:b/>
                <w:bCs/>
                <w:color w:val="auto"/>
                <w:sz w:val="22"/>
                <w:szCs w:val="22"/>
                <w:highlight w:val="none"/>
                <w:lang w:val="pt-BR" w:eastAsia="zh-CN"/>
              </w:rPr>
              <w:t>注：</w:t>
            </w:r>
          </w:p>
          <w:p w14:paraId="49D6017D">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b/>
                <w:bCs/>
                <w:color w:val="auto"/>
                <w:sz w:val="22"/>
                <w:szCs w:val="22"/>
                <w:highlight w:val="none"/>
                <w:lang w:val="pt-BR" w:eastAsia="zh-CN"/>
              </w:rPr>
            </w:pPr>
            <w:r>
              <w:rPr>
                <w:rFonts w:hint="eastAsia" w:ascii="宋体" w:hAnsi="宋体" w:eastAsia="宋体" w:cs="宋体"/>
                <w:b/>
                <w:bCs/>
                <w:color w:val="auto"/>
                <w:sz w:val="22"/>
                <w:szCs w:val="22"/>
                <w:highlight w:val="none"/>
                <w:lang w:val="pt-BR" w:eastAsia="zh-CN"/>
              </w:rPr>
              <w:t>（1）车辆为投标人自有的，须同时提供：①车辆登记证书或车辆行驶证（所有人须为投标人或投标单位法人）；②车辆照片；上述复印件加盖投标人公章</w:t>
            </w:r>
            <w:r>
              <w:rPr>
                <w:rFonts w:hint="eastAsia" w:ascii="宋体" w:hAnsi="宋体" w:cs="宋体"/>
                <w:b/>
                <w:bCs/>
                <w:color w:val="auto"/>
                <w:sz w:val="22"/>
                <w:szCs w:val="22"/>
                <w:highlight w:val="none"/>
                <w:lang w:val="pt-BR" w:eastAsia="zh-CN"/>
              </w:rPr>
              <w:t>；</w:t>
            </w:r>
          </w:p>
          <w:p w14:paraId="4BAC7141">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pt-BR" w:eastAsia="zh-CN"/>
              </w:rPr>
              <w:t>（2）车辆为投标人租赁的，须同时提供：①车辆登记证书或车辆行驶证；②车辆照片；③以投标人名义签订并在有效期内的租赁合同、近一年内任意时间段的租金发票或租金付款记录，上述复印件加盖投标人公章</w:t>
            </w:r>
            <w:r>
              <w:rPr>
                <w:rFonts w:hint="eastAsia" w:ascii="宋体" w:hAnsi="宋体" w:cs="宋体"/>
                <w:b/>
                <w:bCs/>
                <w:color w:val="auto"/>
                <w:sz w:val="22"/>
                <w:szCs w:val="22"/>
                <w:highlight w:val="none"/>
                <w:lang w:val="pt-BR" w:eastAsia="zh-CN"/>
              </w:rPr>
              <w:t>；</w:t>
            </w:r>
            <w:r>
              <w:rPr>
                <w:rFonts w:hint="eastAsia" w:ascii="宋体" w:hAnsi="宋体" w:eastAsia="宋体" w:cs="宋体"/>
                <w:b/>
                <w:bCs/>
                <w:color w:val="auto"/>
                <w:sz w:val="22"/>
                <w:szCs w:val="22"/>
                <w:highlight w:val="none"/>
                <w:lang w:val="pt-BR" w:eastAsia="zh-CN"/>
              </w:rPr>
              <w:br w:type="textWrapping"/>
            </w:r>
            <w:r>
              <w:rPr>
                <w:rFonts w:hint="eastAsia" w:ascii="宋体" w:hAnsi="宋体" w:cs="宋体"/>
                <w:b/>
                <w:bCs/>
                <w:color w:val="auto"/>
                <w:sz w:val="22"/>
                <w:szCs w:val="22"/>
                <w:highlight w:val="none"/>
                <w:lang w:val="pt-BR" w:eastAsia="zh-CN"/>
              </w:rPr>
              <w:t>（</w:t>
            </w:r>
            <w:r>
              <w:rPr>
                <w:rFonts w:hint="eastAsia" w:ascii="宋体" w:hAnsi="宋体" w:cs="宋体"/>
                <w:b/>
                <w:bCs/>
                <w:color w:val="auto"/>
                <w:sz w:val="22"/>
                <w:szCs w:val="22"/>
                <w:highlight w:val="none"/>
                <w:lang w:val="en-US" w:eastAsia="zh-CN"/>
              </w:rPr>
              <w:t>3</w:t>
            </w:r>
            <w:r>
              <w:rPr>
                <w:rFonts w:hint="eastAsia" w:ascii="宋体" w:hAnsi="宋体" w:cs="宋体"/>
                <w:b/>
                <w:bCs/>
                <w:color w:val="auto"/>
                <w:sz w:val="22"/>
                <w:szCs w:val="22"/>
                <w:highlight w:val="none"/>
                <w:lang w:val="pt-BR" w:eastAsia="zh-CN"/>
              </w:rPr>
              <w:t>）投标人</w:t>
            </w:r>
            <w:r>
              <w:rPr>
                <w:rFonts w:hint="eastAsia" w:ascii="宋体" w:hAnsi="宋体" w:cs="宋体"/>
                <w:b/>
                <w:bCs/>
                <w:color w:val="auto"/>
                <w:sz w:val="22"/>
                <w:szCs w:val="22"/>
                <w:highlight w:val="none"/>
                <w:lang w:val="en-US" w:eastAsia="zh-CN"/>
              </w:rPr>
              <w:t>须</w:t>
            </w:r>
            <w:r>
              <w:rPr>
                <w:rFonts w:hint="eastAsia" w:ascii="宋体" w:hAnsi="宋体" w:cs="宋体"/>
                <w:b/>
                <w:bCs/>
                <w:color w:val="auto"/>
                <w:sz w:val="22"/>
                <w:szCs w:val="22"/>
                <w:highlight w:val="none"/>
                <w:lang w:val="pt-BR" w:eastAsia="zh-CN"/>
              </w:rPr>
              <w:t>承诺</w:t>
            </w:r>
            <w:r>
              <w:rPr>
                <w:rFonts w:hint="eastAsia" w:ascii="宋体" w:hAnsi="宋体" w:cs="宋体"/>
                <w:b/>
                <w:bCs/>
                <w:color w:val="auto"/>
                <w:sz w:val="22"/>
                <w:szCs w:val="22"/>
                <w:highlight w:val="none"/>
                <w:lang w:val="en-US" w:eastAsia="zh-CN"/>
              </w:rPr>
              <w:t>上</w:t>
            </w:r>
            <w:r>
              <w:rPr>
                <w:rFonts w:hint="eastAsia" w:ascii="宋体" w:hAnsi="宋体" w:cs="宋体"/>
                <w:b/>
                <w:bCs/>
                <w:color w:val="auto"/>
                <w:sz w:val="22"/>
                <w:szCs w:val="22"/>
                <w:highlight w:val="none"/>
                <w:lang w:val="pt-BR" w:eastAsia="zh-CN"/>
              </w:rPr>
              <w:t>述</w:t>
            </w:r>
            <w:r>
              <w:rPr>
                <w:rFonts w:hint="eastAsia" w:ascii="宋体" w:hAnsi="宋体" w:cs="宋体"/>
                <w:b/>
                <w:bCs/>
                <w:color w:val="auto"/>
                <w:sz w:val="22"/>
                <w:szCs w:val="22"/>
                <w:highlight w:val="none"/>
                <w:lang w:val="en-US" w:eastAsia="zh-CN"/>
              </w:rPr>
              <w:t>提供的</w:t>
            </w:r>
            <w:r>
              <w:rPr>
                <w:rFonts w:hint="eastAsia" w:ascii="宋体" w:hAnsi="宋体" w:cs="宋体"/>
                <w:b/>
                <w:bCs/>
                <w:color w:val="auto"/>
                <w:sz w:val="22"/>
                <w:szCs w:val="22"/>
                <w:highlight w:val="none"/>
                <w:lang w:val="pt-BR" w:eastAsia="zh-CN"/>
              </w:rPr>
              <w:t>运输车辆是为本项目提供服务</w:t>
            </w:r>
            <w:r>
              <w:rPr>
                <w:rFonts w:hint="eastAsia" w:ascii="宋体" w:hAnsi="宋体" w:cs="宋体"/>
                <w:b/>
                <w:bCs/>
                <w:color w:val="auto"/>
                <w:sz w:val="22"/>
                <w:szCs w:val="22"/>
                <w:highlight w:val="none"/>
                <w:lang w:val="en-US" w:eastAsia="zh-CN"/>
              </w:rPr>
              <w:t>的运输车辆，</w:t>
            </w:r>
            <w:r>
              <w:rPr>
                <w:rFonts w:hint="eastAsia" w:ascii="宋体" w:hAnsi="宋体" w:cs="宋体"/>
                <w:b/>
                <w:bCs/>
                <w:color w:val="auto"/>
                <w:sz w:val="22"/>
                <w:szCs w:val="22"/>
                <w:highlight w:val="none"/>
                <w:lang w:val="pt-BR" w:eastAsia="zh-CN"/>
              </w:rPr>
              <w:t>若需更换运输车辆，须征得采购人书面同意。（</w:t>
            </w:r>
            <w:r>
              <w:rPr>
                <w:rFonts w:hint="eastAsia" w:ascii="宋体" w:hAnsi="宋体" w:cs="宋体"/>
                <w:b/>
                <w:bCs/>
                <w:color w:val="auto"/>
                <w:sz w:val="22"/>
                <w:szCs w:val="22"/>
                <w:highlight w:val="none"/>
                <w:lang w:val="en-US" w:eastAsia="zh-CN"/>
              </w:rPr>
              <w:t>提供承诺函并加盖投标人公章，格式自拟)</w:t>
            </w:r>
          </w:p>
          <w:p w14:paraId="413ED01B">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default" w:ascii="宋体" w:hAnsi="宋体" w:cs="宋体"/>
                <w:color w:val="auto"/>
                <w:sz w:val="22"/>
                <w:highlight w:val="none"/>
                <w:lang w:val="en-US"/>
              </w:rPr>
            </w:pPr>
            <w:r>
              <w:rPr>
                <w:rFonts w:hint="eastAsia" w:ascii="宋体" w:hAnsi="宋体" w:cs="宋体"/>
                <w:b/>
                <w:bCs/>
                <w:color w:val="auto"/>
                <w:sz w:val="22"/>
                <w:szCs w:val="22"/>
                <w:highlight w:val="none"/>
                <w:lang w:val="en-US" w:eastAsia="zh-CN"/>
              </w:rPr>
              <w:t>（4）未按</w:t>
            </w:r>
            <w:r>
              <w:rPr>
                <w:rFonts w:hint="eastAsia" w:ascii="宋体" w:hAnsi="宋体" w:eastAsia="宋体" w:cs="宋体"/>
                <w:b/>
                <w:bCs/>
                <w:color w:val="auto"/>
                <w:sz w:val="22"/>
                <w:szCs w:val="22"/>
                <w:highlight w:val="none"/>
                <w:lang w:val="en-US" w:eastAsia="zh-CN"/>
              </w:rPr>
              <w:t>要求提供</w:t>
            </w:r>
            <w:r>
              <w:rPr>
                <w:rFonts w:hint="eastAsia" w:ascii="宋体" w:hAnsi="宋体" w:cs="宋体"/>
                <w:b/>
                <w:bCs/>
                <w:color w:val="auto"/>
                <w:sz w:val="22"/>
                <w:szCs w:val="22"/>
                <w:highlight w:val="none"/>
                <w:lang w:val="en-US" w:eastAsia="zh-CN"/>
              </w:rPr>
              <w:t>上述</w:t>
            </w:r>
            <w:r>
              <w:rPr>
                <w:rFonts w:hint="eastAsia" w:ascii="宋体" w:hAnsi="宋体" w:eastAsia="宋体" w:cs="宋体"/>
                <w:b/>
                <w:bCs/>
                <w:color w:val="auto"/>
                <w:sz w:val="22"/>
                <w:szCs w:val="22"/>
                <w:highlight w:val="none"/>
                <w:lang w:val="en-US" w:eastAsia="zh-CN"/>
              </w:rPr>
              <w:t>证明材料</w:t>
            </w:r>
            <w:r>
              <w:rPr>
                <w:rFonts w:hint="eastAsia" w:ascii="宋体" w:hAnsi="宋体" w:cs="宋体"/>
                <w:b/>
                <w:bCs/>
                <w:color w:val="auto"/>
                <w:sz w:val="22"/>
                <w:szCs w:val="22"/>
                <w:highlight w:val="none"/>
                <w:lang w:val="en-US" w:eastAsia="zh-CN"/>
              </w:rPr>
              <w:t>或提供不清晰导致无法判断的不得分。</w:t>
            </w:r>
          </w:p>
        </w:tc>
      </w:tr>
      <w:tr w14:paraId="7CC38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399" w:type="pct"/>
            <w:vMerge w:val="continue"/>
            <w:tcBorders>
              <w:left w:val="single" w:color="auto" w:sz="4" w:space="0"/>
              <w:right w:val="single" w:color="auto" w:sz="4" w:space="0"/>
            </w:tcBorders>
            <w:vAlign w:val="center"/>
          </w:tcPr>
          <w:p w14:paraId="41A97683">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eastAsia" w:ascii="宋体" w:hAnsi="宋体" w:eastAsia="宋体" w:cs="宋体"/>
                <w:color w:val="auto"/>
                <w:sz w:val="22"/>
                <w:szCs w:val="22"/>
                <w:highlight w:val="none"/>
                <w:lang w:eastAsia="zh-CN"/>
              </w:rPr>
            </w:pPr>
          </w:p>
        </w:tc>
        <w:tc>
          <w:tcPr>
            <w:tcW w:w="652" w:type="pct"/>
            <w:vMerge w:val="continue"/>
            <w:tcBorders>
              <w:left w:val="single" w:color="auto" w:sz="4" w:space="0"/>
              <w:right w:val="single" w:color="auto" w:sz="4" w:space="0"/>
            </w:tcBorders>
            <w:vAlign w:val="center"/>
          </w:tcPr>
          <w:p w14:paraId="6535F4C3">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default" w:ascii="宋体" w:hAnsi="宋体" w:eastAsia="宋体" w:cs="宋体"/>
                <w:color w:val="auto"/>
                <w:sz w:val="22"/>
                <w:szCs w:val="22"/>
                <w:highlight w:val="none"/>
                <w:lang w:val="en-US" w:eastAsia="zh-CN"/>
              </w:rPr>
            </w:pPr>
          </w:p>
        </w:tc>
        <w:tc>
          <w:tcPr>
            <w:tcW w:w="478" w:type="pct"/>
            <w:tcBorders>
              <w:top w:val="single" w:color="auto" w:sz="4" w:space="0"/>
              <w:left w:val="single" w:color="auto" w:sz="4" w:space="0"/>
              <w:bottom w:val="single" w:color="auto" w:sz="4" w:space="0"/>
              <w:right w:val="single" w:color="auto" w:sz="4" w:space="0"/>
            </w:tcBorders>
            <w:vAlign w:val="center"/>
          </w:tcPr>
          <w:p w14:paraId="42955615">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4分</w:t>
            </w:r>
          </w:p>
        </w:tc>
        <w:tc>
          <w:tcPr>
            <w:tcW w:w="3468" w:type="pct"/>
            <w:tcBorders>
              <w:top w:val="single" w:color="auto" w:sz="4" w:space="0"/>
              <w:left w:val="single" w:color="auto" w:sz="4" w:space="0"/>
              <w:bottom w:val="single" w:color="auto" w:sz="4" w:space="0"/>
              <w:right w:val="single" w:color="auto" w:sz="4" w:space="0"/>
            </w:tcBorders>
            <w:vAlign w:val="center"/>
          </w:tcPr>
          <w:p w14:paraId="7EF059AD">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（二）配送仓储：</w:t>
            </w:r>
          </w:p>
          <w:p w14:paraId="1D6CB9BD">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b w:val="0"/>
                <w:bCs w:val="0"/>
                <w:color w:val="auto"/>
                <w:sz w:val="22"/>
                <w:szCs w:val="22"/>
                <w:highlight w:val="none"/>
                <w:lang w:val="pt-BR" w:eastAsia="zh-CN"/>
              </w:rPr>
            </w:pPr>
            <w:r>
              <w:rPr>
                <w:rFonts w:hint="eastAsia" w:ascii="宋体" w:hAnsi="宋体" w:cs="宋体"/>
                <w:b w:val="0"/>
                <w:bCs w:val="0"/>
                <w:color w:val="auto"/>
                <w:sz w:val="22"/>
                <w:szCs w:val="22"/>
                <w:highlight w:val="none"/>
                <w:lang w:val="en-US" w:eastAsia="zh-CN"/>
              </w:rPr>
              <w:t>根据投标人</w:t>
            </w:r>
            <w:r>
              <w:rPr>
                <w:rFonts w:hint="eastAsia" w:ascii="宋体" w:hAnsi="宋体" w:eastAsia="宋体" w:cs="宋体"/>
                <w:b w:val="0"/>
                <w:bCs w:val="0"/>
                <w:color w:val="auto"/>
                <w:sz w:val="22"/>
                <w:szCs w:val="22"/>
                <w:highlight w:val="none"/>
                <w:lang w:val="pt-BR" w:eastAsia="zh-CN"/>
              </w:rPr>
              <w:t>自</w:t>
            </w:r>
            <w:r>
              <w:rPr>
                <w:rFonts w:hint="eastAsia" w:ascii="宋体" w:hAnsi="宋体" w:cs="宋体"/>
                <w:b w:val="0"/>
                <w:bCs w:val="0"/>
                <w:color w:val="auto"/>
                <w:sz w:val="22"/>
                <w:szCs w:val="22"/>
                <w:highlight w:val="none"/>
                <w:lang w:val="en-US" w:eastAsia="zh-CN"/>
              </w:rPr>
              <w:t>有的（</w:t>
            </w:r>
            <w:r>
              <w:rPr>
                <w:rFonts w:hint="eastAsia" w:ascii="宋体" w:hAnsi="宋体" w:eastAsia="宋体" w:cs="宋体"/>
                <w:b w:val="0"/>
                <w:bCs w:val="0"/>
                <w:color w:val="auto"/>
                <w:sz w:val="22"/>
                <w:szCs w:val="22"/>
                <w:highlight w:val="none"/>
                <w:lang w:val="pt-BR" w:eastAsia="zh-CN"/>
              </w:rPr>
              <w:t>或</w:t>
            </w:r>
            <w:r>
              <w:rPr>
                <w:rFonts w:hint="eastAsia" w:ascii="宋体" w:hAnsi="宋体" w:cs="宋体"/>
                <w:b w:val="0"/>
                <w:bCs w:val="0"/>
                <w:color w:val="auto"/>
                <w:sz w:val="22"/>
                <w:szCs w:val="22"/>
                <w:highlight w:val="none"/>
                <w:lang w:val="en-US" w:eastAsia="zh-CN"/>
              </w:rPr>
              <w:t>租赁</w:t>
            </w:r>
            <w:r>
              <w:rPr>
                <w:rFonts w:hint="eastAsia" w:ascii="宋体" w:hAnsi="宋体" w:eastAsia="宋体" w:cs="宋体"/>
                <w:b w:val="0"/>
                <w:bCs w:val="0"/>
                <w:color w:val="auto"/>
                <w:sz w:val="22"/>
                <w:szCs w:val="22"/>
                <w:highlight w:val="none"/>
                <w:lang w:val="pt-BR" w:eastAsia="zh-CN"/>
              </w:rPr>
              <w:t>的</w:t>
            </w:r>
            <w:r>
              <w:rPr>
                <w:rFonts w:hint="eastAsia" w:ascii="宋体" w:hAnsi="宋体" w:cs="宋体"/>
                <w:b w:val="0"/>
                <w:bCs w:val="0"/>
                <w:color w:val="auto"/>
                <w:sz w:val="22"/>
                <w:szCs w:val="22"/>
                <w:highlight w:val="none"/>
                <w:lang w:val="en-US" w:eastAsia="zh-CN"/>
              </w:rPr>
              <w:t>）</w:t>
            </w:r>
            <w:r>
              <w:rPr>
                <w:rFonts w:hint="eastAsia" w:ascii="宋体" w:hAnsi="宋体" w:eastAsia="宋体" w:cs="宋体"/>
                <w:b w:val="0"/>
                <w:bCs w:val="0"/>
                <w:color w:val="auto"/>
                <w:sz w:val="22"/>
                <w:szCs w:val="22"/>
                <w:highlight w:val="none"/>
                <w:lang w:val="pt-BR" w:eastAsia="zh-CN"/>
              </w:rPr>
              <w:t>配送场地</w:t>
            </w:r>
            <w:r>
              <w:rPr>
                <w:rFonts w:hint="eastAsia" w:ascii="宋体" w:hAnsi="宋体" w:cs="宋体"/>
                <w:b w:val="0"/>
                <w:bCs w:val="0"/>
                <w:color w:val="auto"/>
                <w:sz w:val="22"/>
                <w:szCs w:val="22"/>
                <w:highlight w:val="none"/>
                <w:lang w:val="en-US" w:eastAsia="zh-CN"/>
              </w:rPr>
              <w:t>面积</w:t>
            </w:r>
            <w:r>
              <w:rPr>
                <w:rFonts w:hint="eastAsia" w:ascii="宋体" w:hAnsi="宋体" w:eastAsia="宋体" w:cs="宋体"/>
                <w:color w:val="auto"/>
                <w:sz w:val="22"/>
                <w:szCs w:val="22"/>
                <w:highlight w:val="none"/>
                <w:lang w:val="en-US" w:eastAsia="zh-CN"/>
              </w:rPr>
              <w:t>情况</w:t>
            </w:r>
            <w:r>
              <w:rPr>
                <w:rFonts w:hint="eastAsia" w:ascii="宋体" w:hAnsi="宋体" w:eastAsia="宋体" w:cs="宋体"/>
                <w:b w:val="0"/>
                <w:bCs w:val="0"/>
                <w:color w:val="auto"/>
                <w:sz w:val="22"/>
                <w:szCs w:val="22"/>
                <w:highlight w:val="none"/>
                <w:lang w:val="pt-BR" w:eastAsia="zh-CN"/>
              </w:rPr>
              <w:t>，进行评分</w:t>
            </w:r>
            <w:r>
              <w:rPr>
                <w:rFonts w:hint="eastAsia" w:ascii="宋体" w:hAnsi="宋体" w:cs="宋体"/>
                <w:b w:val="0"/>
                <w:bCs w:val="0"/>
                <w:color w:val="auto"/>
                <w:sz w:val="22"/>
                <w:szCs w:val="22"/>
                <w:highlight w:val="none"/>
                <w:lang w:val="pt-BR" w:eastAsia="zh-CN"/>
              </w:rPr>
              <w:t>，</w:t>
            </w:r>
            <w:r>
              <w:rPr>
                <w:rFonts w:hint="eastAsia" w:ascii="宋体" w:hAnsi="宋体" w:cs="宋体"/>
                <w:b w:val="0"/>
                <w:bCs w:val="0"/>
                <w:color w:val="auto"/>
                <w:sz w:val="22"/>
                <w:szCs w:val="22"/>
                <w:highlight w:val="none"/>
                <w:lang w:val="en-US" w:eastAsia="zh-CN"/>
              </w:rPr>
              <w:t>满分4</w:t>
            </w:r>
            <w:r>
              <w:rPr>
                <w:rFonts w:hint="eastAsia" w:ascii="宋体" w:hAnsi="宋体" w:eastAsia="宋体" w:cs="宋体"/>
                <w:b w:val="0"/>
                <w:bCs w:val="0"/>
                <w:color w:val="auto"/>
                <w:sz w:val="22"/>
                <w:szCs w:val="22"/>
                <w:highlight w:val="none"/>
                <w:lang w:val="pt-BR" w:eastAsia="zh-CN"/>
              </w:rPr>
              <w:t>分：</w:t>
            </w:r>
          </w:p>
          <w:p w14:paraId="58D64B28">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b w:val="0"/>
                <w:bCs w:val="0"/>
                <w:color w:val="auto"/>
                <w:sz w:val="22"/>
                <w:szCs w:val="22"/>
                <w:highlight w:val="none"/>
                <w:lang w:val="pt-BR" w:eastAsia="zh-CN"/>
              </w:rPr>
            </w:pPr>
            <w:r>
              <w:rPr>
                <w:rFonts w:hint="eastAsia" w:ascii="宋体" w:hAnsi="宋体" w:cs="宋体"/>
                <w:b w:val="0"/>
                <w:bCs w:val="0"/>
                <w:color w:val="auto"/>
                <w:sz w:val="22"/>
                <w:szCs w:val="22"/>
                <w:highlight w:val="none"/>
                <w:lang w:val="pt-BR" w:eastAsia="zh-CN"/>
              </w:rPr>
              <w:t>（</w:t>
            </w:r>
            <w:r>
              <w:rPr>
                <w:rFonts w:hint="eastAsia" w:ascii="宋体" w:hAnsi="宋体" w:cs="宋体"/>
                <w:b w:val="0"/>
                <w:bCs w:val="0"/>
                <w:color w:val="auto"/>
                <w:sz w:val="22"/>
                <w:szCs w:val="22"/>
                <w:highlight w:val="none"/>
                <w:lang w:val="en-US" w:eastAsia="zh-CN"/>
              </w:rPr>
              <w:t>1</w:t>
            </w:r>
            <w:r>
              <w:rPr>
                <w:rFonts w:hint="eastAsia" w:ascii="宋体" w:hAnsi="宋体" w:cs="宋体"/>
                <w:b w:val="0"/>
                <w:bCs w:val="0"/>
                <w:color w:val="auto"/>
                <w:sz w:val="22"/>
                <w:szCs w:val="22"/>
                <w:highlight w:val="none"/>
                <w:lang w:val="pt-BR" w:eastAsia="zh-CN"/>
              </w:rPr>
              <w:t>）</w:t>
            </w:r>
            <w:r>
              <w:rPr>
                <w:rFonts w:hint="eastAsia" w:ascii="宋体" w:hAnsi="宋体" w:eastAsia="宋体" w:cs="宋体"/>
                <w:b w:val="0"/>
                <w:bCs w:val="0"/>
                <w:color w:val="auto"/>
                <w:sz w:val="22"/>
                <w:szCs w:val="22"/>
                <w:highlight w:val="none"/>
                <w:lang w:val="pt-BR" w:eastAsia="zh-CN"/>
              </w:rPr>
              <w:t>配送场地</w:t>
            </w:r>
            <w:r>
              <w:rPr>
                <w:rFonts w:hint="eastAsia" w:ascii="宋体" w:hAnsi="宋体" w:eastAsia="宋体" w:cs="宋体"/>
                <w:color w:val="auto"/>
                <w:sz w:val="22"/>
                <w:szCs w:val="22"/>
                <w:highlight w:val="none"/>
                <w:lang w:val="pt-BR" w:eastAsia="zh-CN"/>
              </w:rPr>
              <w:t>面积</w:t>
            </w:r>
            <w:r>
              <w:rPr>
                <w:rFonts w:hint="eastAsia" w:ascii="宋体" w:hAnsi="宋体" w:cs="宋体"/>
                <w:color w:val="auto"/>
                <w:sz w:val="22"/>
                <w:szCs w:val="22"/>
                <w:highlight w:val="none"/>
                <w:lang w:val="en-US" w:eastAsia="zh-CN"/>
              </w:rPr>
              <w:t>≥</w:t>
            </w:r>
            <w:r>
              <w:rPr>
                <w:rFonts w:hint="eastAsia" w:ascii="宋体" w:hAnsi="宋体" w:eastAsia="宋体" w:cs="宋体"/>
                <w:b w:val="0"/>
                <w:bCs w:val="0"/>
                <w:color w:val="auto"/>
                <w:sz w:val="22"/>
                <w:szCs w:val="22"/>
                <w:highlight w:val="none"/>
                <w:lang w:val="pt-BR" w:eastAsia="zh-CN"/>
              </w:rPr>
              <w:t>800平方米的，得</w:t>
            </w:r>
            <w:r>
              <w:rPr>
                <w:rFonts w:hint="eastAsia" w:ascii="宋体" w:hAnsi="宋体" w:cs="宋体"/>
                <w:b w:val="0"/>
                <w:bCs w:val="0"/>
                <w:color w:val="auto"/>
                <w:sz w:val="22"/>
                <w:szCs w:val="22"/>
                <w:highlight w:val="none"/>
                <w:lang w:val="en-US" w:eastAsia="zh-CN"/>
              </w:rPr>
              <w:t>4</w:t>
            </w:r>
            <w:r>
              <w:rPr>
                <w:rFonts w:hint="eastAsia" w:ascii="宋体" w:hAnsi="宋体" w:eastAsia="宋体" w:cs="宋体"/>
                <w:b w:val="0"/>
                <w:bCs w:val="0"/>
                <w:color w:val="auto"/>
                <w:sz w:val="22"/>
                <w:szCs w:val="22"/>
                <w:highlight w:val="none"/>
                <w:lang w:val="pt-BR" w:eastAsia="zh-CN"/>
              </w:rPr>
              <w:t>分；</w:t>
            </w:r>
          </w:p>
          <w:p w14:paraId="214342B8">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b w:val="0"/>
                <w:bCs w:val="0"/>
                <w:color w:val="auto"/>
                <w:sz w:val="22"/>
                <w:szCs w:val="22"/>
                <w:highlight w:val="none"/>
                <w:lang w:val="pt-BR" w:eastAsia="zh-CN"/>
              </w:rPr>
            </w:pPr>
            <w:r>
              <w:rPr>
                <w:rFonts w:hint="eastAsia" w:ascii="宋体" w:hAnsi="宋体" w:cs="宋体"/>
                <w:b w:val="0"/>
                <w:bCs w:val="0"/>
                <w:color w:val="auto"/>
                <w:sz w:val="22"/>
                <w:szCs w:val="22"/>
                <w:highlight w:val="none"/>
                <w:lang w:val="pt-BR" w:eastAsia="zh-CN"/>
              </w:rPr>
              <w:t>（</w:t>
            </w:r>
            <w:r>
              <w:rPr>
                <w:rFonts w:hint="eastAsia" w:ascii="宋体" w:hAnsi="宋体" w:cs="宋体"/>
                <w:b w:val="0"/>
                <w:bCs w:val="0"/>
                <w:color w:val="auto"/>
                <w:sz w:val="22"/>
                <w:szCs w:val="22"/>
                <w:highlight w:val="none"/>
                <w:lang w:val="en-US" w:eastAsia="zh-CN"/>
              </w:rPr>
              <w:t>2</w:t>
            </w:r>
            <w:r>
              <w:rPr>
                <w:rFonts w:hint="eastAsia" w:ascii="宋体" w:hAnsi="宋体" w:cs="宋体"/>
                <w:b w:val="0"/>
                <w:bCs w:val="0"/>
                <w:color w:val="auto"/>
                <w:sz w:val="22"/>
                <w:szCs w:val="22"/>
                <w:highlight w:val="none"/>
                <w:lang w:val="pt-BR" w:eastAsia="zh-CN"/>
              </w:rPr>
              <w:t>）</w:t>
            </w:r>
            <w:r>
              <w:rPr>
                <w:rFonts w:hint="eastAsia" w:ascii="宋体" w:hAnsi="宋体" w:eastAsia="宋体" w:cs="宋体"/>
                <w:b w:val="0"/>
                <w:bCs w:val="0"/>
                <w:color w:val="auto"/>
                <w:sz w:val="22"/>
                <w:szCs w:val="22"/>
                <w:highlight w:val="none"/>
                <w:lang w:val="pt-BR" w:eastAsia="zh-CN"/>
              </w:rPr>
              <w:t>500平方米</w:t>
            </w:r>
            <w:r>
              <w:rPr>
                <w:rFonts w:hint="eastAsia" w:ascii="宋体" w:hAnsi="宋体" w:cs="宋体"/>
                <w:b w:val="0"/>
                <w:bCs w:val="0"/>
                <w:color w:val="auto"/>
                <w:sz w:val="22"/>
                <w:szCs w:val="22"/>
                <w:highlight w:val="none"/>
                <w:lang w:val="en-US" w:eastAsia="zh-CN"/>
              </w:rPr>
              <w:t>≤</w:t>
            </w:r>
            <w:r>
              <w:rPr>
                <w:rFonts w:hint="eastAsia" w:ascii="宋体" w:hAnsi="宋体" w:eastAsia="宋体" w:cs="宋体"/>
                <w:b w:val="0"/>
                <w:bCs w:val="0"/>
                <w:color w:val="auto"/>
                <w:sz w:val="22"/>
                <w:szCs w:val="22"/>
                <w:highlight w:val="none"/>
                <w:lang w:val="pt-BR" w:eastAsia="zh-CN"/>
              </w:rPr>
              <w:t>配送场地</w:t>
            </w:r>
            <w:r>
              <w:rPr>
                <w:rFonts w:hint="eastAsia" w:ascii="宋体" w:hAnsi="宋体" w:eastAsia="宋体" w:cs="宋体"/>
                <w:color w:val="auto"/>
                <w:sz w:val="22"/>
                <w:szCs w:val="22"/>
                <w:highlight w:val="none"/>
                <w:lang w:val="pt-BR" w:eastAsia="zh-CN"/>
              </w:rPr>
              <w:t>面积</w:t>
            </w:r>
            <w:r>
              <w:rPr>
                <w:rFonts w:hint="eastAsia" w:ascii="宋体" w:hAnsi="宋体" w:cs="宋体"/>
                <w:b w:val="0"/>
                <w:bCs w:val="0"/>
                <w:color w:val="auto"/>
                <w:sz w:val="22"/>
                <w:szCs w:val="22"/>
                <w:highlight w:val="none"/>
                <w:lang w:val="en-US" w:eastAsia="zh-CN"/>
              </w:rPr>
              <w:t>＜</w:t>
            </w:r>
            <w:r>
              <w:rPr>
                <w:rFonts w:hint="eastAsia" w:ascii="宋体" w:hAnsi="宋体" w:eastAsia="宋体" w:cs="宋体"/>
                <w:b w:val="0"/>
                <w:bCs w:val="0"/>
                <w:color w:val="auto"/>
                <w:sz w:val="22"/>
                <w:szCs w:val="22"/>
                <w:highlight w:val="none"/>
                <w:lang w:val="pt-BR" w:eastAsia="zh-CN"/>
              </w:rPr>
              <w:t>800平方米，得</w:t>
            </w:r>
            <w:r>
              <w:rPr>
                <w:rFonts w:hint="eastAsia" w:ascii="宋体" w:hAnsi="宋体" w:cs="宋体"/>
                <w:b w:val="0"/>
                <w:bCs w:val="0"/>
                <w:color w:val="auto"/>
                <w:sz w:val="22"/>
                <w:szCs w:val="22"/>
                <w:highlight w:val="none"/>
                <w:lang w:val="en-US" w:eastAsia="zh-CN"/>
              </w:rPr>
              <w:t>3</w:t>
            </w:r>
            <w:r>
              <w:rPr>
                <w:rFonts w:hint="eastAsia" w:ascii="宋体" w:hAnsi="宋体" w:eastAsia="宋体" w:cs="宋体"/>
                <w:b w:val="0"/>
                <w:bCs w:val="0"/>
                <w:color w:val="auto"/>
                <w:sz w:val="22"/>
                <w:szCs w:val="22"/>
                <w:highlight w:val="none"/>
                <w:lang w:val="pt-BR" w:eastAsia="zh-CN"/>
              </w:rPr>
              <w:t>分；</w:t>
            </w:r>
          </w:p>
          <w:p w14:paraId="33D87B6A">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b w:val="0"/>
                <w:bCs w:val="0"/>
                <w:color w:val="auto"/>
                <w:sz w:val="22"/>
                <w:szCs w:val="22"/>
                <w:highlight w:val="none"/>
                <w:lang w:val="pt-BR" w:eastAsia="zh-CN"/>
              </w:rPr>
            </w:pPr>
            <w:r>
              <w:rPr>
                <w:rFonts w:hint="eastAsia" w:ascii="宋体" w:hAnsi="宋体" w:cs="宋体"/>
                <w:b w:val="0"/>
                <w:bCs w:val="0"/>
                <w:color w:val="auto"/>
                <w:sz w:val="22"/>
                <w:szCs w:val="22"/>
                <w:highlight w:val="none"/>
                <w:lang w:val="pt-BR" w:eastAsia="zh-CN"/>
              </w:rPr>
              <w:t>（</w:t>
            </w:r>
            <w:r>
              <w:rPr>
                <w:rFonts w:hint="eastAsia" w:ascii="宋体" w:hAnsi="宋体" w:cs="宋体"/>
                <w:b w:val="0"/>
                <w:bCs w:val="0"/>
                <w:color w:val="auto"/>
                <w:sz w:val="22"/>
                <w:szCs w:val="22"/>
                <w:highlight w:val="none"/>
                <w:lang w:val="en-US" w:eastAsia="zh-CN"/>
              </w:rPr>
              <w:t>3</w:t>
            </w:r>
            <w:r>
              <w:rPr>
                <w:rFonts w:hint="eastAsia" w:ascii="宋体" w:hAnsi="宋体" w:cs="宋体"/>
                <w:b w:val="0"/>
                <w:bCs w:val="0"/>
                <w:color w:val="auto"/>
                <w:sz w:val="22"/>
                <w:szCs w:val="22"/>
                <w:highlight w:val="none"/>
                <w:lang w:val="pt-BR" w:eastAsia="zh-CN"/>
              </w:rPr>
              <w:t>）</w:t>
            </w:r>
            <w:r>
              <w:rPr>
                <w:rFonts w:hint="eastAsia" w:ascii="宋体" w:hAnsi="宋体" w:eastAsia="宋体" w:cs="宋体"/>
                <w:b w:val="0"/>
                <w:bCs w:val="0"/>
                <w:color w:val="auto"/>
                <w:sz w:val="22"/>
                <w:szCs w:val="22"/>
                <w:highlight w:val="none"/>
                <w:lang w:val="pt-BR" w:eastAsia="zh-CN"/>
              </w:rPr>
              <w:t>200平方米</w:t>
            </w:r>
            <w:r>
              <w:rPr>
                <w:rFonts w:hint="eastAsia" w:ascii="宋体" w:hAnsi="宋体" w:cs="宋体"/>
                <w:b w:val="0"/>
                <w:bCs w:val="0"/>
                <w:color w:val="auto"/>
                <w:sz w:val="22"/>
                <w:szCs w:val="22"/>
                <w:highlight w:val="none"/>
                <w:lang w:val="en-US" w:eastAsia="zh-CN"/>
              </w:rPr>
              <w:t>≤</w:t>
            </w:r>
            <w:r>
              <w:rPr>
                <w:rFonts w:hint="eastAsia" w:ascii="宋体" w:hAnsi="宋体" w:eastAsia="宋体" w:cs="宋体"/>
                <w:b w:val="0"/>
                <w:bCs w:val="0"/>
                <w:color w:val="auto"/>
                <w:sz w:val="22"/>
                <w:szCs w:val="22"/>
                <w:highlight w:val="none"/>
                <w:lang w:val="pt-BR" w:eastAsia="zh-CN"/>
              </w:rPr>
              <w:t>配送场地</w:t>
            </w:r>
            <w:r>
              <w:rPr>
                <w:rFonts w:hint="eastAsia" w:ascii="宋体" w:hAnsi="宋体" w:eastAsia="宋体" w:cs="宋体"/>
                <w:color w:val="auto"/>
                <w:sz w:val="22"/>
                <w:szCs w:val="22"/>
                <w:highlight w:val="none"/>
                <w:lang w:val="pt-BR" w:eastAsia="zh-CN"/>
              </w:rPr>
              <w:t>面积</w:t>
            </w:r>
            <w:r>
              <w:rPr>
                <w:rFonts w:hint="eastAsia" w:ascii="宋体" w:hAnsi="宋体" w:cs="宋体"/>
                <w:b w:val="0"/>
                <w:bCs w:val="0"/>
                <w:color w:val="auto"/>
                <w:sz w:val="22"/>
                <w:szCs w:val="22"/>
                <w:highlight w:val="none"/>
                <w:lang w:val="en-US" w:eastAsia="zh-CN"/>
              </w:rPr>
              <w:t>＜</w:t>
            </w:r>
            <w:r>
              <w:rPr>
                <w:rFonts w:hint="eastAsia" w:ascii="宋体" w:hAnsi="宋体" w:eastAsia="宋体" w:cs="宋体"/>
                <w:b w:val="0"/>
                <w:bCs w:val="0"/>
                <w:color w:val="auto"/>
                <w:sz w:val="22"/>
                <w:szCs w:val="22"/>
                <w:highlight w:val="none"/>
                <w:lang w:val="pt-BR" w:eastAsia="zh-CN"/>
              </w:rPr>
              <w:t>500平方米，得</w:t>
            </w:r>
            <w:r>
              <w:rPr>
                <w:rFonts w:hint="eastAsia" w:ascii="宋体" w:hAnsi="宋体" w:cs="宋体"/>
                <w:b w:val="0"/>
                <w:bCs w:val="0"/>
                <w:color w:val="auto"/>
                <w:sz w:val="22"/>
                <w:szCs w:val="22"/>
                <w:highlight w:val="none"/>
                <w:lang w:val="en-US" w:eastAsia="zh-CN"/>
              </w:rPr>
              <w:t>2</w:t>
            </w:r>
            <w:r>
              <w:rPr>
                <w:rFonts w:hint="eastAsia" w:ascii="宋体" w:hAnsi="宋体" w:eastAsia="宋体" w:cs="宋体"/>
                <w:b w:val="0"/>
                <w:bCs w:val="0"/>
                <w:color w:val="auto"/>
                <w:sz w:val="22"/>
                <w:szCs w:val="22"/>
                <w:highlight w:val="none"/>
                <w:lang w:val="pt-BR" w:eastAsia="zh-CN"/>
              </w:rPr>
              <w:t>分；</w:t>
            </w:r>
          </w:p>
          <w:p w14:paraId="5B2EC675">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cs="宋体"/>
                <w:b/>
                <w:bCs/>
                <w:color w:val="auto"/>
                <w:sz w:val="22"/>
                <w:szCs w:val="22"/>
                <w:highlight w:val="none"/>
                <w:lang w:val="en-US" w:eastAsia="zh-CN"/>
              </w:rPr>
            </w:pPr>
            <w:r>
              <w:rPr>
                <w:rFonts w:hint="eastAsia" w:ascii="宋体" w:hAnsi="宋体" w:cs="宋体"/>
                <w:b w:val="0"/>
                <w:bCs w:val="0"/>
                <w:color w:val="auto"/>
                <w:sz w:val="22"/>
                <w:szCs w:val="22"/>
                <w:highlight w:val="none"/>
                <w:lang w:val="pt-BR" w:eastAsia="zh-CN"/>
              </w:rPr>
              <w:t>（4）</w:t>
            </w:r>
            <w:r>
              <w:rPr>
                <w:rFonts w:hint="eastAsia" w:ascii="宋体" w:hAnsi="宋体" w:cs="宋体"/>
                <w:b w:val="0"/>
                <w:bCs w:val="0"/>
                <w:color w:val="auto"/>
                <w:sz w:val="22"/>
                <w:szCs w:val="22"/>
                <w:highlight w:val="none"/>
                <w:lang w:val="en-US" w:eastAsia="zh-CN"/>
              </w:rPr>
              <w:t>1</w:t>
            </w:r>
            <w:r>
              <w:rPr>
                <w:rFonts w:hint="eastAsia" w:ascii="宋体" w:hAnsi="宋体" w:eastAsia="宋体" w:cs="宋体"/>
                <w:b w:val="0"/>
                <w:bCs w:val="0"/>
                <w:color w:val="auto"/>
                <w:sz w:val="22"/>
                <w:szCs w:val="22"/>
                <w:highlight w:val="none"/>
                <w:lang w:val="pt-BR" w:eastAsia="zh-CN"/>
              </w:rPr>
              <w:t>00平方米</w:t>
            </w:r>
            <w:r>
              <w:rPr>
                <w:rFonts w:hint="eastAsia" w:ascii="宋体" w:hAnsi="宋体" w:cs="宋体"/>
                <w:b w:val="0"/>
                <w:bCs w:val="0"/>
                <w:color w:val="auto"/>
                <w:sz w:val="22"/>
                <w:szCs w:val="22"/>
                <w:highlight w:val="none"/>
                <w:lang w:val="en-US" w:eastAsia="zh-CN"/>
              </w:rPr>
              <w:t>≤</w:t>
            </w:r>
            <w:r>
              <w:rPr>
                <w:rFonts w:hint="eastAsia" w:ascii="宋体" w:hAnsi="宋体" w:eastAsia="宋体" w:cs="宋体"/>
                <w:b w:val="0"/>
                <w:bCs w:val="0"/>
                <w:color w:val="auto"/>
                <w:sz w:val="22"/>
                <w:szCs w:val="22"/>
                <w:highlight w:val="none"/>
                <w:lang w:val="pt-BR" w:eastAsia="zh-CN"/>
              </w:rPr>
              <w:t>配送场地</w:t>
            </w:r>
            <w:r>
              <w:rPr>
                <w:rFonts w:hint="eastAsia" w:ascii="宋体" w:hAnsi="宋体" w:eastAsia="宋体" w:cs="宋体"/>
                <w:color w:val="auto"/>
                <w:sz w:val="22"/>
                <w:szCs w:val="22"/>
                <w:highlight w:val="none"/>
                <w:lang w:val="pt-BR" w:eastAsia="zh-CN"/>
              </w:rPr>
              <w:t>面积</w:t>
            </w:r>
            <w:r>
              <w:rPr>
                <w:rFonts w:hint="eastAsia" w:ascii="宋体" w:hAnsi="宋体" w:cs="宋体"/>
                <w:b w:val="0"/>
                <w:bCs w:val="0"/>
                <w:color w:val="auto"/>
                <w:sz w:val="22"/>
                <w:szCs w:val="22"/>
                <w:highlight w:val="none"/>
                <w:lang w:val="en-US" w:eastAsia="zh-CN"/>
              </w:rPr>
              <w:t>＜2</w:t>
            </w:r>
            <w:r>
              <w:rPr>
                <w:rFonts w:hint="eastAsia" w:ascii="宋体" w:hAnsi="宋体" w:eastAsia="宋体" w:cs="宋体"/>
                <w:b w:val="0"/>
                <w:bCs w:val="0"/>
                <w:color w:val="auto"/>
                <w:sz w:val="22"/>
                <w:szCs w:val="22"/>
                <w:highlight w:val="none"/>
                <w:lang w:val="pt-BR" w:eastAsia="zh-CN"/>
              </w:rPr>
              <w:t>00平方米，得</w:t>
            </w:r>
            <w:r>
              <w:rPr>
                <w:rFonts w:hint="eastAsia" w:ascii="宋体" w:hAnsi="宋体" w:cs="宋体"/>
                <w:b w:val="0"/>
                <w:bCs w:val="0"/>
                <w:color w:val="auto"/>
                <w:sz w:val="22"/>
                <w:szCs w:val="22"/>
                <w:highlight w:val="none"/>
                <w:lang w:val="en-US" w:eastAsia="zh-CN"/>
              </w:rPr>
              <w:t>1</w:t>
            </w:r>
            <w:r>
              <w:rPr>
                <w:rFonts w:hint="eastAsia" w:ascii="宋体" w:hAnsi="宋体" w:eastAsia="宋体" w:cs="宋体"/>
                <w:b w:val="0"/>
                <w:bCs w:val="0"/>
                <w:color w:val="auto"/>
                <w:sz w:val="22"/>
                <w:szCs w:val="22"/>
                <w:highlight w:val="none"/>
                <w:lang w:val="pt-BR" w:eastAsia="zh-CN"/>
              </w:rPr>
              <w:t>分</w:t>
            </w:r>
            <w:r>
              <w:rPr>
                <w:rFonts w:hint="eastAsia" w:ascii="宋体" w:hAnsi="宋体" w:cs="宋体"/>
                <w:b w:val="0"/>
                <w:bCs w:val="0"/>
                <w:color w:val="auto"/>
                <w:sz w:val="22"/>
                <w:szCs w:val="22"/>
                <w:highlight w:val="none"/>
                <w:lang w:val="pt-BR" w:eastAsia="zh-CN"/>
              </w:rPr>
              <w:t>；</w:t>
            </w:r>
            <w:r>
              <w:rPr>
                <w:rFonts w:hint="eastAsia" w:ascii="宋体" w:hAnsi="宋体" w:eastAsia="宋体" w:cs="宋体"/>
                <w:b w:val="0"/>
                <w:bCs w:val="0"/>
                <w:color w:val="auto"/>
                <w:sz w:val="22"/>
                <w:szCs w:val="22"/>
                <w:highlight w:val="none"/>
                <w:lang w:val="pt-BR" w:eastAsia="zh-CN"/>
              </w:rPr>
              <w:br w:type="textWrapping"/>
            </w:r>
            <w:r>
              <w:rPr>
                <w:rFonts w:hint="eastAsia" w:ascii="宋体" w:hAnsi="宋体" w:cs="宋体"/>
                <w:b w:val="0"/>
                <w:bCs w:val="0"/>
                <w:color w:val="auto"/>
                <w:sz w:val="22"/>
                <w:szCs w:val="22"/>
                <w:highlight w:val="none"/>
                <w:lang w:val="pt-BR" w:eastAsia="zh-CN"/>
              </w:rPr>
              <w:t>（</w:t>
            </w:r>
            <w:r>
              <w:rPr>
                <w:rFonts w:hint="eastAsia" w:ascii="宋体" w:hAnsi="宋体" w:cs="宋体"/>
                <w:b w:val="0"/>
                <w:bCs w:val="0"/>
                <w:color w:val="auto"/>
                <w:sz w:val="22"/>
                <w:szCs w:val="22"/>
                <w:highlight w:val="none"/>
                <w:lang w:val="en-US" w:eastAsia="zh-CN"/>
              </w:rPr>
              <w:t>5</w:t>
            </w:r>
            <w:r>
              <w:rPr>
                <w:rFonts w:hint="eastAsia" w:ascii="宋体" w:hAnsi="宋体" w:cs="宋体"/>
                <w:b w:val="0"/>
                <w:bCs w:val="0"/>
                <w:color w:val="auto"/>
                <w:sz w:val="22"/>
                <w:szCs w:val="22"/>
                <w:highlight w:val="none"/>
                <w:lang w:val="pt-BR" w:eastAsia="zh-CN"/>
              </w:rPr>
              <w:t>）</w:t>
            </w:r>
            <w:r>
              <w:rPr>
                <w:rFonts w:hint="eastAsia" w:ascii="宋体" w:hAnsi="宋体" w:cs="宋体"/>
                <w:b w:val="0"/>
                <w:bCs w:val="0"/>
                <w:color w:val="auto"/>
                <w:sz w:val="22"/>
                <w:szCs w:val="22"/>
                <w:highlight w:val="none"/>
                <w:lang w:val="en-US" w:eastAsia="zh-CN"/>
              </w:rPr>
              <w:t>其它情况不得分</w:t>
            </w:r>
            <w:r>
              <w:rPr>
                <w:rFonts w:hint="eastAsia" w:ascii="宋体" w:hAnsi="宋体" w:eastAsia="宋体" w:cs="宋体"/>
                <w:b w:val="0"/>
                <w:bCs w:val="0"/>
                <w:color w:val="auto"/>
                <w:sz w:val="22"/>
                <w:szCs w:val="22"/>
                <w:highlight w:val="none"/>
                <w:lang w:val="pt-BR" w:eastAsia="zh-CN"/>
              </w:rPr>
              <w:t>。</w:t>
            </w:r>
          </w:p>
          <w:p w14:paraId="4F034941">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cs="宋体"/>
                <w:b/>
                <w:bCs/>
                <w:color w:val="auto"/>
                <w:sz w:val="22"/>
                <w:szCs w:val="22"/>
                <w:highlight w:val="none"/>
                <w:lang w:val="en-US" w:eastAsia="zh-CN"/>
              </w:rPr>
            </w:pPr>
            <w:r>
              <w:rPr>
                <w:rFonts w:hint="eastAsia" w:ascii="宋体" w:hAnsi="宋体" w:cs="宋体"/>
                <w:b/>
                <w:bCs/>
                <w:color w:val="auto"/>
                <w:sz w:val="22"/>
                <w:szCs w:val="22"/>
                <w:highlight w:val="none"/>
                <w:lang w:val="en-US" w:eastAsia="zh-CN"/>
              </w:rPr>
              <w:t>注：</w:t>
            </w:r>
          </w:p>
          <w:p w14:paraId="16051255">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lang w:eastAsia="zh-CN"/>
              </w:rPr>
              <w:t>（</w:t>
            </w:r>
            <w:r>
              <w:rPr>
                <w:rFonts w:hint="eastAsia" w:ascii="宋体" w:hAnsi="宋体" w:eastAsia="宋体" w:cs="宋体"/>
                <w:b/>
                <w:bCs/>
                <w:color w:val="auto"/>
                <w:sz w:val="22"/>
                <w:szCs w:val="22"/>
                <w:highlight w:val="none"/>
                <w:lang w:val="en-US" w:eastAsia="zh-CN"/>
              </w:rPr>
              <w:t>1</w:t>
            </w:r>
            <w:r>
              <w:rPr>
                <w:rFonts w:hint="eastAsia" w:ascii="宋体" w:hAnsi="宋体" w:eastAsia="宋体" w:cs="宋体"/>
                <w:b/>
                <w:bCs/>
                <w:color w:val="auto"/>
                <w:sz w:val="22"/>
                <w:szCs w:val="22"/>
                <w:highlight w:val="none"/>
                <w:lang w:eastAsia="zh-CN"/>
              </w:rPr>
              <w:t>）配送场地</w:t>
            </w:r>
            <w:r>
              <w:rPr>
                <w:rFonts w:hint="eastAsia" w:ascii="宋体" w:hAnsi="宋体" w:eastAsia="宋体" w:cs="宋体"/>
                <w:b/>
                <w:bCs/>
                <w:color w:val="auto"/>
                <w:sz w:val="22"/>
                <w:szCs w:val="22"/>
                <w:highlight w:val="none"/>
                <w:lang w:val="en-US" w:eastAsia="zh-CN"/>
              </w:rPr>
              <w:t>为</w:t>
            </w:r>
            <w:r>
              <w:rPr>
                <w:rFonts w:hint="eastAsia" w:ascii="宋体" w:hAnsi="宋体" w:eastAsia="宋体" w:cs="宋体"/>
                <w:b/>
                <w:bCs/>
                <w:color w:val="auto"/>
                <w:sz w:val="22"/>
                <w:szCs w:val="22"/>
                <w:highlight w:val="none"/>
              </w:rPr>
              <w:t>自有</w:t>
            </w:r>
            <w:r>
              <w:rPr>
                <w:rFonts w:hint="eastAsia" w:ascii="宋体" w:hAnsi="宋体" w:eastAsia="宋体" w:cs="宋体"/>
                <w:b/>
                <w:bCs/>
                <w:color w:val="auto"/>
                <w:sz w:val="22"/>
                <w:szCs w:val="22"/>
                <w:highlight w:val="none"/>
                <w:lang w:val="en-US" w:eastAsia="zh-CN"/>
              </w:rPr>
              <w:t>的，须</w:t>
            </w:r>
            <w:r>
              <w:rPr>
                <w:rFonts w:hint="eastAsia" w:ascii="宋体" w:hAnsi="宋体" w:eastAsia="宋体" w:cs="宋体"/>
                <w:b/>
                <w:bCs/>
                <w:color w:val="auto"/>
                <w:sz w:val="22"/>
                <w:szCs w:val="22"/>
                <w:highlight w:val="none"/>
              </w:rPr>
              <w:t>提供产权证明文件；</w:t>
            </w:r>
          </w:p>
          <w:p w14:paraId="61BC0FAA">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lang w:eastAsia="zh-CN"/>
              </w:rPr>
              <w:t>（</w:t>
            </w:r>
            <w:r>
              <w:rPr>
                <w:rFonts w:hint="eastAsia" w:ascii="宋体" w:hAnsi="宋体" w:eastAsia="宋体" w:cs="宋体"/>
                <w:b/>
                <w:bCs/>
                <w:color w:val="auto"/>
                <w:sz w:val="22"/>
                <w:szCs w:val="22"/>
                <w:highlight w:val="none"/>
                <w:lang w:val="en-US" w:eastAsia="zh-CN"/>
              </w:rPr>
              <w:t>2</w:t>
            </w:r>
            <w:r>
              <w:rPr>
                <w:rFonts w:hint="eastAsia" w:ascii="宋体" w:hAnsi="宋体" w:eastAsia="宋体" w:cs="宋体"/>
                <w:b/>
                <w:bCs/>
                <w:color w:val="auto"/>
                <w:sz w:val="22"/>
                <w:szCs w:val="22"/>
                <w:highlight w:val="none"/>
                <w:lang w:eastAsia="zh-CN"/>
              </w:rPr>
              <w:t>）配送场地</w:t>
            </w:r>
            <w:r>
              <w:rPr>
                <w:rFonts w:hint="eastAsia" w:ascii="宋体" w:hAnsi="宋体" w:eastAsia="宋体" w:cs="宋体"/>
                <w:b/>
                <w:bCs/>
                <w:color w:val="auto"/>
                <w:sz w:val="22"/>
                <w:szCs w:val="22"/>
                <w:highlight w:val="none"/>
                <w:lang w:val="en-US" w:eastAsia="zh-CN"/>
              </w:rPr>
              <w:t>为租赁的，须</w:t>
            </w:r>
            <w:r>
              <w:rPr>
                <w:rFonts w:hint="eastAsia" w:ascii="宋体" w:hAnsi="宋体" w:cs="宋体"/>
                <w:b/>
                <w:bCs/>
                <w:color w:val="auto"/>
                <w:sz w:val="22"/>
                <w:szCs w:val="22"/>
                <w:highlight w:val="none"/>
                <w:lang w:val="en-US" w:eastAsia="zh-CN"/>
              </w:rPr>
              <w:t>同时</w:t>
            </w:r>
            <w:r>
              <w:rPr>
                <w:rFonts w:hint="eastAsia" w:ascii="宋体" w:hAnsi="宋体" w:eastAsia="宋体" w:cs="宋体"/>
                <w:b/>
                <w:bCs/>
                <w:color w:val="auto"/>
                <w:sz w:val="22"/>
                <w:szCs w:val="22"/>
                <w:highlight w:val="none"/>
              </w:rPr>
              <w:t>提供有效期内的租赁合同</w:t>
            </w:r>
            <w:r>
              <w:rPr>
                <w:rFonts w:hint="eastAsia" w:ascii="宋体" w:hAnsi="宋体" w:eastAsia="宋体" w:cs="宋体"/>
                <w:b/>
                <w:bCs/>
                <w:color w:val="auto"/>
                <w:sz w:val="22"/>
                <w:szCs w:val="22"/>
                <w:highlight w:val="none"/>
                <w:lang w:eastAsia="zh-CN"/>
              </w:rPr>
              <w:t>（租赁期至少涵盖本项目投标截止之日起一年</w:t>
            </w:r>
            <w:r>
              <w:rPr>
                <w:rFonts w:hint="eastAsia" w:ascii="宋体" w:hAnsi="宋体" w:cs="宋体"/>
                <w:b/>
                <w:bCs/>
                <w:color w:val="auto"/>
                <w:sz w:val="22"/>
                <w:szCs w:val="22"/>
                <w:highlight w:val="none"/>
                <w:lang w:eastAsia="zh-CN"/>
              </w:rPr>
              <w:t>）</w:t>
            </w:r>
            <w:r>
              <w:rPr>
                <w:rFonts w:hint="eastAsia" w:ascii="宋体" w:hAnsi="宋体" w:cs="宋体"/>
                <w:b/>
                <w:bCs/>
                <w:color w:val="auto"/>
                <w:sz w:val="22"/>
                <w:szCs w:val="22"/>
                <w:highlight w:val="none"/>
                <w:lang w:val="en-US" w:eastAsia="zh-CN"/>
              </w:rPr>
              <w:t>及</w:t>
            </w:r>
            <w:r>
              <w:rPr>
                <w:rFonts w:hint="eastAsia" w:ascii="宋体" w:hAnsi="宋体" w:cs="宋体"/>
                <w:b/>
                <w:bCs/>
                <w:color w:val="auto"/>
                <w:sz w:val="22"/>
                <w:highlight w:val="none"/>
              </w:rPr>
              <w:t>提供近一年内任意时间段的租金发票</w:t>
            </w:r>
            <w:r>
              <w:rPr>
                <w:rFonts w:hint="eastAsia" w:ascii="宋体" w:hAnsi="宋体" w:cs="宋体"/>
                <w:b/>
                <w:bCs/>
                <w:color w:val="auto"/>
                <w:sz w:val="22"/>
                <w:highlight w:val="none"/>
                <w:lang w:val="en-US" w:eastAsia="zh-CN"/>
              </w:rPr>
              <w:t>或租金付款记录</w:t>
            </w:r>
            <w:r>
              <w:rPr>
                <w:rFonts w:hint="eastAsia" w:ascii="宋体" w:hAnsi="宋体" w:eastAsia="宋体" w:cs="宋体"/>
                <w:b/>
                <w:bCs/>
                <w:color w:val="auto"/>
                <w:sz w:val="22"/>
                <w:szCs w:val="22"/>
                <w:highlight w:val="none"/>
              </w:rPr>
              <w:t>，作为得分依据；</w:t>
            </w:r>
          </w:p>
          <w:p w14:paraId="15D1F78A">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b w:val="0"/>
                <w:bCs w:val="0"/>
                <w:color w:val="auto"/>
                <w:sz w:val="22"/>
                <w:szCs w:val="22"/>
                <w:highlight w:val="none"/>
                <w:lang w:val="pt-BR" w:eastAsia="zh-CN"/>
              </w:rPr>
            </w:pPr>
            <w:r>
              <w:rPr>
                <w:rFonts w:hint="eastAsia" w:ascii="宋体" w:hAnsi="宋体" w:eastAsia="宋体" w:cs="宋体"/>
                <w:b/>
                <w:bCs/>
                <w:color w:val="auto"/>
                <w:sz w:val="22"/>
                <w:szCs w:val="22"/>
                <w:highlight w:val="none"/>
                <w:lang w:eastAsia="zh-CN"/>
              </w:rPr>
              <w:t>（</w:t>
            </w:r>
            <w:r>
              <w:rPr>
                <w:rFonts w:hint="eastAsia" w:ascii="宋体" w:hAnsi="宋体" w:eastAsia="宋体" w:cs="宋体"/>
                <w:b/>
                <w:bCs/>
                <w:color w:val="auto"/>
                <w:sz w:val="22"/>
                <w:szCs w:val="22"/>
                <w:highlight w:val="none"/>
                <w:lang w:val="en-US" w:eastAsia="zh-CN"/>
              </w:rPr>
              <w:t>3</w:t>
            </w:r>
            <w:r>
              <w:rPr>
                <w:rFonts w:hint="eastAsia" w:ascii="宋体" w:hAnsi="宋体" w:eastAsia="宋体" w:cs="宋体"/>
                <w:b/>
                <w:bCs/>
                <w:color w:val="auto"/>
                <w:sz w:val="22"/>
                <w:szCs w:val="22"/>
                <w:highlight w:val="none"/>
                <w:lang w:eastAsia="zh-CN"/>
              </w:rPr>
              <w:t>）</w:t>
            </w:r>
            <w:r>
              <w:rPr>
                <w:rFonts w:hint="eastAsia" w:ascii="宋体" w:hAnsi="宋体" w:cs="宋体"/>
                <w:b/>
                <w:bCs/>
                <w:color w:val="auto"/>
                <w:sz w:val="22"/>
                <w:szCs w:val="22"/>
                <w:highlight w:val="none"/>
                <w:lang w:eastAsia="zh-CN"/>
              </w:rPr>
              <w:t>提供上述证明文件并加盖投标人公章，</w:t>
            </w:r>
            <w:r>
              <w:rPr>
                <w:rFonts w:hint="eastAsia" w:ascii="宋体" w:hAnsi="宋体" w:eastAsia="宋体" w:cs="宋体"/>
                <w:b/>
                <w:bCs/>
                <w:color w:val="auto"/>
                <w:sz w:val="22"/>
                <w:szCs w:val="22"/>
                <w:highlight w:val="none"/>
              </w:rPr>
              <w:t>未提供或提供不清晰导致无法判断的不得分。</w:t>
            </w:r>
          </w:p>
        </w:tc>
      </w:tr>
      <w:tr w14:paraId="64864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9" w:type="pct"/>
            <w:vMerge w:val="continue"/>
            <w:tcBorders>
              <w:left w:val="single" w:color="auto" w:sz="4" w:space="0"/>
              <w:bottom w:val="single" w:color="auto" w:sz="4" w:space="0"/>
              <w:right w:val="single" w:color="auto" w:sz="4" w:space="0"/>
            </w:tcBorders>
            <w:vAlign w:val="center"/>
          </w:tcPr>
          <w:p w14:paraId="73688FCB">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eastAsia" w:ascii="宋体" w:hAnsi="宋体" w:eastAsia="宋体" w:cs="宋体"/>
                <w:color w:val="auto"/>
                <w:sz w:val="22"/>
                <w:szCs w:val="22"/>
                <w:highlight w:val="none"/>
                <w:lang w:eastAsia="zh-CN"/>
              </w:rPr>
            </w:pPr>
          </w:p>
        </w:tc>
        <w:tc>
          <w:tcPr>
            <w:tcW w:w="652" w:type="pct"/>
            <w:vMerge w:val="continue"/>
            <w:tcBorders>
              <w:left w:val="single" w:color="auto" w:sz="4" w:space="0"/>
              <w:bottom w:val="single" w:color="auto" w:sz="4" w:space="0"/>
              <w:right w:val="single" w:color="auto" w:sz="4" w:space="0"/>
            </w:tcBorders>
            <w:vAlign w:val="center"/>
          </w:tcPr>
          <w:p w14:paraId="0B5B9BAA">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eastAsia" w:ascii="宋体" w:hAnsi="宋体" w:eastAsia="宋体" w:cs="宋体"/>
                <w:color w:val="auto"/>
                <w:sz w:val="22"/>
                <w:szCs w:val="22"/>
                <w:highlight w:val="none"/>
                <w:lang w:eastAsia="zh-CN"/>
              </w:rPr>
            </w:pPr>
          </w:p>
        </w:tc>
        <w:tc>
          <w:tcPr>
            <w:tcW w:w="478" w:type="pct"/>
            <w:tcBorders>
              <w:top w:val="single" w:color="auto" w:sz="4" w:space="0"/>
              <w:left w:val="single" w:color="auto" w:sz="4" w:space="0"/>
              <w:bottom w:val="single" w:color="auto" w:sz="4" w:space="0"/>
              <w:right w:val="single" w:color="auto" w:sz="4" w:space="0"/>
            </w:tcBorders>
            <w:vAlign w:val="center"/>
          </w:tcPr>
          <w:p w14:paraId="6EEF17E6">
            <w:pPr>
              <w:keepNext w:val="0"/>
              <w:keepLines w:val="0"/>
              <w:pageBreakBefore w:val="0"/>
              <w:widowControl/>
              <w:numPr>
                <w:ilvl w:val="0"/>
                <w:numId w:val="0"/>
              </w:numPr>
              <w:shd w:val="clear"/>
              <w:kinsoku/>
              <w:wordWrap/>
              <w:overflowPunct/>
              <w:topLinePunct w:val="0"/>
              <w:autoSpaceDE/>
              <w:autoSpaceDN/>
              <w:bidi w:val="0"/>
              <w:spacing w:after="0" w:line="440" w:lineRule="exact"/>
              <w:jc w:val="center"/>
              <w:textAlignment w:val="auto"/>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5</w:t>
            </w:r>
            <w:r>
              <w:rPr>
                <w:rFonts w:hint="eastAsia" w:ascii="宋体" w:hAnsi="宋体" w:eastAsia="宋体" w:cs="宋体"/>
                <w:color w:val="auto"/>
                <w:sz w:val="22"/>
                <w:szCs w:val="22"/>
                <w:highlight w:val="none"/>
                <w:lang w:val="en-US" w:eastAsia="zh-CN"/>
              </w:rPr>
              <w:t>分</w:t>
            </w:r>
          </w:p>
        </w:tc>
        <w:tc>
          <w:tcPr>
            <w:tcW w:w="3468" w:type="pct"/>
            <w:tcBorders>
              <w:top w:val="single" w:color="auto" w:sz="4" w:space="0"/>
              <w:left w:val="single" w:color="auto" w:sz="4" w:space="0"/>
              <w:bottom w:val="single" w:color="auto" w:sz="4" w:space="0"/>
              <w:right w:val="single" w:color="auto" w:sz="4" w:space="0"/>
            </w:tcBorders>
            <w:vAlign w:val="center"/>
          </w:tcPr>
          <w:p w14:paraId="70BD0850">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pt-BR" w:eastAsia="zh-CN"/>
              </w:rPr>
              <w:t>（</w:t>
            </w:r>
            <w:r>
              <w:rPr>
                <w:rFonts w:hint="eastAsia" w:ascii="宋体" w:hAnsi="宋体" w:eastAsia="宋体" w:cs="宋体"/>
                <w:color w:val="auto"/>
                <w:sz w:val="22"/>
                <w:szCs w:val="22"/>
                <w:highlight w:val="none"/>
                <w:lang w:val="en-US" w:eastAsia="zh-CN"/>
              </w:rPr>
              <w:t>三</w:t>
            </w:r>
            <w:r>
              <w:rPr>
                <w:rFonts w:hint="eastAsia" w:ascii="宋体" w:hAnsi="宋体" w:eastAsia="宋体" w:cs="宋体"/>
                <w:color w:val="auto"/>
                <w:sz w:val="22"/>
                <w:szCs w:val="22"/>
                <w:highlight w:val="none"/>
                <w:lang w:val="pt-BR" w:eastAsia="zh-CN"/>
              </w:rPr>
              <w:t>）水产养殖基地</w:t>
            </w:r>
            <w:r>
              <w:rPr>
                <w:rFonts w:hint="eastAsia" w:ascii="宋体" w:hAnsi="宋体" w:cs="宋体"/>
                <w:color w:val="auto"/>
                <w:sz w:val="22"/>
                <w:szCs w:val="22"/>
                <w:highlight w:val="none"/>
                <w:lang w:val="pt-BR" w:eastAsia="zh-CN"/>
              </w:rPr>
              <w:t>（</w:t>
            </w:r>
            <w:r>
              <w:rPr>
                <w:rFonts w:hint="eastAsia" w:ascii="宋体" w:hAnsi="宋体" w:cs="宋体"/>
                <w:color w:val="auto"/>
                <w:sz w:val="22"/>
                <w:szCs w:val="22"/>
                <w:highlight w:val="none"/>
                <w:lang w:val="en-US" w:eastAsia="zh-CN"/>
              </w:rPr>
              <w:t>淡水养殖或海水养殖</w:t>
            </w:r>
            <w:r>
              <w:rPr>
                <w:rFonts w:hint="eastAsia" w:ascii="宋体" w:hAnsi="宋体" w:cs="宋体"/>
                <w:color w:val="auto"/>
                <w:sz w:val="22"/>
                <w:szCs w:val="22"/>
                <w:highlight w:val="none"/>
                <w:lang w:val="pt-BR" w:eastAsia="zh-CN"/>
              </w:rPr>
              <w:t>）</w:t>
            </w:r>
            <w:r>
              <w:rPr>
                <w:rFonts w:hint="eastAsia" w:ascii="宋体" w:hAnsi="宋体" w:eastAsia="宋体" w:cs="宋体"/>
                <w:color w:val="auto"/>
                <w:sz w:val="22"/>
                <w:szCs w:val="22"/>
                <w:highlight w:val="none"/>
                <w:lang w:val="en-US" w:eastAsia="zh-CN"/>
              </w:rPr>
              <w:t>：</w:t>
            </w:r>
          </w:p>
          <w:p w14:paraId="6D3BD04A">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color w:val="auto"/>
                <w:sz w:val="22"/>
                <w:szCs w:val="22"/>
                <w:highlight w:val="none"/>
                <w:lang w:val="pt-BR" w:eastAsia="zh-CN"/>
              </w:rPr>
            </w:pPr>
            <w:r>
              <w:rPr>
                <w:rFonts w:hint="eastAsia" w:ascii="宋体" w:hAnsi="宋体" w:cs="宋体"/>
                <w:b w:val="0"/>
                <w:bCs w:val="0"/>
                <w:color w:val="auto"/>
                <w:sz w:val="22"/>
                <w:szCs w:val="22"/>
                <w:highlight w:val="none"/>
                <w:lang w:val="en-US" w:eastAsia="zh-CN"/>
              </w:rPr>
              <w:t>根据投标人自有的（或</w:t>
            </w:r>
            <w:r>
              <w:rPr>
                <w:rFonts w:hint="eastAsia" w:ascii="宋体" w:hAnsi="宋体" w:eastAsia="宋体" w:cs="宋体"/>
                <w:b w:val="0"/>
                <w:bCs w:val="0"/>
                <w:color w:val="auto"/>
                <w:sz w:val="22"/>
                <w:szCs w:val="22"/>
                <w:highlight w:val="none"/>
                <w:lang w:val="pt-BR" w:eastAsia="zh-CN"/>
              </w:rPr>
              <w:t>合作的</w:t>
            </w:r>
            <w:r>
              <w:rPr>
                <w:rFonts w:hint="eastAsia" w:ascii="宋体" w:hAnsi="宋体" w:cs="宋体"/>
                <w:b w:val="0"/>
                <w:bCs w:val="0"/>
                <w:color w:val="auto"/>
                <w:sz w:val="22"/>
                <w:szCs w:val="22"/>
                <w:highlight w:val="none"/>
                <w:lang w:val="en-US" w:eastAsia="zh-CN"/>
              </w:rPr>
              <w:t>）水产养殖基地情况</w:t>
            </w:r>
            <w:r>
              <w:rPr>
                <w:rFonts w:hint="eastAsia" w:ascii="宋体" w:hAnsi="宋体" w:eastAsia="宋体" w:cs="宋体"/>
                <w:b w:val="0"/>
                <w:bCs w:val="0"/>
                <w:color w:val="auto"/>
                <w:sz w:val="22"/>
                <w:szCs w:val="22"/>
                <w:highlight w:val="none"/>
                <w:lang w:val="pt-BR" w:eastAsia="zh-CN"/>
              </w:rPr>
              <w:t>，进行评分</w:t>
            </w:r>
            <w:r>
              <w:rPr>
                <w:rFonts w:hint="eastAsia" w:ascii="宋体" w:hAnsi="宋体" w:cs="宋体"/>
                <w:b w:val="0"/>
                <w:bCs w:val="0"/>
                <w:color w:val="auto"/>
                <w:sz w:val="22"/>
                <w:szCs w:val="22"/>
                <w:highlight w:val="none"/>
                <w:lang w:val="pt-BR" w:eastAsia="zh-CN"/>
              </w:rPr>
              <w:t>，</w:t>
            </w:r>
            <w:r>
              <w:rPr>
                <w:rFonts w:hint="eastAsia" w:ascii="宋体" w:hAnsi="宋体" w:cs="宋体"/>
                <w:b w:val="0"/>
                <w:bCs w:val="0"/>
                <w:color w:val="auto"/>
                <w:sz w:val="22"/>
                <w:szCs w:val="22"/>
                <w:highlight w:val="none"/>
                <w:lang w:val="en-US" w:eastAsia="zh-CN"/>
              </w:rPr>
              <w:t>满分5</w:t>
            </w:r>
            <w:r>
              <w:rPr>
                <w:rFonts w:hint="eastAsia" w:ascii="宋体" w:hAnsi="宋体" w:eastAsia="宋体" w:cs="宋体"/>
                <w:b w:val="0"/>
                <w:bCs w:val="0"/>
                <w:color w:val="auto"/>
                <w:sz w:val="22"/>
                <w:szCs w:val="22"/>
                <w:highlight w:val="none"/>
                <w:lang w:val="pt-BR" w:eastAsia="zh-CN"/>
              </w:rPr>
              <w:t>分：</w:t>
            </w:r>
          </w:p>
          <w:p w14:paraId="376C30E7">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color w:val="auto"/>
                <w:sz w:val="22"/>
                <w:szCs w:val="22"/>
                <w:highlight w:val="none"/>
                <w:lang w:val="pt-BR" w:eastAsia="zh-CN"/>
              </w:rPr>
            </w:pPr>
            <w:r>
              <w:rPr>
                <w:rFonts w:hint="eastAsia" w:ascii="宋体" w:hAnsi="宋体" w:cs="宋体"/>
                <w:color w:val="auto"/>
                <w:sz w:val="22"/>
                <w:szCs w:val="22"/>
                <w:highlight w:val="none"/>
                <w:lang w:val="pt-BR" w:eastAsia="zh-CN"/>
              </w:rPr>
              <w:t>（</w:t>
            </w:r>
            <w:r>
              <w:rPr>
                <w:rFonts w:hint="eastAsia" w:ascii="宋体" w:hAnsi="宋体" w:cs="宋体"/>
                <w:color w:val="auto"/>
                <w:sz w:val="22"/>
                <w:szCs w:val="22"/>
                <w:highlight w:val="none"/>
                <w:lang w:val="en-US" w:eastAsia="zh-CN"/>
              </w:rPr>
              <w:t>1</w:t>
            </w:r>
            <w:r>
              <w:rPr>
                <w:rFonts w:hint="eastAsia" w:ascii="宋体" w:hAnsi="宋体" w:cs="宋体"/>
                <w:color w:val="auto"/>
                <w:sz w:val="22"/>
                <w:szCs w:val="22"/>
                <w:highlight w:val="none"/>
                <w:lang w:val="pt-BR" w:eastAsia="zh-CN"/>
              </w:rPr>
              <w:t>）</w:t>
            </w:r>
            <w:r>
              <w:rPr>
                <w:rFonts w:hint="eastAsia" w:ascii="宋体" w:hAnsi="宋体" w:eastAsia="宋体" w:cs="宋体"/>
                <w:color w:val="auto"/>
                <w:sz w:val="22"/>
                <w:szCs w:val="22"/>
                <w:highlight w:val="none"/>
                <w:lang w:val="pt-BR" w:eastAsia="zh-CN"/>
              </w:rPr>
              <w:t>水产养殖基地面积</w:t>
            </w:r>
            <w:r>
              <w:rPr>
                <w:rFonts w:hint="eastAsia" w:ascii="宋体" w:hAnsi="宋体" w:cs="宋体"/>
                <w:color w:val="auto"/>
                <w:sz w:val="22"/>
                <w:szCs w:val="22"/>
                <w:highlight w:val="none"/>
                <w:lang w:val="en-US" w:eastAsia="zh-CN"/>
              </w:rPr>
              <w:t>≥5</w:t>
            </w:r>
            <w:r>
              <w:rPr>
                <w:rFonts w:hint="eastAsia" w:ascii="宋体" w:hAnsi="宋体" w:eastAsia="宋体" w:cs="宋体"/>
                <w:color w:val="auto"/>
                <w:sz w:val="22"/>
                <w:szCs w:val="22"/>
                <w:highlight w:val="none"/>
                <w:lang w:val="pt-BR" w:eastAsia="zh-CN"/>
              </w:rPr>
              <w:t>00亩</w:t>
            </w:r>
            <w:r>
              <w:rPr>
                <w:rFonts w:hint="eastAsia" w:ascii="宋体" w:hAnsi="宋体" w:cs="宋体"/>
                <w:color w:val="auto"/>
                <w:sz w:val="22"/>
                <w:szCs w:val="22"/>
                <w:highlight w:val="none"/>
                <w:lang w:val="pt-BR" w:eastAsia="zh-CN"/>
              </w:rPr>
              <w:t>，</w:t>
            </w:r>
            <w:r>
              <w:rPr>
                <w:rFonts w:hint="eastAsia" w:ascii="宋体" w:hAnsi="宋体" w:cs="宋体"/>
                <w:color w:val="auto"/>
                <w:sz w:val="22"/>
                <w:szCs w:val="22"/>
                <w:highlight w:val="none"/>
                <w:lang w:val="en-US" w:eastAsia="zh-CN"/>
              </w:rPr>
              <w:t>每提供一个基地得2分</w:t>
            </w:r>
            <w:r>
              <w:rPr>
                <w:rFonts w:hint="eastAsia" w:ascii="宋体" w:hAnsi="宋体" w:cs="宋体"/>
                <w:color w:val="auto"/>
                <w:sz w:val="22"/>
                <w:szCs w:val="22"/>
                <w:highlight w:val="none"/>
                <w:lang w:val="pt-BR" w:eastAsia="zh-CN"/>
              </w:rPr>
              <w:t>；</w:t>
            </w:r>
          </w:p>
          <w:p w14:paraId="12CE4392">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color w:val="auto"/>
                <w:sz w:val="22"/>
                <w:szCs w:val="22"/>
                <w:highlight w:val="none"/>
                <w:lang w:val="pt-BR" w:eastAsia="zh-CN"/>
              </w:rPr>
            </w:pPr>
            <w:r>
              <w:rPr>
                <w:rFonts w:hint="eastAsia" w:ascii="宋体" w:hAnsi="宋体" w:cs="宋体"/>
                <w:color w:val="auto"/>
                <w:sz w:val="22"/>
                <w:szCs w:val="22"/>
                <w:highlight w:val="none"/>
                <w:lang w:val="pt-BR" w:eastAsia="zh-CN"/>
              </w:rPr>
              <w:t>（</w:t>
            </w:r>
            <w:r>
              <w:rPr>
                <w:rFonts w:hint="eastAsia" w:ascii="宋体" w:hAnsi="宋体" w:cs="宋体"/>
                <w:color w:val="auto"/>
                <w:sz w:val="22"/>
                <w:szCs w:val="22"/>
                <w:highlight w:val="none"/>
                <w:lang w:val="en-US" w:eastAsia="zh-CN"/>
              </w:rPr>
              <w:t>2</w:t>
            </w:r>
            <w:r>
              <w:rPr>
                <w:rFonts w:hint="eastAsia" w:ascii="宋体" w:hAnsi="宋体" w:cs="宋体"/>
                <w:color w:val="auto"/>
                <w:sz w:val="22"/>
                <w:szCs w:val="22"/>
                <w:highlight w:val="none"/>
                <w:lang w:val="pt-BR" w:eastAsia="zh-CN"/>
              </w:rPr>
              <w:t>）</w:t>
            </w:r>
            <w:r>
              <w:rPr>
                <w:rFonts w:hint="eastAsia" w:ascii="宋体" w:hAnsi="宋体" w:eastAsia="宋体" w:cs="宋体"/>
                <w:color w:val="auto"/>
                <w:sz w:val="22"/>
                <w:szCs w:val="22"/>
                <w:highlight w:val="none"/>
                <w:lang w:val="pt-BR" w:eastAsia="zh-CN"/>
              </w:rPr>
              <w:t>200亩</w:t>
            </w:r>
            <w:r>
              <w:rPr>
                <w:rFonts w:hint="eastAsia" w:ascii="宋体" w:hAnsi="宋体" w:cs="宋体"/>
                <w:color w:val="auto"/>
                <w:sz w:val="22"/>
                <w:szCs w:val="22"/>
                <w:highlight w:val="none"/>
                <w:lang w:val="en-US" w:eastAsia="zh-CN"/>
              </w:rPr>
              <w:t>≤</w:t>
            </w:r>
            <w:r>
              <w:rPr>
                <w:rFonts w:hint="eastAsia" w:ascii="宋体" w:hAnsi="宋体" w:eastAsia="宋体" w:cs="宋体"/>
                <w:color w:val="auto"/>
                <w:sz w:val="22"/>
                <w:szCs w:val="22"/>
                <w:highlight w:val="none"/>
                <w:lang w:val="pt-BR" w:eastAsia="zh-CN"/>
              </w:rPr>
              <w:t>水产养殖基地面积</w:t>
            </w:r>
            <w:r>
              <w:rPr>
                <w:rFonts w:hint="eastAsia" w:ascii="宋体" w:hAnsi="宋体" w:cs="宋体"/>
                <w:color w:val="auto"/>
                <w:sz w:val="22"/>
                <w:szCs w:val="22"/>
                <w:highlight w:val="none"/>
                <w:lang w:val="en-US" w:eastAsia="zh-CN"/>
              </w:rPr>
              <w:t>＜500亩，每提供一个基地得1分</w:t>
            </w:r>
            <w:r>
              <w:rPr>
                <w:rFonts w:hint="eastAsia" w:ascii="宋体" w:hAnsi="宋体" w:cs="宋体"/>
                <w:color w:val="auto"/>
                <w:sz w:val="22"/>
                <w:szCs w:val="22"/>
                <w:highlight w:val="none"/>
                <w:lang w:val="pt-BR" w:eastAsia="zh-CN"/>
              </w:rPr>
              <w:t>；</w:t>
            </w:r>
          </w:p>
          <w:p w14:paraId="531184CE">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（3）其它情况不得分。</w:t>
            </w:r>
          </w:p>
          <w:p w14:paraId="04BF513C">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注：</w:t>
            </w:r>
          </w:p>
          <w:p w14:paraId="39FE1A7D">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b/>
                <w:bCs/>
                <w:color w:val="auto"/>
                <w:sz w:val="22"/>
                <w:szCs w:val="22"/>
                <w:highlight w:val="none"/>
                <w:lang w:val="pt-BR" w:eastAsia="zh-CN"/>
              </w:rPr>
            </w:pPr>
            <w:r>
              <w:rPr>
                <w:rFonts w:hint="eastAsia" w:ascii="宋体" w:hAnsi="宋体" w:cs="宋体"/>
                <w:b/>
                <w:bCs/>
                <w:color w:val="auto"/>
                <w:sz w:val="22"/>
                <w:szCs w:val="22"/>
                <w:highlight w:val="none"/>
                <w:lang w:val="en-US" w:eastAsia="zh-CN"/>
              </w:rPr>
              <w:t>（1）</w:t>
            </w:r>
            <w:r>
              <w:rPr>
                <w:rFonts w:hint="eastAsia" w:ascii="宋体" w:hAnsi="宋体" w:eastAsia="宋体" w:cs="宋体"/>
                <w:b/>
                <w:bCs/>
                <w:color w:val="auto"/>
                <w:sz w:val="22"/>
                <w:szCs w:val="22"/>
                <w:highlight w:val="none"/>
                <w:lang w:val="pt-BR" w:eastAsia="zh-CN"/>
              </w:rPr>
              <w:t>水产养殖基地</w:t>
            </w:r>
            <w:r>
              <w:rPr>
                <w:rFonts w:hint="eastAsia" w:ascii="宋体" w:hAnsi="宋体" w:eastAsia="宋体" w:cs="宋体"/>
                <w:b/>
                <w:bCs/>
                <w:color w:val="auto"/>
                <w:sz w:val="22"/>
                <w:szCs w:val="22"/>
                <w:highlight w:val="none"/>
                <w:lang w:val="en-US" w:eastAsia="zh-CN"/>
              </w:rPr>
              <w:t>为</w:t>
            </w:r>
            <w:r>
              <w:rPr>
                <w:rFonts w:hint="eastAsia" w:ascii="宋体" w:hAnsi="宋体" w:eastAsia="宋体" w:cs="宋体"/>
                <w:b/>
                <w:bCs/>
                <w:color w:val="auto"/>
                <w:sz w:val="22"/>
                <w:szCs w:val="22"/>
                <w:highlight w:val="none"/>
                <w:lang w:val="pt-BR" w:eastAsia="zh-CN"/>
              </w:rPr>
              <w:t>自营的</w:t>
            </w:r>
            <w:r>
              <w:rPr>
                <w:rFonts w:hint="eastAsia" w:ascii="宋体" w:hAnsi="宋体" w:cs="宋体"/>
                <w:b/>
                <w:bCs/>
                <w:color w:val="auto"/>
                <w:sz w:val="22"/>
                <w:szCs w:val="22"/>
                <w:highlight w:val="none"/>
                <w:lang w:val="pt-BR" w:eastAsia="zh-CN"/>
              </w:rPr>
              <w:t>，</w:t>
            </w:r>
            <w:r>
              <w:rPr>
                <w:rFonts w:hint="eastAsia" w:ascii="宋体" w:hAnsi="宋体" w:cs="宋体"/>
                <w:b/>
                <w:bCs/>
                <w:color w:val="auto"/>
                <w:sz w:val="22"/>
                <w:szCs w:val="22"/>
                <w:highlight w:val="none"/>
                <w:lang w:val="en-US" w:eastAsia="zh-CN"/>
              </w:rPr>
              <w:t>须</w:t>
            </w:r>
            <w:r>
              <w:rPr>
                <w:rFonts w:hint="eastAsia" w:ascii="宋体" w:hAnsi="宋体" w:eastAsia="宋体" w:cs="宋体"/>
                <w:b/>
                <w:bCs/>
                <w:color w:val="auto"/>
                <w:sz w:val="22"/>
                <w:szCs w:val="22"/>
                <w:highlight w:val="none"/>
                <w:lang w:val="pt-BR" w:eastAsia="zh-CN"/>
              </w:rPr>
              <w:t>提供</w:t>
            </w:r>
            <w:r>
              <w:rPr>
                <w:rFonts w:hint="eastAsia" w:ascii="宋体" w:hAnsi="宋体" w:cs="宋体"/>
                <w:b/>
                <w:bCs/>
                <w:color w:val="auto"/>
                <w:sz w:val="22"/>
                <w:szCs w:val="22"/>
                <w:highlight w:val="none"/>
                <w:lang w:val="pt-BR" w:eastAsia="zh-CN"/>
              </w:rPr>
              <w:t>【</w:t>
            </w:r>
            <w:r>
              <w:rPr>
                <w:rFonts w:hint="eastAsia" w:ascii="宋体" w:hAnsi="宋体" w:cs="宋体"/>
                <w:b/>
                <w:bCs/>
                <w:color w:val="auto"/>
                <w:sz w:val="22"/>
                <w:szCs w:val="22"/>
                <w:highlight w:val="none"/>
                <w:lang w:val="en-US" w:eastAsia="zh-CN"/>
              </w:rPr>
              <w:t>自有的养殖场地</w:t>
            </w:r>
            <w:r>
              <w:rPr>
                <w:rFonts w:hint="eastAsia" w:ascii="宋体" w:hAnsi="宋体" w:eastAsia="宋体" w:cs="宋体"/>
                <w:b/>
                <w:bCs/>
                <w:color w:val="auto"/>
                <w:sz w:val="22"/>
                <w:szCs w:val="22"/>
                <w:highlight w:val="none"/>
                <w:lang w:val="pt-BR" w:eastAsia="zh-CN"/>
              </w:rPr>
              <w:t>产权证明</w:t>
            </w:r>
            <w:r>
              <w:rPr>
                <w:rFonts w:hint="eastAsia" w:ascii="宋体" w:hAnsi="宋体" w:cs="宋体"/>
                <w:b/>
                <w:bCs/>
                <w:color w:val="auto"/>
                <w:sz w:val="22"/>
                <w:szCs w:val="22"/>
                <w:highlight w:val="none"/>
                <w:lang w:val="en-US" w:eastAsia="zh-CN"/>
              </w:rPr>
              <w:t>或养殖场地</w:t>
            </w:r>
            <w:r>
              <w:rPr>
                <w:rFonts w:hint="eastAsia" w:ascii="宋体" w:hAnsi="宋体" w:eastAsia="宋体" w:cs="宋体"/>
                <w:b/>
                <w:bCs/>
                <w:color w:val="auto"/>
                <w:sz w:val="22"/>
                <w:szCs w:val="22"/>
                <w:highlight w:val="none"/>
              </w:rPr>
              <w:t>租赁合同</w:t>
            </w:r>
            <w:r>
              <w:rPr>
                <w:rFonts w:hint="eastAsia" w:ascii="宋体" w:hAnsi="宋体" w:eastAsia="宋体" w:cs="宋体"/>
                <w:b/>
                <w:bCs/>
                <w:color w:val="auto"/>
                <w:sz w:val="22"/>
                <w:szCs w:val="22"/>
                <w:highlight w:val="none"/>
                <w:lang w:eastAsia="zh-CN"/>
              </w:rPr>
              <w:t>（租赁期至少涵盖本项目投标截止之日起一年</w:t>
            </w:r>
            <w:r>
              <w:rPr>
                <w:rFonts w:hint="eastAsia" w:ascii="宋体" w:hAnsi="宋体" w:cs="宋体"/>
                <w:b/>
                <w:bCs/>
                <w:color w:val="auto"/>
                <w:sz w:val="22"/>
                <w:szCs w:val="22"/>
                <w:highlight w:val="none"/>
                <w:lang w:eastAsia="zh-CN"/>
              </w:rPr>
              <w:t>）</w:t>
            </w:r>
            <w:r>
              <w:rPr>
                <w:rFonts w:hint="eastAsia" w:ascii="宋体" w:hAnsi="宋体" w:cs="宋体"/>
                <w:b/>
                <w:bCs/>
                <w:color w:val="auto"/>
                <w:sz w:val="22"/>
                <w:szCs w:val="22"/>
                <w:highlight w:val="none"/>
                <w:lang w:val="en-US" w:eastAsia="zh-CN"/>
              </w:rPr>
              <w:t>及</w:t>
            </w:r>
            <w:r>
              <w:rPr>
                <w:rFonts w:hint="eastAsia" w:ascii="宋体" w:hAnsi="宋体" w:cs="宋体"/>
                <w:b/>
                <w:bCs/>
                <w:color w:val="auto"/>
                <w:sz w:val="22"/>
                <w:highlight w:val="none"/>
                <w:lang w:val="en-US" w:eastAsia="zh-CN"/>
              </w:rPr>
              <w:t>租赁期</w:t>
            </w:r>
            <w:r>
              <w:rPr>
                <w:rFonts w:hint="eastAsia" w:ascii="宋体" w:hAnsi="宋体" w:cs="宋体"/>
                <w:b/>
                <w:bCs/>
                <w:color w:val="auto"/>
                <w:sz w:val="22"/>
                <w:highlight w:val="none"/>
              </w:rPr>
              <w:t>内任意时间段的租金发票</w:t>
            </w:r>
            <w:r>
              <w:rPr>
                <w:rFonts w:hint="eastAsia" w:ascii="宋体" w:hAnsi="宋体" w:cs="宋体"/>
                <w:b/>
                <w:bCs/>
                <w:color w:val="auto"/>
                <w:sz w:val="22"/>
                <w:highlight w:val="none"/>
                <w:lang w:val="en-US" w:eastAsia="zh-CN"/>
              </w:rPr>
              <w:t>或租金付款记录</w:t>
            </w:r>
            <w:r>
              <w:rPr>
                <w:rFonts w:hint="eastAsia" w:ascii="宋体" w:hAnsi="宋体" w:cs="宋体"/>
                <w:b/>
                <w:bCs/>
                <w:color w:val="auto"/>
                <w:sz w:val="22"/>
                <w:szCs w:val="22"/>
                <w:highlight w:val="none"/>
                <w:lang w:val="pt-BR" w:eastAsia="zh-CN"/>
              </w:rPr>
              <w:t>】</w:t>
            </w:r>
            <w:r>
              <w:rPr>
                <w:rFonts w:hint="eastAsia" w:ascii="宋体" w:hAnsi="宋体" w:eastAsia="宋体" w:cs="宋体"/>
                <w:b/>
                <w:bCs/>
                <w:color w:val="auto"/>
                <w:sz w:val="22"/>
                <w:szCs w:val="22"/>
                <w:highlight w:val="none"/>
                <w:lang w:val="pt-BR" w:eastAsia="zh-CN"/>
              </w:rPr>
              <w:t>、相关生产资料</w:t>
            </w:r>
            <w:r>
              <w:rPr>
                <w:rFonts w:hint="eastAsia" w:ascii="宋体" w:hAnsi="宋体" w:eastAsia="宋体" w:cs="宋体"/>
                <w:b/>
                <w:bCs/>
                <w:color w:val="auto"/>
                <w:sz w:val="22"/>
                <w:szCs w:val="22"/>
                <w:highlight w:val="none"/>
                <w:lang w:val="en-US" w:eastAsia="zh-CN"/>
              </w:rPr>
              <w:t>及</w:t>
            </w:r>
            <w:r>
              <w:rPr>
                <w:rFonts w:hint="eastAsia" w:ascii="宋体" w:hAnsi="宋体" w:eastAsia="宋体" w:cs="宋体"/>
                <w:b/>
                <w:bCs/>
                <w:color w:val="auto"/>
                <w:sz w:val="22"/>
                <w:szCs w:val="22"/>
                <w:highlight w:val="none"/>
                <w:lang w:val="pt-BR" w:eastAsia="zh-CN"/>
              </w:rPr>
              <w:t>国家认可的第三方</w:t>
            </w:r>
            <w:r>
              <w:rPr>
                <w:rFonts w:hint="eastAsia" w:ascii="宋体" w:hAnsi="宋体" w:cs="宋体"/>
                <w:b/>
                <w:bCs/>
                <w:color w:val="auto"/>
                <w:sz w:val="22"/>
                <w:szCs w:val="22"/>
                <w:highlight w:val="none"/>
                <w:lang w:val="en-US" w:eastAsia="zh-CN"/>
              </w:rPr>
              <w:t>检测</w:t>
            </w:r>
            <w:r>
              <w:rPr>
                <w:rFonts w:hint="eastAsia" w:ascii="宋体" w:hAnsi="宋体" w:eastAsia="宋体" w:cs="宋体"/>
                <w:b/>
                <w:bCs/>
                <w:color w:val="auto"/>
                <w:sz w:val="22"/>
                <w:szCs w:val="22"/>
                <w:highlight w:val="none"/>
                <w:lang w:val="pt-BR" w:eastAsia="zh-CN"/>
              </w:rPr>
              <w:t>机构出具的水质检测报告</w:t>
            </w:r>
            <w:r>
              <w:rPr>
                <w:rFonts w:hint="eastAsia" w:ascii="宋体" w:hAnsi="宋体" w:cs="宋体"/>
                <w:b/>
                <w:bCs/>
                <w:color w:val="auto"/>
                <w:sz w:val="22"/>
                <w:szCs w:val="22"/>
                <w:highlight w:val="none"/>
                <w:lang w:val="pt-BR" w:eastAsia="zh-CN"/>
              </w:rPr>
              <w:t>；</w:t>
            </w:r>
          </w:p>
          <w:p w14:paraId="7EED6D94">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b/>
                <w:bCs/>
                <w:color w:val="auto"/>
                <w:sz w:val="22"/>
                <w:szCs w:val="22"/>
                <w:highlight w:val="none"/>
                <w:lang w:val="pt-BR" w:eastAsia="zh-CN"/>
              </w:rPr>
            </w:pPr>
            <w:r>
              <w:rPr>
                <w:rFonts w:hint="eastAsia" w:ascii="宋体" w:hAnsi="宋体" w:cs="宋体"/>
                <w:b/>
                <w:bCs/>
                <w:color w:val="auto"/>
                <w:sz w:val="22"/>
                <w:szCs w:val="22"/>
                <w:highlight w:val="none"/>
                <w:lang w:val="en-US" w:eastAsia="zh-CN"/>
              </w:rPr>
              <w:t>（2）</w:t>
            </w:r>
            <w:r>
              <w:rPr>
                <w:rFonts w:hint="eastAsia" w:ascii="宋体" w:hAnsi="宋体" w:eastAsia="宋体" w:cs="宋体"/>
                <w:b/>
                <w:bCs/>
                <w:color w:val="auto"/>
                <w:sz w:val="22"/>
                <w:szCs w:val="22"/>
                <w:highlight w:val="none"/>
                <w:lang w:val="pt-BR" w:eastAsia="zh-CN"/>
              </w:rPr>
              <w:t>水产养殖基地</w:t>
            </w:r>
            <w:r>
              <w:rPr>
                <w:rFonts w:hint="eastAsia" w:ascii="宋体" w:hAnsi="宋体" w:eastAsia="宋体" w:cs="宋体"/>
                <w:b/>
                <w:bCs/>
                <w:color w:val="auto"/>
                <w:sz w:val="22"/>
                <w:szCs w:val="22"/>
                <w:highlight w:val="none"/>
                <w:lang w:val="en-US" w:eastAsia="zh-CN"/>
              </w:rPr>
              <w:t>为</w:t>
            </w:r>
            <w:r>
              <w:rPr>
                <w:rFonts w:hint="eastAsia" w:ascii="宋体" w:hAnsi="宋体" w:eastAsia="宋体" w:cs="宋体"/>
                <w:b/>
                <w:bCs/>
                <w:color w:val="auto"/>
                <w:sz w:val="22"/>
                <w:szCs w:val="22"/>
                <w:highlight w:val="none"/>
                <w:lang w:val="pt-BR" w:eastAsia="zh-CN"/>
              </w:rPr>
              <w:t>合作的</w:t>
            </w:r>
            <w:r>
              <w:rPr>
                <w:rFonts w:hint="eastAsia" w:ascii="宋体" w:hAnsi="宋体" w:cs="宋体"/>
                <w:b/>
                <w:bCs/>
                <w:color w:val="auto"/>
                <w:sz w:val="22"/>
                <w:szCs w:val="22"/>
                <w:highlight w:val="none"/>
                <w:lang w:val="pt-BR" w:eastAsia="zh-CN"/>
              </w:rPr>
              <w:t>，</w:t>
            </w:r>
            <w:r>
              <w:rPr>
                <w:rFonts w:hint="eastAsia" w:ascii="宋体" w:hAnsi="宋体" w:cs="宋体"/>
                <w:b/>
                <w:bCs/>
                <w:color w:val="auto"/>
                <w:sz w:val="22"/>
                <w:szCs w:val="22"/>
                <w:highlight w:val="none"/>
                <w:lang w:val="en-US" w:eastAsia="zh-CN"/>
              </w:rPr>
              <w:t>须同时</w:t>
            </w:r>
            <w:r>
              <w:rPr>
                <w:rFonts w:hint="eastAsia" w:ascii="宋体" w:hAnsi="宋体" w:eastAsia="宋体" w:cs="宋体"/>
                <w:b/>
                <w:bCs/>
                <w:color w:val="auto"/>
                <w:sz w:val="22"/>
                <w:szCs w:val="22"/>
                <w:highlight w:val="none"/>
                <w:lang w:val="pt-BR" w:eastAsia="zh-CN"/>
              </w:rPr>
              <w:t>提供合作协议</w:t>
            </w:r>
            <w:r>
              <w:rPr>
                <w:rFonts w:hint="eastAsia" w:ascii="宋体" w:hAnsi="宋体" w:cs="宋体"/>
                <w:b/>
                <w:bCs/>
                <w:color w:val="auto"/>
                <w:sz w:val="22"/>
                <w:szCs w:val="22"/>
                <w:highlight w:val="none"/>
                <w:lang w:val="pt-BR" w:eastAsia="zh-CN"/>
              </w:rPr>
              <w:t>、</w:t>
            </w:r>
            <w:r>
              <w:rPr>
                <w:rFonts w:hint="eastAsia" w:ascii="宋体" w:hAnsi="宋体" w:cs="宋体"/>
                <w:b/>
                <w:bCs/>
                <w:color w:val="auto"/>
                <w:sz w:val="22"/>
                <w:szCs w:val="22"/>
                <w:highlight w:val="none"/>
                <w:lang w:val="en-US" w:eastAsia="zh-CN"/>
              </w:rPr>
              <w:t>合作期</w:t>
            </w:r>
            <w:r>
              <w:rPr>
                <w:rFonts w:hint="eastAsia" w:ascii="宋体" w:hAnsi="宋体" w:cs="宋体"/>
                <w:b/>
                <w:bCs/>
                <w:color w:val="auto"/>
                <w:sz w:val="22"/>
                <w:highlight w:val="none"/>
              </w:rPr>
              <w:t>内</w:t>
            </w:r>
            <w:r>
              <w:rPr>
                <w:rFonts w:hint="eastAsia" w:ascii="宋体" w:hAnsi="宋体" w:cs="宋体"/>
                <w:b/>
                <w:bCs/>
                <w:color w:val="auto"/>
                <w:sz w:val="22"/>
                <w:szCs w:val="22"/>
                <w:highlight w:val="none"/>
                <w:lang w:val="pt-BR" w:eastAsia="zh-CN"/>
              </w:rPr>
              <w:t>任意时间段的</w:t>
            </w:r>
            <w:r>
              <w:rPr>
                <w:rFonts w:hint="eastAsia" w:ascii="宋体" w:hAnsi="宋体" w:cs="宋体"/>
                <w:b/>
                <w:bCs/>
                <w:color w:val="auto"/>
                <w:sz w:val="22"/>
                <w:szCs w:val="22"/>
                <w:highlight w:val="none"/>
                <w:lang w:val="en-US" w:eastAsia="zh-CN"/>
              </w:rPr>
              <w:t>相关发票证明</w:t>
            </w:r>
            <w:r>
              <w:rPr>
                <w:rFonts w:hint="eastAsia" w:ascii="宋体" w:hAnsi="宋体" w:eastAsia="宋体" w:cs="宋体"/>
                <w:b/>
                <w:bCs/>
                <w:color w:val="auto"/>
                <w:sz w:val="22"/>
                <w:szCs w:val="22"/>
                <w:highlight w:val="none"/>
                <w:lang w:val="pt-BR" w:eastAsia="zh-CN"/>
              </w:rPr>
              <w:t>、合作单位的营业执照、相关生产资料</w:t>
            </w:r>
            <w:r>
              <w:rPr>
                <w:rFonts w:hint="eastAsia" w:ascii="宋体" w:hAnsi="宋体" w:eastAsia="宋体" w:cs="宋体"/>
                <w:b/>
                <w:bCs/>
                <w:color w:val="auto"/>
                <w:sz w:val="22"/>
                <w:szCs w:val="22"/>
                <w:highlight w:val="none"/>
                <w:lang w:val="en-US" w:eastAsia="zh-CN"/>
              </w:rPr>
              <w:t>及</w:t>
            </w:r>
            <w:r>
              <w:rPr>
                <w:rFonts w:hint="eastAsia" w:ascii="宋体" w:hAnsi="宋体" w:eastAsia="宋体" w:cs="宋体"/>
                <w:b/>
                <w:bCs/>
                <w:color w:val="auto"/>
                <w:sz w:val="22"/>
                <w:szCs w:val="22"/>
                <w:highlight w:val="none"/>
                <w:lang w:val="pt-BR" w:eastAsia="zh-CN"/>
              </w:rPr>
              <w:t>国家认可的第三方</w:t>
            </w:r>
            <w:r>
              <w:rPr>
                <w:rFonts w:hint="eastAsia" w:ascii="宋体" w:hAnsi="宋体" w:cs="宋体"/>
                <w:b/>
                <w:bCs/>
                <w:color w:val="auto"/>
                <w:sz w:val="22"/>
                <w:szCs w:val="22"/>
                <w:highlight w:val="none"/>
                <w:lang w:val="en-US" w:eastAsia="zh-CN"/>
              </w:rPr>
              <w:t>检测</w:t>
            </w:r>
            <w:r>
              <w:rPr>
                <w:rFonts w:hint="eastAsia" w:ascii="宋体" w:hAnsi="宋体" w:eastAsia="宋体" w:cs="宋体"/>
                <w:b/>
                <w:bCs/>
                <w:color w:val="auto"/>
                <w:sz w:val="22"/>
                <w:szCs w:val="22"/>
                <w:highlight w:val="none"/>
                <w:lang w:val="pt-BR" w:eastAsia="zh-CN"/>
              </w:rPr>
              <w:t>机构出具的水质检测报告</w:t>
            </w:r>
            <w:r>
              <w:rPr>
                <w:rFonts w:hint="eastAsia" w:ascii="宋体" w:hAnsi="宋体" w:cs="宋体"/>
                <w:b/>
                <w:bCs/>
                <w:color w:val="auto"/>
                <w:sz w:val="22"/>
                <w:szCs w:val="22"/>
                <w:highlight w:val="none"/>
                <w:lang w:val="pt-BR" w:eastAsia="zh-CN"/>
              </w:rPr>
              <w:t>；</w:t>
            </w:r>
          </w:p>
          <w:p w14:paraId="11B0A60C">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color w:val="auto"/>
                <w:sz w:val="22"/>
                <w:szCs w:val="22"/>
                <w:highlight w:val="none"/>
                <w:lang w:val="pt-BR" w:eastAsia="zh-CN"/>
              </w:rPr>
            </w:pPr>
            <w:r>
              <w:rPr>
                <w:rFonts w:hint="eastAsia" w:ascii="宋体" w:hAnsi="宋体" w:cs="宋体"/>
                <w:b/>
                <w:bCs/>
                <w:color w:val="auto"/>
                <w:sz w:val="22"/>
                <w:szCs w:val="22"/>
                <w:highlight w:val="none"/>
                <w:lang w:val="en-US" w:eastAsia="zh-CN"/>
              </w:rPr>
              <w:t>（3）</w:t>
            </w:r>
            <w:r>
              <w:rPr>
                <w:rFonts w:hint="eastAsia" w:ascii="宋体" w:hAnsi="宋体" w:cs="宋体"/>
                <w:b/>
                <w:bCs/>
                <w:color w:val="auto"/>
                <w:sz w:val="22"/>
                <w:szCs w:val="22"/>
                <w:highlight w:val="none"/>
                <w:lang w:val="pt-BR" w:eastAsia="zh-CN"/>
              </w:rPr>
              <w:t>提供上述证明文件并加盖投标人公章</w:t>
            </w:r>
            <w:r>
              <w:rPr>
                <w:rFonts w:hint="eastAsia" w:ascii="宋体" w:hAnsi="宋体" w:eastAsia="宋体" w:cs="宋体"/>
                <w:b/>
                <w:bCs/>
                <w:color w:val="auto"/>
                <w:sz w:val="22"/>
                <w:szCs w:val="22"/>
                <w:highlight w:val="none"/>
                <w:lang w:val="pt-BR"/>
              </w:rPr>
              <w:t>，未提供或提供不清晰导致无法判断的不得分</w:t>
            </w:r>
            <w:r>
              <w:rPr>
                <w:rFonts w:hint="eastAsia" w:ascii="宋体" w:hAnsi="宋体" w:eastAsia="宋体" w:cs="宋体"/>
                <w:b/>
                <w:bCs/>
                <w:color w:val="auto"/>
                <w:sz w:val="22"/>
                <w:szCs w:val="22"/>
                <w:highlight w:val="none"/>
                <w:lang w:val="pt-BR" w:eastAsia="zh-CN"/>
              </w:rPr>
              <w:t>。</w:t>
            </w:r>
          </w:p>
        </w:tc>
      </w:tr>
      <w:tr w14:paraId="381DC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4"/>
            <w:tcBorders>
              <w:top w:val="single" w:color="auto" w:sz="4" w:space="0"/>
              <w:left w:val="single" w:color="auto" w:sz="4" w:space="0"/>
              <w:bottom w:val="single" w:color="auto" w:sz="4" w:space="0"/>
              <w:right w:val="single" w:color="auto" w:sz="4" w:space="0"/>
            </w:tcBorders>
            <w:vAlign w:val="center"/>
          </w:tcPr>
          <w:p w14:paraId="33936CCD">
            <w:pPr>
              <w:pStyle w:val="48"/>
              <w:shd w:val="clear"/>
              <w:spacing w:after="0" w:line="360" w:lineRule="auto"/>
              <w:ind w:firstLine="0" w:firstLineChars="0"/>
              <w:jc w:val="center"/>
              <w:rPr>
                <w:rFonts w:hint="eastAsia" w:ascii="宋体" w:eastAsia="宋体" w:cs="宋体"/>
                <w:color w:val="auto"/>
                <w:sz w:val="22"/>
                <w:highlight w:val="none"/>
              </w:rPr>
            </w:pPr>
            <w:r>
              <w:rPr>
                <w:rFonts w:hint="eastAsia" w:ascii="宋体" w:hAnsi="宋体" w:eastAsia="宋体" w:cs="宋体"/>
                <w:b/>
                <w:bCs/>
                <w:color w:val="auto"/>
                <w:sz w:val="22"/>
                <w:szCs w:val="22"/>
                <w:highlight w:val="none"/>
              </w:rPr>
              <w:t>技术评审（1</w:t>
            </w:r>
            <w:r>
              <w:rPr>
                <w:rFonts w:hint="eastAsia" w:ascii="宋体" w:eastAsia="宋体" w:cs="宋体"/>
                <w:b/>
                <w:bCs/>
                <w:color w:val="auto"/>
                <w:sz w:val="22"/>
                <w:szCs w:val="22"/>
                <w:highlight w:val="none"/>
                <w:lang w:val="en-US" w:eastAsia="zh-CN"/>
              </w:rPr>
              <w:t>5</w:t>
            </w:r>
            <w:r>
              <w:rPr>
                <w:rFonts w:hint="eastAsia" w:ascii="宋体" w:hAnsi="宋体" w:eastAsia="宋体" w:cs="宋体"/>
                <w:b/>
                <w:bCs/>
                <w:color w:val="auto"/>
                <w:sz w:val="22"/>
                <w:szCs w:val="22"/>
                <w:highlight w:val="none"/>
              </w:rPr>
              <w:t>分）</w:t>
            </w:r>
          </w:p>
        </w:tc>
      </w:tr>
      <w:tr w14:paraId="1B046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399" w:type="pct"/>
            <w:tcBorders>
              <w:top w:val="single" w:color="auto" w:sz="4" w:space="0"/>
              <w:left w:val="single" w:color="auto" w:sz="4" w:space="0"/>
              <w:bottom w:val="single" w:color="auto" w:sz="4" w:space="0"/>
              <w:right w:val="single" w:color="auto" w:sz="4" w:space="0"/>
            </w:tcBorders>
            <w:vAlign w:val="center"/>
          </w:tcPr>
          <w:p w14:paraId="1EBB49D0">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1</w:t>
            </w:r>
          </w:p>
        </w:tc>
        <w:tc>
          <w:tcPr>
            <w:tcW w:w="652" w:type="pct"/>
            <w:tcBorders>
              <w:top w:val="single" w:color="auto" w:sz="4" w:space="0"/>
              <w:left w:val="single" w:color="auto" w:sz="4" w:space="0"/>
              <w:bottom w:val="single" w:color="auto" w:sz="4" w:space="0"/>
              <w:right w:val="single" w:color="auto" w:sz="4" w:space="0"/>
            </w:tcBorders>
            <w:vAlign w:val="center"/>
          </w:tcPr>
          <w:p w14:paraId="39346AB1">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食品安全控制措施方案</w:t>
            </w:r>
          </w:p>
        </w:tc>
        <w:tc>
          <w:tcPr>
            <w:tcW w:w="478" w:type="pct"/>
            <w:tcBorders>
              <w:top w:val="single" w:color="auto" w:sz="4" w:space="0"/>
              <w:left w:val="single" w:color="auto" w:sz="4" w:space="0"/>
              <w:bottom w:val="single" w:color="auto" w:sz="4" w:space="0"/>
              <w:right w:val="single" w:color="auto" w:sz="4" w:space="0"/>
            </w:tcBorders>
            <w:vAlign w:val="center"/>
          </w:tcPr>
          <w:p w14:paraId="58ED67BA">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val="en-US" w:eastAsia="zh-CN"/>
              </w:rPr>
              <w:t>3</w:t>
            </w:r>
            <w:r>
              <w:rPr>
                <w:rFonts w:hint="eastAsia" w:ascii="宋体" w:hAnsi="宋体" w:eastAsia="宋体" w:cs="宋体"/>
                <w:color w:val="auto"/>
                <w:sz w:val="22"/>
                <w:szCs w:val="22"/>
                <w:highlight w:val="none"/>
                <w:lang w:eastAsia="zh-CN"/>
              </w:rPr>
              <w:t>分</w:t>
            </w:r>
          </w:p>
        </w:tc>
        <w:tc>
          <w:tcPr>
            <w:tcW w:w="3468" w:type="pct"/>
            <w:tcBorders>
              <w:top w:val="single" w:color="auto" w:sz="4" w:space="0"/>
              <w:left w:val="single" w:color="auto" w:sz="4" w:space="0"/>
              <w:bottom w:val="single" w:color="auto" w:sz="4" w:space="0"/>
              <w:right w:val="single" w:color="auto" w:sz="4" w:space="0"/>
            </w:tcBorders>
            <w:vAlign w:val="center"/>
          </w:tcPr>
          <w:p w14:paraId="737DC0FE">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left"/>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根据投标人的食品安全控制措施方案（包括但不限于供货保障、加工、包装、保存、运输各环节的质量保证、食材品质管控措施等）进行综合评审：</w:t>
            </w:r>
          </w:p>
          <w:p w14:paraId="609F913A">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left"/>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（1）食品安全控制措施方案非常详细完善，流程非常严谨规范，安全控制措施非常科学合理，可行性非常强的，得</w:t>
            </w:r>
            <w:r>
              <w:rPr>
                <w:rFonts w:hint="eastAsia" w:ascii="宋体" w:hAnsi="宋体" w:cs="宋体"/>
                <w:color w:val="auto"/>
                <w:sz w:val="22"/>
                <w:szCs w:val="22"/>
                <w:highlight w:val="none"/>
                <w:lang w:val="en-US" w:eastAsia="zh-CN"/>
              </w:rPr>
              <w:t>3</w:t>
            </w:r>
            <w:r>
              <w:rPr>
                <w:rFonts w:hint="eastAsia" w:ascii="宋体" w:hAnsi="宋体" w:eastAsia="宋体" w:cs="宋体"/>
                <w:color w:val="auto"/>
                <w:sz w:val="22"/>
                <w:szCs w:val="22"/>
                <w:highlight w:val="none"/>
                <w:lang w:eastAsia="zh-CN"/>
              </w:rPr>
              <w:t>分；</w:t>
            </w:r>
          </w:p>
          <w:p w14:paraId="41B0F41F">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left"/>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（2）食品安全控制措施方案较详细完善，流程严谨规范，安全控制措施较科学合理，可行性较强的，得2分；</w:t>
            </w:r>
          </w:p>
          <w:p w14:paraId="1F54D96B">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left"/>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（3）食品安全控制措施方案详细完善度一般，流程严谨规范性一般，安全控制措施科学合理性一般，可行性一般的，得1分；</w:t>
            </w:r>
          </w:p>
          <w:p w14:paraId="42DA1C99">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left"/>
              <w:textAlignment w:val="auto"/>
              <w:rPr>
                <w:rFonts w:hint="eastAsia" w:ascii="宋体" w:hAnsi="宋体" w:eastAsia="宋体" w:cs="宋体"/>
                <w:color w:val="auto"/>
                <w:sz w:val="22"/>
                <w:szCs w:val="22"/>
                <w:highlight w:val="none"/>
                <w:lang w:val="zh-CN" w:eastAsia="zh-CN"/>
              </w:rPr>
            </w:pPr>
            <w:r>
              <w:rPr>
                <w:rFonts w:hint="eastAsia" w:ascii="宋体" w:hAnsi="宋体" w:eastAsia="宋体" w:cs="宋体"/>
                <w:color w:val="auto"/>
                <w:sz w:val="22"/>
                <w:szCs w:val="22"/>
                <w:highlight w:val="none"/>
                <w:lang w:eastAsia="zh-CN"/>
              </w:rPr>
              <w:t>（4）未提供相应方案的不得分。</w:t>
            </w:r>
          </w:p>
        </w:tc>
      </w:tr>
      <w:tr w14:paraId="28DD5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399" w:type="pct"/>
            <w:tcBorders>
              <w:top w:val="single" w:color="auto" w:sz="4" w:space="0"/>
              <w:left w:val="single" w:color="auto" w:sz="4" w:space="0"/>
              <w:bottom w:val="single" w:color="auto" w:sz="4" w:space="0"/>
              <w:right w:val="single" w:color="auto" w:sz="4" w:space="0"/>
            </w:tcBorders>
            <w:vAlign w:val="center"/>
          </w:tcPr>
          <w:p w14:paraId="36F04EB0">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2</w:t>
            </w:r>
          </w:p>
        </w:tc>
        <w:tc>
          <w:tcPr>
            <w:tcW w:w="652" w:type="pct"/>
            <w:tcBorders>
              <w:top w:val="single" w:color="auto" w:sz="4" w:space="0"/>
              <w:left w:val="single" w:color="auto" w:sz="4" w:space="0"/>
              <w:bottom w:val="single" w:color="auto" w:sz="4" w:space="0"/>
              <w:right w:val="single" w:color="auto" w:sz="4" w:space="0"/>
            </w:tcBorders>
            <w:vAlign w:val="center"/>
          </w:tcPr>
          <w:p w14:paraId="6D123413">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食品溯源管理方案</w:t>
            </w:r>
          </w:p>
        </w:tc>
        <w:tc>
          <w:tcPr>
            <w:tcW w:w="478" w:type="pct"/>
            <w:tcBorders>
              <w:top w:val="single" w:color="auto" w:sz="4" w:space="0"/>
              <w:left w:val="single" w:color="auto" w:sz="4" w:space="0"/>
              <w:bottom w:val="single" w:color="auto" w:sz="4" w:space="0"/>
              <w:right w:val="single" w:color="auto" w:sz="4" w:space="0"/>
            </w:tcBorders>
            <w:vAlign w:val="center"/>
          </w:tcPr>
          <w:p w14:paraId="002C2D58">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val="en-US" w:eastAsia="zh-CN"/>
              </w:rPr>
              <w:t>3</w:t>
            </w:r>
            <w:r>
              <w:rPr>
                <w:rFonts w:hint="eastAsia" w:ascii="宋体" w:hAnsi="宋体" w:eastAsia="宋体" w:cs="宋体"/>
                <w:color w:val="auto"/>
                <w:sz w:val="22"/>
                <w:szCs w:val="22"/>
                <w:highlight w:val="none"/>
                <w:lang w:eastAsia="zh-CN"/>
              </w:rPr>
              <w:t>分</w:t>
            </w:r>
          </w:p>
        </w:tc>
        <w:tc>
          <w:tcPr>
            <w:tcW w:w="3468" w:type="pct"/>
            <w:tcBorders>
              <w:top w:val="single" w:color="auto" w:sz="4" w:space="0"/>
              <w:left w:val="single" w:color="auto" w:sz="4" w:space="0"/>
              <w:bottom w:val="single" w:color="auto" w:sz="4" w:space="0"/>
              <w:right w:val="single" w:color="auto" w:sz="4" w:space="0"/>
            </w:tcBorders>
          </w:tcPr>
          <w:p w14:paraId="2F884E90">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left"/>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根据投标人提供的食品溯源管理方案（包括但不限于食品溯源管理制度、采购渠道、进出货台账、留样检测制度、售后服务等）进行综合评审：</w:t>
            </w:r>
          </w:p>
          <w:p w14:paraId="04A95B8D">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left"/>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（1）食品溯源管理方案非常详细完善，食品溯源管理制度非常科学严谨、食品溯源管理措施可行性非常强的，得</w:t>
            </w:r>
            <w:r>
              <w:rPr>
                <w:rFonts w:hint="eastAsia" w:ascii="宋体" w:hAnsi="宋体" w:cs="宋体"/>
                <w:color w:val="auto"/>
                <w:sz w:val="22"/>
                <w:szCs w:val="22"/>
                <w:highlight w:val="none"/>
                <w:lang w:val="en-US" w:eastAsia="zh-CN"/>
              </w:rPr>
              <w:t>3</w:t>
            </w:r>
            <w:r>
              <w:rPr>
                <w:rFonts w:hint="eastAsia" w:ascii="宋体" w:hAnsi="宋体" w:eastAsia="宋体" w:cs="宋体"/>
                <w:color w:val="auto"/>
                <w:sz w:val="22"/>
                <w:szCs w:val="22"/>
                <w:highlight w:val="none"/>
                <w:lang w:eastAsia="zh-CN"/>
              </w:rPr>
              <w:t>分；</w:t>
            </w:r>
          </w:p>
          <w:p w14:paraId="1CC3E5C5">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left"/>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（2）食品溯源管理方案较详细完善，食品溯源管理制度科学严谨、食品溯源管理措施可行性较强的，得2分；</w:t>
            </w:r>
          </w:p>
          <w:p w14:paraId="671313AB">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left"/>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（3）食品溯源管理方案详细完善程度一般，食品溯源管理制度科学严谨性一般、食品溯源管理措施可行性一般的，得1分；</w:t>
            </w:r>
          </w:p>
          <w:p w14:paraId="32C0CED9">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left"/>
              <w:textAlignment w:val="auto"/>
              <w:rPr>
                <w:rFonts w:hint="eastAsia" w:ascii="宋体" w:hAnsi="宋体" w:eastAsia="宋体" w:cs="宋体"/>
                <w:color w:val="auto"/>
                <w:sz w:val="22"/>
                <w:szCs w:val="22"/>
                <w:highlight w:val="none"/>
                <w:lang w:val="zh-CN" w:eastAsia="zh-CN"/>
              </w:rPr>
            </w:pPr>
            <w:r>
              <w:rPr>
                <w:rFonts w:hint="eastAsia" w:ascii="宋体" w:hAnsi="宋体" w:eastAsia="宋体" w:cs="宋体"/>
                <w:color w:val="auto"/>
                <w:sz w:val="22"/>
                <w:szCs w:val="22"/>
                <w:highlight w:val="none"/>
                <w:lang w:eastAsia="zh-CN"/>
              </w:rPr>
              <w:t>（4）未提供相应方案的不得分。</w:t>
            </w:r>
          </w:p>
        </w:tc>
      </w:tr>
      <w:tr w14:paraId="60A72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399" w:type="pct"/>
            <w:tcBorders>
              <w:top w:val="single" w:color="auto" w:sz="4" w:space="0"/>
              <w:left w:val="single" w:color="auto" w:sz="4" w:space="0"/>
              <w:bottom w:val="single" w:color="auto" w:sz="4" w:space="0"/>
              <w:right w:val="single" w:color="auto" w:sz="4" w:space="0"/>
            </w:tcBorders>
            <w:vAlign w:val="center"/>
          </w:tcPr>
          <w:p w14:paraId="60D2F6BA">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3</w:t>
            </w:r>
          </w:p>
        </w:tc>
        <w:tc>
          <w:tcPr>
            <w:tcW w:w="652" w:type="pct"/>
            <w:tcBorders>
              <w:top w:val="single" w:color="auto" w:sz="4" w:space="0"/>
              <w:left w:val="single" w:color="auto" w:sz="4" w:space="0"/>
              <w:bottom w:val="single" w:color="auto" w:sz="4" w:space="0"/>
              <w:right w:val="single" w:color="auto" w:sz="4" w:space="0"/>
            </w:tcBorders>
            <w:vAlign w:val="center"/>
          </w:tcPr>
          <w:p w14:paraId="6BBA24E5">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整体配送服务方案</w:t>
            </w:r>
          </w:p>
        </w:tc>
        <w:tc>
          <w:tcPr>
            <w:tcW w:w="478" w:type="pct"/>
            <w:tcBorders>
              <w:top w:val="single" w:color="auto" w:sz="4" w:space="0"/>
              <w:left w:val="single" w:color="auto" w:sz="4" w:space="0"/>
              <w:bottom w:val="single" w:color="auto" w:sz="4" w:space="0"/>
              <w:right w:val="single" w:color="auto" w:sz="4" w:space="0"/>
            </w:tcBorders>
            <w:vAlign w:val="center"/>
          </w:tcPr>
          <w:p w14:paraId="098AC523">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val="en-US" w:eastAsia="zh-CN"/>
              </w:rPr>
              <w:t>3</w:t>
            </w:r>
            <w:r>
              <w:rPr>
                <w:rFonts w:hint="eastAsia" w:ascii="宋体" w:hAnsi="宋体" w:eastAsia="宋体" w:cs="宋体"/>
                <w:color w:val="auto"/>
                <w:sz w:val="22"/>
                <w:szCs w:val="22"/>
                <w:highlight w:val="none"/>
                <w:lang w:eastAsia="zh-CN"/>
              </w:rPr>
              <w:t>分</w:t>
            </w:r>
          </w:p>
        </w:tc>
        <w:tc>
          <w:tcPr>
            <w:tcW w:w="3468" w:type="pct"/>
            <w:tcBorders>
              <w:top w:val="single" w:color="auto" w:sz="4" w:space="0"/>
              <w:left w:val="single" w:color="auto" w:sz="4" w:space="0"/>
              <w:bottom w:val="single" w:color="auto" w:sz="4" w:space="0"/>
              <w:right w:val="single" w:color="auto" w:sz="4" w:space="0"/>
            </w:tcBorders>
          </w:tcPr>
          <w:p w14:paraId="56236F37">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left"/>
              <w:textAlignment w:val="auto"/>
              <w:rPr>
                <w:rFonts w:hint="eastAsia" w:ascii="宋体" w:hAnsi="宋体" w:eastAsia="宋体" w:cs="宋体"/>
                <w:color w:val="auto"/>
                <w:sz w:val="22"/>
                <w:szCs w:val="22"/>
                <w:highlight w:val="none"/>
                <w:lang w:eastAsia="zh-CN"/>
              </w:rPr>
            </w:pPr>
            <w:bookmarkStart w:id="11" w:name="OLE_LINK12"/>
            <w:r>
              <w:rPr>
                <w:rFonts w:hint="eastAsia" w:ascii="宋体" w:hAnsi="宋体" w:eastAsia="宋体" w:cs="宋体"/>
                <w:color w:val="auto"/>
                <w:sz w:val="22"/>
                <w:szCs w:val="22"/>
                <w:highlight w:val="none"/>
                <w:lang w:eastAsia="zh-CN"/>
              </w:rPr>
              <w:t xml:space="preserve">根据投标人提供的整体服务方案（内容包括但不限于配送车辆安排、各配送人员的具体工作计划安排、配送流程、专人跟踪服务情况、退换货时间安排、售后服务方案等）进行评审： </w:t>
            </w:r>
          </w:p>
          <w:p w14:paraId="2AF48963">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left"/>
              <w:textAlignment w:val="auto"/>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lang w:val="en-US" w:eastAsia="zh-CN"/>
              </w:rPr>
              <w:t>1</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lang w:eastAsia="zh-CN"/>
              </w:rPr>
              <w:t>配送方案详细可行，配送流程完善，项目服务过程中配有专人跟踪服务，售后服务方案可行性、针对性很强，完全满足或优于本项目采购人需求的，得</w:t>
            </w:r>
            <w:r>
              <w:rPr>
                <w:rFonts w:hint="eastAsia" w:ascii="宋体" w:hAnsi="宋体" w:cs="宋体"/>
                <w:color w:val="auto"/>
                <w:sz w:val="22"/>
                <w:szCs w:val="22"/>
                <w:highlight w:val="none"/>
                <w:lang w:val="en-US" w:eastAsia="zh-CN"/>
              </w:rPr>
              <w:t>3</w:t>
            </w:r>
            <w:r>
              <w:rPr>
                <w:rFonts w:hint="eastAsia" w:ascii="宋体" w:hAnsi="宋体" w:eastAsia="宋体" w:cs="宋体"/>
                <w:color w:val="auto"/>
                <w:sz w:val="22"/>
                <w:szCs w:val="22"/>
                <w:highlight w:val="none"/>
                <w:lang w:eastAsia="zh-CN"/>
              </w:rPr>
              <w:t xml:space="preserve">分； </w:t>
            </w:r>
          </w:p>
          <w:p w14:paraId="4D55989E">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left"/>
              <w:textAlignment w:val="auto"/>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lang w:val="en-US" w:eastAsia="zh-CN"/>
              </w:rPr>
              <w:t>2</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lang w:eastAsia="zh-CN"/>
              </w:rPr>
              <w:t>配送方案较为详细可行，配送流程较完善，项目服务过程中配有专人跟踪服务，售后服务方案可行性、针对性强的，较为满足本项目采购人需求的，得</w:t>
            </w:r>
            <w:r>
              <w:rPr>
                <w:rFonts w:hint="eastAsia" w:ascii="宋体" w:hAnsi="宋体" w:cs="宋体"/>
                <w:color w:val="auto"/>
                <w:sz w:val="22"/>
                <w:szCs w:val="22"/>
                <w:highlight w:val="none"/>
                <w:lang w:val="en-US" w:eastAsia="zh-CN"/>
              </w:rPr>
              <w:t>2</w:t>
            </w:r>
            <w:r>
              <w:rPr>
                <w:rFonts w:hint="eastAsia" w:ascii="宋体" w:hAnsi="宋体" w:eastAsia="宋体" w:cs="宋体"/>
                <w:color w:val="auto"/>
                <w:sz w:val="22"/>
                <w:szCs w:val="22"/>
                <w:highlight w:val="none"/>
                <w:lang w:eastAsia="zh-CN"/>
              </w:rPr>
              <w:t xml:space="preserve">分； </w:t>
            </w:r>
          </w:p>
          <w:p w14:paraId="7CF0E266">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left"/>
              <w:textAlignment w:val="auto"/>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lang w:val="en-US" w:eastAsia="zh-CN"/>
              </w:rPr>
              <w:t>3</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lang w:eastAsia="zh-CN"/>
              </w:rPr>
              <w:t>配送方案一般详细可行，配送流程一般完善，项目服务过程中配有专人跟踪服务，售后服务方案可行性、针对性一般，基本满足本项目采购人需求的，得</w:t>
            </w:r>
            <w:r>
              <w:rPr>
                <w:rFonts w:hint="eastAsia" w:ascii="宋体" w:hAnsi="宋体" w:cs="宋体"/>
                <w:color w:val="auto"/>
                <w:sz w:val="22"/>
                <w:szCs w:val="22"/>
                <w:highlight w:val="none"/>
                <w:lang w:val="en-US" w:eastAsia="zh-CN"/>
              </w:rPr>
              <w:t>1</w:t>
            </w:r>
            <w:r>
              <w:rPr>
                <w:rFonts w:hint="eastAsia" w:ascii="宋体" w:hAnsi="宋体" w:eastAsia="宋体" w:cs="宋体"/>
                <w:color w:val="auto"/>
                <w:sz w:val="22"/>
                <w:szCs w:val="22"/>
                <w:highlight w:val="none"/>
                <w:lang w:eastAsia="zh-CN"/>
              </w:rPr>
              <w:t xml:space="preserve">分； </w:t>
            </w:r>
          </w:p>
          <w:p w14:paraId="01691800">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left"/>
              <w:textAlignment w:val="auto"/>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lang w:val="en-US" w:eastAsia="zh-CN"/>
              </w:rPr>
              <w:t>4</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lang w:eastAsia="zh-CN"/>
              </w:rPr>
              <w:t>未提供相应方案的不得分。</w:t>
            </w:r>
            <w:bookmarkEnd w:id="11"/>
          </w:p>
        </w:tc>
      </w:tr>
      <w:tr w14:paraId="015E6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399" w:type="pct"/>
            <w:tcBorders>
              <w:top w:val="single" w:color="auto" w:sz="4" w:space="0"/>
              <w:left w:val="single" w:color="auto" w:sz="4" w:space="0"/>
              <w:bottom w:val="single" w:color="auto" w:sz="4" w:space="0"/>
              <w:right w:val="single" w:color="auto" w:sz="4" w:space="0"/>
            </w:tcBorders>
            <w:vAlign w:val="center"/>
          </w:tcPr>
          <w:p w14:paraId="10AD3540">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4</w:t>
            </w:r>
          </w:p>
        </w:tc>
        <w:tc>
          <w:tcPr>
            <w:tcW w:w="652" w:type="pct"/>
            <w:tcBorders>
              <w:top w:val="single" w:color="auto" w:sz="4" w:space="0"/>
              <w:left w:val="single" w:color="auto" w:sz="4" w:space="0"/>
              <w:bottom w:val="single" w:color="auto" w:sz="4" w:space="0"/>
              <w:right w:val="single" w:color="auto" w:sz="4" w:space="0"/>
            </w:tcBorders>
            <w:vAlign w:val="center"/>
          </w:tcPr>
          <w:p w14:paraId="772A681B">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应急预案及保障措施</w:t>
            </w:r>
          </w:p>
        </w:tc>
        <w:tc>
          <w:tcPr>
            <w:tcW w:w="478" w:type="pct"/>
            <w:tcBorders>
              <w:top w:val="single" w:color="auto" w:sz="4" w:space="0"/>
              <w:left w:val="single" w:color="auto" w:sz="4" w:space="0"/>
              <w:bottom w:val="single" w:color="auto" w:sz="4" w:space="0"/>
              <w:right w:val="single" w:color="auto" w:sz="4" w:space="0"/>
            </w:tcBorders>
            <w:vAlign w:val="center"/>
          </w:tcPr>
          <w:p w14:paraId="59C56722">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val="en-US" w:eastAsia="zh-CN"/>
              </w:rPr>
              <w:t>3</w:t>
            </w:r>
            <w:r>
              <w:rPr>
                <w:rFonts w:hint="eastAsia" w:ascii="宋体" w:hAnsi="宋体" w:eastAsia="宋体" w:cs="宋体"/>
                <w:color w:val="auto"/>
                <w:sz w:val="22"/>
                <w:szCs w:val="22"/>
                <w:highlight w:val="none"/>
                <w:lang w:eastAsia="zh-CN"/>
              </w:rPr>
              <w:t>分</w:t>
            </w:r>
          </w:p>
        </w:tc>
        <w:tc>
          <w:tcPr>
            <w:tcW w:w="3468" w:type="pct"/>
            <w:tcBorders>
              <w:top w:val="single" w:color="auto" w:sz="4" w:space="0"/>
              <w:left w:val="single" w:color="auto" w:sz="4" w:space="0"/>
              <w:bottom w:val="single" w:color="auto" w:sz="4" w:space="0"/>
              <w:right w:val="single" w:color="auto" w:sz="4" w:space="0"/>
            </w:tcBorders>
          </w:tcPr>
          <w:p w14:paraId="680F315E">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left"/>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根据投标人针对本项目的突发事件应急方案（内容包括不限于①</w:t>
            </w:r>
            <w:r>
              <w:rPr>
                <w:rFonts w:hint="eastAsia" w:ascii="宋体" w:hAnsi="宋体" w:cs="宋体"/>
                <w:color w:val="auto"/>
                <w:sz w:val="22"/>
                <w:szCs w:val="22"/>
                <w:highlight w:val="none"/>
                <w:lang w:val="en-US" w:eastAsia="zh-CN"/>
              </w:rPr>
              <w:t>各类突发事件应急</w:t>
            </w:r>
            <w:r>
              <w:rPr>
                <w:rFonts w:hint="eastAsia" w:ascii="宋体" w:hAnsi="宋体" w:eastAsia="宋体" w:cs="宋体"/>
                <w:color w:val="auto"/>
                <w:sz w:val="22"/>
                <w:szCs w:val="22"/>
                <w:highlight w:val="none"/>
                <w:lang w:eastAsia="zh-CN"/>
              </w:rPr>
              <w:t>解决方案②食品安全事故应急预案</w:t>
            </w:r>
            <w:r>
              <w:rPr>
                <w:rFonts w:hint="eastAsia" w:ascii="宋体" w:hAnsi="宋体" w:cs="宋体"/>
                <w:color w:val="auto"/>
                <w:sz w:val="22"/>
                <w:szCs w:val="22"/>
                <w:highlight w:val="none"/>
                <w:lang w:val="en-US" w:eastAsia="zh-CN"/>
              </w:rPr>
              <w:t>③应急</w:t>
            </w:r>
            <w:r>
              <w:rPr>
                <w:rFonts w:hint="eastAsia" w:ascii="宋体" w:hAnsi="宋体" w:eastAsia="宋体" w:cs="宋体"/>
                <w:color w:val="auto"/>
                <w:sz w:val="22"/>
                <w:szCs w:val="22"/>
                <w:highlight w:val="none"/>
                <w:lang w:eastAsia="zh-CN"/>
              </w:rPr>
              <w:t xml:space="preserve">保障措施等）进行评审： </w:t>
            </w:r>
          </w:p>
          <w:p w14:paraId="42C5BA62">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left"/>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（1）突发事件应急方案详细完善，</w:t>
            </w:r>
            <w:r>
              <w:rPr>
                <w:rFonts w:hint="eastAsia" w:ascii="宋体" w:hAnsi="宋体" w:eastAsia="宋体" w:cs="宋体"/>
                <w:color w:val="auto"/>
                <w:sz w:val="22"/>
                <w:szCs w:val="22"/>
                <w:highlight w:val="none"/>
                <w:lang w:val="en-US" w:eastAsia="zh-CN"/>
              </w:rPr>
              <w:t>保障措施</w:t>
            </w:r>
            <w:r>
              <w:rPr>
                <w:rFonts w:hint="eastAsia" w:ascii="宋体" w:hAnsi="宋体" w:eastAsia="宋体" w:cs="宋体"/>
                <w:color w:val="auto"/>
                <w:sz w:val="21"/>
                <w:szCs w:val="21"/>
                <w:highlight w:val="none"/>
              </w:rPr>
              <w:t>合理性强、可操作性强，</w:t>
            </w:r>
            <w:r>
              <w:rPr>
                <w:rFonts w:hint="eastAsia" w:ascii="宋体" w:hAnsi="宋体" w:eastAsia="宋体" w:cs="宋体"/>
                <w:color w:val="auto"/>
                <w:sz w:val="22"/>
                <w:szCs w:val="22"/>
                <w:highlight w:val="none"/>
              </w:rPr>
              <w:t>应急配送</w:t>
            </w:r>
            <w:r>
              <w:rPr>
                <w:rFonts w:hint="eastAsia" w:ascii="宋体" w:hAnsi="宋体" w:eastAsia="宋体" w:cs="宋体"/>
                <w:color w:val="auto"/>
                <w:sz w:val="22"/>
                <w:szCs w:val="22"/>
                <w:highlight w:val="none"/>
                <w:lang w:val="en-US" w:eastAsia="zh-CN"/>
              </w:rPr>
              <w:t>方案</w:t>
            </w:r>
            <w:r>
              <w:rPr>
                <w:rFonts w:hint="eastAsia" w:ascii="宋体" w:hAnsi="宋体" w:eastAsia="宋体" w:cs="宋体"/>
                <w:color w:val="auto"/>
                <w:sz w:val="22"/>
                <w:szCs w:val="22"/>
                <w:highlight w:val="none"/>
              </w:rPr>
              <w:t>切实可行的</w:t>
            </w:r>
            <w:r>
              <w:rPr>
                <w:rFonts w:hint="eastAsia" w:ascii="宋体" w:hAnsi="宋体" w:eastAsia="宋体" w:cs="宋体"/>
                <w:color w:val="auto"/>
                <w:sz w:val="22"/>
                <w:szCs w:val="22"/>
                <w:highlight w:val="none"/>
                <w:lang w:eastAsia="zh-CN"/>
              </w:rPr>
              <w:t>，得</w:t>
            </w:r>
            <w:r>
              <w:rPr>
                <w:rFonts w:hint="eastAsia" w:ascii="宋体" w:hAnsi="宋体" w:cs="宋体"/>
                <w:color w:val="auto"/>
                <w:sz w:val="22"/>
                <w:szCs w:val="22"/>
                <w:highlight w:val="none"/>
                <w:lang w:val="en-US" w:eastAsia="zh-CN"/>
              </w:rPr>
              <w:t>3</w:t>
            </w:r>
            <w:r>
              <w:rPr>
                <w:rFonts w:hint="eastAsia" w:ascii="宋体" w:hAnsi="宋体" w:eastAsia="宋体" w:cs="宋体"/>
                <w:color w:val="auto"/>
                <w:sz w:val="22"/>
                <w:szCs w:val="22"/>
                <w:highlight w:val="none"/>
                <w:lang w:eastAsia="zh-CN"/>
              </w:rPr>
              <w:t>分；</w:t>
            </w:r>
          </w:p>
          <w:p w14:paraId="33BF60A6">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left"/>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（2）突发事件应急方案</w:t>
            </w:r>
            <w:r>
              <w:rPr>
                <w:rFonts w:hint="eastAsia" w:ascii="宋体" w:hAnsi="宋体" w:eastAsia="宋体" w:cs="宋体"/>
                <w:color w:val="auto"/>
                <w:sz w:val="22"/>
                <w:szCs w:val="22"/>
                <w:highlight w:val="none"/>
                <w:lang w:val="en-US" w:eastAsia="zh-CN"/>
              </w:rPr>
              <w:t>较为</w:t>
            </w:r>
            <w:r>
              <w:rPr>
                <w:rFonts w:hint="eastAsia" w:ascii="宋体" w:hAnsi="宋体" w:eastAsia="宋体" w:cs="宋体"/>
                <w:color w:val="auto"/>
                <w:sz w:val="22"/>
                <w:szCs w:val="22"/>
                <w:highlight w:val="none"/>
                <w:lang w:eastAsia="zh-CN"/>
              </w:rPr>
              <w:t>完善，</w:t>
            </w:r>
            <w:r>
              <w:rPr>
                <w:rFonts w:hint="eastAsia" w:ascii="宋体" w:hAnsi="宋体" w:eastAsia="宋体" w:cs="宋体"/>
                <w:color w:val="auto"/>
                <w:sz w:val="22"/>
                <w:szCs w:val="22"/>
                <w:highlight w:val="none"/>
                <w:lang w:val="en-US" w:eastAsia="zh-CN"/>
              </w:rPr>
              <w:t>保障措施</w:t>
            </w:r>
            <w:r>
              <w:rPr>
                <w:rFonts w:hint="eastAsia" w:ascii="宋体" w:hAnsi="宋体" w:eastAsia="宋体" w:cs="宋体"/>
                <w:color w:val="auto"/>
                <w:sz w:val="21"/>
                <w:szCs w:val="21"/>
                <w:highlight w:val="none"/>
              </w:rPr>
              <w:t>合理性</w:t>
            </w:r>
            <w:r>
              <w:rPr>
                <w:rFonts w:hint="eastAsia" w:ascii="宋体" w:hAnsi="宋体" w:eastAsia="宋体" w:cs="宋体"/>
                <w:color w:val="auto"/>
                <w:sz w:val="21"/>
                <w:szCs w:val="21"/>
                <w:highlight w:val="none"/>
                <w:lang w:val="en-US" w:eastAsia="zh-CN"/>
              </w:rPr>
              <w:t>较</w:t>
            </w:r>
            <w:r>
              <w:rPr>
                <w:rFonts w:hint="eastAsia" w:ascii="宋体" w:hAnsi="宋体" w:eastAsia="宋体" w:cs="宋体"/>
                <w:color w:val="auto"/>
                <w:sz w:val="21"/>
                <w:szCs w:val="21"/>
                <w:highlight w:val="none"/>
              </w:rPr>
              <w:t>强、可操作</w:t>
            </w:r>
            <w:r>
              <w:rPr>
                <w:rFonts w:hint="eastAsia" w:ascii="宋体" w:hAnsi="宋体" w:eastAsia="宋体" w:cs="宋体"/>
                <w:color w:val="auto"/>
                <w:sz w:val="21"/>
                <w:szCs w:val="21"/>
                <w:highlight w:val="none"/>
                <w:lang w:val="en-US" w:eastAsia="zh-CN"/>
              </w:rPr>
              <w:t>较</w:t>
            </w:r>
            <w:r>
              <w:rPr>
                <w:rFonts w:hint="eastAsia" w:ascii="宋体" w:hAnsi="宋体" w:eastAsia="宋体" w:cs="宋体"/>
                <w:color w:val="auto"/>
                <w:sz w:val="21"/>
                <w:szCs w:val="21"/>
                <w:highlight w:val="none"/>
              </w:rPr>
              <w:t>性强，</w:t>
            </w:r>
            <w:r>
              <w:rPr>
                <w:rFonts w:hint="eastAsia" w:ascii="宋体" w:hAnsi="宋体" w:eastAsia="宋体" w:cs="宋体"/>
                <w:color w:val="auto"/>
                <w:sz w:val="22"/>
                <w:szCs w:val="22"/>
                <w:highlight w:val="none"/>
              </w:rPr>
              <w:t>应急配送</w:t>
            </w:r>
            <w:r>
              <w:rPr>
                <w:rFonts w:hint="eastAsia" w:ascii="宋体" w:hAnsi="宋体" w:eastAsia="宋体" w:cs="宋体"/>
                <w:color w:val="auto"/>
                <w:sz w:val="22"/>
                <w:szCs w:val="22"/>
                <w:highlight w:val="none"/>
                <w:lang w:val="en-US" w:eastAsia="zh-CN"/>
              </w:rPr>
              <w:t>方案</w:t>
            </w:r>
            <w:r>
              <w:rPr>
                <w:rFonts w:hint="eastAsia" w:ascii="宋体" w:hAnsi="宋体" w:eastAsia="宋体" w:cs="宋体"/>
                <w:color w:val="auto"/>
                <w:sz w:val="22"/>
                <w:szCs w:val="22"/>
                <w:highlight w:val="none"/>
              </w:rPr>
              <w:t>可行的</w:t>
            </w:r>
            <w:r>
              <w:rPr>
                <w:rFonts w:hint="eastAsia" w:ascii="宋体" w:hAnsi="宋体" w:eastAsia="宋体" w:cs="宋体"/>
                <w:color w:val="auto"/>
                <w:sz w:val="22"/>
                <w:szCs w:val="22"/>
                <w:highlight w:val="none"/>
                <w:lang w:eastAsia="zh-CN"/>
              </w:rPr>
              <w:t>，得2分；</w:t>
            </w:r>
          </w:p>
          <w:p w14:paraId="2A9A7FEB">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left"/>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（3）突发事件应急方案详细完善度一般，</w:t>
            </w:r>
            <w:r>
              <w:rPr>
                <w:rFonts w:hint="eastAsia" w:ascii="宋体" w:hAnsi="宋体" w:eastAsia="宋体" w:cs="宋体"/>
                <w:color w:val="auto"/>
                <w:sz w:val="22"/>
                <w:szCs w:val="22"/>
                <w:highlight w:val="none"/>
                <w:lang w:val="en-US" w:eastAsia="zh-CN"/>
              </w:rPr>
              <w:t>保障措施</w:t>
            </w:r>
            <w:r>
              <w:rPr>
                <w:rFonts w:hint="eastAsia" w:ascii="宋体" w:hAnsi="宋体" w:eastAsia="宋体" w:cs="宋体"/>
                <w:color w:val="auto"/>
                <w:sz w:val="21"/>
                <w:szCs w:val="21"/>
                <w:highlight w:val="none"/>
              </w:rPr>
              <w:t>合理性</w:t>
            </w:r>
            <w:r>
              <w:rPr>
                <w:rFonts w:hint="eastAsia" w:ascii="宋体" w:hAnsi="宋体" w:eastAsia="宋体" w:cs="宋体"/>
                <w:color w:val="auto"/>
                <w:sz w:val="21"/>
                <w:szCs w:val="21"/>
                <w:highlight w:val="none"/>
                <w:lang w:val="en-US" w:eastAsia="zh-CN"/>
              </w:rPr>
              <w:t>一般</w:t>
            </w:r>
            <w:r>
              <w:rPr>
                <w:rFonts w:hint="eastAsia" w:ascii="宋体" w:hAnsi="宋体" w:eastAsia="宋体" w:cs="宋体"/>
                <w:color w:val="auto"/>
                <w:sz w:val="21"/>
                <w:szCs w:val="21"/>
                <w:highlight w:val="none"/>
              </w:rPr>
              <w:t>、可操作</w:t>
            </w:r>
            <w:r>
              <w:rPr>
                <w:rFonts w:hint="eastAsia" w:ascii="宋体" w:hAnsi="宋体" w:eastAsia="宋体" w:cs="宋体"/>
                <w:color w:val="auto"/>
                <w:sz w:val="21"/>
                <w:szCs w:val="21"/>
                <w:highlight w:val="none"/>
                <w:lang w:val="en-US" w:eastAsia="zh-CN"/>
              </w:rPr>
              <w:t>较</w:t>
            </w:r>
            <w:r>
              <w:rPr>
                <w:rFonts w:hint="eastAsia" w:ascii="宋体" w:hAnsi="宋体" w:eastAsia="宋体" w:cs="宋体"/>
                <w:color w:val="auto"/>
                <w:sz w:val="21"/>
                <w:szCs w:val="21"/>
                <w:highlight w:val="none"/>
              </w:rPr>
              <w:t>性</w:t>
            </w:r>
            <w:r>
              <w:rPr>
                <w:rFonts w:hint="eastAsia" w:ascii="宋体" w:hAnsi="宋体" w:eastAsia="宋体" w:cs="宋体"/>
                <w:color w:val="auto"/>
                <w:sz w:val="21"/>
                <w:szCs w:val="21"/>
                <w:highlight w:val="none"/>
                <w:lang w:val="en-US" w:eastAsia="zh-CN"/>
              </w:rPr>
              <w:t>一般</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满足基本的</w:t>
            </w:r>
            <w:r>
              <w:rPr>
                <w:rFonts w:hint="eastAsia" w:ascii="宋体" w:hAnsi="宋体" w:eastAsia="宋体" w:cs="宋体"/>
                <w:color w:val="auto"/>
                <w:sz w:val="22"/>
                <w:szCs w:val="22"/>
                <w:highlight w:val="none"/>
              </w:rPr>
              <w:t>应急配送</w:t>
            </w:r>
            <w:r>
              <w:rPr>
                <w:rFonts w:hint="eastAsia" w:ascii="宋体" w:hAnsi="宋体" w:eastAsia="宋体" w:cs="宋体"/>
                <w:color w:val="auto"/>
                <w:sz w:val="22"/>
                <w:szCs w:val="22"/>
                <w:highlight w:val="none"/>
                <w:lang w:eastAsia="zh-CN"/>
              </w:rPr>
              <w:t>，得1分；</w:t>
            </w:r>
          </w:p>
          <w:p w14:paraId="27A71274">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left"/>
              <w:textAlignment w:val="auto"/>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lang w:val="en-US" w:eastAsia="zh-CN"/>
              </w:rPr>
              <w:t>4</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lang w:eastAsia="zh-CN"/>
              </w:rPr>
              <w:t>未提供相应方案的不得分。</w:t>
            </w:r>
          </w:p>
        </w:tc>
      </w:tr>
      <w:tr w14:paraId="76CEA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399" w:type="pct"/>
            <w:tcBorders>
              <w:top w:val="single" w:color="auto" w:sz="4" w:space="0"/>
              <w:left w:val="single" w:color="auto" w:sz="4" w:space="0"/>
              <w:bottom w:val="single" w:color="auto" w:sz="4" w:space="0"/>
              <w:right w:val="single" w:color="auto" w:sz="4" w:space="0"/>
            </w:tcBorders>
            <w:vAlign w:val="center"/>
          </w:tcPr>
          <w:p w14:paraId="469E7913">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5</w:t>
            </w:r>
          </w:p>
        </w:tc>
        <w:tc>
          <w:tcPr>
            <w:tcW w:w="652" w:type="pct"/>
            <w:tcBorders>
              <w:top w:val="single" w:color="auto" w:sz="4" w:space="0"/>
              <w:left w:val="single" w:color="auto" w:sz="4" w:space="0"/>
              <w:bottom w:val="single" w:color="auto" w:sz="4" w:space="0"/>
              <w:right w:val="single" w:color="auto" w:sz="4" w:space="0"/>
            </w:tcBorders>
            <w:vAlign w:val="center"/>
          </w:tcPr>
          <w:p w14:paraId="39FB96AE">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应急配送承诺</w:t>
            </w:r>
          </w:p>
        </w:tc>
        <w:tc>
          <w:tcPr>
            <w:tcW w:w="478" w:type="pct"/>
            <w:tcBorders>
              <w:top w:val="single" w:color="auto" w:sz="4" w:space="0"/>
              <w:left w:val="single" w:color="auto" w:sz="4" w:space="0"/>
              <w:bottom w:val="single" w:color="auto" w:sz="4" w:space="0"/>
              <w:right w:val="single" w:color="auto" w:sz="4" w:space="0"/>
            </w:tcBorders>
            <w:vAlign w:val="center"/>
          </w:tcPr>
          <w:p w14:paraId="7B9D0657">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3分</w:t>
            </w:r>
          </w:p>
        </w:tc>
        <w:tc>
          <w:tcPr>
            <w:tcW w:w="3468" w:type="pct"/>
            <w:tcBorders>
              <w:top w:val="single" w:color="auto" w:sz="4" w:space="0"/>
              <w:left w:val="single" w:color="auto" w:sz="4" w:space="0"/>
              <w:bottom w:val="single" w:color="auto" w:sz="4" w:space="0"/>
              <w:right w:val="single" w:color="auto" w:sz="4" w:space="0"/>
            </w:tcBorders>
          </w:tcPr>
          <w:p w14:paraId="5970E3F3">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left"/>
              <w:textAlignment w:val="auto"/>
              <w:rPr>
                <w:rFonts w:hint="default" w:ascii="宋体" w:hAnsi="宋体" w:cs="宋体"/>
                <w:color w:val="auto"/>
                <w:sz w:val="22"/>
                <w:szCs w:val="22"/>
                <w:highlight w:val="none"/>
                <w:lang w:val="en-US" w:eastAsia="zh-CN"/>
              </w:rPr>
            </w:pPr>
            <w:r>
              <w:rPr>
                <w:rFonts w:hint="eastAsia" w:ascii="宋体" w:hAnsi="宋体" w:eastAsia="宋体" w:cs="宋体"/>
                <w:color w:val="auto"/>
                <w:sz w:val="22"/>
                <w:szCs w:val="22"/>
                <w:highlight w:val="none"/>
                <w:lang w:eastAsia="zh-CN"/>
              </w:rPr>
              <w:t>根据投标人针对本项目</w:t>
            </w:r>
            <w:r>
              <w:rPr>
                <w:rFonts w:hint="eastAsia" w:ascii="宋体" w:hAnsi="宋体" w:cs="宋体"/>
                <w:color w:val="auto"/>
                <w:sz w:val="22"/>
                <w:szCs w:val="22"/>
                <w:highlight w:val="none"/>
                <w:lang w:val="en-US" w:eastAsia="zh-CN"/>
              </w:rPr>
              <w:t>的应急配送承诺情况进行评审：</w:t>
            </w:r>
          </w:p>
          <w:p w14:paraId="12193041">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left"/>
              <w:textAlignment w:val="auto"/>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lang w:val="en-US" w:eastAsia="zh-CN"/>
              </w:rPr>
              <w:t>1</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lang w:eastAsia="zh-CN"/>
              </w:rPr>
              <w:t>承诺采购人需应急配送时，在1小时（含）内将货物送达采购人配送地点的，得</w:t>
            </w:r>
            <w:r>
              <w:rPr>
                <w:rFonts w:hint="eastAsia" w:ascii="宋体" w:hAnsi="宋体" w:cs="宋体"/>
                <w:color w:val="auto"/>
                <w:sz w:val="22"/>
                <w:szCs w:val="22"/>
                <w:highlight w:val="none"/>
                <w:lang w:val="en-US" w:eastAsia="zh-CN"/>
              </w:rPr>
              <w:t>3</w:t>
            </w:r>
            <w:r>
              <w:rPr>
                <w:rFonts w:hint="eastAsia" w:ascii="宋体" w:hAnsi="宋体" w:eastAsia="宋体" w:cs="宋体"/>
                <w:color w:val="auto"/>
                <w:sz w:val="22"/>
                <w:szCs w:val="22"/>
                <w:highlight w:val="none"/>
                <w:lang w:eastAsia="zh-CN"/>
              </w:rPr>
              <w:t xml:space="preserve">分； </w:t>
            </w:r>
          </w:p>
          <w:p w14:paraId="4E63C2DB">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left"/>
              <w:textAlignment w:val="auto"/>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lang w:val="en-US" w:eastAsia="zh-CN"/>
              </w:rPr>
              <w:t>2</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lang w:eastAsia="zh-CN"/>
              </w:rPr>
              <w:t>承诺采购人需应急配送时，在1小时（不含）-2.5小时（含）内将货物送达采购人配送地点的，得</w:t>
            </w:r>
            <w:r>
              <w:rPr>
                <w:rFonts w:hint="eastAsia" w:ascii="宋体" w:hAnsi="宋体" w:cs="宋体"/>
                <w:color w:val="auto"/>
                <w:sz w:val="22"/>
                <w:szCs w:val="22"/>
                <w:highlight w:val="none"/>
                <w:lang w:val="en-US" w:eastAsia="zh-CN"/>
              </w:rPr>
              <w:t>2</w:t>
            </w:r>
            <w:r>
              <w:rPr>
                <w:rFonts w:hint="eastAsia" w:ascii="宋体" w:hAnsi="宋体" w:eastAsia="宋体" w:cs="宋体"/>
                <w:color w:val="auto"/>
                <w:sz w:val="22"/>
                <w:szCs w:val="22"/>
                <w:highlight w:val="none"/>
                <w:lang w:eastAsia="zh-CN"/>
              </w:rPr>
              <w:t xml:space="preserve">分； </w:t>
            </w:r>
          </w:p>
          <w:p w14:paraId="747B6254">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left"/>
              <w:textAlignment w:val="auto"/>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lang w:val="en-US" w:eastAsia="zh-CN"/>
              </w:rPr>
              <w:t>3</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lang w:eastAsia="zh-CN"/>
              </w:rPr>
              <w:t xml:space="preserve">承诺采购人需应急配送时，在2.5小时（不含）-4小时（含）内将货物送达采购人配送地点的，得1分； </w:t>
            </w:r>
          </w:p>
          <w:p w14:paraId="7166842C">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left"/>
              <w:textAlignment w:val="auto"/>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lang w:val="en-US" w:eastAsia="zh-CN"/>
              </w:rPr>
              <w:t>4</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lang w:eastAsia="zh-CN"/>
              </w:rPr>
              <w:t>承诺采购人需应急配送时，送达时间大于4小时，或未承诺应急供应送达时间的，</w:t>
            </w:r>
            <w:r>
              <w:rPr>
                <w:rFonts w:hint="eastAsia" w:ascii="宋体" w:hAnsi="宋体" w:cs="宋体"/>
                <w:color w:val="auto"/>
                <w:sz w:val="22"/>
                <w:szCs w:val="22"/>
                <w:highlight w:val="none"/>
                <w:lang w:val="en-US" w:eastAsia="zh-CN"/>
              </w:rPr>
              <w:t>不得分</w:t>
            </w:r>
            <w:r>
              <w:rPr>
                <w:rFonts w:hint="eastAsia" w:ascii="宋体" w:hAnsi="宋体" w:eastAsia="宋体" w:cs="宋体"/>
                <w:color w:val="auto"/>
                <w:sz w:val="22"/>
                <w:szCs w:val="22"/>
                <w:highlight w:val="none"/>
                <w:lang w:eastAsia="zh-CN"/>
              </w:rPr>
              <w:t>。</w:t>
            </w:r>
          </w:p>
          <w:p w14:paraId="60464507">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left"/>
              <w:textAlignment w:val="auto"/>
              <w:rPr>
                <w:rFonts w:hint="default" w:ascii="宋体" w:hAnsi="宋体" w:eastAsia="宋体" w:cs="宋体"/>
                <w:color w:val="auto"/>
                <w:sz w:val="22"/>
                <w:szCs w:val="22"/>
                <w:highlight w:val="none"/>
                <w:lang w:val="en-US" w:eastAsia="zh-CN"/>
              </w:rPr>
            </w:pPr>
            <w:r>
              <w:rPr>
                <w:rFonts w:hint="eastAsia" w:ascii="宋体" w:hAnsi="宋体" w:cs="宋体"/>
                <w:b/>
                <w:bCs/>
                <w:color w:val="auto"/>
                <w:sz w:val="22"/>
                <w:szCs w:val="22"/>
                <w:highlight w:val="none"/>
                <w:lang w:val="en-US" w:eastAsia="zh-CN"/>
              </w:rPr>
              <w:t>注：提供承诺函并加盖投标人公章，格式自拟</w:t>
            </w:r>
            <w:r>
              <w:rPr>
                <w:rFonts w:hint="eastAsia" w:ascii="宋体" w:hAnsi="宋体" w:eastAsia="宋体" w:cs="宋体"/>
                <w:b/>
                <w:bCs/>
                <w:color w:val="auto"/>
                <w:sz w:val="22"/>
                <w:szCs w:val="22"/>
                <w:highlight w:val="none"/>
              </w:rPr>
              <w:t>，未提供或提供不清晰导致无法判断的不得分</w:t>
            </w:r>
            <w:r>
              <w:rPr>
                <w:rFonts w:hint="eastAsia" w:ascii="宋体" w:hAnsi="宋体" w:cs="宋体"/>
                <w:b/>
                <w:bCs/>
                <w:color w:val="auto"/>
                <w:sz w:val="22"/>
                <w:szCs w:val="22"/>
                <w:highlight w:val="none"/>
                <w:lang w:val="en-US" w:eastAsia="zh-CN"/>
              </w:rPr>
              <w:t>。</w:t>
            </w:r>
          </w:p>
        </w:tc>
      </w:tr>
      <w:tr w14:paraId="7E007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4" w:hRule="atLeast"/>
          <w:jc w:val="center"/>
        </w:trPr>
        <w:tc>
          <w:tcPr>
            <w:tcW w:w="5000" w:type="pct"/>
            <w:gridSpan w:val="4"/>
            <w:tcBorders>
              <w:top w:val="single" w:color="auto" w:sz="4" w:space="0"/>
              <w:left w:val="single" w:color="auto" w:sz="4" w:space="0"/>
              <w:bottom w:val="single" w:color="auto" w:sz="4" w:space="0"/>
              <w:right w:val="single" w:color="auto" w:sz="4" w:space="0"/>
            </w:tcBorders>
            <w:vAlign w:val="center"/>
          </w:tcPr>
          <w:p w14:paraId="3395684B">
            <w:pPr>
              <w:shd w:val="clear"/>
              <w:spacing w:after="0" w:line="360" w:lineRule="auto"/>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注：</w:t>
            </w:r>
          </w:p>
          <w:p w14:paraId="175BFA61">
            <w:pPr>
              <w:shd w:val="clear"/>
              <w:spacing w:after="0" w:line="360" w:lineRule="auto"/>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（1）无特殊说明外，以上评审项，同一证明文件不重复计分。</w:t>
            </w:r>
          </w:p>
          <w:p w14:paraId="16ABB379">
            <w:pPr>
              <w:shd w:val="clear"/>
              <w:spacing w:after="0" w:line="360" w:lineRule="auto"/>
              <w:rPr>
                <w:rFonts w:hint="eastAsia" w:ascii="宋体" w:hAnsi="宋体" w:cs="宋体"/>
                <w:color w:val="auto"/>
                <w:sz w:val="22"/>
                <w:highlight w:val="none"/>
              </w:rPr>
            </w:pPr>
            <w:r>
              <w:rPr>
                <w:rFonts w:hint="eastAsia" w:ascii="宋体" w:hAnsi="宋体" w:eastAsia="宋体" w:cs="宋体"/>
                <w:b/>
                <w:color w:val="auto"/>
                <w:sz w:val="22"/>
                <w:szCs w:val="22"/>
                <w:highlight w:val="none"/>
              </w:rPr>
              <w:t>（2）投标人根据以上评分要求提供的投标材料因模糊不清导致评标委员会无法清晰辨认进行评审的，视为无效材料。</w:t>
            </w:r>
          </w:p>
        </w:tc>
      </w:tr>
      <w:tr w14:paraId="43A8B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5000" w:type="pct"/>
            <w:gridSpan w:val="4"/>
            <w:tcBorders>
              <w:top w:val="single" w:color="auto" w:sz="4" w:space="0"/>
              <w:left w:val="single" w:color="auto" w:sz="4" w:space="0"/>
              <w:bottom w:val="single" w:color="auto" w:sz="4" w:space="0"/>
              <w:right w:val="single" w:color="auto" w:sz="4" w:space="0"/>
            </w:tcBorders>
            <w:vAlign w:val="center"/>
          </w:tcPr>
          <w:p w14:paraId="5260B7FD">
            <w:pPr>
              <w:pStyle w:val="48"/>
              <w:shd w:val="clear"/>
              <w:spacing w:line="360" w:lineRule="auto"/>
              <w:ind w:firstLine="0" w:firstLineChars="0"/>
              <w:jc w:val="center"/>
              <w:rPr>
                <w:rFonts w:hint="eastAsia" w:ascii="宋体" w:eastAsia="宋体" w:cs="宋体"/>
                <w:color w:val="auto"/>
                <w:sz w:val="22"/>
                <w:highlight w:val="none"/>
              </w:rPr>
            </w:pPr>
            <w:r>
              <w:rPr>
                <w:rFonts w:hint="eastAsia" w:ascii="宋体" w:hAnsi="宋体" w:eastAsia="宋体" w:cs="宋体"/>
                <w:b/>
                <w:bCs/>
                <w:color w:val="auto"/>
                <w:sz w:val="22"/>
                <w:szCs w:val="22"/>
                <w:highlight w:val="none"/>
                <w:u w:val="none"/>
              </w:rPr>
              <w:t>价格评审（30分）</w:t>
            </w:r>
          </w:p>
        </w:tc>
      </w:tr>
      <w:tr w14:paraId="06228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4" w:hRule="atLeast"/>
          <w:jc w:val="center"/>
        </w:trPr>
        <w:tc>
          <w:tcPr>
            <w:tcW w:w="399" w:type="pct"/>
            <w:tcBorders>
              <w:top w:val="single" w:color="auto" w:sz="4" w:space="0"/>
              <w:left w:val="single" w:color="auto" w:sz="4" w:space="0"/>
              <w:bottom w:val="single" w:color="auto" w:sz="4" w:space="0"/>
              <w:right w:val="single" w:color="auto" w:sz="4" w:space="0"/>
            </w:tcBorders>
            <w:vAlign w:val="center"/>
          </w:tcPr>
          <w:p w14:paraId="552A6EA3">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1</w:t>
            </w:r>
          </w:p>
        </w:tc>
        <w:tc>
          <w:tcPr>
            <w:tcW w:w="652" w:type="pct"/>
            <w:tcBorders>
              <w:top w:val="single" w:color="auto" w:sz="4" w:space="0"/>
              <w:left w:val="single" w:color="auto" w:sz="4" w:space="0"/>
              <w:bottom w:val="single" w:color="auto" w:sz="4" w:space="0"/>
              <w:right w:val="single" w:color="auto" w:sz="4" w:space="0"/>
            </w:tcBorders>
            <w:vAlign w:val="center"/>
          </w:tcPr>
          <w:p w14:paraId="2958DB86">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价格评分</w:t>
            </w:r>
          </w:p>
        </w:tc>
        <w:tc>
          <w:tcPr>
            <w:tcW w:w="478" w:type="pct"/>
            <w:tcBorders>
              <w:top w:val="single" w:color="auto" w:sz="4" w:space="0"/>
              <w:left w:val="single" w:color="auto" w:sz="4" w:space="0"/>
              <w:bottom w:val="single" w:color="auto" w:sz="4" w:space="0"/>
              <w:right w:val="single" w:color="auto" w:sz="4" w:space="0"/>
            </w:tcBorders>
            <w:vAlign w:val="center"/>
          </w:tcPr>
          <w:p w14:paraId="06601F05">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30分</w:t>
            </w:r>
          </w:p>
        </w:tc>
        <w:tc>
          <w:tcPr>
            <w:tcW w:w="3468" w:type="pct"/>
            <w:tcBorders>
              <w:top w:val="single" w:color="auto" w:sz="4" w:space="0"/>
              <w:left w:val="single" w:color="auto" w:sz="4" w:space="0"/>
              <w:bottom w:val="single" w:color="auto" w:sz="4" w:space="0"/>
              <w:right w:val="single" w:color="auto" w:sz="4" w:space="0"/>
            </w:tcBorders>
            <w:vAlign w:val="center"/>
          </w:tcPr>
          <w:p w14:paraId="44BE11CF">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left"/>
              <w:textAlignment w:val="auto"/>
              <w:rPr>
                <w:rFonts w:hint="eastAsia" w:ascii="宋体" w:hAnsi="宋体" w:cs="宋体"/>
                <w:color w:val="auto"/>
                <w:kern w:val="2"/>
                <w:sz w:val="22"/>
                <w:highlight w:val="none"/>
              </w:rPr>
            </w:pPr>
            <w:r>
              <w:rPr>
                <w:rFonts w:hint="eastAsia" w:ascii="宋体" w:hAnsi="宋体" w:cs="宋体"/>
                <w:color w:val="auto"/>
                <w:kern w:val="2"/>
                <w:sz w:val="22"/>
                <w:highlight w:val="none"/>
              </w:rPr>
              <w:t>价格分计算方法：以满足招标文件要求且不含税总价最低的投标报价为评标基准价，其价格分为满分。其他供应商的价格分</w:t>
            </w:r>
            <w:r>
              <w:rPr>
                <w:rFonts w:hint="eastAsia" w:ascii="宋体" w:hAnsi="宋体" w:eastAsia="宋体" w:cs="宋体"/>
                <w:color w:val="auto"/>
                <w:sz w:val="22"/>
                <w:szCs w:val="22"/>
                <w:highlight w:val="none"/>
                <w:lang w:eastAsia="zh-CN"/>
              </w:rPr>
              <w:t>统一</w:t>
            </w:r>
            <w:r>
              <w:rPr>
                <w:rFonts w:hint="eastAsia" w:ascii="宋体" w:hAnsi="宋体" w:cs="宋体"/>
                <w:color w:val="auto"/>
                <w:kern w:val="2"/>
                <w:sz w:val="22"/>
                <w:highlight w:val="none"/>
              </w:rPr>
              <w:t>按照下列公式计算：其他供应商的价格分统一按照下列公式</w:t>
            </w:r>
            <w:r>
              <w:rPr>
                <w:rFonts w:hint="eastAsia" w:ascii="宋体" w:hAnsi="宋体" w:eastAsia="宋体" w:cs="宋体"/>
                <w:color w:val="auto"/>
                <w:sz w:val="22"/>
                <w:szCs w:val="22"/>
                <w:highlight w:val="none"/>
                <w:lang w:eastAsia="zh-CN"/>
              </w:rPr>
              <w:t>计算</w:t>
            </w:r>
            <w:r>
              <w:rPr>
                <w:rFonts w:hint="eastAsia" w:ascii="宋体" w:hAnsi="宋体" w:cs="宋体"/>
                <w:color w:val="auto"/>
                <w:kern w:val="2"/>
                <w:sz w:val="22"/>
                <w:highlight w:val="none"/>
              </w:rPr>
              <w:t>：</w:t>
            </w:r>
          </w:p>
          <w:p w14:paraId="32710917">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left"/>
              <w:textAlignment w:val="auto"/>
              <w:rPr>
                <w:rFonts w:hint="eastAsia" w:ascii="宋体" w:hAnsi="宋体" w:cs="宋体"/>
                <w:color w:val="auto"/>
                <w:kern w:val="2"/>
                <w:sz w:val="22"/>
                <w:highlight w:val="none"/>
              </w:rPr>
            </w:pPr>
            <w:r>
              <w:rPr>
                <w:rFonts w:hint="eastAsia" w:ascii="宋体" w:hAnsi="宋体" w:cs="宋体"/>
                <w:color w:val="auto"/>
                <w:kern w:val="2"/>
                <w:sz w:val="22"/>
                <w:highlight w:val="none"/>
              </w:rPr>
              <w:t>投标报价得分 = (评标基准价 / 投标人的不含税总价)  ×价格权重</w:t>
            </w:r>
          </w:p>
          <w:p w14:paraId="1473C2A4">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left"/>
              <w:textAlignment w:val="auto"/>
              <w:rPr>
                <w:rFonts w:hint="eastAsia" w:ascii="宋体" w:hAnsi="宋体" w:cs="宋体"/>
                <w:color w:val="auto"/>
                <w:kern w:val="2"/>
                <w:sz w:val="22"/>
                <w:highlight w:val="none"/>
              </w:rPr>
            </w:pPr>
            <w:r>
              <w:rPr>
                <w:rFonts w:hint="eastAsia" w:ascii="宋体" w:hAnsi="宋体" w:cs="宋体"/>
                <w:color w:val="auto"/>
                <w:kern w:val="2"/>
                <w:sz w:val="22"/>
                <w:highlight w:val="none"/>
              </w:rPr>
              <w:t>注：</w:t>
            </w:r>
            <w:r>
              <w:rPr>
                <w:rFonts w:hint="eastAsia" w:ascii="宋体" w:hAnsi="宋体" w:cs="宋体"/>
                <w:color w:val="auto"/>
                <w:kern w:val="2"/>
                <w:sz w:val="22"/>
                <w:highlight w:val="none"/>
                <w:lang w:val="en-US" w:eastAsia="zh-CN"/>
              </w:rPr>
              <w:t>1、</w:t>
            </w:r>
            <w:r>
              <w:rPr>
                <w:rFonts w:hint="eastAsia" w:ascii="宋体" w:hAnsi="宋体" w:cs="宋体"/>
                <w:color w:val="auto"/>
                <w:kern w:val="2"/>
                <w:sz w:val="22"/>
                <w:highlight w:val="none"/>
              </w:rPr>
              <w:t>投标人适用增值税</w:t>
            </w:r>
            <w:r>
              <w:rPr>
                <w:rFonts w:hint="eastAsia" w:ascii="宋体" w:hAnsi="宋体" w:cs="宋体"/>
                <w:color w:val="auto"/>
                <w:kern w:val="2"/>
                <w:sz w:val="22"/>
                <w:highlight w:val="none"/>
                <w:lang w:val="en-US" w:eastAsia="zh-CN"/>
              </w:rPr>
              <w:t>专用发票</w:t>
            </w:r>
            <w:r>
              <w:rPr>
                <w:rFonts w:hint="eastAsia" w:ascii="宋体" w:hAnsi="宋体" w:cs="宋体"/>
                <w:color w:val="auto"/>
                <w:kern w:val="2"/>
                <w:sz w:val="22"/>
                <w:highlight w:val="none"/>
              </w:rPr>
              <w:t>税率由投标人在《开标一览表》中明确填报，并承诺中标后能开具相应税率的合法增值税专用发票。</w:t>
            </w:r>
          </w:p>
          <w:p w14:paraId="6C7C0821">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left"/>
              <w:textAlignment w:val="auto"/>
              <w:rPr>
                <w:rFonts w:hint="default" w:ascii="宋体" w:hAnsi="宋体" w:eastAsia="宋体" w:cs="宋体"/>
                <w:color w:val="auto"/>
                <w:kern w:val="2"/>
                <w:sz w:val="22"/>
                <w:highlight w:val="none"/>
                <w:lang w:val="en-US" w:eastAsia="zh-CN"/>
              </w:rPr>
            </w:pPr>
            <w:r>
              <w:rPr>
                <w:rFonts w:hint="eastAsia" w:ascii="宋体" w:hAnsi="宋体" w:cs="宋体"/>
                <w:color w:val="auto"/>
                <w:kern w:val="2"/>
                <w:sz w:val="22"/>
                <w:highlight w:val="none"/>
                <w:lang w:val="en-US" w:eastAsia="zh-CN"/>
              </w:rPr>
              <w:t>2、此处的不含税总价指</w:t>
            </w:r>
            <w:r>
              <w:rPr>
                <w:rFonts w:hint="eastAsia" w:ascii="宋体" w:hAnsi="宋体" w:cs="宋体"/>
                <w:b w:val="0"/>
                <w:bCs w:val="0"/>
                <w:color w:val="auto"/>
                <w:szCs w:val="21"/>
                <w:highlight w:val="none"/>
                <w:lang w:val="en-US" w:eastAsia="zh-CN"/>
              </w:rPr>
              <w:t>采购清单预估不含税总价，仅作为价格评审之用途。</w:t>
            </w:r>
          </w:p>
        </w:tc>
      </w:tr>
    </w:tbl>
    <w:p w14:paraId="782EC92D">
      <w:pPr>
        <w:shd w:val="clear"/>
        <w:rPr>
          <w:rFonts w:hint="eastAsia" w:ascii="宋体" w:hAnsi="宋体" w:cs="宋体"/>
          <w:color w:val="auto"/>
          <w:sz w:val="28"/>
          <w:szCs w:val="28"/>
          <w:highlight w:val="none"/>
        </w:rPr>
      </w:pPr>
    </w:p>
    <w:p w14:paraId="6D8839D8">
      <w:pPr>
        <w:shd w:val="clear"/>
        <w:rPr>
          <w:rFonts w:hint="eastAsia" w:ascii="宋体" w:hAnsi="宋体" w:cs="宋体"/>
          <w:b/>
          <w:bCs/>
          <w:color w:val="auto"/>
          <w:sz w:val="22"/>
          <w:highlight w:val="none"/>
        </w:rPr>
      </w:pPr>
      <w:r>
        <w:rPr>
          <w:rFonts w:hint="eastAsia" w:ascii="宋体" w:hAnsi="宋体" w:cs="宋体"/>
          <w:b/>
          <w:bCs/>
          <w:color w:val="auto"/>
          <w:sz w:val="22"/>
          <w:highlight w:val="none"/>
        </w:rPr>
        <w:br w:type="page"/>
      </w:r>
    </w:p>
    <w:p w14:paraId="40E757FD">
      <w:pPr>
        <w:shd w:val="clear"/>
        <w:jc w:val="center"/>
        <w:rPr>
          <w:rFonts w:hint="eastAsia" w:ascii="宋体" w:hAnsi="宋体" w:cs="宋体"/>
          <w:b/>
          <w:bCs/>
          <w:color w:val="auto"/>
          <w:sz w:val="22"/>
          <w:highlight w:val="none"/>
        </w:rPr>
      </w:pPr>
      <w:r>
        <w:rPr>
          <w:rFonts w:hint="eastAsia" w:ascii="宋体" w:hAnsi="宋体" w:cs="宋体"/>
          <w:b/>
          <w:bCs/>
          <w:color w:val="auto"/>
          <w:sz w:val="22"/>
          <w:highlight w:val="none"/>
        </w:rPr>
        <w:t>以下内容适用包B</w:t>
      </w:r>
    </w:p>
    <w:tbl>
      <w:tblPr>
        <w:tblStyle w:val="32"/>
        <w:tblW w:w="473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8"/>
        <w:gridCol w:w="1032"/>
        <w:gridCol w:w="804"/>
        <w:gridCol w:w="5392"/>
      </w:tblGrid>
      <w:tr w14:paraId="2D6D5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400" w:type="pct"/>
            <w:tcBorders>
              <w:top w:val="single" w:color="auto" w:sz="4" w:space="0"/>
              <w:left w:val="single" w:color="auto" w:sz="4" w:space="0"/>
              <w:bottom w:val="single" w:color="auto" w:sz="4" w:space="0"/>
              <w:right w:val="single" w:color="auto" w:sz="4" w:space="0"/>
            </w:tcBorders>
            <w:vAlign w:val="center"/>
          </w:tcPr>
          <w:p w14:paraId="5A033EDA">
            <w:pPr>
              <w:pStyle w:val="48"/>
              <w:shd w:val="clear"/>
              <w:spacing w:line="360" w:lineRule="auto"/>
              <w:ind w:firstLine="0" w:firstLineChars="0"/>
              <w:jc w:val="center"/>
              <w:rPr>
                <w:rFonts w:hint="eastAsia" w:ascii="宋体" w:hAnsi="宋体" w:eastAsia="宋体" w:cs="宋体"/>
                <w:b/>
                <w:bCs/>
                <w:color w:val="auto"/>
                <w:sz w:val="22"/>
                <w:szCs w:val="22"/>
                <w:highlight w:val="none"/>
                <w:u w:val="none"/>
              </w:rPr>
            </w:pPr>
            <w:r>
              <w:rPr>
                <w:rFonts w:hint="eastAsia" w:ascii="宋体" w:hAnsi="宋体" w:eastAsia="宋体" w:cs="宋体"/>
                <w:b/>
                <w:bCs/>
                <w:color w:val="auto"/>
                <w:sz w:val="22"/>
                <w:szCs w:val="22"/>
                <w:highlight w:val="none"/>
                <w:u w:val="none"/>
              </w:rPr>
              <w:t>序号</w:t>
            </w:r>
          </w:p>
        </w:tc>
        <w:tc>
          <w:tcPr>
            <w:tcW w:w="657" w:type="pct"/>
            <w:tcBorders>
              <w:top w:val="single" w:color="auto" w:sz="4" w:space="0"/>
              <w:left w:val="single" w:color="auto" w:sz="4" w:space="0"/>
              <w:bottom w:val="single" w:color="auto" w:sz="4" w:space="0"/>
              <w:right w:val="single" w:color="auto" w:sz="4" w:space="0"/>
            </w:tcBorders>
            <w:vAlign w:val="center"/>
          </w:tcPr>
          <w:p w14:paraId="72213606">
            <w:pPr>
              <w:pStyle w:val="48"/>
              <w:shd w:val="clear"/>
              <w:spacing w:line="360" w:lineRule="auto"/>
              <w:ind w:firstLine="0" w:firstLineChars="0"/>
              <w:jc w:val="center"/>
              <w:rPr>
                <w:rFonts w:hint="eastAsia" w:ascii="宋体" w:hAnsi="宋体" w:eastAsia="宋体" w:cs="宋体"/>
                <w:b/>
                <w:bCs/>
                <w:color w:val="auto"/>
                <w:sz w:val="22"/>
                <w:szCs w:val="22"/>
                <w:highlight w:val="none"/>
                <w:u w:val="none"/>
              </w:rPr>
            </w:pPr>
            <w:r>
              <w:rPr>
                <w:rFonts w:hint="eastAsia" w:ascii="宋体" w:hAnsi="宋体" w:eastAsia="宋体" w:cs="宋体"/>
                <w:b/>
                <w:bCs/>
                <w:color w:val="auto"/>
                <w:sz w:val="22"/>
                <w:szCs w:val="22"/>
                <w:highlight w:val="none"/>
                <w:u w:val="none"/>
              </w:rPr>
              <w:t>评审项目</w:t>
            </w:r>
          </w:p>
        </w:tc>
        <w:tc>
          <w:tcPr>
            <w:tcW w:w="512" w:type="pct"/>
            <w:tcBorders>
              <w:top w:val="single" w:color="auto" w:sz="4" w:space="0"/>
              <w:left w:val="single" w:color="auto" w:sz="4" w:space="0"/>
              <w:bottom w:val="single" w:color="auto" w:sz="4" w:space="0"/>
              <w:right w:val="single" w:color="auto" w:sz="4" w:space="0"/>
            </w:tcBorders>
            <w:vAlign w:val="center"/>
          </w:tcPr>
          <w:p w14:paraId="3D2484B2">
            <w:pPr>
              <w:pStyle w:val="48"/>
              <w:shd w:val="clear"/>
              <w:spacing w:line="360" w:lineRule="auto"/>
              <w:ind w:firstLine="0" w:firstLineChars="0"/>
              <w:jc w:val="center"/>
              <w:rPr>
                <w:rFonts w:hint="eastAsia" w:ascii="宋体" w:hAnsi="宋体" w:eastAsia="宋体" w:cs="宋体"/>
                <w:b/>
                <w:bCs/>
                <w:color w:val="auto"/>
                <w:sz w:val="22"/>
                <w:szCs w:val="22"/>
                <w:highlight w:val="none"/>
                <w:u w:val="none"/>
              </w:rPr>
            </w:pPr>
            <w:r>
              <w:rPr>
                <w:rFonts w:hint="eastAsia" w:ascii="宋体" w:hAnsi="宋体" w:eastAsia="宋体" w:cs="宋体"/>
                <w:b/>
                <w:bCs/>
                <w:color w:val="auto"/>
                <w:sz w:val="22"/>
                <w:szCs w:val="22"/>
                <w:highlight w:val="none"/>
                <w:u w:val="none"/>
              </w:rPr>
              <w:t>分值</w:t>
            </w:r>
          </w:p>
        </w:tc>
        <w:tc>
          <w:tcPr>
            <w:tcW w:w="3429" w:type="pct"/>
            <w:tcBorders>
              <w:top w:val="single" w:color="auto" w:sz="4" w:space="0"/>
              <w:left w:val="single" w:color="auto" w:sz="4" w:space="0"/>
              <w:bottom w:val="single" w:color="auto" w:sz="4" w:space="0"/>
              <w:right w:val="single" w:color="auto" w:sz="4" w:space="0"/>
            </w:tcBorders>
            <w:vAlign w:val="center"/>
          </w:tcPr>
          <w:p w14:paraId="31F48571">
            <w:pPr>
              <w:pStyle w:val="48"/>
              <w:shd w:val="clear"/>
              <w:spacing w:line="360" w:lineRule="auto"/>
              <w:ind w:firstLine="0" w:firstLineChars="0"/>
              <w:jc w:val="center"/>
              <w:rPr>
                <w:rFonts w:hint="eastAsia" w:ascii="宋体" w:hAnsi="宋体" w:eastAsia="宋体" w:cs="宋体"/>
                <w:b/>
                <w:bCs/>
                <w:color w:val="auto"/>
                <w:sz w:val="22"/>
                <w:szCs w:val="22"/>
                <w:highlight w:val="none"/>
                <w:u w:val="none"/>
              </w:rPr>
            </w:pPr>
            <w:r>
              <w:rPr>
                <w:rFonts w:hint="eastAsia" w:ascii="宋体" w:hAnsi="宋体" w:eastAsia="宋体" w:cs="宋体"/>
                <w:b/>
                <w:bCs/>
                <w:color w:val="auto"/>
                <w:sz w:val="22"/>
                <w:szCs w:val="22"/>
                <w:highlight w:val="none"/>
                <w:u w:val="none"/>
              </w:rPr>
              <w:t>评审细则</w:t>
            </w:r>
          </w:p>
        </w:tc>
      </w:tr>
      <w:tr w14:paraId="08D4B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5000" w:type="pct"/>
            <w:gridSpan w:val="4"/>
            <w:tcBorders>
              <w:top w:val="single" w:color="auto" w:sz="4" w:space="0"/>
              <w:left w:val="single" w:color="auto" w:sz="4" w:space="0"/>
              <w:bottom w:val="single" w:color="auto" w:sz="4" w:space="0"/>
              <w:right w:val="single" w:color="auto" w:sz="4" w:space="0"/>
            </w:tcBorders>
            <w:vAlign w:val="center"/>
          </w:tcPr>
          <w:p w14:paraId="2682FF4F">
            <w:pPr>
              <w:pStyle w:val="48"/>
              <w:shd w:val="clear"/>
              <w:spacing w:line="360" w:lineRule="auto"/>
              <w:ind w:firstLine="0" w:firstLineChars="0"/>
              <w:jc w:val="center"/>
              <w:rPr>
                <w:rFonts w:hint="eastAsia" w:ascii="宋体" w:eastAsia="宋体" w:cs="宋体"/>
                <w:b/>
                <w:bCs/>
                <w:color w:val="auto"/>
                <w:sz w:val="22"/>
                <w:highlight w:val="none"/>
              </w:rPr>
            </w:pPr>
            <w:r>
              <w:rPr>
                <w:rFonts w:hint="eastAsia" w:ascii="宋体" w:eastAsia="宋体" w:cs="宋体"/>
                <w:b/>
                <w:bCs/>
                <w:color w:val="auto"/>
                <w:sz w:val="22"/>
                <w:highlight w:val="none"/>
              </w:rPr>
              <w:t>商务评审（</w:t>
            </w:r>
            <w:r>
              <w:rPr>
                <w:rFonts w:hint="eastAsia" w:ascii="宋体" w:eastAsia="宋体" w:cs="宋体"/>
                <w:b/>
                <w:bCs/>
                <w:color w:val="auto"/>
                <w:sz w:val="22"/>
                <w:highlight w:val="none"/>
                <w:lang w:val="en-US" w:eastAsia="zh-CN"/>
              </w:rPr>
              <w:t>45</w:t>
            </w:r>
            <w:r>
              <w:rPr>
                <w:rFonts w:hint="eastAsia" w:ascii="宋体" w:eastAsia="宋体" w:cs="宋体"/>
                <w:b/>
                <w:bCs/>
                <w:color w:val="auto"/>
                <w:sz w:val="22"/>
                <w:highlight w:val="none"/>
              </w:rPr>
              <w:t>分）</w:t>
            </w:r>
          </w:p>
        </w:tc>
      </w:tr>
      <w:tr w14:paraId="07341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400" w:type="pct"/>
            <w:vMerge w:val="restart"/>
            <w:tcBorders>
              <w:top w:val="single" w:color="auto" w:sz="4" w:space="0"/>
              <w:left w:val="single" w:color="auto" w:sz="4" w:space="0"/>
              <w:right w:val="single" w:color="auto" w:sz="4" w:space="0"/>
            </w:tcBorders>
            <w:vAlign w:val="center"/>
          </w:tcPr>
          <w:p w14:paraId="6C52DC4E">
            <w:pPr>
              <w:pStyle w:val="91"/>
              <w:shd w:val="clear"/>
              <w:spacing w:after="0" w:afterLines="0" w:line="360" w:lineRule="auto"/>
              <w:ind w:firstLine="0" w:firstLineChars="0"/>
              <w:jc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w:t>
            </w:r>
          </w:p>
        </w:tc>
        <w:tc>
          <w:tcPr>
            <w:tcW w:w="657" w:type="pct"/>
            <w:vMerge w:val="restart"/>
            <w:tcBorders>
              <w:top w:val="single" w:color="auto" w:sz="4" w:space="0"/>
              <w:left w:val="single" w:color="auto" w:sz="4" w:space="0"/>
              <w:right w:val="single" w:color="auto" w:sz="4" w:space="0"/>
            </w:tcBorders>
            <w:vAlign w:val="center"/>
          </w:tcPr>
          <w:p w14:paraId="31DB2627">
            <w:pPr>
              <w:pStyle w:val="91"/>
              <w:shd w:val="clear"/>
              <w:spacing w:after="0" w:afterLines="0" w:line="360" w:lineRule="auto"/>
              <w:ind w:firstLine="0" w:firstLineChars="0"/>
              <w:jc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公司实力</w:t>
            </w:r>
          </w:p>
        </w:tc>
        <w:tc>
          <w:tcPr>
            <w:tcW w:w="512" w:type="pct"/>
            <w:vMerge w:val="restart"/>
            <w:tcBorders>
              <w:top w:val="single" w:color="auto" w:sz="4" w:space="0"/>
              <w:left w:val="single" w:color="auto" w:sz="4" w:space="0"/>
              <w:right w:val="single" w:color="auto" w:sz="4" w:space="0"/>
            </w:tcBorders>
            <w:vAlign w:val="center"/>
          </w:tcPr>
          <w:p w14:paraId="0022A2C5">
            <w:pPr>
              <w:pStyle w:val="91"/>
              <w:shd w:val="clear"/>
              <w:spacing w:after="0" w:afterLines="0" w:line="360" w:lineRule="auto"/>
              <w:ind w:firstLine="0" w:firstLineChars="0"/>
              <w:jc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4分</w:t>
            </w:r>
          </w:p>
        </w:tc>
        <w:tc>
          <w:tcPr>
            <w:tcW w:w="3429" w:type="pct"/>
            <w:tcBorders>
              <w:top w:val="single" w:color="auto" w:sz="4" w:space="0"/>
              <w:left w:val="single" w:color="auto" w:sz="4" w:space="0"/>
              <w:bottom w:val="single" w:color="auto" w:sz="4" w:space="0"/>
              <w:right w:val="single" w:color="auto" w:sz="4" w:space="0"/>
            </w:tcBorders>
            <w:vAlign w:val="center"/>
          </w:tcPr>
          <w:p w14:paraId="3CEF3EFF">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1、纳税信用状况:投标人提供2023年、2024年、2025年的纳税信用等级，纳税信用等级连续三年为A级(含)以上的得</w:t>
            </w:r>
            <w:r>
              <w:rPr>
                <w:rFonts w:hint="eastAsia" w:ascii="宋体" w:hAnsi="宋体" w:cs="宋体"/>
                <w:color w:val="auto"/>
                <w:sz w:val="22"/>
                <w:szCs w:val="22"/>
                <w:highlight w:val="none"/>
                <w:lang w:val="en-US" w:eastAsia="zh-CN"/>
              </w:rPr>
              <w:t>1.5</w:t>
            </w:r>
            <w:r>
              <w:rPr>
                <w:rFonts w:hint="eastAsia" w:ascii="宋体" w:hAnsi="宋体" w:eastAsia="宋体" w:cs="宋体"/>
                <w:color w:val="auto"/>
                <w:sz w:val="22"/>
                <w:szCs w:val="22"/>
                <w:highlight w:val="none"/>
                <w:lang w:val="en-US" w:eastAsia="zh-CN"/>
              </w:rPr>
              <w:t>分，有两年为A级(含)以上的得</w:t>
            </w:r>
            <w:r>
              <w:rPr>
                <w:rFonts w:hint="eastAsia" w:ascii="宋体" w:hAnsi="宋体" w:cs="宋体"/>
                <w:color w:val="auto"/>
                <w:sz w:val="22"/>
                <w:szCs w:val="22"/>
                <w:highlight w:val="none"/>
                <w:lang w:val="en-US" w:eastAsia="zh-CN"/>
              </w:rPr>
              <w:t>1</w:t>
            </w:r>
            <w:r>
              <w:rPr>
                <w:rFonts w:hint="eastAsia" w:ascii="宋体" w:hAnsi="宋体" w:eastAsia="宋体" w:cs="宋体"/>
                <w:color w:val="auto"/>
                <w:sz w:val="22"/>
                <w:szCs w:val="22"/>
                <w:highlight w:val="none"/>
                <w:lang w:val="en-US" w:eastAsia="zh-CN"/>
              </w:rPr>
              <w:t>分，其它情况不得分。</w:t>
            </w:r>
          </w:p>
          <w:p w14:paraId="27085F69">
            <w:pPr>
              <w:keepNext w:val="0"/>
              <w:keepLines w:val="0"/>
              <w:pageBreakBefore w:val="0"/>
              <w:widowControl/>
              <w:numPr>
                <w:ilvl w:val="0"/>
                <w:numId w:val="0"/>
              </w:numPr>
              <w:shd w:val="clear"/>
              <w:kinsoku/>
              <w:wordWrap/>
              <w:overflowPunct/>
              <w:topLinePunct w:val="0"/>
              <w:autoSpaceDE/>
              <w:autoSpaceDN/>
              <w:bidi w:val="0"/>
              <w:spacing w:after="0" w:line="440" w:lineRule="exact"/>
              <w:ind w:left="0" w:leftChars="0" w:firstLine="0" w:firstLineChars="0"/>
              <w:textAlignment w:val="auto"/>
              <w:rPr>
                <w:rFonts w:hint="eastAsia" w:ascii="宋体" w:hAnsi="宋体" w:cs="宋体"/>
                <w:bCs/>
                <w:color w:val="auto"/>
                <w:sz w:val="22"/>
                <w:highlight w:val="none"/>
                <w:u w:val="single"/>
                <w:lang w:val="zh-CN"/>
              </w:rPr>
            </w:pPr>
            <w:r>
              <w:rPr>
                <w:rFonts w:hint="eastAsia" w:ascii="宋体" w:hAnsi="宋体" w:eastAsia="宋体" w:cs="宋体"/>
                <w:b/>
                <w:bCs/>
                <w:color w:val="auto"/>
                <w:sz w:val="22"/>
                <w:szCs w:val="22"/>
                <w:highlight w:val="none"/>
                <w:lang w:val="en-US" w:eastAsia="zh-CN"/>
              </w:rPr>
              <w:t>注：须提供电子税务局</w:t>
            </w:r>
            <w:r>
              <w:rPr>
                <w:rFonts w:hint="eastAsia" w:ascii="宋体" w:hAnsi="宋体" w:cs="宋体"/>
                <w:b/>
                <w:bCs/>
                <w:color w:val="auto"/>
                <w:sz w:val="22"/>
                <w:szCs w:val="22"/>
                <w:highlight w:val="none"/>
                <w:lang w:val="en-US" w:eastAsia="zh-CN"/>
              </w:rPr>
              <w:t>（</w:t>
            </w:r>
            <w:r>
              <w:rPr>
                <w:rFonts w:hint="eastAsia" w:ascii="宋体" w:hAnsi="宋体" w:eastAsia="宋体" w:cs="宋体"/>
                <w:b/>
                <w:bCs/>
                <w:color w:val="auto"/>
                <w:sz w:val="22"/>
                <w:szCs w:val="22"/>
                <w:highlight w:val="none"/>
                <w:lang w:val="en-US" w:eastAsia="zh-CN"/>
              </w:rPr>
              <w:t>或税务官网</w:t>
            </w:r>
            <w:r>
              <w:rPr>
                <w:rFonts w:hint="eastAsia" w:ascii="宋体" w:hAnsi="宋体" w:cs="宋体"/>
                <w:b/>
                <w:bCs/>
                <w:color w:val="auto"/>
                <w:sz w:val="22"/>
                <w:szCs w:val="22"/>
                <w:highlight w:val="none"/>
                <w:lang w:val="en-US" w:eastAsia="zh-CN"/>
              </w:rPr>
              <w:t>）</w:t>
            </w:r>
            <w:r>
              <w:rPr>
                <w:rFonts w:hint="eastAsia" w:ascii="宋体" w:hAnsi="宋体" w:eastAsia="宋体" w:cs="宋体"/>
                <w:b/>
                <w:bCs/>
                <w:color w:val="auto"/>
                <w:sz w:val="22"/>
                <w:szCs w:val="22"/>
                <w:highlight w:val="none"/>
                <w:lang w:val="en-US" w:eastAsia="zh-CN"/>
              </w:rPr>
              <w:t>截图</w:t>
            </w:r>
            <w:r>
              <w:rPr>
                <w:rFonts w:hint="eastAsia" w:ascii="宋体" w:hAnsi="宋体" w:cs="宋体"/>
                <w:b/>
                <w:bCs/>
                <w:color w:val="auto"/>
                <w:sz w:val="22"/>
                <w:szCs w:val="22"/>
                <w:highlight w:val="none"/>
                <w:lang w:val="en-US" w:eastAsia="zh-CN"/>
              </w:rPr>
              <w:t>或</w:t>
            </w:r>
            <w:r>
              <w:rPr>
                <w:rFonts w:hint="eastAsia" w:ascii="宋体" w:hAnsi="宋体" w:eastAsia="宋体" w:cs="宋体"/>
                <w:b/>
                <w:bCs/>
                <w:color w:val="auto"/>
                <w:sz w:val="22"/>
                <w:szCs w:val="22"/>
                <w:highlight w:val="none"/>
                <w:lang w:val="en-US" w:eastAsia="zh-CN"/>
              </w:rPr>
              <w:t>纳税信用等级证书复印件加盖投标人公章</w:t>
            </w:r>
            <w:r>
              <w:rPr>
                <w:rFonts w:hint="eastAsia" w:ascii="宋体" w:hAnsi="宋体" w:cs="宋体"/>
                <w:b/>
                <w:bCs/>
                <w:color w:val="auto"/>
                <w:sz w:val="22"/>
                <w:szCs w:val="22"/>
                <w:highlight w:val="none"/>
                <w:lang w:val="en-US" w:eastAsia="zh-CN"/>
              </w:rPr>
              <w:t>。</w:t>
            </w:r>
          </w:p>
        </w:tc>
      </w:tr>
      <w:tr w14:paraId="22919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400" w:type="pct"/>
            <w:vMerge w:val="continue"/>
            <w:tcBorders>
              <w:left w:val="single" w:color="auto" w:sz="4" w:space="0"/>
              <w:right w:val="single" w:color="auto" w:sz="4" w:space="0"/>
            </w:tcBorders>
            <w:vAlign w:val="center"/>
          </w:tcPr>
          <w:p w14:paraId="63FC164D">
            <w:pPr>
              <w:pStyle w:val="91"/>
              <w:shd w:val="clear"/>
              <w:spacing w:after="0" w:afterLines="0" w:line="360" w:lineRule="auto"/>
              <w:ind w:firstLine="0" w:firstLineChars="0"/>
              <w:jc w:val="center"/>
              <w:rPr>
                <w:rFonts w:hint="eastAsia" w:ascii="宋体" w:hAnsi="宋体" w:eastAsia="宋体" w:cs="宋体"/>
                <w:color w:val="auto"/>
                <w:sz w:val="22"/>
                <w:szCs w:val="22"/>
                <w:highlight w:val="none"/>
                <w:lang w:val="en-US" w:eastAsia="zh-CN"/>
              </w:rPr>
            </w:pPr>
          </w:p>
        </w:tc>
        <w:tc>
          <w:tcPr>
            <w:tcW w:w="657" w:type="pct"/>
            <w:vMerge w:val="continue"/>
            <w:tcBorders>
              <w:left w:val="single" w:color="auto" w:sz="4" w:space="0"/>
              <w:right w:val="single" w:color="auto" w:sz="4" w:space="0"/>
            </w:tcBorders>
            <w:vAlign w:val="center"/>
          </w:tcPr>
          <w:p w14:paraId="5A46D6A2">
            <w:pPr>
              <w:pStyle w:val="91"/>
              <w:shd w:val="clear"/>
              <w:spacing w:after="0" w:afterLines="0" w:line="360" w:lineRule="auto"/>
              <w:ind w:firstLine="0" w:firstLineChars="0"/>
              <w:jc w:val="center"/>
              <w:rPr>
                <w:rFonts w:hint="eastAsia" w:ascii="宋体" w:hAnsi="宋体" w:eastAsia="宋体" w:cs="宋体"/>
                <w:color w:val="auto"/>
                <w:sz w:val="22"/>
                <w:szCs w:val="22"/>
                <w:highlight w:val="none"/>
                <w:lang w:val="en-US" w:eastAsia="zh-CN"/>
              </w:rPr>
            </w:pPr>
          </w:p>
        </w:tc>
        <w:tc>
          <w:tcPr>
            <w:tcW w:w="512" w:type="pct"/>
            <w:vMerge w:val="continue"/>
            <w:tcBorders>
              <w:left w:val="single" w:color="auto" w:sz="4" w:space="0"/>
              <w:bottom w:val="single" w:color="auto" w:sz="4" w:space="0"/>
              <w:right w:val="single" w:color="auto" w:sz="4" w:space="0"/>
            </w:tcBorders>
            <w:vAlign w:val="center"/>
          </w:tcPr>
          <w:p w14:paraId="16BA88E7">
            <w:pPr>
              <w:pStyle w:val="91"/>
              <w:shd w:val="clear"/>
              <w:spacing w:after="0" w:afterLines="0" w:line="360" w:lineRule="auto"/>
              <w:ind w:firstLine="0" w:firstLineChars="0"/>
              <w:jc w:val="center"/>
              <w:rPr>
                <w:rFonts w:hint="eastAsia" w:ascii="宋体" w:hAnsi="宋体" w:eastAsia="宋体" w:cs="宋体"/>
                <w:color w:val="auto"/>
                <w:sz w:val="22"/>
                <w:szCs w:val="22"/>
                <w:highlight w:val="none"/>
                <w:lang w:val="en-US" w:eastAsia="zh-CN"/>
              </w:rPr>
            </w:pPr>
          </w:p>
        </w:tc>
        <w:tc>
          <w:tcPr>
            <w:tcW w:w="3429" w:type="pct"/>
            <w:tcBorders>
              <w:top w:val="single" w:color="auto" w:sz="4" w:space="0"/>
              <w:left w:val="single" w:color="auto" w:sz="4" w:space="0"/>
              <w:bottom w:val="single" w:color="auto" w:sz="4" w:space="0"/>
              <w:right w:val="single" w:color="auto" w:sz="4" w:space="0"/>
            </w:tcBorders>
            <w:vAlign w:val="center"/>
          </w:tcPr>
          <w:p w14:paraId="3B697D55">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2、投标人具有由国家认证认可监督管理部门批准设立的认证机构颁发并有效的认证证书，每提供一个证书得</w:t>
            </w:r>
            <w:r>
              <w:rPr>
                <w:rFonts w:hint="eastAsia" w:ascii="宋体" w:hAnsi="宋体" w:cs="宋体"/>
                <w:color w:val="auto"/>
                <w:sz w:val="22"/>
                <w:szCs w:val="22"/>
                <w:highlight w:val="none"/>
                <w:lang w:val="en-US" w:eastAsia="zh-CN"/>
              </w:rPr>
              <w:t>0.5</w:t>
            </w:r>
            <w:r>
              <w:rPr>
                <w:rFonts w:hint="eastAsia" w:ascii="宋体" w:hAnsi="宋体" w:eastAsia="宋体" w:cs="宋体"/>
                <w:color w:val="auto"/>
                <w:sz w:val="22"/>
                <w:szCs w:val="22"/>
                <w:highlight w:val="none"/>
                <w:lang w:val="en-US" w:eastAsia="zh-CN"/>
              </w:rPr>
              <w:t>分，</w:t>
            </w:r>
            <w:r>
              <w:rPr>
                <w:rFonts w:hint="eastAsia" w:ascii="宋体" w:hAnsi="宋体" w:cs="宋体"/>
                <w:color w:val="auto"/>
                <w:sz w:val="22"/>
                <w:szCs w:val="22"/>
                <w:highlight w:val="none"/>
                <w:lang w:val="en-US" w:eastAsia="zh-CN"/>
              </w:rPr>
              <w:t>满分2.5</w:t>
            </w:r>
            <w:r>
              <w:rPr>
                <w:rFonts w:hint="eastAsia" w:ascii="宋体" w:hAnsi="宋体" w:eastAsia="宋体" w:cs="宋体"/>
                <w:color w:val="auto"/>
                <w:sz w:val="22"/>
                <w:szCs w:val="22"/>
                <w:highlight w:val="none"/>
                <w:lang w:val="en-US" w:eastAsia="zh-CN"/>
              </w:rPr>
              <w:t>分：</w:t>
            </w:r>
          </w:p>
          <w:p w14:paraId="5CC30B54">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（1）质量管理体系认证证书；</w:t>
            </w:r>
          </w:p>
          <w:p w14:paraId="7BD6C3AF">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（2）环境管理体系认证证书；</w:t>
            </w:r>
          </w:p>
          <w:p w14:paraId="3D36A265">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（3）职业健康安全管理体系认证证书；</w:t>
            </w:r>
          </w:p>
          <w:p w14:paraId="78230C17">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（4）食品安全管理体系认证证书；</w:t>
            </w:r>
          </w:p>
          <w:p w14:paraId="443E26CB">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（5）</w:t>
            </w:r>
            <w:r>
              <w:rPr>
                <w:rFonts w:hint="eastAsia" w:ascii="宋体" w:hAnsi="宋体" w:cs="宋体"/>
                <w:color w:val="auto"/>
                <w:sz w:val="22"/>
                <w:highlight w:val="none"/>
                <w:lang w:eastAsia="zh-CN"/>
              </w:rPr>
              <w:t>危害分析与关键控制点（HACCP）认证体系证书。</w:t>
            </w:r>
          </w:p>
          <w:p w14:paraId="40BD4002">
            <w:pPr>
              <w:keepNext w:val="0"/>
              <w:keepLines w:val="0"/>
              <w:pageBreakBefore w:val="0"/>
              <w:widowControl/>
              <w:numPr>
                <w:ilvl w:val="0"/>
                <w:numId w:val="0"/>
              </w:numPr>
              <w:shd w:val="clear"/>
              <w:kinsoku/>
              <w:wordWrap/>
              <w:overflowPunct/>
              <w:topLinePunct w:val="0"/>
              <w:autoSpaceDE/>
              <w:autoSpaceDN/>
              <w:bidi w:val="0"/>
              <w:spacing w:after="0" w:line="440" w:lineRule="exact"/>
              <w:ind w:left="0" w:leftChars="0" w:firstLine="0" w:firstLineChars="0"/>
              <w:textAlignment w:val="auto"/>
              <w:rPr>
                <w:rFonts w:hint="eastAsia" w:ascii="宋体" w:hAnsi="宋体" w:cs="宋体"/>
                <w:b/>
                <w:color w:val="auto"/>
                <w:sz w:val="22"/>
                <w:highlight w:val="none"/>
              </w:rPr>
            </w:pPr>
            <w:r>
              <w:rPr>
                <w:rFonts w:hint="eastAsia" w:ascii="宋体" w:hAnsi="宋体" w:eastAsia="宋体" w:cs="宋体"/>
                <w:b/>
                <w:bCs/>
                <w:color w:val="auto"/>
                <w:sz w:val="22"/>
                <w:szCs w:val="22"/>
                <w:highlight w:val="none"/>
                <w:lang w:val="en-US" w:eastAsia="zh-CN"/>
              </w:rPr>
              <w:t>注：须提供在有效期内的证书及证书在全国认证认可信息公共服务平台（https://www.cnca.gov.cn/）有效信息的查询截图，以上复印件加盖章投标人公章。</w:t>
            </w:r>
          </w:p>
        </w:tc>
      </w:tr>
      <w:tr w14:paraId="3B6BE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400" w:type="pct"/>
            <w:tcBorders>
              <w:left w:val="single" w:color="auto" w:sz="4" w:space="0"/>
              <w:right w:val="single" w:color="auto" w:sz="4" w:space="0"/>
            </w:tcBorders>
            <w:shd w:val="clear" w:color="auto" w:fill="auto"/>
            <w:vAlign w:val="center"/>
          </w:tcPr>
          <w:p w14:paraId="5698EBED">
            <w:pPr>
              <w:pStyle w:val="91"/>
              <w:shd w:val="clear"/>
              <w:spacing w:after="0" w:afterLines="0" w:line="360" w:lineRule="auto"/>
              <w:ind w:firstLine="0" w:firstLineChars="0"/>
              <w:jc w:val="center"/>
              <w:rPr>
                <w:rFonts w:hint="eastAsia" w:ascii="宋体" w:hAnsi="宋体" w:eastAsia="宋体" w:cs="宋体"/>
                <w:color w:val="auto"/>
                <w:sz w:val="22"/>
                <w:szCs w:val="22"/>
                <w:highlight w:val="none"/>
                <w:lang w:val="en-US" w:eastAsia="zh-CN" w:bidi="ar-SA"/>
              </w:rPr>
            </w:pPr>
            <w:r>
              <w:rPr>
                <w:rFonts w:hint="eastAsia" w:ascii="宋体" w:hAnsi="宋体" w:eastAsia="宋体" w:cs="宋体"/>
                <w:color w:val="auto"/>
                <w:sz w:val="22"/>
                <w:szCs w:val="22"/>
                <w:highlight w:val="none"/>
                <w:lang w:val="en-US" w:eastAsia="zh-CN"/>
              </w:rPr>
              <w:t>2</w:t>
            </w:r>
          </w:p>
        </w:tc>
        <w:tc>
          <w:tcPr>
            <w:tcW w:w="657" w:type="pct"/>
            <w:tcBorders>
              <w:left w:val="single" w:color="auto" w:sz="4" w:space="0"/>
              <w:right w:val="single" w:color="auto" w:sz="4" w:space="0"/>
            </w:tcBorders>
            <w:shd w:val="clear" w:color="auto" w:fill="auto"/>
            <w:vAlign w:val="center"/>
          </w:tcPr>
          <w:p w14:paraId="79427901">
            <w:pPr>
              <w:pStyle w:val="91"/>
              <w:shd w:val="clear"/>
              <w:spacing w:after="0" w:afterLines="0" w:line="360" w:lineRule="auto"/>
              <w:ind w:firstLine="0" w:firstLineChars="0"/>
              <w:jc w:val="center"/>
              <w:rPr>
                <w:rFonts w:hint="eastAsia" w:ascii="宋体" w:hAnsi="宋体" w:eastAsia="宋体" w:cs="宋体"/>
                <w:color w:val="auto"/>
                <w:sz w:val="22"/>
                <w:szCs w:val="22"/>
                <w:highlight w:val="none"/>
                <w:lang w:val="en-US" w:eastAsia="zh-CN" w:bidi="ar-SA"/>
              </w:rPr>
            </w:pPr>
            <w:r>
              <w:rPr>
                <w:rFonts w:hint="eastAsia" w:ascii="宋体" w:hAnsi="宋体" w:eastAsia="宋体" w:cs="宋体"/>
                <w:color w:val="auto"/>
                <w:sz w:val="22"/>
                <w:szCs w:val="22"/>
                <w:highlight w:val="none"/>
                <w:lang w:val="en-US" w:eastAsia="zh-CN"/>
              </w:rPr>
              <w:t>投标人业绩情况</w:t>
            </w:r>
          </w:p>
        </w:tc>
        <w:tc>
          <w:tcPr>
            <w:tcW w:w="512" w:type="pct"/>
            <w:tcBorders>
              <w:left w:val="single" w:color="auto" w:sz="4" w:space="0"/>
              <w:bottom w:val="single" w:color="auto" w:sz="4" w:space="0"/>
              <w:right w:val="single" w:color="auto" w:sz="4" w:space="0"/>
            </w:tcBorders>
            <w:shd w:val="clear" w:color="auto" w:fill="auto"/>
            <w:vAlign w:val="center"/>
          </w:tcPr>
          <w:p w14:paraId="0B2C1AF5">
            <w:pPr>
              <w:pStyle w:val="91"/>
              <w:shd w:val="clear"/>
              <w:spacing w:after="0" w:afterLines="0" w:line="360" w:lineRule="auto"/>
              <w:ind w:firstLine="0" w:firstLineChars="0"/>
              <w:jc w:val="center"/>
              <w:rPr>
                <w:rFonts w:hint="eastAsia" w:ascii="宋体" w:hAnsi="宋体" w:eastAsia="宋体" w:cs="宋体"/>
                <w:color w:val="auto"/>
                <w:sz w:val="22"/>
                <w:szCs w:val="22"/>
                <w:highlight w:val="none"/>
                <w:lang w:val="en-US" w:eastAsia="zh-CN" w:bidi="ar-SA"/>
              </w:rPr>
            </w:pPr>
            <w:r>
              <w:rPr>
                <w:rFonts w:hint="eastAsia" w:ascii="宋体" w:hAnsi="宋体" w:cs="宋体"/>
                <w:color w:val="auto"/>
                <w:sz w:val="22"/>
                <w:szCs w:val="22"/>
                <w:highlight w:val="none"/>
                <w:lang w:val="en-US" w:eastAsia="zh-CN"/>
              </w:rPr>
              <w:t>15</w:t>
            </w:r>
            <w:r>
              <w:rPr>
                <w:rFonts w:hint="eastAsia" w:ascii="宋体" w:hAnsi="宋体" w:eastAsia="宋体" w:cs="宋体"/>
                <w:color w:val="auto"/>
                <w:sz w:val="22"/>
                <w:szCs w:val="22"/>
                <w:highlight w:val="none"/>
                <w:lang w:val="en-US" w:eastAsia="zh-CN"/>
              </w:rPr>
              <w:t>分</w:t>
            </w:r>
          </w:p>
        </w:tc>
        <w:tc>
          <w:tcPr>
            <w:tcW w:w="3429" w:type="pct"/>
            <w:tcBorders>
              <w:top w:val="single" w:color="auto" w:sz="4" w:space="0"/>
              <w:left w:val="single" w:color="auto" w:sz="4" w:space="0"/>
              <w:bottom w:val="single" w:color="auto" w:sz="4" w:space="0"/>
              <w:right w:val="single" w:color="auto" w:sz="4" w:space="0"/>
            </w:tcBorders>
            <w:vAlign w:val="center"/>
          </w:tcPr>
          <w:p w14:paraId="6A4C4264">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b/>
                <w:bCs/>
                <w:color w:val="auto"/>
                <w:sz w:val="22"/>
                <w:szCs w:val="22"/>
                <w:highlight w:val="none"/>
                <w:lang w:val="pt-BR" w:eastAsia="zh-CN"/>
              </w:rPr>
            </w:pPr>
            <w:r>
              <w:rPr>
                <w:rFonts w:hint="eastAsia" w:ascii="宋体" w:hAnsi="宋体" w:eastAsia="宋体" w:cs="宋体"/>
                <w:b/>
                <w:bCs/>
                <w:color w:val="auto"/>
                <w:sz w:val="22"/>
                <w:szCs w:val="22"/>
                <w:highlight w:val="none"/>
                <w:lang w:val="pt-BR" w:eastAsia="zh-CN"/>
              </w:rPr>
              <w:t>投标人自2023年1月1日（以合同签订的时间为准）至今已完成或正在服务的</w:t>
            </w:r>
            <w:r>
              <w:rPr>
                <w:rFonts w:hint="eastAsia" w:ascii="宋体" w:hAnsi="宋体" w:cs="宋体"/>
                <w:b/>
                <w:bCs/>
                <w:color w:val="auto"/>
                <w:sz w:val="22"/>
                <w:szCs w:val="22"/>
                <w:highlight w:val="none"/>
                <w:lang w:val="en-US" w:eastAsia="zh-CN"/>
              </w:rPr>
              <w:t>经营性餐饮企业或大型商超的食材</w:t>
            </w:r>
            <w:r>
              <w:rPr>
                <w:rFonts w:hint="default" w:ascii="宋体" w:hAnsi="宋体" w:eastAsia="宋体" w:cs="宋体"/>
                <w:b/>
                <w:bCs/>
                <w:color w:val="auto"/>
                <w:sz w:val="22"/>
                <w:szCs w:val="22"/>
                <w:highlight w:val="none"/>
                <w:lang w:val="en-US" w:eastAsia="zh-CN"/>
              </w:rPr>
              <w:t>配送</w:t>
            </w:r>
            <w:r>
              <w:rPr>
                <w:rFonts w:hint="eastAsia" w:ascii="宋体" w:hAnsi="宋体" w:cs="宋体"/>
                <w:b/>
                <w:bCs/>
                <w:color w:val="auto"/>
                <w:sz w:val="22"/>
                <w:szCs w:val="22"/>
                <w:highlight w:val="none"/>
                <w:lang w:val="en-US" w:eastAsia="zh-CN"/>
              </w:rPr>
              <w:t>类</w:t>
            </w:r>
            <w:r>
              <w:rPr>
                <w:rFonts w:hint="eastAsia" w:ascii="宋体" w:hAnsi="宋体" w:eastAsia="宋体" w:cs="宋体"/>
                <w:b/>
                <w:bCs/>
                <w:color w:val="auto"/>
                <w:sz w:val="22"/>
                <w:szCs w:val="22"/>
                <w:highlight w:val="none"/>
                <w:lang w:val="pt-BR" w:eastAsia="zh-CN"/>
              </w:rPr>
              <w:t>合同（内容</w:t>
            </w:r>
            <w:r>
              <w:rPr>
                <w:rFonts w:hint="eastAsia" w:ascii="宋体" w:hAnsi="宋体" w:eastAsia="宋体" w:cs="宋体"/>
                <w:b/>
                <w:bCs/>
                <w:color w:val="auto"/>
                <w:sz w:val="22"/>
                <w:szCs w:val="22"/>
                <w:highlight w:val="none"/>
                <w:lang w:val="en-US" w:eastAsia="zh-CN"/>
              </w:rPr>
              <w:t>含冻品类</w:t>
            </w:r>
            <w:r>
              <w:rPr>
                <w:rFonts w:hint="eastAsia" w:ascii="宋体" w:hAnsi="宋体" w:eastAsia="宋体" w:cs="宋体"/>
                <w:b/>
                <w:bCs/>
                <w:color w:val="auto"/>
                <w:sz w:val="22"/>
                <w:szCs w:val="22"/>
                <w:highlight w:val="none"/>
                <w:lang w:val="pt-BR" w:eastAsia="zh-CN"/>
              </w:rPr>
              <w:t>）供货业绩，按下列情况评分，满分</w:t>
            </w:r>
            <w:r>
              <w:rPr>
                <w:rFonts w:hint="eastAsia" w:ascii="宋体" w:hAnsi="宋体" w:cs="宋体"/>
                <w:b/>
                <w:bCs/>
                <w:color w:val="auto"/>
                <w:sz w:val="22"/>
                <w:szCs w:val="22"/>
                <w:highlight w:val="none"/>
                <w:lang w:val="en-US" w:eastAsia="zh-CN"/>
              </w:rPr>
              <w:t>15</w:t>
            </w:r>
            <w:r>
              <w:rPr>
                <w:rFonts w:hint="eastAsia" w:ascii="宋体" w:hAnsi="宋体" w:eastAsia="宋体" w:cs="宋体"/>
                <w:b/>
                <w:bCs/>
                <w:color w:val="auto"/>
                <w:sz w:val="22"/>
                <w:szCs w:val="22"/>
                <w:highlight w:val="none"/>
                <w:lang w:val="pt-BR" w:eastAsia="zh-CN"/>
              </w:rPr>
              <w:t>分：</w:t>
            </w:r>
          </w:p>
          <w:p w14:paraId="6246CD2B">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pt-BR" w:eastAsia="zh-CN"/>
              </w:rPr>
              <w:t>（1）项目服务合同中，单个</w:t>
            </w:r>
            <w:r>
              <w:rPr>
                <w:rFonts w:hint="eastAsia" w:ascii="宋体" w:hAnsi="宋体" w:cs="宋体"/>
                <w:color w:val="auto"/>
                <w:sz w:val="22"/>
                <w:szCs w:val="22"/>
                <w:highlight w:val="none"/>
                <w:lang w:val="en-US" w:eastAsia="zh-CN"/>
              </w:rPr>
              <w:t>合同</w:t>
            </w:r>
            <w:r>
              <w:rPr>
                <w:rFonts w:hint="eastAsia" w:ascii="宋体" w:hAnsi="宋体" w:eastAsia="宋体" w:cs="宋体"/>
                <w:color w:val="auto"/>
                <w:sz w:val="22"/>
                <w:szCs w:val="22"/>
                <w:highlight w:val="none"/>
                <w:lang w:val="pt-BR" w:eastAsia="zh-CN"/>
              </w:rPr>
              <w:t>年度</w:t>
            </w:r>
            <w:r>
              <w:rPr>
                <w:rFonts w:hint="eastAsia" w:ascii="宋体" w:hAnsi="宋体" w:cs="宋体"/>
                <w:color w:val="auto"/>
                <w:sz w:val="22"/>
                <w:szCs w:val="22"/>
                <w:highlight w:val="none"/>
                <w:lang w:val="en-US" w:eastAsia="zh-CN"/>
              </w:rPr>
              <w:t>冻品</w:t>
            </w:r>
            <w:r>
              <w:rPr>
                <w:rFonts w:hint="eastAsia" w:ascii="宋体" w:hAnsi="宋体" w:cs="宋体"/>
                <w:color w:val="auto"/>
                <w:sz w:val="22"/>
                <w:szCs w:val="22"/>
                <w:highlight w:val="none"/>
                <w:lang w:val="pt-BR" w:eastAsia="zh-CN"/>
              </w:rPr>
              <w:t>类</w:t>
            </w:r>
            <w:r>
              <w:rPr>
                <w:rFonts w:hint="eastAsia" w:ascii="宋体" w:hAnsi="宋体" w:eastAsia="宋体" w:cs="宋体"/>
                <w:color w:val="auto"/>
                <w:sz w:val="22"/>
                <w:szCs w:val="22"/>
                <w:highlight w:val="none"/>
                <w:lang w:val="pt-BR" w:eastAsia="zh-CN"/>
              </w:rPr>
              <w:t>配送总金额≥</w:t>
            </w:r>
            <w:r>
              <w:rPr>
                <w:rFonts w:hint="eastAsia" w:ascii="宋体" w:hAnsi="宋体" w:cs="宋体"/>
                <w:color w:val="auto"/>
                <w:sz w:val="22"/>
                <w:szCs w:val="22"/>
                <w:highlight w:val="none"/>
                <w:lang w:val="en-US" w:eastAsia="zh-CN"/>
              </w:rPr>
              <w:t>8</w:t>
            </w:r>
            <w:r>
              <w:rPr>
                <w:rFonts w:hint="eastAsia" w:ascii="宋体" w:hAnsi="宋体" w:eastAsia="宋体" w:cs="宋体"/>
                <w:color w:val="auto"/>
                <w:sz w:val="22"/>
                <w:szCs w:val="22"/>
                <w:highlight w:val="none"/>
                <w:lang w:val="pt-BR" w:eastAsia="zh-CN"/>
              </w:rPr>
              <w:t>00万元的前述业绩，每份合</w:t>
            </w:r>
            <w:r>
              <w:rPr>
                <w:rFonts w:hint="eastAsia" w:ascii="宋体" w:hAnsi="宋体" w:eastAsia="宋体" w:cs="宋体"/>
                <w:color w:val="auto"/>
                <w:sz w:val="22"/>
                <w:szCs w:val="22"/>
                <w:highlight w:val="none"/>
                <w:lang w:val="en-US" w:eastAsia="zh-CN"/>
              </w:rPr>
              <w:t>同</w:t>
            </w:r>
            <w:r>
              <w:rPr>
                <w:rFonts w:hint="eastAsia" w:ascii="宋体" w:hAnsi="宋体" w:eastAsia="宋体" w:cs="宋体"/>
                <w:color w:val="auto"/>
                <w:sz w:val="22"/>
                <w:szCs w:val="22"/>
                <w:highlight w:val="none"/>
                <w:lang w:val="pt-BR" w:eastAsia="zh-CN"/>
              </w:rPr>
              <w:t>得</w:t>
            </w:r>
            <w:r>
              <w:rPr>
                <w:rFonts w:hint="eastAsia" w:ascii="宋体" w:hAnsi="宋体" w:cs="宋体"/>
                <w:color w:val="auto"/>
                <w:sz w:val="22"/>
                <w:szCs w:val="22"/>
                <w:highlight w:val="none"/>
                <w:lang w:val="en-US" w:eastAsia="zh-CN"/>
              </w:rPr>
              <w:t>3</w:t>
            </w:r>
            <w:r>
              <w:rPr>
                <w:rFonts w:hint="eastAsia" w:ascii="宋体" w:hAnsi="宋体" w:eastAsia="宋体" w:cs="宋体"/>
                <w:color w:val="auto"/>
                <w:sz w:val="22"/>
                <w:szCs w:val="22"/>
                <w:highlight w:val="none"/>
                <w:lang w:val="pt-BR" w:eastAsia="zh-CN"/>
              </w:rPr>
              <w:t>分</w:t>
            </w:r>
            <w:r>
              <w:rPr>
                <w:rFonts w:hint="eastAsia" w:ascii="宋体" w:hAnsi="宋体" w:eastAsia="宋体" w:cs="宋体"/>
                <w:color w:val="auto"/>
                <w:sz w:val="22"/>
                <w:szCs w:val="22"/>
                <w:highlight w:val="none"/>
                <w:lang w:val="en-US" w:eastAsia="zh-CN"/>
              </w:rPr>
              <w:t>；</w:t>
            </w:r>
          </w:p>
          <w:p w14:paraId="2D0D6BF8">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（2）</w:t>
            </w:r>
            <w:r>
              <w:rPr>
                <w:rFonts w:hint="eastAsia" w:ascii="宋体" w:hAnsi="宋体" w:eastAsia="宋体" w:cs="宋体"/>
                <w:color w:val="auto"/>
                <w:sz w:val="22"/>
                <w:szCs w:val="22"/>
                <w:highlight w:val="none"/>
                <w:lang w:val="pt-BR" w:eastAsia="zh-CN"/>
              </w:rPr>
              <w:t>项目服务</w:t>
            </w:r>
            <w:r>
              <w:rPr>
                <w:rFonts w:hint="eastAsia" w:ascii="宋体" w:hAnsi="宋体" w:eastAsia="宋体" w:cs="宋体"/>
                <w:color w:val="auto"/>
                <w:sz w:val="22"/>
                <w:szCs w:val="22"/>
                <w:highlight w:val="none"/>
                <w:lang w:val="en-US" w:eastAsia="zh-CN"/>
              </w:rPr>
              <w:t>合同中，</w:t>
            </w:r>
            <w:r>
              <w:rPr>
                <w:rFonts w:hint="eastAsia" w:ascii="宋体" w:hAnsi="宋体" w:cs="宋体"/>
                <w:color w:val="auto"/>
                <w:sz w:val="22"/>
                <w:szCs w:val="22"/>
                <w:highlight w:val="none"/>
                <w:lang w:val="en-US" w:eastAsia="zh-CN"/>
              </w:rPr>
              <w:t>6</w:t>
            </w:r>
            <w:r>
              <w:rPr>
                <w:rFonts w:hint="eastAsia" w:ascii="宋体" w:hAnsi="宋体" w:eastAsia="宋体" w:cs="宋体"/>
                <w:color w:val="auto"/>
                <w:sz w:val="22"/>
                <w:szCs w:val="22"/>
                <w:highlight w:val="none"/>
                <w:lang w:val="en-US" w:eastAsia="zh-CN"/>
              </w:rPr>
              <w:t>00</w:t>
            </w:r>
            <w:r>
              <w:rPr>
                <w:rFonts w:hint="eastAsia" w:ascii="宋体" w:hAnsi="宋体" w:eastAsia="宋体" w:cs="宋体"/>
                <w:color w:val="auto"/>
                <w:sz w:val="22"/>
                <w:szCs w:val="22"/>
                <w:highlight w:val="none"/>
                <w:lang w:val="pt-BR" w:eastAsia="zh-CN"/>
              </w:rPr>
              <w:t>万元</w:t>
            </w:r>
            <w:r>
              <w:rPr>
                <w:rFonts w:hint="eastAsia" w:ascii="宋体" w:hAnsi="宋体" w:cs="宋体"/>
                <w:color w:val="auto"/>
                <w:sz w:val="22"/>
                <w:szCs w:val="22"/>
                <w:highlight w:val="none"/>
                <w:lang w:val="en-US" w:eastAsia="zh-CN"/>
              </w:rPr>
              <w:t>≤</w:t>
            </w:r>
            <w:r>
              <w:rPr>
                <w:rFonts w:hint="eastAsia" w:ascii="宋体" w:hAnsi="宋体" w:eastAsia="宋体" w:cs="宋体"/>
                <w:color w:val="auto"/>
                <w:sz w:val="22"/>
                <w:szCs w:val="22"/>
                <w:highlight w:val="none"/>
                <w:lang w:val="en-US" w:eastAsia="zh-CN"/>
              </w:rPr>
              <w:t>单个年度</w:t>
            </w:r>
            <w:r>
              <w:rPr>
                <w:rFonts w:hint="eastAsia" w:ascii="宋体" w:hAnsi="宋体" w:cs="宋体"/>
                <w:color w:val="auto"/>
                <w:sz w:val="22"/>
                <w:szCs w:val="22"/>
                <w:highlight w:val="none"/>
                <w:lang w:val="en-US" w:eastAsia="zh-CN"/>
              </w:rPr>
              <w:t>冻品类</w:t>
            </w:r>
            <w:r>
              <w:rPr>
                <w:rFonts w:hint="eastAsia" w:ascii="宋体" w:hAnsi="宋体" w:eastAsia="宋体" w:cs="宋体"/>
                <w:color w:val="auto"/>
                <w:sz w:val="22"/>
                <w:szCs w:val="22"/>
                <w:highlight w:val="none"/>
                <w:lang w:val="en-US" w:eastAsia="zh-CN"/>
              </w:rPr>
              <w:t>配送</w:t>
            </w:r>
            <w:r>
              <w:rPr>
                <w:rFonts w:hint="eastAsia" w:ascii="宋体" w:hAnsi="宋体" w:eastAsia="宋体" w:cs="宋体"/>
                <w:color w:val="auto"/>
                <w:sz w:val="22"/>
                <w:szCs w:val="22"/>
                <w:highlight w:val="none"/>
                <w:lang w:val="pt-BR" w:eastAsia="zh-CN"/>
              </w:rPr>
              <w:t>总金额</w:t>
            </w:r>
            <w:r>
              <w:rPr>
                <w:rFonts w:hint="eastAsia" w:ascii="宋体" w:hAnsi="宋体" w:cs="宋体"/>
                <w:color w:val="auto"/>
                <w:sz w:val="22"/>
                <w:szCs w:val="22"/>
                <w:highlight w:val="none"/>
                <w:lang w:val="en-US" w:eastAsia="zh-CN"/>
              </w:rPr>
              <w:t>＜80</w:t>
            </w:r>
            <w:r>
              <w:rPr>
                <w:rFonts w:hint="eastAsia" w:ascii="宋体" w:hAnsi="宋体" w:eastAsia="宋体" w:cs="宋体"/>
                <w:color w:val="auto"/>
                <w:sz w:val="22"/>
                <w:szCs w:val="22"/>
                <w:highlight w:val="none"/>
                <w:lang w:val="en-US" w:eastAsia="zh-CN"/>
              </w:rPr>
              <w:t>0</w:t>
            </w:r>
            <w:r>
              <w:rPr>
                <w:rFonts w:hint="eastAsia" w:ascii="宋体" w:hAnsi="宋体" w:eastAsia="宋体" w:cs="宋体"/>
                <w:color w:val="auto"/>
                <w:sz w:val="22"/>
                <w:szCs w:val="22"/>
                <w:highlight w:val="none"/>
                <w:lang w:val="pt-BR" w:eastAsia="zh-CN"/>
              </w:rPr>
              <w:t>万元，每</w:t>
            </w:r>
            <w:r>
              <w:rPr>
                <w:rFonts w:hint="eastAsia" w:ascii="宋体" w:hAnsi="宋体" w:eastAsia="宋体" w:cs="宋体"/>
                <w:color w:val="auto"/>
                <w:sz w:val="22"/>
                <w:szCs w:val="22"/>
                <w:highlight w:val="none"/>
                <w:lang w:val="en-US" w:eastAsia="zh-CN"/>
              </w:rPr>
              <w:t>份合同</w:t>
            </w:r>
            <w:r>
              <w:rPr>
                <w:rFonts w:hint="eastAsia" w:ascii="宋体" w:hAnsi="宋体" w:eastAsia="宋体" w:cs="宋体"/>
                <w:color w:val="auto"/>
                <w:sz w:val="22"/>
                <w:szCs w:val="22"/>
                <w:highlight w:val="none"/>
                <w:lang w:val="pt-BR" w:eastAsia="zh-CN"/>
              </w:rPr>
              <w:t>得</w:t>
            </w:r>
            <w:r>
              <w:rPr>
                <w:rFonts w:hint="eastAsia" w:ascii="宋体" w:hAnsi="宋体" w:cs="宋体"/>
                <w:color w:val="auto"/>
                <w:sz w:val="22"/>
                <w:szCs w:val="22"/>
                <w:highlight w:val="none"/>
                <w:lang w:val="en-US" w:eastAsia="zh-CN"/>
              </w:rPr>
              <w:t>2.5</w:t>
            </w:r>
            <w:r>
              <w:rPr>
                <w:rFonts w:hint="eastAsia" w:ascii="宋体" w:hAnsi="宋体" w:eastAsia="宋体" w:cs="宋体"/>
                <w:color w:val="auto"/>
                <w:sz w:val="22"/>
                <w:szCs w:val="22"/>
                <w:highlight w:val="none"/>
                <w:lang w:val="pt-BR" w:eastAsia="zh-CN"/>
              </w:rPr>
              <w:t>分</w:t>
            </w:r>
            <w:r>
              <w:rPr>
                <w:rFonts w:hint="eastAsia" w:ascii="宋体" w:hAnsi="宋体" w:eastAsia="宋体" w:cs="宋体"/>
                <w:color w:val="auto"/>
                <w:sz w:val="22"/>
                <w:szCs w:val="22"/>
                <w:highlight w:val="none"/>
                <w:lang w:val="en-US" w:eastAsia="zh-CN"/>
              </w:rPr>
              <w:t>；</w:t>
            </w:r>
          </w:p>
          <w:p w14:paraId="4FE353B9">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pt-BR" w:eastAsia="zh-CN"/>
              </w:rPr>
              <w:t>（</w:t>
            </w:r>
            <w:r>
              <w:rPr>
                <w:rFonts w:hint="eastAsia" w:ascii="宋体" w:hAnsi="宋体" w:cs="宋体"/>
                <w:color w:val="auto"/>
                <w:sz w:val="22"/>
                <w:szCs w:val="22"/>
                <w:highlight w:val="none"/>
                <w:lang w:val="en-US" w:eastAsia="zh-CN"/>
              </w:rPr>
              <w:t>3</w:t>
            </w:r>
            <w:r>
              <w:rPr>
                <w:rFonts w:hint="eastAsia" w:ascii="宋体" w:hAnsi="宋体" w:eastAsia="宋体" w:cs="宋体"/>
                <w:color w:val="auto"/>
                <w:sz w:val="22"/>
                <w:szCs w:val="22"/>
                <w:highlight w:val="none"/>
                <w:lang w:val="pt-BR" w:eastAsia="zh-CN"/>
              </w:rPr>
              <w:t>）项目服务</w:t>
            </w:r>
            <w:r>
              <w:rPr>
                <w:rFonts w:hint="eastAsia" w:ascii="宋体" w:hAnsi="宋体" w:eastAsia="宋体" w:cs="宋体"/>
                <w:color w:val="auto"/>
                <w:sz w:val="22"/>
                <w:szCs w:val="22"/>
                <w:highlight w:val="none"/>
                <w:lang w:val="en-US" w:eastAsia="zh-CN"/>
              </w:rPr>
              <w:t>合同中，</w:t>
            </w:r>
            <w:r>
              <w:rPr>
                <w:rFonts w:hint="eastAsia" w:ascii="宋体" w:hAnsi="宋体" w:cs="宋体"/>
                <w:color w:val="auto"/>
                <w:sz w:val="22"/>
                <w:szCs w:val="22"/>
                <w:highlight w:val="none"/>
                <w:lang w:val="en-US" w:eastAsia="zh-CN"/>
              </w:rPr>
              <w:t>4</w:t>
            </w:r>
            <w:r>
              <w:rPr>
                <w:rFonts w:hint="eastAsia" w:ascii="宋体" w:hAnsi="宋体" w:eastAsia="宋体" w:cs="宋体"/>
                <w:color w:val="auto"/>
                <w:sz w:val="22"/>
                <w:szCs w:val="22"/>
                <w:highlight w:val="none"/>
                <w:lang w:val="en-US" w:eastAsia="zh-CN"/>
              </w:rPr>
              <w:t>00</w:t>
            </w:r>
            <w:r>
              <w:rPr>
                <w:rFonts w:hint="eastAsia" w:ascii="宋体" w:hAnsi="宋体" w:eastAsia="宋体" w:cs="宋体"/>
                <w:color w:val="auto"/>
                <w:sz w:val="22"/>
                <w:szCs w:val="22"/>
                <w:highlight w:val="none"/>
                <w:lang w:val="pt-BR" w:eastAsia="zh-CN"/>
              </w:rPr>
              <w:t>万元</w:t>
            </w:r>
            <w:r>
              <w:rPr>
                <w:rFonts w:hint="eastAsia" w:ascii="宋体" w:hAnsi="宋体" w:cs="宋体"/>
                <w:color w:val="auto"/>
                <w:sz w:val="22"/>
                <w:szCs w:val="22"/>
                <w:highlight w:val="none"/>
                <w:lang w:val="en-US" w:eastAsia="zh-CN"/>
              </w:rPr>
              <w:t>≤</w:t>
            </w:r>
            <w:r>
              <w:rPr>
                <w:rFonts w:hint="eastAsia" w:ascii="宋体" w:hAnsi="宋体" w:eastAsia="宋体" w:cs="宋体"/>
                <w:color w:val="auto"/>
                <w:sz w:val="22"/>
                <w:szCs w:val="22"/>
                <w:highlight w:val="none"/>
                <w:lang w:val="en-US" w:eastAsia="zh-CN"/>
              </w:rPr>
              <w:t>单个年度</w:t>
            </w:r>
            <w:r>
              <w:rPr>
                <w:rFonts w:hint="eastAsia" w:ascii="宋体" w:hAnsi="宋体" w:cs="宋体"/>
                <w:color w:val="auto"/>
                <w:sz w:val="22"/>
                <w:szCs w:val="22"/>
                <w:highlight w:val="none"/>
                <w:lang w:val="en-US" w:eastAsia="zh-CN"/>
              </w:rPr>
              <w:t>冻品类</w:t>
            </w:r>
            <w:r>
              <w:rPr>
                <w:rFonts w:hint="eastAsia" w:ascii="宋体" w:hAnsi="宋体" w:eastAsia="宋体" w:cs="宋体"/>
                <w:color w:val="auto"/>
                <w:sz w:val="22"/>
                <w:szCs w:val="22"/>
                <w:highlight w:val="none"/>
                <w:lang w:val="en-US" w:eastAsia="zh-CN"/>
              </w:rPr>
              <w:t>配送</w:t>
            </w:r>
            <w:r>
              <w:rPr>
                <w:rFonts w:hint="eastAsia" w:ascii="宋体" w:hAnsi="宋体" w:eastAsia="宋体" w:cs="宋体"/>
                <w:color w:val="auto"/>
                <w:sz w:val="22"/>
                <w:szCs w:val="22"/>
                <w:highlight w:val="none"/>
                <w:lang w:val="pt-BR" w:eastAsia="zh-CN"/>
              </w:rPr>
              <w:t>总金额</w:t>
            </w:r>
            <w:r>
              <w:rPr>
                <w:rFonts w:hint="eastAsia" w:ascii="宋体" w:hAnsi="宋体" w:cs="宋体"/>
                <w:color w:val="auto"/>
                <w:sz w:val="22"/>
                <w:szCs w:val="22"/>
                <w:highlight w:val="none"/>
                <w:lang w:val="en-US" w:eastAsia="zh-CN"/>
              </w:rPr>
              <w:t>＜60</w:t>
            </w:r>
            <w:r>
              <w:rPr>
                <w:rFonts w:hint="eastAsia" w:ascii="宋体" w:hAnsi="宋体" w:eastAsia="宋体" w:cs="宋体"/>
                <w:color w:val="auto"/>
                <w:sz w:val="22"/>
                <w:szCs w:val="22"/>
                <w:highlight w:val="none"/>
                <w:lang w:val="en-US" w:eastAsia="zh-CN"/>
              </w:rPr>
              <w:t>0</w:t>
            </w:r>
            <w:r>
              <w:rPr>
                <w:rFonts w:hint="eastAsia" w:ascii="宋体" w:hAnsi="宋体" w:eastAsia="宋体" w:cs="宋体"/>
                <w:color w:val="auto"/>
                <w:sz w:val="22"/>
                <w:szCs w:val="22"/>
                <w:highlight w:val="none"/>
                <w:lang w:val="pt-BR" w:eastAsia="zh-CN"/>
              </w:rPr>
              <w:t>万元的前述业绩，每份合</w:t>
            </w:r>
            <w:r>
              <w:rPr>
                <w:rFonts w:hint="eastAsia" w:ascii="宋体" w:hAnsi="宋体" w:eastAsia="宋体" w:cs="宋体"/>
                <w:color w:val="auto"/>
                <w:sz w:val="22"/>
                <w:szCs w:val="22"/>
                <w:highlight w:val="none"/>
                <w:lang w:val="en-US" w:eastAsia="zh-CN"/>
              </w:rPr>
              <w:t>同</w:t>
            </w:r>
            <w:r>
              <w:rPr>
                <w:rFonts w:hint="eastAsia" w:ascii="宋体" w:hAnsi="宋体" w:eastAsia="宋体" w:cs="宋体"/>
                <w:color w:val="auto"/>
                <w:sz w:val="22"/>
                <w:szCs w:val="22"/>
                <w:highlight w:val="none"/>
                <w:lang w:val="pt-BR" w:eastAsia="zh-CN"/>
              </w:rPr>
              <w:t>得</w:t>
            </w:r>
            <w:r>
              <w:rPr>
                <w:rFonts w:hint="eastAsia" w:ascii="宋体" w:hAnsi="宋体" w:cs="宋体"/>
                <w:color w:val="auto"/>
                <w:sz w:val="22"/>
                <w:szCs w:val="22"/>
                <w:highlight w:val="none"/>
                <w:lang w:val="en-US" w:eastAsia="zh-CN"/>
              </w:rPr>
              <w:t>2</w:t>
            </w:r>
            <w:r>
              <w:rPr>
                <w:rFonts w:hint="eastAsia" w:ascii="宋体" w:hAnsi="宋体" w:eastAsia="宋体" w:cs="宋体"/>
                <w:color w:val="auto"/>
                <w:sz w:val="22"/>
                <w:szCs w:val="22"/>
                <w:highlight w:val="none"/>
                <w:lang w:val="pt-BR" w:eastAsia="zh-CN"/>
              </w:rPr>
              <w:t>分</w:t>
            </w:r>
            <w:r>
              <w:rPr>
                <w:rFonts w:hint="eastAsia" w:ascii="宋体" w:hAnsi="宋体" w:eastAsia="宋体" w:cs="宋体"/>
                <w:color w:val="auto"/>
                <w:sz w:val="22"/>
                <w:szCs w:val="22"/>
                <w:highlight w:val="none"/>
                <w:lang w:val="en-US" w:eastAsia="zh-CN"/>
              </w:rPr>
              <w:t>；</w:t>
            </w:r>
          </w:p>
          <w:p w14:paraId="3A0A7AC3">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w:t>
            </w:r>
            <w:r>
              <w:rPr>
                <w:rFonts w:hint="eastAsia" w:ascii="宋体" w:hAnsi="宋体" w:cs="宋体"/>
                <w:color w:val="auto"/>
                <w:sz w:val="22"/>
                <w:szCs w:val="22"/>
                <w:highlight w:val="none"/>
                <w:lang w:val="en-US" w:eastAsia="zh-CN"/>
              </w:rPr>
              <w:t>4</w:t>
            </w:r>
            <w:r>
              <w:rPr>
                <w:rFonts w:hint="eastAsia" w:ascii="宋体" w:hAnsi="宋体" w:eastAsia="宋体" w:cs="宋体"/>
                <w:color w:val="auto"/>
                <w:sz w:val="22"/>
                <w:szCs w:val="22"/>
                <w:highlight w:val="none"/>
                <w:lang w:val="en-US" w:eastAsia="zh-CN"/>
              </w:rPr>
              <w:t>）</w:t>
            </w:r>
            <w:r>
              <w:rPr>
                <w:rFonts w:hint="eastAsia" w:ascii="宋体" w:hAnsi="宋体" w:eastAsia="宋体" w:cs="宋体"/>
                <w:color w:val="auto"/>
                <w:sz w:val="22"/>
                <w:szCs w:val="22"/>
                <w:highlight w:val="none"/>
                <w:lang w:val="pt-BR" w:eastAsia="zh-CN"/>
              </w:rPr>
              <w:t>项目服务</w:t>
            </w:r>
            <w:r>
              <w:rPr>
                <w:rFonts w:hint="eastAsia" w:ascii="宋体" w:hAnsi="宋体" w:eastAsia="宋体" w:cs="宋体"/>
                <w:color w:val="auto"/>
                <w:sz w:val="22"/>
                <w:szCs w:val="22"/>
                <w:highlight w:val="none"/>
                <w:lang w:val="en-US" w:eastAsia="zh-CN"/>
              </w:rPr>
              <w:t>合同中，</w:t>
            </w:r>
            <w:r>
              <w:rPr>
                <w:rFonts w:hint="eastAsia" w:ascii="宋体" w:hAnsi="宋体" w:cs="宋体"/>
                <w:color w:val="auto"/>
                <w:sz w:val="22"/>
                <w:szCs w:val="22"/>
                <w:highlight w:val="none"/>
                <w:lang w:val="en-US" w:eastAsia="zh-CN"/>
              </w:rPr>
              <w:t>3</w:t>
            </w:r>
            <w:r>
              <w:rPr>
                <w:rFonts w:hint="eastAsia" w:ascii="宋体" w:hAnsi="宋体" w:eastAsia="宋体" w:cs="宋体"/>
                <w:color w:val="auto"/>
                <w:sz w:val="22"/>
                <w:szCs w:val="22"/>
                <w:highlight w:val="none"/>
                <w:lang w:val="en-US" w:eastAsia="zh-CN"/>
              </w:rPr>
              <w:t>00</w:t>
            </w:r>
            <w:r>
              <w:rPr>
                <w:rFonts w:hint="eastAsia" w:ascii="宋体" w:hAnsi="宋体" w:eastAsia="宋体" w:cs="宋体"/>
                <w:color w:val="auto"/>
                <w:sz w:val="22"/>
                <w:szCs w:val="22"/>
                <w:highlight w:val="none"/>
                <w:lang w:val="pt-BR" w:eastAsia="zh-CN"/>
              </w:rPr>
              <w:t>万元</w:t>
            </w:r>
            <w:r>
              <w:rPr>
                <w:rFonts w:hint="eastAsia" w:ascii="宋体" w:hAnsi="宋体" w:cs="宋体"/>
                <w:color w:val="auto"/>
                <w:sz w:val="22"/>
                <w:szCs w:val="22"/>
                <w:highlight w:val="none"/>
                <w:lang w:val="en-US" w:eastAsia="zh-CN"/>
              </w:rPr>
              <w:t>≤</w:t>
            </w:r>
            <w:r>
              <w:rPr>
                <w:rFonts w:hint="eastAsia" w:ascii="宋体" w:hAnsi="宋体" w:eastAsia="宋体" w:cs="宋体"/>
                <w:color w:val="auto"/>
                <w:sz w:val="22"/>
                <w:szCs w:val="22"/>
                <w:highlight w:val="none"/>
                <w:lang w:val="en-US" w:eastAsia="zh-CN"/>
              </w:rPr>
              <w:t>单个年度</w:t>
            </w:r>
            <w:r>
              <w:rPr>
                <w:rFonts w:hint="eastAsia" w:ascii="宋体" w:hAnsi="宋体" w:cs="宋体"/>
                <w:color w:val="auto"/>
                <w:sz w:val="22"/>
                <w:szCs w:val="22"/>
                <w:highlight w:val="none"/>
                <w:lang w:val="en-US" w:eastAsia="zh-CN"/>
              </w:rPr>
              <w:t>冻品类</w:t>
            </w:r>
            <w:r>
              <w:rPr>
                <w:rFonts w:hint="eastAsia" w:ascii="宋体" w:hAnsi="宋体" w:eastAsia="宋体" w:cs="宋体"/>
                <w:color w:val="auto"/>
                <w:sz w:val="22"/>
                <w:szCs w:val="22"/>
                <w:highlight w:val="none"/>
                <w:lang w:val="en-US" w:eastAsia="zh-CN"/>
              </w:rPr>
              <w:t>配送</w:t>
            </w:r>
            <w:r>
              <w:rPr>
                <w:rFonts w:hint="eastAsia" w:ascii="宋体" w:hAnsi="宋体" w:eastAsia="宋体" w:cs="宋体"/>
                <w:color w:val="auto"/>
                <w:sz w:val="22"/>
                <w:szCs w:val="22"/>
                <w:highlight w:val="none"/>
                <w:lang w:val="pt-BR" w:eastAsia="zh-CN"/>
              </w:rPr>
              <w:t>总金额</w:t>
            </w:r>
            <w:r>
              <w:rPr>
                <w:rFonts w:hint="eastAsia" w:ascii="宋体" w:hAnsi="宋体" w:cs="宋体"/>
                <w:color w:val="auto"/>
                <w:sz w:val="22"/>
                <w:szCs w:val="22"/>
                <w:highlight w:val="none"/>
                <w:lang w:val="en-US" w:eastAsia="zh-CN"/>
              </w:rPr>
              <w:t>＜40</w:t>
            </w:r>
            <w:r>
              <w:rPr>
                <w:rFonts w:hint="eastAsia" w:ascii="宋体" w:hAnsi="宋体" w:eastAsia="宋体" w:cs="宋体"/>
                <w:color w:val="auto"/>
                <w:sz w:val="22"/>
                <w:szCs w:val="22"/>
                <w:highlight w:val="none"/>
                <w:lang w:val="en-US" w:eastAsia="zh-CN"/>
              </w:rPr>
              <w:t>0</w:t>
            </w:r>
            <w:r>
              <w:rPr>
                <w:rFonts w:hint="eastAsia" w:ascii="宋体" w:hAnsi="宋体" w:eastAsia="宋体" w:cs="宋体"/>
                <w:color w:val="auto"/>
                <w:sz w:val="22"/>
                <w:szCs w:val="22"/>
                <w:highlight w:val="none"/>
                <w:lang w:val="pt-BR" w:eastAsia="zh-CN"/>
              </w:rPr>
              <w:t>万元的前述业绩，每</w:t>
            </w:r>
            <w:r>
              <w:rPr>
                <w:rFonts w:hint="eastAsia" w:ascii="宋体" w:hAnsi="宋体" w:eastAsia="宋体" w:cs="宋体"/>
                <w:color w:val="auto"/>
                <w:sz w:val="22"/>
                <w:szCs w:val="22"/>
                <w:highlight w:val="none"/>
                <w:lang w:val="en-US" w:eastAsia="zh-CN"/>
              </w:rPr>
              <w:t>份合同</w:t>
            </w:r>
            <w:r>
              <w:rPr>
                <w:rFonts w:hint="eastAsia" w:ascii="宋体" w:hAnsi="宋体" w:eastAsia="宋体" w:cs="宋体"/>
                <w:color w:val="auto"/>
                <w:sz w:val="22"/>
                <w:szCs w:val="22"/>
                <w:highlight w:val="none"/>
                <w:lang w:val="pt-BR" w:eastAsia="zh-CN"/>
              </w:rPr>
              <w:t>得</w:t>
            </w:r>
            <w:r>
              <w:rPr>
                <w:rFonts w:hint="eastAsia" w:ascii="宋体" w:hAnsi="宋体" w:cs="宋体"/>
                <w:color w:val="auto"/>
                <w:sz w:val="22"/>
                <w:szCs w:val="22"/>
                <w:highlight w:val="none"/>
                <w:lang w:val="en-US" w:eastAsia="zh-CN"/>
              </w:rPr>
              <w:t>1.5</w:t>
            </w:r>
            <w:r>
              <w:rPr>
                <w:rFonts w:hint="eastAsia" w:ascii="宋体" w:hAnsi="宋体" w:eastAsia="宋体" w:cs="宋体"/>
                <w:color w:val="auto"/>
                <w:sz w:val="22"/>
                <w:szCs w:val="22"/>
                <w:highlight w:val="none"/>
                <w:lang w:val="pt-BR" w:eastAsia="zh-CN"/>
              </w:rPr>
              <w:t>分</w:t>
            </w:r>
            <w:r>
              <w:rPr>
                <w:rFonts w:hint="eastAsia" w:ascii="宋体" w:hAnsi="宋体" w:eastAsia="宋体" w:cs="宋体"/>
                <w:color w:val="auto"/>
                <w:sz w:val="22"/>
                <w:szCs w:val="22"/>
                <w:highlight w:val="none"/>
                <w:lang w:val="en-US" w:eastAsia="zh-CN"/>
              </w:rPr>
              <w:t>；</w:t>
            </w:r>
          </w:p>
          <w:p w14:paraId="5CCB8AEE">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w:t>
            </w:r>
            <w:r>
              <w:rPr>
                <w:rFonts w:hint="eastAsia" w:ascii="宋体" w:hAnsi="宋体" w:cs="宋体"/>
                <w:color w:val="auto"/>
                <w:sz w:val="22"/>
                <w:szCs w:val="22"/>
                <w:highlight w:val="none"/>
                <w:lang w:val="en-US" w:eastAsia="zh-CN"/>
              </w:rPr>
              <w:t>5</w:t>
            </w:r>
            <w:r>
              <w:rPr>
                <w:rFonts w:hint="eastAsia" w:ascii="宋体" w:hAnsi="宋体" w:eastAsia="宋体" w:cs="宋体"/>
                <w:color w:val="auto"/>
                <w:sz w:val="22"/>
                <w:szCs w:val="22"/>
                <w:highlight w:val="none"/>
                <w:lang w:val="en-US" w:eastAsia="zh-CN"/>
              </w:rPr>
              <w:t>）</w:t>
            </w:r>
            <w:r>
              <w:rPr>
                <w:rFonts w:hint="eastAsia" w:ascii="宋体" w:hAnsi="宋体" w:eastAsia="宋体" w:cs="宋体"/>
                <w:color w:val="auto"/>
                <w:sz w:val="22"/>
                <w:szCs w:val="22"/>
                <w:highlight w:val="none"/>
                <w:lang w:val="pt-BR" w:eastAsia="zh-CN"/>
              </w:rPr>
              <w:t>项目服务</w:t>
            </w:r>
            <w:r>
              <w:rPr>
                <w:rFonts w:hint="eastAsia" w:ascii="宋体" w:hAnsi="宋体" w:eastAsia="宋体" w:cs="宋体"/>
                <w:color w:val="auto"/>
                <w:sz w:val="22"/>
                <w:szCs w:val="22"/>
                <w:highlight w:val="none"/>
                <w:lang w:val="en-US" w:eastAsia="zh-CN"/>
              </w:rPr>
              <w:t>合同中，</w:t>
            </w:r>
            <w:r>
              <w:rPr>
                <w:rFonts w:hint="eastAsia" w:ascii="宋体" w:hAnsi="宋体" w:cs="宋体"/>
                <w:color w:val="auto"/>
                <w:sz w:val="22"/>
                <w:szCs w:val="22"/>
                <w:highlight w:val="none"/>
                <w:lang w:val="en-US" w:eastAsia="zh-CN"/>
              </w:rPr>
              <w:t>2</w:t>
            </w:r>
            <w:r>
              <w:rPr>
                <w:rFonts w:hint="eastAsia" w:ascii="宋体" w:hAnsi="宋体" w:eastAsia="宋体" w:cs="宋体"/>
                <w:color w:val="auto"/>
                <w:sz w:val="22"/>
                <w:szCs w:val="22"/>
                <w:highlight w:val="none"/>
                <w:lang w:val="en-US" w:eastAsia="zh-CN"/>
              </w:rPr>
              <w:t>00</w:t>
            </w:r>
            <w:r>
              <w:rPr>
                <w:rFonts w:hint="eastAsia" w:ascii="宋体" w:hAnsi="宋体" w:eastAsia="宋体" w:cs="宋体"/>
                <w:color w:val="auto"/>
                <w:sz w:val="22"/>
                <w:szCs w:val="22"/>
                <w:highlight w:val="none"/>
                <w:lang w:val="pt-BR" w:eastAsia="zh-CN"/>
              </w:rPr>
              <w:t>万元</w:t>
            </w:r>
            <w:r>
              <w:rPr>
                <w:rFonts w:hint="eastAsia" w:ascii="宋体" w:hAnsi="宋体" w:cs="宋体"/>
                <w:color w:val="auto"/>
                <w:sz w:val="22"/>
                <w:szCs w:val="22"/>
                <w:highlight w:val="none"/>
                <w:lang w:val="en-US" w:eastAsia="zh-CN"/>
              </w:rPr>
              <w:t>≤</w:t>
            </w:r>
            <w:r>
              <w:rPr>
                <w:rFonts w:hint="eastAsia" w:ascii="宋体" w:hAnsi="宋体" w:eastAsia="宋体" w:cs="宋体"/>
                <w:color w:val="auto"/>
                <w:sz w:val="22"/>
                <w:szCs w:val="22"/>
                <w:highlight w:val="none"/>
                <w:lang w:val="en-US" w:eastAsia="zh-CN"/>
              </w:rPr>
              <w:t>单个年度</w:t>
            </w:r>
            <w:r>
              <w:rPr>
                <w:rFonts w:hint="eastAsia" w:ascii="宋体" w:hAnsi="宋体" w:cs="宋体"/>
                <w:color w:val="auto"/>
                <w:sz w:val="22"/>
                <w:szCs w:val="22"/>
                <w:highlight w:val="none"/>
                <w:lang w:val="en-US" w:eastAsia="zh-CN"/>
              </w:rPr>
              <w:t>冻品类</w:t>
            </w:r>
            <w:r>
              <w:rPr>
                <w:rFonts w:hint="eastAsia" w:ascii="宋体" w:hAnsi="宋体" w:eastAsia="宋体" w:cs="宋体"/>
                <w:color w:val="auto"/>
                <w:sz w:val="22"/>
                <w:szCs w:val="22"/>
                <w:highlight w:val="none"/>
                <w:lang w:val="en-US" w:eastAsia="zh-CN"/>
              </w:rPr>
              <w:t>配送</w:t>
            </w:r>
            <w:r>
              <w:rPr>
                <w:rFonts w:hint="eastAsia" w:ascii="宋体" w:hAnsi="宋体" w:eastAsia="宋体" w:cs="宋体"/>
                <w:color w:val="auto"/>
                <w:sz w:val="22"/>
                <w:szCs w:val="22"/>
                <w:highlight w:val="none"/>
                <w:lang w:val="pt-BR" w:eastAsia="zh-CN"/>
              </w:rPr>
              <w:t>总金额</w:t>
            </w:r>
            <w:r>
              <w:rPr>
                <w:rFonts w:hint="eastAsia" w:ascii="宋体" w:hAnsi="宋体" w:cs="宋体"/>
                <w:color w:val="auto"/>
                <w:sz w:val="22"/>
                <w:szCs w:val="22"/>
                <w:highlight w:val="none"/>
                <w:lang w:val="en-US" w:eastAsia="zh-CN"/>
              </w:rPr>
              <w:t>＜30</w:t>
            </w:r>
            <w:r>
              <w:rPr>
                <w:rFonts w:hint="eastAsia" w:ascii="宋体" w:hAnsi="宋体" w:eastAsia="宋体" w:cs="宋体"/>
                <w:color w:val="auto"/>
                <w:sz w:val="22"/>
                <w:szCs w:val="22"/>
                <w:highlight w:val="none"/>
                <w:lang w:val="en-US" w:eastAsia="zh-CN"/>
              </w:rPr>
              <w:t>0</w:t>
            </w:r>
            <w:r>
              <w:rPr>
                <w:rFonts w:hint="eastAsia" w:ascii="宋体" w:hAnsi="宋体" w:eastAsia="宋体" w:cs="宋体"/>
                <w:color w:val="auto"/>
                <w:sz w:val="22"/>
                <w:szCs w:val="22"/>
                <w:highlight w:val="none"/>
                <w:lang w:val="pt-BR" w:eastAsia="zh-CN"/>
              </w:rPr>
              <w:t>万元的前述业绩，每</w:t>
            </w:r>
            <w:r>
              <w:rPr>
                <w:rFonts w:hint="eastAsia" w:ascii="宋体" w:hAnsi="宋体" w:eastAsia="宋体" w:cs="宋体"/>
                <w:color w:val="auto"/>
                <w:sz w:val="22"/>
                <w:szCs w:val="22"/>
                <w:highlight w:val="none"/>
                <w:lang w:val="en-US" w:eastAsia="zh-CN"/>
              </w:rPr>
              <w:t>份合同</w:t>
            </w:r>
            <w:r>
              <w:rPr>
                <w:rFonts w:hint="eastAsia" w:ascii="宋体" w:hAnsi="宋体" w:eastAsia="宋体" w:cs="宋体"/>
                <w:color w:val="auto"/>
                <w:sz w:val="22"/>
                <w:szCs w:val="22"/>
                <w:highlight w:val="none"/>
                <w:lang w:val="pt-BR" w:eastAsia="zh-CN"/>
              </w:rPr>
              <w:t>得</w:t>
            </w:r>
            <w:r>
              <w:rPr>
                <w:rFonts w:hint="eastAsia" w:ascii="宋体" w:hAnsi="宋体" w:cs="宋体"/>
                <w:color w:val="auto"/>
                <w:sz w:val="22"/>
                <w:szCs w:val="22"/>
                <w:highlight w:val="none"/>
                <w:lang w:val="en-US" w:eastAsia="zh-CN"/>
              </w:rPr>
              <w:t>1</w:t>
            </w:r>
            <w:r>
              <w:rPr>
                <w:rFonts w:hint="eastAsia" w:ascii="宋体" w:hAnsi="宋体" w:eastAsia="宋体" w:cs="宋体"/>
                <w:color w:val="auto"/>
                <w:sz w:val="22"/>
                <w:szCs w:val="22"/>
                <w:highlight w:val="none"/>
                <w:lang w:val="pt-BR" w:eastAsia="zh-CN"/>
              </w:rPr>
              <w:t>分</w:t>
            </w:r>
            <w:r>
              <w:rPr>
                <w:rFonts w:hint="eastAsia" w:ascii="宋体" w:hAnsi="宋体" w:eastAsia="宋体" w:cs="宋体"/>
                <w:color w:val="auto"/>
                <w:sz w:val="22"/>
                <w:szCs w:val="22"/>
                <w:highlight w:val="none"/>
                <w:lang w:val="en-US" w:eastAsia="zh-CN"/>
              </w:rPr>
              <w:t>；</w:t>
            </w:r>
          </w:p>
          <w:p w14:paraId="66865C50">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default" w:ascii="宋体" w:hAnsi="宋体" w:eastAsia="宋体" w:cs="宋体"/>
                <w:b w:val="0"/>
                <w:bCs w:val="0"/>
                <w:color w:val="auto"/>
                <w:sz w:val="22"/>
                <w:szCs w:val="22"/>
                <w:highlight w:val="none"/>
                <w:lang w:val="en-US" w:eastAsia="zh-CN"/>
              </w:rPr>
            </w:pPr>
            <w:r>
              <w:rPr>
                <w:rFonts w:hint="eastAsia" w:ascii="宋体" w:hAnsi="宋体" w:cs="宋体"/>
                <w:b w:val="0"/>
                <w:bCs w:val="0"/>
                <w:color w:val="auto"/>
                <w:sz w:val="22"/>
                <w:szCs w:val="22"/>
                <w:highlight w:val="none"/>
                <w:lang w:val="en-US" w:eastAsia="zh-CN"/>
              </w:rPr>
              <w:t>（6）其它情况不得分。</w:t>
            </w:r>
          </w:p>
          <w:p w14:paraId="3175B8E8">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注：</w:t>
            </w:r>
          </w:p>
          <w:p w14:paraId="0FA73514">
            <w:pPr>
              <w:keepNext w:val="0"/>
              <w:keepLines w:val="0"/>
              <w:pageBreakBefore w:val="0"/>
              <w:widowControl/>
              <w:numPr>
                <w:ilvl w:val="0"/>
                <w:numId w:val="0"/>
              </w:numPr>
              <w:shd w:val="clear"/>
              <w:kinsoku/>
              <w:wordWrap/>
              <w:overflowPunct/>
              <w:topLinePunct w:val="0"/>
              <w:autoSpaceDE/>
              <w:autoSpaceDN/>
              <w:bidi w:val="0"/>
              <w:spacing w:after="0" w:line="440" w:lineRule="exact"/>
              <w:ind w:firstLine="0" w:firstLineChars="0"/>
              <w:textAlignment w:val="auto"/>
              <w:rPr>
                <w:rFonts w:hint="default" w:ascii="宋体" w:hAnsi="宋体" w:cs="宋体"/>
                <w:b/>
                <w:bCs/>
                <w:color w:val="auto"/>
                <w:sz w:val="22"/>
                <w:szCs w:val="22"/>
                <w:highlight w:val="none"/>
                <w:lang w:val="en-US" w:eastAsia="zh-CN"/>
              </w:rPr>
            </w:pPr>
            <w:r>
              <w:rPr>
                <w:rFonts w:hint="eastAsia" w:ascii="宋体" w:hAnsi="宋体" w:cs="宋体"/>
                <w:b/>
                <w:bCs/>
                <w:color w:val="auto"/>
                <w:sz w:val="22"/>
                <w:szCs w:val="22"/>
                <w:highlight w:val="none"/>
                <w:lang w:val="en-US" w:eastAsia="zh-CN"/>
              </w:rPr>
              <w:t>（1）①食堂配送类或食堂经营类或食堂承包类合同不得分；②大型商超业绩以单个营业点的配送（供货）金额作为评分标准，若同一份合同为多个营业点提供配送（供货）服务的，只对配送（供货）金额最高营业点计算得分，无法区分单个营业点配送（供货）金额的业绩不得分。</w:t>
            </w:r>
          </w:p>
          <w:p w14:paraId="66085C3D">
            <w:pPr>
              <w:keepNext w:val="0"/>
              <w:keepLines w:val="0"/>
              <w:pageBreakBefore w:val="0"/>
              <w:widowControl/>
              <w:numPr>
                <w:ilvl w:val="0"/>
                <w:numId w:val="0"/>
              </w:numPr>
              <w:shd w:val="clear"/>
              <w:kinsoku/>
              <w:wordWrap/>
              <w:overflowPunct/>
              <w:topLinePunct w:val="0"/>
              <w:autoSpaceDE/>
              <w:autoSpaceDN/>
              <w:bidi w:val="0"/>
              <w:spacing w:after="0" w:line="440" w:lineRule="exact"/>
              <w:ind w:firstLine="0" w:firstLineChars="0"/>
              <w:textAlignment w:val="auto"/>
              <w:rPr>
                <w:rFonts w:hint="eastAsia" w:ascii="宋体" w:hAnsi="宋体" w:eastAsia="宋体" w:cs="宋体"/>
                <w:b/>
                <w:bCs/>
                <w:color w:val="auto"/>
                <w:sz w:val="22"/>
                <w:szCs w:val="22"/>
                <w:highlight w:val="none"/>
                <w:lang w:val="en-US" w:eastAsia="zh-CN"/>
              </w:rPr>
            </w:pPr>
            <w:r>
              <w:rPr>
                <w:rFonts w:hint="eastAsia" w:ascii="宋体" w:hAnsi="宋体" w:cs="宋体"/>
                <w:b/>
                <w:bCs/>
                <w:color w:val="auto"/>
                <w:sz w:val="22"/>
                <w:szCs w:val="22"/>
                <w:highlight w:val="none"/>
                <w:lang w:val="en-US" w:eastAsia="zh-CN"/>
              </w:rPr>
              <w:t>（2）</w:t>
            </w:r>
            <w:r>
              <w:rPr>
                <w:rFonts w:hint="eastAsia" w:ascii="宋体" w:hAnsi="宋体" w:eastAsia="宋体" w:cs="宋体"/>
                <w:b/>
                <w:bCs/>
                <w:color w:val="auto"/>
                <w:sz w:val="22"/>
                <w:szCs w:val="22"/>
                <w:highlight w:val="none"/>
                <w:lang w:val="en-US" w:eastAsia="zh-CN"/>
              </w:rPr>
              <w:t>同一业主单位的多份合同不得重复得分，只计算最高得分。业绩须附合同复印件及合同期内任意一期发票</w:t>
            </w:r>
            <w:r>
              <w:rPr>
                <w:rFonts w:hint="eastAsia" w:ascii="宋体" w:hAnsi="宋体" w:cs="宋体"/>
                <w:b/>
                <w:bCs/>
                <w:color w:val="auto"/>
                <w:sz w:val="22"/>
                <w:szCs w:val="22"/>
                <w:highlight w:val="none"/>
                <w:lang w:val="en-US" w:eastAsia="zh-CN"/>
              </w:rPr>
              <w:t>（发票</w:t>
            </w:r>
            <w:r>
              <w:rPr>
                <w:rFonts w:hint="eastAsia" w:ascii="宋体" w:hAnsi="宋体" w:eastAsia="宋体" w:cs="宋体"/>
                <w:b/>
                <w:bCs/>
                <w:color w:val="auto"/>
                <w:sz w:val="22"/>
                <w:szCs w:val="22"/>
                <w:highlight w:val="none"/>
                <w:lang w:val="pt-BR" w:eastAsia="zh-CN"/>
              </w:rPr>
              <w:t>内容含冻品</w:t>
            </w:r>
            <w:r>
              <w:rPr>
                <w:rFonts w:hint="eastAsia" w:ascii="宋体" w:hAnsi="宋体" w:cs="宋体"/>
                <w:b/>
                <w:bCs/>
                <w:color w:val="auto"/>
                <w:sz w:val="22"/>
                <w:szCs w:val="22"/>
                <w:highlight w:val="none"/>
                <w:lang w:val="pt-BR" w:eastAsia="zh-CN"/>
              </w:rPr>
              <w:t>类</w:t>
            </w:r>
            <w:r>
              <w:rPr>
                <w:rFonts w:hint="eastAsia" w:ascii="宋体" w:hAnsi="宋体" w:cs="宋体"/>
                <w:b/>
                <w:bCs/>
                <w:color w:val="auto"/>
                <w:sz w:val="22"/>
                <w:szCs w:val="22"/>
                <w:highlight w:val="none"/>
                <w:lang w:val="en-US" w:eastAsia="zh-CN"/>
              </w:rPr>
              <w:t>）</w:t>
            </w:r>
            <w:r>
              <w:rPr>
                <w:rFonts w:hint="eastAsia" w:ascii="宋体" w:hAnsi="宋体" w:eastAsia="宋体" w:cs="宋体"/>
                <w:b/>
                <w:bCs/>
                <w:color w:val="auto"/>
                <w:sz w:val="22"/>
                <w:szCs w:val="22"/>
                <w:highlight w:val="none"/>
                <w:lang w:val="en-US" w:eastAsia="zh-CN"/>
              </w:rPr>
              <w:t>，加盖投标人公章；</w:t>
            </w:r>
          </w:p>
          <w:p w14:paraId="3C88BB86">
            <w:pPr>
              <w:keepNext w:val="0"/>
              <w:keepLines w:val="0"/>
              <w:pageBreakBefore w:val="0"/>
              <w:widowControl/>
              <w:numPr>
                <w:ilvl w:val="0"/>
                <w:numId w:val="0"/>
              </w:numPr>
              <w:shd w:val="clear"/>
              <w:kinsoku/>
              <w:wordWrap/>
              <w:overflowPunct/>
              <w:topLinePunct w:val="0"/>
              <w:autoSpaceDE/>
              <w:autoSpaceDN/>
              <w:bidi w:val="0"/>
              <w:spacing w:after="0" w:line="440" w:lineRule="exact"/>
              <w:ind w:firstLine="0" w:firstLineChars="0"/>
              <w:textAlignment w:val="auto"/>
              <w:rPr>
                <w:rFonts w:hint="eastAsia" w:ascii="宋体" w:hAnsi="宋体" w:eastAsia="宋体" w:cs="宋体"/>
                <w:b/>
                <w:bCs/>
                <w:color w:val="auto"/>
                <w:sz w:val="22"/>
                <w:szCs w:val="22"/>
                <w:highlight w:val="none"/>
                <w:lang w:val="en-US" w:eastAsia="zh-CN"/>
              </w:rPr>
            </w:pPr>
            <w:r>
              <w:rPr>
                <w:rFonts w:hint="eastAsia" w:ascii="宋体" w:hAnsi="宋体" w:cs="宋体"/>
                <w:b/>
                <w:bCs/>
                <w:color w:val="auto"/>
                <w:sz w:val="22"/>
                <w:szCs w:val="22"/>
                <w:highlight w:val="none"/>
                <w:lang w:val="en-US" w:eastAsia="zh-CN"/>
              </w:rPr>
              <w:t>（3）所提供的</w:t>
            </w:r>
            <w:r>
              <w:rPr>
                <w:rFonts w:hint="eastAsia" w:ascii="宋体" w:hAnsi="宋体" w:eastAsia="宋体" w:cs="宋体"/>
                <w:b/>
                <w:bCs/>
                <w:color w:val="auto"/>
                <w:sz w:val="22"/>
                <w:szCs w:val="22"/>
                <w:highlight w:val="none"/>
                <w:lang w:val="en-US" w:eastAsia="zh-CN"/>
              </w:rPr>
              <w:t>合同</w:t>
            </w:r>
            <w:r>
              <w:rPr>
                <w:rFonts w:hint="eastAsia" w:ascii="宋体" w:hAnsi="宋体" w:cs="宋体"/>
                <w:b/>
                <w:bCs/>
                <w:color w:val="auto"/>
                <w:sz w:val="22"/>
                <w:szCs w:val="22"/>
                <w:highlight w:val="none"/>
                <w:lang w:val="en-US" w:eastAsia="zh-CN"/>
              </w:rPr>
              <w:t>复印件</w:t>
            </w:r>
            <w:r>
              <w:rPr>
                <w:rFonts w:hint="eastAsia" w:ascii="宋体" w:hAnsi="宋体" w:eastAsia="宋体" w:cs="宋体"/>
                <w:b/>
                <w:bCs/>
                <w:color w:val="auto"/>
                <w:sz w:val="22"/>
                <w:szCs w:val="22"/>
                <w:highlight w:val="none"/>
                <w:lang w:val="en-US" w:eastAsia="zh-CN"/>
              </w:rPr>
              <w:t>必须能反映评分条件（合同签订日期为2023年1月1日或以后，配送</w:t>
            </w:r>
            <w:r>
              <w:rPr>
                <w:rFonts w:hint="eastAsia" w:ascii="宋体" w:hAnsi="宋体" w:cs="宋体"/>
                <w:b/>
                <w:bCs/>
                <w:color w:val="auto"/>
                <w:sz w:val="22"/>
                <w:szCs w:val="22"/>
                <w:highlight w:val="none"/>
                <w:lang w:val="en-US" w:eastAsia="zh-CN"/>
              </w:rPr>
              <w:t>（供货）</w:t>
            </w:r>
            <w:r>
              <w:rPr>
                <w:rFonts w:hint="eastAsia" w:ascii="宋体" w:hAnsi="宋体" w:eastAsia="宋体" w:cs="宋体"/>
                <w:b/>
                <w:bCs/>
                <w:color w:val="auto"/>
                <w:sz w:val="22"/>
                <w:szCs w:val="22"/>
                <w:highlight w:val="none"/>
                <w:lang w:val="en-US" w:eastAsia="zh-CN"/>
              </w:rPr>
              <w:t>合同内容含冻品</w:t>
            </w:r>
            <w:r>
              <w:rPr>
                <w:rFonts w:hint="eastAsia" w:ascii="宋体" w:hAnsi="宋体" w:cs="宋体"/>
                <w:b/>
                <w:bCs/>
                <w:color w:val="auto"/>
                <w:sz w:val="22"/>
                <w:szCs w:val="22"/>
                <w:highlight w:val="none"/>
                <w:lang w:val="en-US" w:eastAsia="zh-CN"/>
              </w:rPr>
              <w:t>类</w:t>
            </w:r>
            <w:r>
              <w:rPr>
                <w:rFonts w:hint="eastAsia" w:ascii="宋体" w:hAnsi="宋体" w:eastAsia="宋体" w:cs="宋体"/>
                <w:b/>
                <w:bCs/>
                <w:color w:val="auto"/>
                <w:sz w:val="22"/>
                <w:szCs w:val="22"/>
                <w:highlight w:val="none"/>
                <w:lang w:val="en-US" w:eastAsia="zh-CN"/>
              </w:rPr>
              <w:t>，年度冻品</w:t>
            </w:r>
            <w:r>
              <w:rPr>
                <w:rFonts w:hint="eastAsia" w:ascii="宋体" w:hAnsi="宋体" w:cs="宋体"/>
                <w:b/>
                <w:bCs/>
                <w:color w:val="auto"/>
                <w:sz w:val="22"/>
                <w:szCs w:val="22"/>
                <w:highlight w:val="none"/>
                <w:lang w:val="en-US" w:eastAsia="zh-CN"/>
              </w:rPr>
              <w:t>类配送</w:t>
            </w:r>
            <w:r>
              <w:rPr>
                <w:rFonts w:hint="eastAsia" w:ascii="宋体" w:hAnsi="宋体" w:eastAsia="宋体" w:cs="宋体"/>
                <w:b/>
                <w:bCs/>
                <w:color w:val="auto"/>
                <w:sz w:val="22"/>
                <w:szCs w:val="22"/>
                <w:highlight w:val="none"/>
                <w:lang w:val="en-US" w:eastAsia="zh-CN"/>
              </w:rPr>
              <w:t>金额）。若合同中未明确冻品</w:t>
            </w:r>
            <w:r>
              <w:rPr>
                <w:rFonts w:hint="eastAsia" w:ascii="宋体" w:hAnsi="宋体" w:cs="宋体"/>
                <w:b/>
                <w:bCs/>
                <w:color w:val="auto"/>
                <w:sz w:val="22"/>
                <w:szCs w:val="22"/>
                <w:highlight w:val="none"/>
                <w:lang w:val="pt-BR" w:eastAsia="zh-CN"/>
              </w:rPr>
              <w:t>类</w:t>
            </w:r>
            <w:r>
              <w:rPr>
                <w:rFonts w:hint="eastAsia" w:ascii="宋体" w:hAnsi="宋体" w:eastAsia="宋体" w:cs="宋体"/>
                <w:b/>
                <w:bCs/>
                <w:color w:val="auto"/>
                <w:sz w:val="22"/>
                <w:szCs w:val="22"/>
                <w:highlight w:val="none"/>
                <w:lang w:val="en-US" w:eastAsia="zh-CN"/>
              </w:rPr>
              <w:t>年度金额则需同时提供冻品</w:t>
            </w:r>
            <w:r>
              <w:rPr>
                <w:rFonts w:hint="eastAsia" w:ascii="宋体" w:hAnsi="宋体" w:cs="宋体"/>
                <w:b/>
                <w:bCs/>
                <w:color w:val="auto"/>
                <w:sz w:val="22"/>
                <w:szCs w:val="22"/>
                <w:highlight w:val="none"/>
                <w:lang w:val="pt-BR" w:eastAsia="zh-CN"/>
              </w:rPr>
              <w:t>类</w:t>
            </w:r>
            <w:r>
              <w:rPr>
                <w:rFonts w:hint="eastAsia" w:ascii="宋体" w:hAnsi="宋体" w:eastAsia="宋体" w:cs="宋体"/>
                <w:b/>
                <w:bCs/>
                <w:color w:val="auto"/>
                <w:sz w:val="22"/>
                <w:szCs w:val="22"/>
                <w:highlight w:val="none"/>
                <w:lang w:val="en-US" w:eastAsia="zh-CN"/>
              </w:rPr>
              <w:t>年度金额的发票作为辅助证明；</w:t>
            </w:r>
          </w:p>
          <w:p w14:paraId="72B1B4AD">
            <w:pPr>
              <w:keepNext w:val="0"/>
              <w:keepLines w:val="0"/>
              <w:pageBreakBefore w:val="0"/>
              <w:widowControl/>
              <w:numPr>
                <w:ilvl w:val="0"/>
                <w:numId w:val="0"/>
              </w:numPr>
              <w:shd w:val="clear"/>
              <w:kinsoku/>
              <w:wordWrap/>
              <w:overflowPunct/>
              <w:topLinePunct w:val="0"/>
              <w:autoSpaceDE/>
              <w:autoSpaceDN/>
              <w:bidi w:val="0"/>
              <w:spacing w:after="0" w:line="440" w:lineRule="exact"/>
              <w:ind w:firstLine="0" w:firstLineChars="0"/>
              <w:textAlignment w:val="auto"/>
              <w:rPr>
                <w:rFonts w:hint="eastAsia" w:ascii="宋体" w:hAnsi="宋体" w:eastAsia="宋体" w:cs="宋体"/>
                <w:b/>
                <w:bCs/>
                <w:color w:val="auto"/>
                <w:sz w:val="22"/>
                <w:szCs w:val="22"/>
                <w:highlight w:val="none"/>
                <w:lang w:val="en-US" w:eastAsia="zh-CN"/>
              </w:rPr>
            </w:pPr>
            <w:r>
              <w:rPr>
                <w:rFonts w:hint="eastAsia" w:ascii="宋体" w:hAnsi="宋体" w:cs="宋体"/>
                <w:b/>
                <w:bCs/>
                <w:color w:val="auto"/>
                <w:sz w:val="22"/>
                <w:szCs w:val="22"/>
                <w:highlight w:val="none"/>
                <w:lang w:val="en-US" w:eastAsia="zh-CN"/>
              </w:rPr>
              <w:t>（4）</w:t>
            </w:r>
            <w:r>
              <w:rPr>
                <w:rFonts w:hint="eastAsia" w:ascii="宋体" w:hAnsi="宋体" w:eastAsia="宋体" w:cs="宋体"/>
                <w:b/>
                <w:bCs/>
                <w:color w:val="auto"/>
                <w:sz w:val="22"/>
                <w:szCs w:val="22"/>
                <w:highlight w:val="none"/>
                <w:lang w:val="en-US" w:eastAsia="zh-CN"/>
              </w:rPr>
              <w:t>若业绩为框架式协议或资格入围无明确金额的合同，必须同时提供</w:t>
            </w:r>
            <w:r>
              <w:rPr>
                <w:rFonts w:hint="eastAsia" w:ascii="宋体" w:hAnsi="宋体" w:cs="宋体"/>
                <w:b/>
                <w:bCs/>
                <w:color w:val="auto"/>
                <w:sz w:val="22"/>
                <w:szCs w:val="22"/>
                <w:highlight w:val="none"/>
                <w:lang w:val="en-US" w:eastAsia="zh-CN"/>
              </w:rPr>
              <w:t>单个</w:t>
            </w:r>
            <w:r>
              <w:rPr>
                <w:rFonts w:hint="eastAsia" w:ascii="宋体" w:hAnsi="宋体" w:eastAsia="宋体" w:cs="宋体"/>
                <w:b/>
                <w:bCs/>
                <w:color w:val="auto"/>
                <w:sz w:val="22"/>
                <w:szCs w:val="22"/>
                <w:highlight w:val="none"/>
                <w:lang w:val="en-US" w:eastAsia="zh-CN"/>
              </w:rPr>
              <w:t>年度内</w:t>
            </w:r>
            <w:r>
              <w:rPr>
                <w:rFonts w:hint="eastAsia" w:ascii="宋体" w:hAnsi="宋体" w:cs="宋体"/>
                <w:b/>
                <w:bCs/>
                <w:color w:val="auto"/>
                <w:sz w:val="22"/>
                <w:szCs w:val="22"/>
                <w:highlight w:val="none"/>
                <w:lang w:val="en-US" w:eastAsia="zh-CN"/>
              </w:rPr>
              <w:t>累计</w:t>
            </w:r>
            <w:r>
              <w:rPr>
                <w:rFonts w:hint="eastAsia" w:ascii="宋体" w:hAnsi="宋体" w:eastAsia="宋体" w:cs="宋体"/>
                <w:b/>
                <w:bCs/>
                <w:color w:val="auto"/>
                <w:sz w:val="22"/>
                <w:szCs w:val="22"/>
                <w:highlight w:val="none"/>
                <w:lang w:val="en-US" w:eastAsia="zh-CN"/>
              </w:rPr>
              <w:t>发生冻品</w:t>
            </w:r>
            <w:r>
              <w:rPr>
                <w:rFonts w:hint="eastAsia" w:ascii="宋体" w:hAnsi="宋体" w:cs="宋体"/>
                <w:b/>
                <w:bCs/>
                <w:color w:val="auto"/>
                <w:sz w:val="22"/>
                <w:szCs w:val="22"/>
                <w:highlight w:val="none"/>
                <w:lang w:val="pt-BR" w:eastAsia="zh-CN"/>
              </w:rPr>
              <w:t>类</w:t>
            </w:r>
            <w:r>
              <w:rPr>
                <w:rFonts w:hint="eastAsia" w:ascii="宋体" w:hAnsi="宋体" w:eastAsia="宋体" w:cs="宋体"/>
                <w:b/>
                <w:bCs/>
                <w:color w:val="auto"/>
                <w:sz w:val="22"/>
                <w:szCs w:val="22"/>
                <w:highlight w:val="none"/>
                <w:lang w:val="en-US" w:eastAsia="zh-CN"/>
              </w:rPr>
              <w:t>金额的发票</w:t>
            </w:r>
            <w:r>
              <w:rPr>
                <w:rFonts w:hint="eastAsia" w:ascii="宋体" w:hAnsi="宋体" w:cs="宋体"/>
                <w:b/>
                <w:bCs/>
                <w:color w:val="auto"/>
                <w:sz w:val="22"/>
                <w:szCs w:val="22"/>
                <w:highlight w:val="none"/>
              </w:rPr>
              <w:t>（开票日期须在合同期单个年度内）</w:t>
            </w:r>
            <w:r>
              <w:rPr>
                <w:rFonts w:hint="eastAsia" w:ascii="宋体" w:hAnsi="宋体" w:eastAsia="宋体" w:cs="宋体"/>
                <w:b/>
                <w:bCs/>
                <w:color w:val="auto"/>
                <w:sz w:val="22"/>
                <w:szCs w:val="22"/>
                <w:highlight w:val="none"/>
                <w:lang w:val="en-US" w:eastAsia="zh-CN"/>
              </w:rPr>
              <w:t>作为合同年度金额的辅助证明；</w:t>
            </w:r>
          </w:p>
          <w:p w14:paraId="2AFF780C">
            <w:pPr>
              <w:keepNext w:val="0"/>
              <w:keepLines w:val="0"/>
              <w:pageBreakBefore w:val="0"/>
              <w:widowControl/>
              <w:numPr>
                <w:ilvl w:val="0"/>
                <w:numId w:val="0"/>
              </w:numPr>
              <w:shd w:val="clear"/>
              <w:kinsoku/>
              <w:wordWrap/>
              <w:overflowPunct/>
              <w:topLinePunct w:val="0"/>
              <w:autoSpaceDE/>
              <w:autoSpaceDN/>
              <w:bidi w:val="0"/>
              <w:spacing w:after="0" w:line="440" w:lineRule="exact"/>
              <w:ind w:left="0" w:leftChars="0" w:firstLine="0" w:firstLineChars="0"/>
              <w:textAlignment w:val="auto"/>
              <w:rPr>
                <w:rFonts w:hint="eastAsia" w:ascii="宋体" w:hAnsi="宋体" w:eastAsia="宋体" w:cs="宋体"/>
                <w:b/>
                <w:bCs/>
                <w:color w:val="auto"/>
                <w:sz w:val="22"/>
                <w:szCs w:val="22"/>
                <w:highlight w:val="none"/>
                <w:lang w:val="en-US" w:eastAsia="zh-CN"/>
              </w:rPr>
            </w:pPr>
            <w:r>
              <w:rPr>
                <w:rFonts w:hint="eastAsia" w:ascii="宋体" w:hAnsi="宋体" w:cs="宋体"/>
                <w:b/>
                <w:bCs/>
                <w:color w:val="auto"/>
                <w:sz w:val="22"/>
                <w:szCs w:val="22"/>
                <w:highlight w:val="none"/>
                <w:lang w:val="en-US" w:eastAsia="zh-CN"/>
              </w:rPr>
              <w:t>（5）</w:t>
            </w:r>
            <w:r>
              <w:rPr>
                <w:rFonts w:hint="eastAsia" w:ascii="宋体" w:hAnsi="宋体" w:eastAsia="宋体" w:cs="宋体"/>
                <w:b/>
                <w:bCs/>
                <w:color w:val="auto"/>
                <w:sz w:val="22"/>
                <w:szCs w:val="22"/>
                <w:highlight w:val="none"/>
                <w:lang w:val="en-US" w:eastAsia="zh-CN"/>
              </w:rPr>
              <w:t>未按上述要求提供证明材料的业绩，或所附材料无法证明填报项目符合本项评分要求的业绩，在评标时将不予考虑。</w:t>
            </w:r>
          </w:p>
        </w:tc>
      </w:tr>
      <w:tr w14:paraId="5A7FA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400" w:type="pct"/>
            <w:tcBorders>
              <w:left w:val="single" w:color="auto" w:sz="4" w:space="0"/>
              <w:right w:val="single" w:color="auto" w:sz="4" w:space="0"/>
            </w:tcBorders>
            <w:shd w:val="clear" w:color="auto" w:fill="auto"/>
            <w:vAlign w:val="center"/>
          </w:tcPr>
          <w:p w14:paraId="60B30614">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eastAsia" w:ascii="宋体" w:hAnsi="宋体" w:eastAsia="宋体" w:cs="宋体"/>
                <w:color w:val="auto"/>
                <w:sz w:val="22"/>
                <w:szCs w:val="22"/>
                <w:highlight w:val="none"/>
                <w:lang w:val="en-US" w:eastAsia="zh-CN" w:bidi="ar-SA"/>
              </w:rPr>
            </w:pPr>
            <w:r>
              <w:rPr>
                <w:rFonts w:hint="eastAsia" w:ascii="宋体" w:hAnsi="宋体" w:eastAsia="宋体" w:cs="宋体"/>
                <w:color w:val="auto"/>
                <w:sz w:val="22"/>
                <w:szCs w:val="22"/>
                <w:highlight w:val="none"/>
                <w:lang w:eastAsia="zh-CN"/>
              </w:rPr>
              <w:t>3</w:t>
            </w:r>
          </w:p>
        </w:tc>
        <w:tc>
          <w:tcPr>
            <w:tcW w:w="657" w:type="pct"/>
            <w:tcBorders>
              <w:left w:val="single" w:color="auto" w:sz="4" w:space="0"/>
              <w:right w:val="single" w:color="auto" w:sz="4" w:space="0"/>
            </w:tcBorders>
            <w:shd w:val="clear" w:color="auto" w:fill="auto"/>
            <w:vAlign w:val="center"/>
          </w:tcPr>
          <w:p w14:paraId="0BCE0554">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eastAsia" w:ascii="宋体" w:hAnsi="宋体" w:eastAsia="宋体" w:cs="宋体"/>
                <w:color w:val="auto"/>
                <w:sz w:val="22"/>
                <w:szCs w:val="22"/>
                <w:highlight w:val="none"/>
                <w:lang w:val="en-US" w:eastAsia="zh-CN" w:bidi="ar-SA"/>
              </w:rPr>
            </w:pPr>
            <w:r>
              <w:rPr>
                <w:rFonts w:hint="eastAsia" w:ascii="宋体" w:hAnsi="宋体" w:eastAsia="宋体" w:cs="宋体"/>
                <w:color w:val="auto"/>
                <w:sz w:val="22"/>
                <w:szCs w:val="22"/>
                <w:highlight w:val="none"/>
                <w:lang w:eastAsia="zh-CN"/>
              </w:rPr>
              <w:t>保险保障</w:t>
            </w:r>
          </w:p>
        </w:tc>
        <w:tc>
          <w:tcPr>
            <w:tcW w:w="512" w:type="pct"/>
            <w:tcBorders>
              <w:left w:val="single" w:color="auto" w:sz="4" w:space="0"/>
              <w:bottom w:val="single" w:color="auto" w:sz="4" w:space="0"/>
              <w:right w:val="single" w:color="auto" w:sz="4" w:space="0"/>
            </w:tcBorders>
            <w:shd w:val="clear" w:color="auto" w:fill="auto"/>
            <w:vAlign w:val="center"/>
          </w:tcPr>
          <w:p w14:paraId="5E2E544B">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eastAsia" w:ascii="宋体" w:hAnsi="宋体" w:eastAsia="宋体" w:cs="宋体"/>
                <w:color w:val="auto"/>
                <w:sz w:val="22"/>
                <w:szCs w:val="22"/>
                <w:highlight w:val="none"/>
                <w:lang w:val="en-US" w:eastAsia="zh-CN" w:bidi="ar-SA"/>
              </w:rPr>
            </w:pPr>
            <w:r>
              <w:rPr>
                <w:rFonts w:hint="eastAsia" w:ascii="宋体" w:hAnsi="宋体" w:eastAsia="宋体" w:cs="宋体"/>
                <w:color w:val="auto"/>
                <w:sz w:val="22"/>
                <w:szCs w:val="22"/>
                <w:highlight w:val="none"/>
                <w:lang w:eastAsia="zh-CN"/>
              </w:rPr>
              <w:t>5分</w:t>
            </w:r>
          </w:p>
        </w:tc>
        <w:tc>
          <w:tcPr>
            <w:tcW w:w="3429" w:type="pct"/>
            <w:tcBorders>
              <w:top w:val="single" w:color="auto" w:sz="4" w:space="0"/>
              <w:left w:val="single" w:color="auto" w:sz="4" w:space="0"/>
              <w:bottom w:val="single" w:color="auto" w:sz="4" w:space="0"/>
              <w:right w:val="single" w:color="auto" w:sz="4" w:space="0"/>
            </w:tcBorders>
            <w:shd w:val="clear" w:color="auto" w:fill="auto"/>
            <w:vAlign w:val="center"/>
          </w:tcPr>
          <w:p w14:paraId="5E201D8D">
            <w:pPr>
              <w:numPr>
                <w:ilvl w:val="0"/>
                <w:numId w:val="0"/>
              </w:numPr>
              <w:shd w:val="clear"/>
              <w:spacing w:after="0" w:line="440" w:lineRule="exact"/>
              <w:rPr>
                <w:rFonts w:hint="default"/>
                <w:color w:val="auto"/>
                <w:highlight w:val="none"/>
                <w:lang w:val="en-US" w:eastAsia="zh-CN"/>
              </w:rPr>
            </w:pPr>
            <w:r>
              <w:rPr>
                <w:rFonts w:hint="eastAsia" w:ascii="宋体" w:hAnsi="宋体" w:cs="宋体"/>
                <w:color w:val="auto"/>
                <w:sz w:val="22"/>
                <w:szCs w:val="22"/>
                <w:highlight w:val="none"/>
                <w:lang w:val="en-US" w:eastAsia="zh-CN"/>
              </w:rPr>
              <w:t>投标人须承诺</w:t>
            </w:r>
            <w:r>
              <w:rPr>
                <w:rFonts w:hint="eastAsia" w:ascii="宋体" w:hAnsi="宋体" w:eastAsia="宋体" w:cs="宋体"/>
                <w:color w:val="auto"/>
                <w:sz w:val="22"/>
                <w:szCs w:val="22"/>
                <w:highlight w:val="none"/>
                <w:lang w:val="pt-BR" w:eastAsia="zh-CN"/>
              </w:rPr>
              <w:t>中标后为采购人提供一份食品安全责任险</w:t>
            </w:r>
            <w:r>
              <w:rPr>
                <w:rFonts w:hint="eastAsia" w:ascii="宋体" w:hAnsi="宋体" w:cs="宋体"/>
                <w:color w:val="auto"/>
                <w:sz w:val="22"/>
                <w:szCs w:val="22"/>
                <w:highlight w:val="none"/>
                <w:lang w:val="pt-BR" w:eastAsia="zh-CN"/>
              </w:rPr>
              <w:t>，</w:t>
            </w:r>
            <w:r>
              <w:rPr>
                <w:rFonts w:hint="eastAsia" w:ascii="宋体" w:hAnsi="宋体" w:eastAsia="宋体" w:cs="宋体"/>
                <w:color w:val="auto"/>
                <w:sz w:val="22"/>
                <w:szCs w:val="22"/>
                <w:highlight w:val="none"/>
                <w:lang w:val="pt-BR" w:eastAsia="zh-CN"/>
              </w:rPr>
              <w:t>以采购人为受益人</w:t>
            </w:r>
            <w:r>
              <w:rPr>
                <w:rFonts w:hint="eastAsia" w:ascii="宋体" w:hAnsi="宋体" w:cs="宋体"/>
                <w:color w:val="auto"/>
                <w:sz w:val="22"/>
                <w:szCs w:val="22"/>
                <w:highlight w:val="none"/>
                <w:lang w:val="pt-BR" w:eastAsia="zh-CN"/>
              </w:rPr>
              <w:t>，</w:t>
            </w:r>
            <w:r>
              <w:rPr>
                <w:rFonts w:hint="eastAsia" w:ascii="宋体" w:hAnsi="宋体" w:cs="宋体"/>
                <w:color w:val="auto"/>
                <w:sz w:val="22"/>
                <w:szCs w:val="22"/>
                <w:highlight w:val="none"/>
                <w:lang w:val="en-US" w:eastAsia="zh-CN"/>
              </w:rPr>
              <w:t>保险期覆盖本项目合同有效期且</w:t>
            </w:r>
            <w:r>
              <w:rPr>
                <w:rFonts w:hint="eastAsia" w:ascii="宋体" w:hAnsi="宋体" w:eastAsia="宋体" w:cs="宋体"/>
                <w:color w:val="auto"/>
                <w:sz w:val="22"/>
                <w:szCs w:val="22"/>
                <w:highlight w:val="none"/>
                <w:lang w:val="pt-BR" w:eastAsia="zh-CN"/>
              </w:rPr>
              <w:t>食品安全责任险保险金额</w:t>
            </w:r>
            <w:r>
              <w:rPr>
                <w:rFonts w:hint="eastAsia" w:ascii="宋体" w:hAnsi="宋体" w:cs="宋体"/>
                <w:color w:val="auto"/>
                <w:sz w:val="22"/>
                <w:szCs w:val="22"/>
                <w:highlight w:val="none"/>
                <w:lang w:val="en-US" w:eastAsia="zh-CN"/>
              </w:rPr>
              <w:t>承诺不低于5</w:t>
            </w:r>
            <w:r>
              <w:rPr>
                <w:rFonts w:hint="eastAsia" w:ascii="宋体" w:hAnsi="宋体" w:eastAsia="宋体" w:cs="宋体"/>
                <w:color w:val="auto"/>
                <w:sz w:val="22"/>
                <w:szCs w:val="22"/>
                <w:highlight w:val="none"/>
                <w:lang w:val="pt-BR" w:eastAsia="zh-CN"/>
              </w:rPr>
              <w:t>00万元</w:t>
            </w:r>
            <w:r>
              <w:rPr>
                <w:rFonts w:hint="eastAsia" w:ascii="宋体" w:hAnsi="宋体" w:cs="宋体"/>
                <w:color w:val="auto"/>
                <w:sz w:val="22"/>
                <w:szCs w:val="22"/>
                <w:highlight w:val="none"/>
                <w:lang w:val="pt-BR" w:eastAsia="zh-CN"/>
              </w:rPr>
              <w:t>，</w:t>
            </w:r>
            <w:r>
              <w:rPr>
                <w:rFonts w:hint="eastAsia" w:ascii="宋体" w:hAnsi="宋体" w:cs="宋体"/>
                <w:color w:val="auto"/>
                <w:sz w:val="22"/>
                <w:szCs w:val="22"/>
                <w:highlight w:val="none"/>
                <w:lang w:val="en-US" w:eastAsia="zh-CN"/>
              </w:rPr>
              <w:t>在此基础上保险金额每增加300万元得1分，最高得5分：</w:t>
            </w:r>
          </w:p>
          <w:p w14:paraId="4A7356AC">
            <w:pPr>
              <w:keepNext w:val="0"/>
              <w:keepLines w:val="0"/>
              <w:pageBreakBefore w:val="0"/>
              <w:widowControl/>
              <w:numPr>
                <w:ilvl w:val="0"/>
                <w:numId w:val="0"/>
              </w:numPr>
              <w:shd w:val="clear"/>
              <w:kinsoku/>
              <w:wordWrap/>
              <w:overflowPunct/>
              <w:topLinePunct w:val="0"/>
              <w:autoSpaceDE/>
              <w:autoSpaceDN/>
              <w:bidi w:val="0"/>
              <w:spacing w:after="0" w:line="440" w:lineRule="exact"/>
              <w:ind w:left="0" w:leftChars="0" w:firstLine="0" w:firstLineChars="0"/>
              <w:textAlignment w:val="auto"/>
              <w:rPr>
                <w:rFonts w:hint="eastAsia" w:ascii="宋体" w:hAnsi="宋体" w:eastAsia="宋体" w:cs="宋体"/>
                <w:color w:val="auto"/>
                <w:sz w:val="22"/>
                <w:szCs w:val="22"/>
                <w:highlight w:val="none"/>
                <w:lang w:val="en-US" w:eastAsia="zh-CN" w:bidi="ar-SA"/>
              </w:rPr>
            </w:pPr>
            <w:r>
              <w:rPr>
                <w:rFonts w:hint="eastAsia" w:ascii="宋体" w:hAnsi="宋体" w:eastAsia="宋体" w:cs="宋体"/>
                <w:b/>
                <w:bCs/>
                <w:color w:val="auto"/>
                <w:sz w:val="22"/>
                <w:szCs w:val="22"/>
                <w:highlight w:val="none"/>
                <w:lang w:val="pt-BR" w:eastAsia="zh-CN"/>
              </w:rPr>
              <w:t>注：提供承诺函加盖投标人公章。未提供或提供不清晰导致无法判断的不得分。</w:t>
            </w:r>
          </w:p>
        </w:tc>
      </w:tr>
      <w:tr w14:paraId="256DC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jc w:val="center"/>
        </w:trPr>
        <w:tc>
          <w:tcPr>
            <w:tcW w:w="400" w:type="pct"/>
            <w:tcBorders>
              <w:top w:val="single" w:color="auto" w:sz="4" w:space="0"/>
              <w:left w:val="single" w:color="auto" w:sz="4" w:space="0"/>
              <w:bottom w:val="single" w:color="auto" w:sz="4" w:space="0"/>
              <w:right w:val="single" w:color="auto" w:sz="4" w:space="0"/>
            </w:tcBorders>
            <w:vAlign w:val="center"/>
          </w:tcPr>
          <w:p w14:paraId="305BDBF7">
            <w:pPr>
              <w:pStyle w:val="91"/>
              <w:shd w:val="clear"/>
              <w:spacing w:after="0" w:afterLines="0" w:line="360" w:lineRule="auto"/>
              <w:ind w:firstLine="0" w:firstLineChars="0"/>
              <w:jc w:val="center"/>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4</w:t>
            </w:r>
          </w:p>
        </w:tc>
        <w:tc>
          <w:tcPr>
            <w:tcW w:w="657" w:type="pct"/>
            <w:tcBorders>
              <w:top w:val="single" w:color="auto" w:sz="4" w:space="0"/>
              <w:left w:val="single" w:color="auto" w:sz="4" w:space="0"/>
              <w:bottom w:val="single" w:color="auto" w:sz="4" w:space="0"/>
              <w:right w:val="single" w:color="auto" w:sz="4" w:space="0"/>
            </w:tcBorders>
            <w:shd w:val="clear" w:color="auto" w:fill="auto"/>
            <w:vAlign w:val="center"/>
          </w:tcPr>
          <w:p w14:paraId="276D8A5A">
            <w:pPr>
              <w:pStyle w:val="91"/>
              <w:shd w:val="clear"/>
              <w:spacing w:after="0" w:afterLines="0" w:line="360" w:lineRule="auto"/>
              <w:ind w:firstLine="0" w:firstLineChars="0"/>
              <w:jc w:val="center"/>
              <w:rPr>
                <w:rFonts w:hint="eastAsia" w:ascii="宋体" w:hAnsi="宋体" w:eastAsia="宋体" w:cs="宋体"/>
                <w:color w:val="auto"/>
                <w:sz w:val="22"/>
                <w:szCs w:val="22"/>
                <w:highlight w:val="none"/>
                <w:lang w:val="en-US" w:eastAsia="zh-CN" w:bidi="ar-SA"/>
              </w:rPr>
            </w:pPr>
            <w:r>
              <w:rPr>
                <w:rFonts w:hint="eastAsia" w:ascii="宋体" w:hAnsi="宋体" w:eastAsia="宋体" w:cs="宋体"/>
                <w:color w:val="auto"/>
                <w:sz w:val="22"/>
                <w:szCs w:val="22"/>
                <w:highlight w:val="none"/>
                <w:lang w:val="en-US" w:eastAsia="zh-CN"/>
              </w:rPr>
              <w:t>第三方检验检测报告</w:t>
            </w:r>
          </w:p>
        </w:tc>
        <w:tc>
          <w:tcPr>
            <w:tcW w:w="512" w:type="pct"/>
            <w:tcBorders>
              <w:top w:val="single" w:color="auto" w:sz="4" w:space="0"/>
              <w:left w:val="single" w:color="auto" w:sz="4" w:space="0"/>
              <w:bottom w:val="single" w:color="auto" w:sz="4" w:space="0"/>
              <w:right w:val="single" w:color="auto" w:sz="4" w:space="0"/>
            </w:tcBorders>
            <w:shd w:val="clear" w:color="auto" w:fill="auto"/>
            <w:vAlign w:val="center"/>
          </w:tcPr>
          <w:p w14:paraId="1FFB6235">
            <w:pPr>
              <w:pStyle w:val="91"/>
              <w:shd w:val="clear"/>
              <w:spacing w:after="0" w:afterLines="0" w:line="360" w:lineRule="auto"/>
              <w:ind w:firstLine="0" w:firstLineChars="0"/>
              <w:jc w:val="center"/>
              <w:rPr>
                <w:rFonts w:hint="eastAsia" w:ascii="宋体" w:hAnsi="宋体" w:eastAsia="宋体" w:cs="宋体"/>
                <w:color w:val="auto"/>
                <w:sz w:val="22"/>
                <w:szCs w:val="22"/>
                <w:highlight w:val="none"/>
                <w:lang w:val="en-US" w:eastAsia="zh-CN" w:bidi="ar-SA"/>
              </w:rPr>
            </w:pPr>
            <w:r>
              <w:rPr>
                <w:rFonts w:hint="eastAsia" w:ascii="宋体" w:hAnsi="宋体" w:cs="宋体"/>
                <w:color w:val="auto"/>
                <w:sz w:val="22"/>
                <w:szCs w:val="22"/>
                <w:highlight w:val="none"/>
                <w:lang w:val="en-US" w:eastAsia="zh-CN"/>
              </w:rPr>
              <w:t>4</w:t>
            </w:r>
            <w:r>
              <w:rPr>
                <w:rFonts w:hint="eastAsia" w:ascii="宋体" w:hAnsi="宋体" w:eastAsia="宋体" w:cs="宋体"/>
                <w:color w:val="auto"/>
                <w:sz w:val="22"/>
                <w:szCs w:val="22"/>
                <w:highlight w:val="none"/>
                <w:lang w:val="en-US" w:eastAsia="zh-CN"/>
              </w:rPr>
              <w:t>分</w:t>
            </w:r>
          </w:p>
        </w:tc>
        <w:tc>
          <w:tcPr>
            <w:tcW w:w="3429" w:type="pct"/>
            <w:tcBorders>
              <w:top w:val="single" w:color="auto" w:sz="4" w:space="0"/>
              <w:left w:val="single" w:color="auto" w:sz="4" w:space="0"/>
              <w:bottom w:val="single" w:color="auto" w:sz="4" w:space="0"/>
              <w:right w:val="single" w:color="auto" w:sz="4" w:space="0"/>
            </w:tcBorders>
            <w:shd w:val="clear" w:color="auto" w:fill="auto"/>
            <w:vAlign w:val="center"/>
          </w:tcPr>
          <w:p w14:paraId="72D55E10">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color w:val="auto"/>
                <w:sz w:val="22"/>
                <w:szCs w:val="22"/>
                <w:highlight w:val="none"/>
                <w:lang w:val="pt-BR" w:eastAsia="zh-CN"/>
              </w:rPr>
            </w:pPr>
            <w:r>
              <w:rPr>
                <w:rFonts w:hint="eastAsia" w:ascii="宋体" w:hAnsi="宋体" w:eastAsia="宋体" w:cs="宋体"/>
                <w:color w:val="auto"/>
                <w:sz w:val="22"/>
                <w:szCs w:val="22"/>
                <w:highlight w:val="none"/>
                <w:lang w:val="pt-BR" w:eastAsia="zh-CN"/>
              </w:rPr>
              <w:t>1、提供2025年度至今由具备</w:t>
            </w:r>
            <w:r>
              <w:rPr>
                <w:rFonts w:hint="eastAsia" w:ascii="宋体" w:hAnsi="宋体" w:cs="宋体"/>
                <w:color w:val="auto"/>
                <w:sz w:val="22"/>
                <w:szCs w:val="22"/>
                <w:highlight w:val="none"/>
                <w:lang w:val="en-US" w:eastAsia="zh-CN"/>
              </w:rPr>
              <w:t>资质的</w:t>
            </w:r>
            <w:r>
              <w:rPr>
                <w:rFonts w:hint="eastAsia" w:ascii="宋体" w:hAnsi="宋体" w:eastAsia="宋体" w:cs="宋体"/>
                <w:color w:val="auto"/>
                <w:sz w:val="22"/>
                <w:szCs w:val="22"/>
                <w:highlight w:val="none"/>
                <w:lang w:val="pt-BR" w:eastAsia="zh-CN"/>
              </w:rPr>
              <w:t>第三方检测</w:t>
            </w:r>
            <w:r>
              <w:rPr>
                <w:rFonts w:hint="eastAsia" w:ascii="宋体" w:hAnsi="宋体" w:cs="宋体"/>
                <w:color w:val="auto"/>
                <w:sz w:val="22"/>
                <w:szCs w:val="22"/>
                <w:highlight w:val="none"/>
                <w:lang w:val="en-US" w:eastAsia="zh-CN"/>
              </w:rPr>
              <w:t>机构</w:t>
            </w:r>
            <w:r>
              <w:rPr>
                <w:rFonts w:hint="eastAsia" w:ascii="宋体" w:hAnsi="宋体" w:eastAsia="宋体" w:cs="宋体"/>
                <w:color w:val="auto"/>
                <w:sz w:val="22"/>
                <w:szCs w:val="22"/>
                <w:highlight w:val="none"/>
                <w:lang w:val="pt-BR" w:eastAsia="zh-CN"/>
              </w:rPr>
              <w:t>出具的检测报告（检测报告的委托单位需为投标人）：</w:t>
            </w:r>
          </w:p>
          <w:p w14:paraId="06E4B139">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color w:val="auto"/>
                <w:sz w:val="22"/>
                <w:szCs w:val="22"/>
                <w:highlight w:val="none"/>
                <w:lang w:val="pt-BR" w:eastAsia="zh-CN"/>
              </w:rPr>
            </w:pPr>
            <w:r>
              <w:rPr>
                <w:rFonts w:hint="eastAsia" w:ascii="宋体" w:hAnsi="宋体" w:eastAsia="宋体" w:cs="宋体"/>
                <w:color w:val="auto"/>
                <w:sz w:val="22"/>
                <w:szCs w:val="22"/>
                <w:highlight w:val="none"/>
                <w:lang w:val="pt-BR" w:eastAsia="zh-CN"/>
              </w:rPr>
              <w:t>第三方检验检测报告包括兽药残留、污染物、卫生学指标（微生物）五类、重金属，每提供</w:t>
            </w:r>
            <w:r>
              <w:rPr>
                <w:rFonts w:hint="eastAsia" w:ascii="宋体" w:hAnsi="宋体" w:cs="宋体"/>
                <w:color w:val="auto"/>
                <w:sz w:val="22"/>
                <w:szCs w:val="22"/>
                <w:highlight w:val="none"/>
                <w:lang w:val="en-US" w:eastAsia="zh-CN"/>
              </w:rPr>
              <w:t>上述</w:t>
            </w:r>
            <w:r>
              <w:rPr>
                <w:rFonts w:hint="eastAsia" w:ascii="宋体" w:hAnsi="宋体" w:eastAsia="宋体" w:cs="宋体"/>
                <w:color w:val="auto"/>
                <w:sz w:val="22"/>
                <w:szCs w:val="22"/>
                <w:highlight w:val="none"/>
                <w:lang w:val="pt-BR" w:eastAsia="zh-CN"/>
              </w:rPr>
              <w:t>一类食品相关检测报告得</w:t>
            </w:r>
            <w:r>
              <w:rPr>
                <w:rFonts w:hint="eastAsia" w:ascii="宋体" w:hAnsi="宋体" w:cs="宋体"/>
                <w:color w:val="auto"/>
                <w:sz w:val="22"/>
                <w:szCs w:val="22"/>
                <w:highlight w:val="none"/>
                <w:lang w:val="en-US" w:eastAsia="zh-CN"/>
              </w:rPr>
              <w:t>0.5</w:t>
            </w:r>
            <w:r>
              <w:rPr>
                <w:rFonts w:hint="eastAsia" w:ascii="宋体" w:hAnsi="宋体" w:eastAsia="宋体" w:cs="宋体"/>
                <w:color w:val="auto"/>
                <w:sz w:val="22"/>
                <w:szCs w:val="22"/>
                <w:highlight w:val="none"/>
                <w:lang w:val="pt-BR" w:eastAsia="zh-CN"/>
              </w:rPr>
              <w:t>分，</w:t>
            </w:r>
            <w:r>
              <w:rPr>
                <w:rFonts w:hint="eastAsia" w:ascii="宋体" w:hAnsi="宋体" w:cs="宋体"/>
                <w:color w:val="auto"/>
                <w:sz w:val="22"/>
                <w:szCs w:val="22"/>
                <w:highlight w:val="none"/>
                <w:lang w:val="en-US" w:eastAsia="zh-CN"/>
              </w:rPr>
              <w:t>满分2</w:t>
            </w:r>
            <w:r>
              <w:rPr>
                <w:rFonts w:hint="eastAsia" w:ascii="宋体" w:hAnsi="宋体" w:eastAsia="宋体" w:cs="宋体"/>
                <w:color w:val="auto"/>
                <w:sz w:val="22"/>
                <w:szCs w:val="22"/>
                <w:highlight w:val="none"/>
                <w:lang w:val="pt-BR" w:eastAsia="zh-CN"/>
              </w:rPr>
              <w:t>分。</w:t>
            </w:r>
          </w:p>
          <w:p w14:paraId="0FDB88D3">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b/>
                <w:bCs/>
                <w:color w:val="auto"/>
                <w:sz w:val="22"/>
                <w:szCs w:val="22"/>
                <w:highlight w:val="none"/>
                <w:lang w:val="pt-BR" w:eastAsia="zh-CN"/>
              </w:rPr>
            </w:pPr>
            <w:r>
              <w:rPr>
                <w:rFonts w:hint="eastAsia" w:ascii="宋体" w:hAnsi="宋体" w:eastAsia="宋体" w:cs="宋体"/>
                <w:b/>
                <w:bCs/>
                <w:color w:val="auto"/>
                <w:sz w:val="22"/>
                <w:szCs w:val="22"/>
                <w:highlight w:val="none"/>
                <w:lang w:val="pt-BR" w:eastAsia="zh-CN"/>
              </w:rPr>
              <w:t>注：提供相关检测报告</w:t>
            </w:r>
            <w:r>
              <w:rPr>
                <w:rFonts w:hint="eastAsia" w:ascii="宋体" w:hAnsi="宋体" w:cs="宋体"/>
                <w:b/>
                <w:bCs/>
                <w:color w:val="auto"/>
                <w:sz w:val="22"/>
                <w:szCs w:val="22"/>
                <w:highlight w:val="none"/>
                <w:lang w:val="en-US" w:eastAsia="zh-CN"/>
              </w:rPr>
              <w:t>及第三方检测机构资质文件</w:t>
            </w:r>
            <w:r>
              <w:rPr>
                <w:rFonts w:hint="eastAsia" w:ascii="宋体" w:hAnsi="宋体" w:eastAsia="宋体" w:cs="宋体"/>
                <w:b/>
                <w:bCs/>
                <w:color w:val="auto"/>
                <w:sz w:val="22"/>
                <w:szCs w:val="22"/>
                <w:highlight w:val="none"/>
                <w:lang w:val="pt-BR" w:eastAsia="zh-CN"/>
              </w:rPr>
              <w:t>扫描件加盖投标人公章。未提供或提供不清晰导致无法判断的不得分。</w:t>
            </w:r>
          </w:p>
          <w:p w14:paraId="24EDB077">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color w:val="auto"/>
                <w:sz w:val="22"/>
                <w:szCs w:val="22"/>
                <w:highlight w:val="none"/>
                <w:lang w:val="pt-BR" w:eastAsia="zh-CN"/>
              </w:rPr>
            </w:pPr>
            <w:r>
              <w:rPr>
                <w:rFonts w:hint="eastAsia" w:ascii="宋体" w:hAnsi="宋体" w:eastAsia="宋体" w:cs="宋体"/>
                <w:color w:val="auto"/>
                <w:sz w:val="22"/>
                <w:szCs w:val="22"/>
                <w:highlight w:val="none"/>
                <w:lang w:val="pt-BR" w:eastAsia="zh-CN"/>
              </w:rPr>
              <w:t>2、根据投标人自身具备检测能力进行评审，包括兽药残留检测仪、污染物检测仪、卫生学指标（微生物）五类检测检测仪、重金属检测仪，每提供一项得</w:t>
            </w:r>
            <w:r>
              <w:rPr>
                <w:rFonts w:hint="eastAsia" w:ascii="宋体" w:hAnsi="宋体" w:cs="宋体"/>
                <w:color w:val="auto"/>
                <w:sz w:val="22"/>
                <w:szCs w:val="22"/>
                <w:highlight w:val="none"/>
                <w:lang w:val="en-US" w:eastAsia="zh-CN"/>
              </w:rPr>
              <w:t>0.5</w:t>
            </w:r>
            <w:r>
              <w:rPr>
                <w:rFonts w:hint="eastAsia" w:ascii="宋体" w:hAnsi="宋体" w:eastAsia="宋体" w:cs="宋体"/>
                <w:color w:val="auto"/>
                <w:sz w:val="22"/>
                <w:szCs w:val="22"/>
                <w:highlight w:val="none"/>
                <w:lang w:val="pt-BR" w:eastAsia="zh-CN"/>
              </w:rPr>
              <w:t>分，</w:t>
            </w:r>
            <w:r>
              <w:rPr>
                <w:rFonts w:hint="eastAsia" w:ascii="宋体" w:hAnsi="宋体" w:cs="宋体"/>
                <w:color w:val="auto"/>
                <w:sz w:val="22"/>
                <w:szCs w:val="22"/>
                <w:highlight w:val="none"/>
                <w:lang w:val="en-US" w:eastAsia="zh-CN"/>
              </w:rPr>
              <w:t>满分2</w:t>
            </w:r>
            <w:r>
              <w:rPr>
                <w:rFonts w:hint="eastAsia" w:ascii="宋体" w:hAnsi="宋体" w:eastAsia="宋体" w:cs="宋体"/>
                <w:color w:val="auto"/>
                <w:sz w:val="22"/>
                <w:szCs w:val="22"/>
                <w:highlight w:val="none"/>
                <w:lang w:val="pt-BR" w:eastAsia="zh-CN"/>
              </w:rPr>
              <w:t>分。</w:t>
            </w:r>
          </w:p>
          <w:p w14:paraId="31E828AA">
            <w:pPr>
              <w:keepNext w:val="0"/>
              <w:keepLines w:val="0"/>
              <w:pageBreakBefore w:val="0"/>
              <w:widowControl/>
              <w:numPr>
                <w:ilvl w:val="0"/>
                <w:numId w:val="0"/>
              </w:numPr>
              <w:shd w:val="clear"/>
              <w:kinsoku/>
              <w:wordWrap/>
              <w:overflowPunct/>
              <w:topLinePunct w:val="0"/>
              <w:autoSpaceDE/>
              <w:autoSpaceDN/>
              <w:bidi w:val="0"/>
              <w:spacing w:after="0" w:line="440" w:lineRule="exact"/>
              <w:ind w:left="0" w:leftChars="0" w:firstLine="0" w:firstLineChars="0"/>
              <w:textAlignment w:val="auto"/>
              <w:rPr>
                <w:rFonts w:hint="eastAsia" w:ascii="宋体" w:hAnsi="宋体" w:eastAsia="宋体" w:cs="宋体"/>
                <w:b/>
                <w:color w:val="auto"/>
                <w:sz w:val="22"/>
                <w:szCs w:val="22"/>
                <w:highlight w:val="none"/>
                <w:lang w:val="pt-BR" w:eastAsia="zh-CN" w:bidi="ar-SA"/>
              </w:rPr>
            </w:pPr>
            <w:r>
              <w:rPr>
                <w:rFonts w:hint="eastAsia" w:ascii="宋体" w:hAnsi="宋体" w:eastAsia="宋体" w:cs="宋体"/>
                <w:b/>
                <w:bCs/>
                <w:color w:val="auto"/>
                <w:sz w:val="22"/>
                <w:szCs w:val="22"/>
                <w:highlight w:val="none"/>
                <w:lang w:val="pt-BR" w:eastAsia="zh-CN"/>
              </w:rPr>
              <w:t>注：提供检测设备的购买发票复印件并加盖投标人公章，以及提供上述四类检测的方案</w:t>
            </w:r>
            <w:r>
              <w:rPr>
                <w:rFonts w:hint="eastAsia" w:ascii="宋体" w:hAnsi="宋体" w:cs="宋体"/>
                <w:b/>
                <w:bCs/>
                <w:color w:val="auto"/>
                <w:sz w:val="22"/>
                <w:szCs w:val="22"/>
                <w:highlight w:val="none"/>
                <w:lang w:val="pt-BR" w:eastAsia="zh-CN"/>
              </w:rPr>
              <w:t>。</w:t>
            </w:r>
            <w:r>
              <w:rPr>
                <w:rFonts w:hint="eastAsia" w:ascii="宋体" w:hAnsi="宋体" w:eastAsia="宋体" w:cs="宋体"/>
                <w:b/>
                <w:bCs/>
                <w:color w:val="auto"/>
                <w:sz w:val="22"/>
                <w:szCs w:val="22"/>
                <w:highlight w:val="none"/>
                <w:lang w:val="pt-BR" w:eastAsia="zh-CN"/>
              </w:rPr>
              <w:t>未提供或提供不清晰导致无法判断的不得分。</w:t>
            </w:r>
          </w:p>
        </w:tc>
      </w:tr>
      <w:tr w14:paraId="4C781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jc w:val="center"/>
        </w:trPr>
        <w:tc>
          <w:tcPr>
            <w:tcW w:w="400" w:type="pct"/>
            <w:tcBorders>
              <w:top w:val="single" w:color="auto" w:sz="4" w:space="0"/>
              <w:left w:val="single" w:color="auto" w:sz="4" w:space="0"/>
              <w:bottom w:val="single" w:color="auto" w:sz="4" w:space="0"/>
              <w:right w:val="single" w:color="auto" w:sz="4" w:space="0"/>
            </w:tcBorders>
            <w:vAlign w:val="center"/>
          </w:tcPr>
          <w:p w14:paraId="252D112F">
            <w:pPr>
              <w:pStyle w:val="91"/>
              <w:shd w:val="clear"/>
              <w:spacing w:after="0" w:afterLines="0" w:line="360" w:lineRule="auto"/>
              <w:ind w:firstLine="0" w:firstLineChars="0"/>
              <w:jc w:val="center"/>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5</w:t>
            </w:r>
          </w:p>
        </w:tc>
        <w:tc>
          <w:tcPr>
            <w:tcW w:w="657" w:type="pct"/>
            <w:tcBorders>
              <w:top w:val="single" w:color="auto" w:sz="4" w:space="0"/>
              <w:left w:val="single" w:color="auto" w:sz="4" w:space="0"/>
              <w:bottom w:val="single" w:color="auto" w:sz="4" w:space="0"/>
              <w:right w:val="single" w:color="auto" w:sz="4" w:space="0"/>
            </w:tcBorders>
            <w:shd w:val="clear" w:color="auto" w:fill="auto"/>
            <w:vAlign w:val="center"/>
          </w:tcPr>
          <w:p w14:paraId="53806189">
            <w:pPr>
              <w:pStyle w:val="91"/>
              <w:shd w:val="clear"/>
              <w:spacing w:after="0" w:afterLines="0" w:line="360" w:lineRule="auto"/>
              <w:ind w:firstLine="0" w:firstLineChars="0"/>
              <w:jc w:val="center"/>
              <w:rPr>
                <w:rFonts w:hint="eastAsia" w:ascii="宋体" w:hAnsi="宋体" w:eastAsia="宋体" w:cs="宋体"/>
                <w:color w:val="auto"/>
                <w:sz w:val="22"/>
                <w:szCs w:val="22"/>
                <w:highlight w:val="none"/>
                <w:lang w:val="en-US" w:eastAsia="zh-CN" w:bidi="ar-SA"/>
              </w:rPr>
            </w:pPr>
            <w:r>
              <w:rPr>
                <w:rFonts w:hint="eastAsia" w:ascii="宋体" w:hAnsi="宋体" w:eastAsia="宋体" w:cs="宋体"/>
                <w:color w:val="auto"/>
                <w:sz w:val="22"/>
                <w:szCs w:val="22"/>
                <w:highlight w:val="none"/>
                <w:lang w:val="en-US" w:eastAsia="zh-CN"/>
              </w:rPr>
              <w:t>服务响应</w:t>
            </w:r>
          </w:p>
        </w:tc>
        <w:tc>
          <w:tcPr>
            <w:tcW w:w="512" w:type="pct"/>
            <w:tcBorders>
              <w:top w:val="single" w:color="auto" w:sz="4" w:space="0"/>
              <w:left w:val="single" w:color="auto" w:sz="4" w:space="0"/>
              <w:bottom w:val="single" w:color="auto" w:sz="4" w:space="0"/>
              <w:right w:val="single" w:color="auto" w:sz="4" w:space="0"/>
            </w:tcBorders>
            <w:shd w:val="clear" w:color="auto" w:fill="auto"/>
            <w:vAlign w:val="center"/>
          </w:tcPr>
          <w:p w14:paraId="69EC519A">
            <w:pPr>
              <w:pStyle w:val="91"/>
              <w:shd w:val="clear"/>
              <w:spacing w:after="0" w:afterLines="0" w:line="360" w:lineRule="auto"/>
              <w:ind w:firstLine="0" w:firstLineChars="0"/>
              <w:jc w:val="center"/>
              <w:rPr>
                <w:rFonts w:hint="eastAsia" w:ascii="宋体" w:hAnsi="宋体" w:eastAsia="宋体" w:cs="宋体"/>
                <w:color w:val="auto"/>
                <w:sz w:val="22"/>
                <w:szCs w:val="22"/>
                <w:highlight w:val="none"/>
                <w:lang w:val="en-US" w:eastAsia="zh-CN" w:bidi="ar-SA"/>
              </w:rPr>
            </w:pPr>
            <w:r>
              <w:rPr>
                <w:rFonts w:hint="eastAsia" w:ascii="宋体" w:hAnsi="宋体" w:cs="宋体"/>
                <w:color w:val="auto"/>
                <w:sz w:val="22"/>
                <w:szCs w:val="22"/>
                <w:highlight w:val="none"/>
                <w:lang w:val="en-US" w:eastAsia="zh-CN"/>
              </w:rPr>
              <w:t>7</w:t>
            </w:r>
            <w:r>
              <w:rPr>
                <w:rFonts w:hint="eastAsia" w:ascii="宋体" w:hAnsi="宋体" w:eastAsia="宋体" w:cs="宋体"/>
                <w:color w:val="auto"/>
                <w:sz w:val="22"/>
                <w:szCs w:val="22"/>
                <w:highlight w:val="none"/>
                <w:lang w:val="en-US" w:eastAsia="zh-CN"/>
              </w:rPr>
              <w:t>分</w:t>
            </w:r>
          </w:p>
        </w:tc>
        <w:tc>
          <w:tcPr>
            <w:tcW w:w="3429" w:type="pct"/>
            <w:tcBorders>
              <w:top w:val="single" w:color="auto" w:sz="4" w:space="0"/>
              <w:left w:val="single" w:color="auto" w:sz="4" w:space="0"/>
              <w:bottom w:val="single" w:color="auto" w:sz="4" w:space="0"/>
              <w:right w:val="single" w:color="auto" w:sz="4" w:space="0"/>
            </w:tcBorders>
            <w:shd w:val="clear" w:color="auto" w:fill="auto"/>
            <w:vAlign w:val="center"/>
          </w:tcPr>
          <w:p w14:paraId="4BDC6AB8">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cs="宋体"/>
                <w:color w:val="auto"/>
                <w:sz w:val="22"/>
                <w:highlight w:val="none"/>
              </w:rPr>
            </w:pPr>
            <w:r>
              <w:rPr>
                <w:rFonts w:hint="eastAsia" w:ascii="宋体" w:hAnsi="宋体" w:cs="宋体"/>
                <w:color w:val="auto"/>
                <w:sz w:val="22"/>
                <w:highlight w:val="none"/>
              </w:rPr>
              <w:t>1、应急响应机制（2分）：</w:t>
            </w:r>
          </w:p>
          <w:p w14:paraId="16524C14">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cs="宋体"/>
                <w:color w:val="auto"/>
                <w:sz w:val="22"/>
                <w:highlight w:val="none"/>
              </w:rPr>
            </w:pPr>
            <w:r>
              <w:rPr>
                <w:rFonts w:hint="eastAsia" w:ascii="宋体" w:hAnsi="宋体" w:cs="宋体"/>
                <w:color w:val="auto"/>
                <w:sz w:val="22"/>
                <w:highlight w:val="none"/>
              </w:rPr>
              <w:t>（1）提供针对本项目成立的应急管理机构名单、应急工作队伍名单、应急联系方式（含至少2名专人及24小时联系电话），得1分；</w:t>
            </w:r>
          </w:p>
          <w:p w14:paraId="0E978831">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color w:val="auto"/>
                <w:sz w:val="22"/>
                <w:highlight w:val="none"/>
                <w:lang w:eastAsia="zh-CN"/>
              </w:rPr>
            </w:pPr>
            <w:r>
              <w:rPr>
                <w:rFonts w:hint="eastAsia" w:ascii="宋体" w:hAnsi="宋体" w:cs="宋体"/>
                <w:color w:val="auto"/>
                <w:sz w:val="22"/>
                <w:highlight w:val="none"/>
              </w:rPr>
              <w:t>（2）提供书面应急处置措施方案，明确承诺在接到采购人应急需求后1小时内完成配送并送达指定地点，且不影响采购人正常工作的，且在恶劣天气等特殊情况下仍能保障按时配送，得1分</w:t>
            </w:r>
            <w:r>
              <w:rPr>
                <w:rFonts w:hint="eastAsia" w:ascii="宋体" w:hAnsi="宋体" w:cs="宋体"/>
                <w:color w:val="auto"/>
                <w:sz w:val="22"/>
                <w:highlight w:val="none"/>
                <w:lang w:eastAsia="zh-CN"/>
              </w:rPr>
              <w:t>。</w:t>
            </w:r>
          </w:p>
          <w:p w14:paraId="451753E8">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cs="宋体"/>
                <w:color w:val="auto"/>
                <w:sz w:val="22"/>
                <w:highlight w:val="none"/>
              </w:rPr>
            </w:pPr>
            <w:r>
              <w:rPr>
                <w:rFonts w:hint="eastAsia" w:ascii="宋体" w:hAnsi="宋体" w:cs="宋体"/>
                <w:color w:val="auto"/>
                <w:sz w:val="22"/>
                <w:highlight w:val="none"/>
              </w:rPr>
              <w:t>2、售后服务保障（</w:t>
            </w:r>
            <w:r>
              <w:rPr>
                <w:rFonts w:hint="eastAsia" w:ascii="宋体" w:hAnsi="宋体" w:cs="宋体"/>
                <w:color w:val="auto"/>
                <w:sz w:val="22"/>
                <w:highlight w:val="none"/>
                <w:lang w:val="en-US" w:eastAsia="zh-CN"/>
              </w:rPr>
              <w:t>4</w:t>
            </w:r>
            <w:r>
              <w:rPr>
                <w:rFonts w:hint="eastAsia" w:ascii="宋体" w:hAnsi="宋体" w:cs="宋体"/>
                <w:color w:val="auto"/>
                <w:sz w:val="22"/>
                <w:highlight w:val="none"/>
              </w:rPr>
              <w:t>分）：</w:t>
            </w:r>
          </w:p>
          <w:p w14:paraId="3D5A1E98">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cs="宋体"/>
                <w:color w:val="auto"/>
                <w:sz w:val="22"/>
                <w:highlight w:val="none"/>
              </w:rPr>
            </w:pPr>
            <w:r>
              <w:rPr>
                <w:rFonts w:hint="eastAsia" w:ascii="宋体" w:hAnsi="宋体" w:cs="宋体"/>
                <w:color w:val="auto"/>
                <w:sz w:val="22"/>
                <w:highlight w:val="none"/>
              </w:rPr>
              <w:t>（1）提供专门为本项目配置的售后服务人员名单及职责分工，并承诺实行“三包”服务（包质量、包数量、包调换）的，得1分；</w:t>
            </w:r>
          </w:p>
          <w:p w14:paraId="34EEE81A">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cs="宋体"/>
                <w:color w:val="auto"/>
                <w:sz w:val="22"/>
                <w:highlight w:val="none"/>
              </w:rPr>
            </w:pPr>
            <w:r>
              <w:rPr>
                <w:rFonts w:hint="eastAsia" w:ascii="宋体" w:hAnsi="宋体" w:cs="宋体"/>
                <w:color w:val="auto"/>
                <w:sz w:val="22"/>
                <w:highlight w:val="none"/>
              </w:rPr>
              <w:t>（2）提供书面定期满意度回访制度及内部服务考核办法的，得0.5分；</w:t>
            </w:r>
          </w:p>
          <w:p w14:paraId="33945D53">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color w:val="auto"/>
                <w:sz w:val="22"/>
                <w:highlight w:val="none"/>
                <w:lang w:eastAsia="zh-CN"/>
              </w:rPr>
            </w:pPr>
            <w:r>
              <w:rPr>
                <w:rFonts w:hint="eastAsia" w:ascii="宋体" w:hAnsi="宋体" w:cs="宋体"/>
                <w:color w:val="auto"/>
                <w:sz w:val="22"/>
                <w:highlight w:val="none"/>
              </w:rPr>
              <w:t>（3）承诺在市场价格发生波动时，</w:t>
            </w:r>
            <w:r>
              <w:rPr>
                <w:rFonts w:hint="eastAsia" w:ascii="宋体" w:hAnsi="宋体" w:cs="宋体"/>
                <w:color w:val="auto"/>
                <w:sz w:val="22"/>
                <w:highlight w:val="none"/>
                <w:lang w:eastAsia="zh-CN"/>
              </w:rPr>
              <w:t>仍按采购人已审批确定的当期价格</w:t>
            </w:r>
            <w:r>
              <w:rPr>
                <w:rFonts w:hint="eastAsia" w:ascii="宋体" w:hAnsi="宋体" w:cs="宋体"/>
                <w:color w:val="auto"/>
                <w:sz w:val="22"/>
                <w:highlight w:val="none"/>
              </w:rPr>
              <w:t>优先保障供应，确需调价的须事先书面协商并取得采购人同意，得</w:t>
            </w:r>
            <w:r>
              <w:rPr>
                <w:rFonts w:hint="eastAsia" w:ascii="宋体" w:hAnsi="宋体" w:cs="宋体"/>
                <w:color w:val="auto"/>
                <w:sz w:val="22"/>
                <w:highlight w:val="none"/>
                <w:lang w:val="en-US" w:eastAsia="zh-CN"/>
              </w:rPr>
              <w:t>2.5</w:t>
            </w:r>
            <w:r>
              <w:rPr>
                <w:rFonts w:hint="eastAsia" w:ascii="宋体" w:hAnsi="宋体" w:cs="宋体"/>
                <w:color w:val="auto"/>
                <w:sz w:val="22"/>
                <w:highlight w:val="none"/>
              </w:rPr>
              <w:t>分</w:t>
            </w:r>
            <w:r>
              <w:rPr>
                <w:rFonts w:hint="eastAsia" w:ascii="宋体" w:hAnsi="宋体" w:cs="宋体"/>
                <w:color w:val="auto"/>
                <w:sz w:val="22"/>
                <w:highlight w:val="none"/>
                <w:lang w:eastAsia="zh-CN"/>
              </w:rPr>
              <w:t>。</w:t>
            </w:r>
          </w:p>
          <w:p w14:paraId="1A9E0C54">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cs="宋体"/>
                <w:color w:val="auto"/>
                <w:sz w:val="22"/>
                <w:highlight w:val="none"/>
              </w:rPr>
            </w:pPr>
            <w:r>
              <w:rPr>
                <w:rFonts w:hint="eastAsia" w:ascii="宋体" w:hAnsi="宋体" w:cs="宋体"/>
                <w:color w:val="auto"/>
                <w:sz w:val="22"/>
                <w:highlight w:val="none"/>
              </w:rPr>
              <w:t>3、安全责任承诺（</w:t>
            </w:r>
            <w:r>
              <w:rPr>
                <w:rFonts w:hint="eastAsia" w:ascii="宋体" w:hAnsi="宋体" w:cs="宋体"/>
                <w:color w:val="auto"/>
                <w:sz w:val="22"/>
                <w:highlight w:val="none"/>
                <w:lang w:val="en-US" w:eastAsia="zh-CN"/>
              </w:rPr>
              <w:t>1</w:t>
            </w:r>
            <w:r>
              <w:rPr>
                <w:rFonts w:hint="eastAsia" w:ascii="宋体" w:hAnsi="宋体" w:cs="宋体"/>
                <w:color w:val="auto"/>
                <w:sz w:val="22"/>
                <w:highlight w:val="none"/>
              </w:rPr>
              <w:t>分）：</w:t>
            </w:r>
          </w:p>
          <w:p w14:paraId="592DC2F7">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cs="宋体"/>
                <w:color w:val="auto"/>
                <w:sz w:val="22"/>
                <w:highlight w:val="none"/>
              </w:rPr>
            </w:pPr>
            <w:r>
              <w:rPr>
                <w:rFonts w:hint="eastAsia" w:ascii="宋体" w:hAnsi="宋体" w:cs="宋体"/>
                <w:color w:val="auto"/>
                <w:sz w:val="22"/>
                <w:highlight w:val="none"/>
              </w:rPr>
              <w:t>（1）承诺在发生食品安全事故或重大质量问题时，企业主要负责人及相关主管人员必须在2小时内到达现场处理，并提供书面安抚及善后处理方案的，得</w:t>
            </w:r>
            <w:r>
              <w:rPr>
                <w:rFonts w:hint="eastAsia" w:ascii="宋体" w:hAnsi="宋体" w:cs="宋体"/>
                <w:color w:val="auto"/>
                <w:sz w:val="22"/>
                <w:highlight w:val="none"/>
                <w:lang w:val="en-US" w:eastAsia="zh-CN"/>
              </w:rPr>
              <w:t>0.5</w:t>
            </w:r>
            <w:r>
              <w:rPr>
                <w:rFonts w:hint="eastAsia" w:ascii="宋体" w:hAnsi="宋体" w:cs="宋体"/>
                <w:color w:val="auto"/>
                <w:sz w:val="22"/>
                <w:highlight w:val="none"/>
              </w:rPr>
              <w:t>分；</w:t>
            </w:r>
          </w:p>
          <w:p w14:paraId="02F7D07D">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color w:val="auto"/>
                <w:sz w:val="22"/>
                <w:highlight w:val="none"/>
                <w:lang w:eastAsia="zh-CN"/>
              </w:rPr>
            </w:pPr>
            <w:r>
              <w:rPr>
                <w:rFonts w:hint="eastAsia" w:ascii="宋体" w:hAnsi="宋体" w:cs="宋体"/>
                <w:color w:val="auto"/>
                <w:sz w:val="22"/>
                <w:highlight w:val="none"/>
              </w:rPr>
              <w:t>（2）承诺如因质量问题或配送运输引发安全事故，承担全部法律责任及全部经济损失，并提供相关法律承诺函的，得</w:t>
            </w:r>
            <w:r>
              <w:rPr>
                <w:rFonts w:hint="eastAsia" w:ascii="宋体" w:hAnsi="宋体" w:cs="宋体"/>
                <w:color w:val="auto"/>
                <w:sz w:val="22"/>
                <w:highlight w:val="none"/>
                <w:lang w:val="en-US" w:eastAsia="zh-CN"/>
              </w:rPr>
              <w:t>0.5</w:t>
            </w:r>
            <w:r>
              <w:rPr>
                <w:rFonts w:hint="eastAsia" w:ascii="宋体" w:hAnsi="宋体" w:cs="宋体"/>
                <w:color w:val="auto"/>
                <w:sz w:val="22"/>
                <w:highlight w:val="none"/>
              </w:rPr>
              <w:t>分</w:t>
            </w:r>
            <w:r>
              <w:rPr>
                <w:rFonts w:hint="eastAsia" w:ascii="宋体" w:hAnsi="宋体" w:cs="宋体"/>
                <w:color w:val="auto"/>
                <w:sz w:val="22"/>
                <w:highlight w:val="none"/>
                <w:lang w:eastAsia="zh-CN"/>
              </w:rPr>
              <w:t>。</w:t>
            </w:r>
          </w:p>
          <w:p w14:paraId="79600FC5">
            <w:pPr>
              <w:keepNext w:val="0"/>
              <w:keepLines w:val="0"/>
              <w:pageBreakBefore w:val="0"/>
              <w:widowControl/>
              <w:numPr>
                <w:ilvl w:val="0"/>
                <w:numId w:val="0"/>
              </w:numPr>
              <w:shd w:val="clear"/>
              <w:kinsoku/>
              <w:wordWrap/>
              <w:overflowPunct/>
              <w:topLinePunct w:val="0"/>
              <w:autoSpaceDE/>
              <w:autoSpaceDN/>
              <w:bidi w:val="0"/>
              <w:spacing w:after="0" w:line="440" w:lineRule="exact"/>
              <w:ind w:left="0" w:leftChars="0" w:firstLine="0" w:firstLineChars="0"/>
              <w:textAlignment w:val="auto"/>
              <w:rPr>
                <w:rFonts w:hint="eastAsia" w:ascii="宋体" w:hAnsi="宋体" w:eastAsia="宋体" w:cs="宋体"/>
                <w:color w:val="auto"/>
                <w:sz w:val="22"/>
                <w:szCs w:val="22"/>
                <w:highlight w:val="none"/>
                <w:lang w:val="pt-BR" w:eastAsia="zh-CN" w:bidi="ar-SA"/>
              </w:rPr>
            </w:pPr>
            <w:r>
              <w:rPr>
                <w:rFonts w:hint="eastAsia" w:ascii="宋体" w:hAnsi="宋体" w:cs="宋体"/>
                <w:b/>
                <w:bCs/>
                <w:color w:val="auto"/>
                <w:sz w:val="22"/>
                <w:highlight w:val="none"/>
              </w:rPr>
              <w:t>注：以上各项均须提供加盖公章的承诺函或证明材料扫描件，</w:t>
            </w:r>
            <w:r>
              <w:rPr>
                <w:rFonts w:hint="eastAsia" w:ascii="宋体" w:hAnsi="宋体" w:cs="宋体"/>
                <w:b/>
                <w:bCs/>
                <w:color w:val="auto"/>
                <w:sz w:val="22"/>
                <w:highlight w:val="none"/>
                <w:lang w:val="en-US" w:eastAsia="zh-CN"/>
              </w:rPr>
              <w:t>格式自拟，</w:t>
            </w:r>
            <w:r>
              <w:rPr>
                <w:rFonts w:hint="eastAsia" w:ascii="宋体" w:hAnsi="宋体" w:eastAsia="宋体" w:cs="宋体"/>
                <w:b/>
                <w:bCs/>
                <w:color w:val="auto"/>
                <w:sz w:val="22"/>
                <w:szCs w:val="22"/>
                <w:highlight w:val="none"/>
                <w:lang w:val="pt-BR" w:eastAsia="zh-CN"/>
              </w:rPr>
              <w:t>未提供或提供不清晰导致无法判断的不得分</w:t>
            </w:r>
            <w:r>
              <w:rPr>
                <w:rFonts w:hint="eastAsia" w:ascii="宋体" w:hAnsi="宋体" w:cs="宋体"/>
                <w:b/>
                <w:bCs/>
                <w:color w:val="auto"/>
                <w:sz w:val="22"/>
                <w:szCs w:val="22"/>
                <w:highlight w:val="none"/>
                <w:lang w:val="pt-BR" w:eastAsia="zh-CN"/>
              </w:rPr>
              <w:t>。</w:t>
            </w:r>
          </w:p>
        </w:tc>
      </w:tr>
      <w:tr w14:paraId="071BE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0" w:type="pct"/>
            <w:vMerge w:val="restart"/>
            <w:tcBorders>
              <w:top w:val="single" w:color="auto" w:sz="4" w:space="0"/>
              <w:left w:val="single" w:color="auto" w:sz="4" w:space="0"/>
              <w:right w:val="single" w:color="auto" w:sz="4" w:space="0"/>
            </w:tcBorders>
            <w:vAlign w:val="center"/>
          </w:tcPr>
          <w:p w14:paraId="28EF2672">
            <w:pPr>
              <w:pStyle w:val="91"/>
              <w:shd w:val="clear"/>
              <w:spacing w:after="0" w:afterLines="0" w:line="360" w:lineRule="auto"/>
              <w:ind w:firstLine="0" w:firstLineChars="0"/>
              <w:jc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6</w:t>
            </w:r>
          </w:p>
        </w:tc>
        <w:tc>
          <w:tcPr>
            <w:tcW w:w="657" w:type="pct"/>
            <w:vMerge w:val="restart"/>
            <w:tcBorders>
              <w:top w:val="single" w:color="auto" w:sz="4" w:space="0"/>
              <w:left w:val="single" w:color="auto" w:sz="4" w:space="0"/>
              <w:right w:val="single" w:color="auto" w:sz="4" w:space="0"/>
            </w:tcBorders>
            <w:shd w:val="clear" w:color="auto" w:fill="auto"/>
            <w:vAlign w:val="center"/>
          </w:tcPr>
          <w:p w14:paraId="4C1502C9">
            <w:pPr>
              <w:pStyle w:val="91"/>
              <w:shd w:val="clear"/>
              <w:spacing w:after="0" w:afterLines="0" w:line="360" w:lineRule="auto"/>
              <w:ind w:firstLine="0" w:firstLineChars="0"/>
              <w:jc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eastAsia="zh-CN"/>
              </w:rPr>
              <w:t>配送保障能力</w:t>
            </w:r>
          </w:p>
        </w:tc>
        <w:tc>
          <w:tcPr>
            <w:tcW w:w="512" w:type="pct"/>
            <w:tcBorders>
              <w:top w:val="single" w:color="auto" w:sz="4" w:space="0"/>
              <w:left w:val="single" w:color="auto" w:sz="4" w:space="0"/>
              <w:bottom w:val="single" w:color="auto" w:sz="4" w:space="0"/>
              <w:right w:val="single" w:color="auto" w:sz="4" w:space="0"/>
            </w:tcBorders>
            <w:shd w:val="clear" w:color="auto" w:fill="auto"/>
            <w:vAlign w:val="center"/>
          </w:tcPr>
          <w:p w14:paraId="1EF7C60F">
            <w:pPr>
              <w:pStyle w:val="91"/>
              <w:shd w:val="clear"/>
              <w:spacing w:after="0" w:afterLines="0" w:line="360" w:lineRule="auto"/>
              <w:ind w:firstLine="0" w:firstLineChars="0"/>
              <w:jc w:val="center"/>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2分</w:t>
            </w:r>
          </w:p>
        </w:tc>
        <w:tc>
          <w:tcPr>
            <w:tcW w:w="3429" w:type="pct"/>
            <w:tcBorders>
              <w:top w:val="single" w:color="auto" w:sz="4" w:space="0"/>
              <w:left w:val="single" w:color="auto" w:sz="4" w:space="0"/>
              <w:bottom w:val="single" w:color="auto" w:sz="4" w:space="0"/>
              <w:right w:val="single" w:color="auto" w:sz="4" w:space="0"/>
            </w:tcBorders>
            <w:shd w:val="clear" w:color="auto" w:fill="auto"/>
            <w:vAlign w:val="center"/>
          </w:tcPr>
          <w:p w14:paraId="3DE759EF">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pt-BR" w:eastAsia="zh-CN"/>
              </w:rPr>
              <w:t>（</w:t>
            </w:r>
            <w:r>
              <w:rPr>
                <w:rFonts w:hint="eastAsia" w:ascii="宋体" w:hAnsi="宋体" w:cs="宋体"/>
                <w:color w:val="auto"/>
                <w:sz w:val="22"/>
                <w:szCs w:val="22"/>
                <w:highlight w:val="none"/>
                <w:lang w:val="en-US" w:eastAsia="zh-CN"/>
              </w:rPr>
              <w:t>一</w:t>
            </w:r>
            <w:r>
              <w:rPr>
                <w:rFonts w:hint="eastAsia" w:ascii="宋体" w:hAnsi="宋体" w:cs="宋体"/>
                <w:color w:val="auto"/>
                <w:sz w:val="22"/>
                <w:szCs w:val="22"/>
                <w:highlight w:val="none"/>
                <w:lang w:val="pt-BR" w:eastAsia="zh-CN"/>
              </w:rPr>
              <w:t>）</w:t>
            </w:r>
            <w:r>
              <w:rPr>
                <w:rFonts w:hint="eastAsia" w:ascii="宋体" w:hAnsi="宋体" w:cs="宋体"/>
                <w:color w:val="auto"/>
                <w:sz w:val="22"/>
                <w:szCs w:val="22"/>
                <w:highlight w:val="none"/>
                <w:lang w:val="en-US" w:eastAsia="zh-CN"/>
              </w:rPr>
              <w:t>运输能力：</w:t>
            </w:r>
          </w:p>
          <w:p w14:paraId="43D760EE">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b w:val="0"/>
                <w:bCs w:val="0"/>
                <w:color w:val="auto"/>
                <w:sz w:val="22"/>
                <w:szCs w:val="22"/>
                <w:highlight w:val="none"/>
                <w:lang w:val="pt-BR" w:eastAsia="zh-CN"/>
              </w:rPr>
            </w:pPr>
            <w:r>
              <w:rPr>
                <w:rFonts w:hint="eastAsia" w:ascii="宋体" w:hAnsi="宋体" w:cs="宋体"/>
                <w:b w:val="0"/>
                <w:bCs w:val="0"/>
                <w:color w:val="auto"/>
                <w:sz w:val="22"/>
                <w:szCs w:val="22"/>
                <w:highlight w:val="none"/>
                <w:lang w:val="en-US" w:eastAsia="zh-CN"/>
              </w:rPr>
              <w:t>根据投标人</w:t>
            </w:r>
            <w:r>
              <w:rPr>
                <w:rFonts w:hint="eastAsia" w:ascii="宋体" w:hAnsi="宋体" w:eastAsia="宋体" w:cs="宋体"/>
                <w:b w:val="0"/>
                <w:bCs w:val="0"/>
                <w:color w:val="auto"/>
                <w:sz w:val="22"/>
                <w:szCs w:val="22"/>
                <w:highlight w:val="none"/>
                <w:lang w:val="pt-BR" w:eastAsia="zh-CN"/>
              </w:rPr>
              <w:t>自</w:t>
            </w:r>
            <w:r>
              <w:rPr>
                <w:rFonts w:hint="eastAsia" w:ascii="宋体" w:hAnsi="宋体" w:cs="宋体"/>
                <w:b w:val="0"/>
                <w:bCs w:val="0"/>
                <w:color w:val="auto"/>
                <w:sz w:val="22"/>
                <w:szCs w:val="22"/>
                <w:highlight w:val="none"/>
                <w:lang w:val="en-US" w:eastAsia="zh-CN"/>
              </w:rPr>
              <w:t>有的</w:t>
            </w:r>
            <w:r>
              <w:rPr>
                <w:rFonts w:hint="eastAsia" w:ascii="宋体" w:hAnsi="宋体" w:eastAsia="宋体" w:cs="宋体"/>
                <w:b w:val="0"/>
                <w:bCs w:val="0"/>
                <w:color w:val="auto"/>
                <w:sz w:val="22"/>
                <w:szCs w:val="22"/>
                <w:highlight w:val="none"/>
                <w:lang w:val="pt-BR" w:eastAsia="zh-CN"/>
              </w:rPr>
              <w:t>或</w:t>
            </w:r>
            <w:r>
              <w:rPr>
                <w:rFonts w:hint="eastAsia" w:ascii="宋体" w:hAnsi="宋体" w:cs="宋体"/>
                <w:b w:val="0"/>
                <w:bCs w:val="0"/>
                <w:color w:val="auto"/>
                <w:sz w:val="22"/>
                <w:szCs w:val="22"/>
                <w:highlight w:val="none"/>
                <w:lang w:val="en-US" w:eastAsia="zh-CN"/>
              </w:rPr>
              <w:t>租赁</w:t>
            </w:r>
            <w:r>
              <w:rPr>
                <w:rFonts w:hint="eastAsia" w:ascii="宋体" w:hAnsi="宋体" w:eastAsia="宋体" w:cs="宋体"/>
                <w:b w:val="0"/>
                <w:bCs w:val="0"/>
                <w:color w:val="auto"/>
                <w:sz w:val="22"/>
                <w:szCs w:val="22"/>
                <w:highlight w:val="none"/>
                <w:lang w:val="pt-BR" w:eastAsia="zh-CN"/>
              </w:rPr>
              <w:t>的</w:t>
            </w:r>
            <w:r>
              <w:rPr>
                <w:rFonts w:hint="eastAsia" w:ascii="宋体" w:hAnsi="宋体" w:cs="宋体"/>
                <w:b w:val="0"/>
                <w:bCs w:val="0"/>
                <w:color w:val="auto"/>
                <w:sz w:val="22"/>
                <w:szCs w:val="22"/>
                <w:highlight w:val="none"/>
                <w:lang w:val="en-US" w:eastAsia="zh-CN"/>
              </w:rPr>
              <w:t>冷链运输车辆情</w:t>
            </w:r>
            <w:r>
              <w:rPr>
                <w:rFonts w:hint="eastAsia" w:ascii="宋体" w:hAnsi="宋体" w:eastAsia="宋体" w:cs="宋体"/>
                <w:color w:val="auto"/>
                <w:sz w:val="22"/>
                <w:szCs w:val="22"/>
                <w:highlight w:val="none"/>
                <w:lang w:val="en-US" w:eastAsia="zh-CN"/>
              </w:rPr>
              <w:t>况</w:t>
            </w:r>
            <w:r>
              <w:rPr>
                <w:rFonts w:hint="eastAsia" w:ascii="宋体" w:hAnsi="宋体" w:eastAsia="宋体" w:cs="宋体"/>
                <w:b w:val="0"/>
                <w:bCs w:val="0"/>
                <w:color w:val="auto"/>
                <w:sz w:val="22"/>
                <w:szCs w:val="22"/>
                <w:highlight w:val="none"/>
                <w:lang w:val="pt-BR" w:eastAsia="zh-CN"/>
              </w:rPr>
              <w:t>，进行评分</w:t>
            </w:r>
            <w:r>
              <w:rPr>
                <w:rFonts w:hint="eastAsia" w:ascii="宋体" w:hAnsi="宋体" w:cs="宋体"/>
                <w:b w:val="0"/>
                <w:bCs w:val="0"/>
                <w:color w:val="auto"/>
                <w:sz w:val="22"/>
                <w:szCs w:val="22"/>
                <w:highlight w:val="none"/>
                <w:lang w:val="pt-BR" w:eastAsia="zh-CN"/>
              </w:rPr>
              <w:t>，</w:t>
            </w:r>
            <w:r>
              <w:rPr>
                <w:rFonts w:hint="eastAsia" w:ascii="宋体" w:hAnsi="宋体" w:cs="宋体"/>
                <w:b w:val="0"/>
                <w:bCs w:val="0"/>
                <w:color w:val="auto"/>
                <w:sz w:val="22"/>
                <w:szCs w:val="22"/>
                <w:highlight w:val="none"/>
                <w:lang w:val="en-US" w:eastAsia="zh-CN"/>
              </w:rPr>
              <w:t>满分2</w:t>
            </w:r>
            <w:r>
              <w:rPr>
                <w:rFonts w:hint="eastAsia" w:ascii="宋体" w:hAnsi="宋体" w:eastAsia="宋体" w:cs="宋体"/>
                <w:b w:val="0"/>
                <w:bCs w:val="0"/>
                <w:color w:val="auto"/>
                <w:sz w:val="22"/>
                <w:szCs w:val="22"/>
                <w:highlight w:val="none"/>
                <w:lang w:val="pt-BR" w:eastAsia="zh-CN"/>
              </w:rPr>
              <w:t>分：</w:t>
            </w:r>
          </w:p>
          <w:p w14:paraId="29AC3403">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color w:val="auto"/>
                <w:sz w:val="22"/>
                <w:highlight w:val="none"/>
                <w:lang w:eastAsia="zh-CN"/>
              </w:rPr>
            </w:pPr>
            <w:r>
              <w:rPr>
                <w:rFonts w:hint="eastAsia" w:ascii="宋体" w:hAnsi="宋体" w:cs="宋体"/>
                <w:color w:val="auto"/>
                <w:sz w:val="22"/>
                <w:highlight w:val="none"/>
              </w:rPr>
              <w:t>本项目至少投入三台冷链运输车，在此基础上每多投入一台冷链运输车的得</w:t>
            </w:r>
            <w:r>
              <w:rPr>
                <w:rFonts w:hint="eastAsia" w:ascii="宋体" w:hAnsi="宋体" w:cs="宋体"/>
                <w:color w:val="auto"/>
                <w:sz w:val="22"/>
                <w:highlight w:val="none"/>
                <w:lang w:val="en-US" w:eastAsia="zh-CN"/>
              </w:rPr>
              <w:t>1</w:t>
            </w:r>
            <w:r>
              <w:rPr>
                <w:rFonts w:hint="eastAsia" w:ascii="宋体" w:hAnsi="宋体" w:cs="宋体"/>
                <w:color w:val="auto"/>
                <w:sz w:val="22"/>
                <w:highlight w:val="none"/>
              </w:rPr>
              <w:t>分，最高</w:t>
            </w:r>
            <w:r>
              <w:rPr>
                <w:rFonts w:hint="eastAsia" w:ascii="宋体" w:hAnsi="宋体" w:cs="宋体"/>
                <w:color w:val="auto"/>
                <w:sz w:val="22"/>
                <w:highlight w:val="none"/>
                <w:lang w:val="en-US" w:eastAsia="zh-CN"/>
              </w:rPr>
              <w:t>得2</w:t>
            </w:r>
            <w:r>
              <w:rPr>
                <w:rFonts w:hint="eastAsia" w:ascii="宋体" w:hAnsi="宋体" w:cs="宋体"/>
                <w:color w:val="auto"/>
                <w:sz w:val="22"/>
                <w:highlight w:val="none"/>
              </w:rPr>
              <w:t>分</w:t>
            </w:r>
            <w:r>
              <w:rPr>
                <w:rFonts w:hint="eastAsia" w:ascii="宋体" w:hAnsi="宋体" w:cs="宋体"/>
                <w:color w:val="auto"/>
                <w:sz w:val="22"/>
                <w:highlight w:val="none"/>
                <w:lang w:eastAsia="zh-CN"/>
              </w:rPr>
              <w:t>。</w:t>
            </w:r>
          </w:p>
          <w:p w14:paraId="6D8537F0">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cs="宋体"/>
                <w:b/>
                <w:color w:val="auto"/>
                <w:sz w:val="22"/>
                <w:highlight w:val="none"/>
              </w:rPr>
            </w:pPr>
            <w:r>
              <w:rPr>
                <w:rFonts w:hint="eastAsia" w:ascii="宋体" w:hAnsi="宋体" w:cs="宋体"/>
                <w:b/>
                <w:color w:val="auto"/>
                <w:sz w:val="22"/>
                <w:highlight w:val="none"/>
              </w:rPr>
              <w:t>注：</w:t>
            </w:r>
          </w:p>
          <w:p w14:paraId="4B09EDD7">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cs="宋体"/>
                <w:b/>
                <w:bCs/>
                <w:color w:val="auto"/>
                <w:sz w:val="22"/>
                <w:highlight w:val="none"/>
              </w:rPr>
            </w:pPr>
            <w:r>
              <w:rPr>
                <w:rFonts w:hint="eastAsia" w:ascii="宋体" w:hAnsi="宋体" w:cs="宋体"/>
                <w:b/>
                <w:bCs/>
                <w:color w:val="auto"/>
                <w:sz w:val="22"/>
                <w:highlight w:val="none"/>
              </w:rPr>
              <w:t>（1）车辆为投标人自有的，须同时提供：①车辆登记证书或车辆行驶证（所有人须为投标人或投标单位法人）；②车辆照片（冷链运输车须提供能显示制冷设备的图片）。</w:t>
            </w:r>
          </w:p>
          <w:p w14:paraId="0E1BF253">
            <w:pPr>
              <w:keepNext w:val="0"/>
              <w:keepLines w:val="0"/>
              <w:pageBreakBefore w:val="0"/>
              <w:widowControl/>
              <w:numPr>
                <w:ilvl w:val="0"/>
                <w:numId w:val="0"/>
              </w:numPr>
              <w:shd w:val="clear"/>
              <w:kinsoku/>
              <w:wordWrap/>
              <w:overflowPunct/>
              <w:topLinePunct w:val="0"/>
              <w:autoSpaceDE/>
              <w:autoSpaceDN/>
              <w:bidi w:val="0"/>
              <w:spacing w:after="0" w:line="440" w:lineRule="exact"/>
              <w:ind w:left="0" w:leftChars="0" w:firstLine="0" w:firstLineChars="0"/>
              <w:textAlignment w:val="auto"/>
              <w:rPr>
                <w:rFonts w:hint="eastAsia" w:ascii="宋体" w:hAnsi="宋体" w:cs="宋体"/>
                <w:b/>
                <w:bCs/>
                <w:color w:val="auto"/>
                <w:sz w:val="22"/>
                <w:szCs w:val="22"/>
                <w:highlight w:val="none"/>
                <w:lang w:val="en-US" w:eastAsia="zh-CN"/>
              </w:rPr>
            </w:pPr>
            <w:r>
              <w:rPr>
                <w:rFonts w:hint="eastAsia" w:ascii="宋体" w:hAnsi="宋体" w:cs="宋体"/>
                <w:b/>
                <w:bCs/>
                <w:color w:val="auto"/>
                <w:sz w:val="22"/>
                <w:highlight w:val="none"/>
              </w:rPr>
              <w:t>（2）车辆为投标人租赁的，须同时提供：①车辆登记证书或车辆行驶证；②车辆照片（冷链运输车须提供能显示制冷设备的图片）；③以投标人名义签订并在有效期内的租赁合同、近一年内任意时间段的租金发票或租金付款记录。</w:t>
            </w:r>
            <w:r>
              <w:rPr>
                <w:rFonts w:hint="eastAsia" w:ascii="宋体" w:hAnsi="宋体" w:cs="宋体"/>
                <w:b/>
                <w:bCs/>
                <w:color w:val="auto"/>
                <w:sz w:val="22"/>
                <w:highlight w:val="none"/>
              </w:rPr>
              <w:br w:type="textWrapping"/>
            </w:r>
            <w:r>
              <w:rPr>
                <w:rFonts w:hint="eastAsia" w:ascii="宋体" w:hAnsi="宋体" w:cs="宋体"/>
                <w:b/>
                <w:bCs/>
                <w:color w:val="auto"/>
                <w:sz w:val="22"/>
                <w:szCs w:val="22"/>
                <w:highlight w:val="none"/>
                <w:lang w:val="pt-BR" w:eastAsia="zh-CN"/>
              </w:rPr>
              <w:t>（</w:t>
            </w:r>
            <w:r>
              <w:rPr>
                <w:rFonts w:hint="eastAsia" w:ascii="宋体" w:hAnsi="宋体" w:cs="宋体"/>
                <w:b/>
                <w:bCs/>
                <w:color w:val="auto"/>
                <w:sz w:val="22"/>
                <w:szCs w:val="22"/>
                <w:highlight w:val="none"/>
                <w:lang w:val="en-US" w:eastAsia="zh-CN"/>
              </w:rPr>
              <w:t>3</w:t>
            </w:r>
            <w:r>
              <w:rPr>
                <w:rFonts w:hint="eastAsia" w:ascii="宋体" w:hAnsi="宋体" w:cs="宋体"/>
                <w:b/>
                <w:bCs/>
                <w:color w:val="auto"/>
                <w:sz w:val="22"/>
                <w:szCs w:val="22"/>
                <w:highlight w:val="none"/>
                <w:lang w:val="pt-BR" w:eastAsia="zh-CN"/>
              </w:rPr>
              <w:t>）投标人</w:t>
            </w:r>
            <w:r>
              <w:rPr>
                <w:rFonts w:hint="eastAsia" w:ascii="宋体" w:hAnsi="宋体" w:cs="宋体"/>
                <w:b/>
                <w:bCs/>
                <w:color w:val="auto"/>
                <w:sz w:val="22"/>
                <w:szCs w:val="22"/>
                <w:highlight w:val="none"/>
                <w:lang w:val="en-US" w:eastAsia="zh-CN"/>
              </w:rPr>
              <w:t>须</w:t>
            </w:r>
            <w:r>
              <w:rPr>
                <w:rFonts w:hint="eastAsia" w:ascii="宋体" w:hAnsi="宋体" w:cs="宋体"/>
                <w:b/>
                <w:bCs/>
                <w:color w:val="auto"/>
                <w:sz w:val="22"/>
                <w:szCs w:val="22"/>
                <w:highlight w:val="none"/>
                <w:lang w:val="pt-BR" w:eastAsia="zh-CN"/>
              </w:rPr>
              <w:t>承诺</w:t>
            </w:r>
            <w:r>
              <w:rPr>
                <w:rFonts w:hint="eastAsia" w:ascii="宋体" w:hAnsi="宋体" w:cs="宋体"/>
                <w:b/>
                <w:bCs/>
                <w:color w:val="auto"/>
                <w:sz w:val="22"/>
                <w:szCs w:val="22"/>
                <w:highlight w:val="none"/>
                <w:lang w:val="en-US" w:eastAsia="zh-CN"/>
              </w:rPr>
              <w:t>上</w:t>
            </w:r>
            <w:r>
              <w:rPr>
                <w:rFonts w:hint="eastAsia" w:ascii="宋体" w:hAnsi="宋体" w:cs="宋体"/>
                <w:b/>
                <w:bCs/>
                <w:color w:val="auto"/>
                <w:sz w:val="22"/>
                <w:szCs w:val="22"/>
                <w:highlight w:val="none"/>
                <w:lang w:val="pt-BR" w:eastAsia="zh-CN"/>
              </w:rPr>
              <w:t>述</w:t>
            </w:r>
            <w:r>
              <w:rPr>
                <w:rFonts w:hint="eastAsia" w:ascii="宋体" w:hAnsi="宋体" w:cs="宋体"/>
                <w:b/>
                <w:bCs/>
                <w:color w:val="auto"/>
                <w:sz w:val="22"/>
                <w:szCs w:val="22"/>
                <w:highlight w:val="none"/>
                <w:lang w:val="en-US" w:eastAsia="zh-CN"/>
              </w:rPr>
              <w:t>提供的</w:t>
            </w:r>
            <w:r>
              <w:rPr>
                <w:rFonts w:hint="eastAsia" w:ascii="宋体" w:hAnsi="宋体" w:cs="宋体"/>
                <w:b/>
                <w:bCs/>
                <w:color w:val="auto"/>
                <w:sz w:val="22"/>
                <w:szCs w:val="22"/>
                <w:highlight w:val="none"/>
                <w:lang w:val="pt-BR" w:eastAsia="zh-CN"/>
              </w:rPr>
              <w:t>运输车辆是为本项目提供服务</w:t>
            </w:r>
            <w:r>
              <w:rPr>
                <w:rFonts w:hint="eastAsia" w:ascii="宋体" w:hAnsi="宋体" w:cs="宋体"/>
                <w:b/>
                <w:bCs/>
                <w:color w:val="auto"/>
                <w:sz w:val="22"/>
                <w:szCs w:val="22"/>
                <w:highlight w:val="none"/>
                <w:lang w:val="en-US" w:eastAsia="zh-CN"/>
              </w:rPr>
              <w:t>的运输车辆，</w:t>
            </w:r>
            <w:r>
              <w:rPr>
                <w:rFonts w:hint="eastAsia" w:ascii="宋体" w:hAnsi="宋体" w:cs="宋体"/>
                <w:b/>
                <w:bCs/>
                <w:color w:val="auto"/>
                <w:sz w:val="22"/>
                <w:szCs w:val="22"/>
                <w:highlight w:val="none"/>
                <w:lang w:val="pt-BR" w:eastAsia="zh-CN"/>
              </w:rPr>
              <w:t>若需更换运输车辆，须征得采购人书面同意。（</w:t>
            </w:r>
            <w:r>
              <w:rPr>
                <w:rFonts w:hint="eastAsia" w:ascii="宋体" w:hAnsi="宋体" w:cs="宋体"/>
                <w:b/>
                <w:bCs/>
                <w:color w:val="auto"/>
                <w:sz w:val="22"/>
                <w:szCs w:val="22"/>
                <w:highlight w:val="none"/>
                <w:lang w:val="en-US" w:eastAsia="zh-CN"/>
              </w:rPr>
              <w:t>提供承诺函并加盖投标人公章，格式自拟）</w:t>
            </w:r>
          </w:p>
          <w:p w14:paraId="58B178D3">
            <w:pPr>
              <w:keepNext w:val="0"/>
              <w:keepLines w:val="0"/>
              <w:pageBreakBefore w:val="0"/>
              <w:widowControl/>
              <w:numPr>
                <w:ilvl w:val="0"/>
                <w:numId w:val="0"/>
              </w:numPr>
              <w:shd w:val="clear"/>
              <w:kinsoku/>
              <w:wordWrap/>
              <w:overflowPunct/>
              <w:topLinePunct w:val="0"/>
              <w:autoSpaceDE/>
              <w:autoSpaceDN/>
              <w:bidi w:val="0"/>
              <w:spacing w:after="0" w:line="440" w:lineRule="exact"/>
              <w:ind w:left="0" w:leftChars="0" w:firstLine="0" w:firstLineChars="0"/>
              <w:textAlignment w:val="auto"/>
              <w:rPr>
                <w:rFonts w:hint="eastAsia" w:ascii="宋体" w:hAnsi="宋体" w:cs="宋体"/>
                <w:b/>
                <w:bCs/>
                <w:color w:val="auto"/>
                <w:sz w:val="22"/>
                <w:highlight w:val="none"/>
              </w:rPr>
            </w:pPr>
            <w:r>
              <w:rPr>
                <w:rFonts w:hint="eastAsia" w:ascii="宋体" w:hAnsi="宋体" w:eastAsia="宋体" w:cs="宋体"/>
                <w:b/>
                <w:bCs/>
                <w:color w:val="auto"/>
                <w:sz w:val="22"/>
                <w:szCs w:val="22"/>
                <w:highlight w:val="none"/>
                <w:lang w:eastAsia="zh-CN"/>
              </w:rPr>
              <w:t>（</w:t>
            </w:r>
            <w:r>
              <w:rPr>
                <w:rFonts w:hint="eastAsia" w:ascii="宋体" w:hAnsi="宋体" w:eastAsia="宋体" w:cs="宋体"/>
                <w:b/>
                <w:bCs/>
                <w:color w:val="auto"/>
                <w:sz w:val="22"/>
                <w:szCs w:val="22"/>
                <w:highlight w:val="none"/>
                <w:lang w:val="en-US" w:eastAsia="zh-CN"/>
              </w:rPr>
              <w:t>3</w:t>
            </w:r>
            <w:r>
              <w:rPr>
                <w:rFonts w:hint="eastAsia" w:ascii="宋体" w:hAnsi="宋体" w:eastAsia="宋体" w:cs="宋体"/>
                <w:b/>
                <w:bCs/>
                <w:color w:val="auto"/>
                <w:sz w:val="22"/>
                <w:szCs w:val="22"/>
                <w:highlight w:val="none"/>
                <w:lang w:eastAsia="zh-CN"/>
              </w:rPr>
              <w:t>）</w:t>
            </w:r>
            <w:r>
              <w:rPr>
                <w:rFonts w:hint="eastAsia" w:ascii="宋体" w:hAnsi="宋体" w:eastAsia="宋体" w:cs="宋体"/>
                <w:b/>
                <w:bCs/>
                <w:color w:val="auto"/>
                <w:sz w:val="22"/>
                <w:szCs w:val="22"/>
                <w:highlight w:val="none"/>
              </w:rPr>
              <w:t>提供上述证明文件</w:t>
            </w:r>
            <w:r>
              <w:rPr>
                <w:rFonts w:hint="eastAsia" w:ascii="宋体" w:hAnsi="宋体" w:cs="宋体"/>
                <w:b/>
                <w:bCs/>
                <w:color w:val="auto"/>
                <w:sz w:val="22"/>
                <w:szCs w:val="22"/>
                <w:highlight w:val="none"/>
                <w:lang w:val="en-US" w:eastAsia="zh-CN"/>
              </w:rPr>
              <w:t>并</w:t>
            </w:r>
            <w:r>
              <w:rPr>
                <w:rFonts w:hint="eastAsia" w:ascii="宋体" w:hAnsi="宋体" w:eastAsia="宋体" w:cs="宋体"/>
                <w:b/>
                <w:bCs/>
                <w:color w:val="auto"/>
                <w:sz w:val="22"/>
                <w:szCs w:val="22"/>
                <w:highlight w:val="none"/>
              </w:rPr>
              <w:t>加盖投标人公章，未提供或提供不清晰导致无法判断的不得分。</w:t>
            </w:r>
          </w:p>
        </w:tc>
      </w:tr>
      <w:tr w14:paraId="64145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400" w:type="pct"/>
            <w:vMerge w:val="continue"/>
            <w:tcBorders>
              <w:left w:val="single" w:color="auto" w:sz="4" w:space="0"/>
              <w:right w:val="single" w:color="auto" w:sz="4" w:space="0"/>
            </w:tcBorders>
            <w:vAlign w:val="center"/>
          </w:tcPr>
          <w:p w14:paraId="76FE34EF">
            <w:pPr>
              <w:pStyle w:val="91"/>
              <w:shd w:val="clear"/>
              <w:spacing w:after="0" w:afterLines="0" w:line="360" w:lineRule="auto"/>
              <w:ind w:firstLine="0" w:firstLineChars="0"/>
              <w:jc w:val="center"/>
              <w:rPr>
                <w:rFonts w:hint="eastAsia" w:ascii="宋体" w:hAnsi="宋体" w:eastAsia="宋体" w:cs="宋体"/>
                <w:color w:val="auto"/>
                <w:sz w:val="22"/>
                <w:szCs w:val="22"/>
                <w:highlight w:val="none"/>
                <w:lang w:val="en-US" w:eastAsia="zh-CN"/>
              </w:rPr>
            </w:pPr>
          </w:p>
        </w:tc>
        <w:tc>
          <w:tcPr>
            <w:tcW w:w="657" w:type="pct"/>
            <w:vMerge w:val="continue"/>
            <w:tcBorders>
              <w:left w:val="single" w:color="auto" w:sz="4" w:space="0"/>
              <w:right w:val="single" w:color="auto" w:sz="4" w:space="0"/>
            </w:tcBorders>
            <w:vAlign w:val="center"/>
          </w:tcPr>
          <w:p w14:paraId="45C7C169">
            <w:pPr>
              <w:pStyle w:val="91"/>
              <w:shd w:val="clear"/>
              <w:spacing w:after="0" w:afterLines="0" w:line="360" w:lineRule="auto"/>
              <w:ind w:firstLine="0" w:firstLineChars="0"/>
              <w:jc w:val="center"/>
              <w:rPr>
                <w:rFonts w:hint="eastAsia" w:ascii="宋体" w:hAnsi="宋体" w:eastAsia="宋体" w:cs="宋体"/>
                <w:color w:val="auto"/>
                <w:sz w:val="22"/>
                <w:szCs w:val="22"/>
                <w:highlight w:val="none"/>
                <w:lang w:val="en-US" w:eastAsia="zh-CN"/>
              </w:rPr>
            </w:pPr>
          </w:p>
        </w:tc>
        <w:tc>
          <w:tcPr>
            <w:tcW w:w="512" w:type="pct"/>
            <w:tcBorders>
              <w:top w:val="single" w:color="auto" w:sz="4" w:space="0"/>
              <w:left w:val="single" w:color="auto" w:sz="4" w:space="0"/>
              <w:bottom w:val="single" w:color="auto" w:sz="4" w:space="0"/>
              <w:right w:val="single" w:color="auto" w:sz="4" w:space="0"/>
            </w:tcBorders>
            <w:vAlign w:val="center"/>
          </w:tcPr>
          <w:p w14:paraId="2AC3CBB7">
            <w:pPr>
              <w:pStyle w:val="91"/>
              <w:shd w:val="clear"/>
              <w:spacing w:after="0" w:afterLines="0" w:line="360" w:lineRule="auto"/>
              <w:ind w:firstLine="0" w:firstLineChars="0"/>
              <w:jc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4</w:t>
            </w:r>
            <w:r>
              <w:rPr>
                <w:rFonts w:hint="eastAsia" w:ascii="宋体" w:hAnsi="宋体" w:eastAsia="宋体" w:cs="宋体"/>
                <w:color w:val="auto"/>
                <w:sz w:val="22"/>
                <w:szCs w:val="22"/>
                <w:highlight w:val="none"/>
                <w:lang w:val="en-US" w:eastAsia="zh-CN"/>
              </w:rPr>
              <w:t>分</w:t>
            </w:r>
          </w:p>
        </w:tc>
        <w:tc>
          <w:tcPr>
            <w:tcW w:w="3429" w:type="pct"/>
            <w:tcBorders>
              <w:top w:val="single" w:color="auto" w:sz="4" w:space="0"/>
              <w:left w:val="single" w:color="auto" w:sz="4" w:space="0"/>
              <w:bottom w:val="single" w:color="auto" w:sz="4" w:space="0"/>
              <w:right w:val="single" w:color="auto" w:sz="4" w:space="0"/>
            </w:tcBorders>
            <w:vAlign w:val="center"/>
          </w:tcPr>
          <w:p w14:paraId="597104A1">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（二）配送仓储：</w:t>
            </w:r>
          </w:p>
          <w:p w14:paraId="4786A3B2">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b w:val="0"/>
                <w:bCs w:val="0"/>
                <w:color w:val="auto"/>
                <w:sz w:val="22"/>
                <w:szCs w:val="22"/>
                <w:highlight w:val="none"/>
                <w:lang w:val="pt-BR" w:eastAsia="zh-CN"/>
              </w:rPr>
            </w:pPr>
            <w:r>
              <w:rPr>
                <w:rFonts w:hint="eastAsia" w:ascii="宋体" w:hAnsi="宋体" w:cs="宋体"/>
                <w:b w:val="0"/>
                <w:bCs w:val="0"/>
                <w:color w:val="auto"/>
                <w:sz w:val="22"/>
                <w:szCs w:val="22"/>
                <w:highlight w:val="none"/>
                <w:lang w:val="en-US" w:eastAsia="zh-CN"/>
              </w:rPr>
              <w:t>根据投标人</w:t>
            </w:r>
            <w:r>
              <w:rPr>
                <w:rFonts w:hint="eastAsia" w:ascii="宋体" w:hAnsi="宋体" w:eastAsia="宋体" w:cs="宋体"/>
                <w:b w:val="0"/>
                <w:bCs w:val="0"/>
                <w:color w:val="auto"/>
                <w:sz w:val="22"/>
                <w:szCs w:val="22"/>
                <w:highlight w:val="none"/>
                <w:lang w:val="pt-BR" w:eastAsia="zh-CN"/>
              </w:rPr>
              <w:t>自</w:t>
            </w:r>
            <w:r>
              <w:rPr>
                <w:rFonts w:hint="eastAsia" w:ascii="宋体" w:hAnsi="宋体" w:cs="宋体"/>
                <w:b w:val="0"/>
                <w:bCs w:val="0"/>
                <w:color w:val="auto"/>
                <w:sz w:val="22"/>
                <w:szCs w:val="22"/>
                <w:highlight w:val="none"/>
                <w:lang w:val="en-US" w:eastAsia="zh-CN"/>
              </w:rPr>
              <w:t>有的（</w:t>
            </w:r>
            <w:r>
              <w:rPr>
                <w:rFonts w:hint="eastAsia" w:ascii="宋体" w:hAnsi="宋体" w:eastAsia="宋体" w:cs="宋体"/>
                <w:b w:val="0"/>
                <w:bCs w:val="0"/>
                <w:color w:val="auto"/>
                <w:sz w:val="22"/>
                <w:szCs w:val="22"/>
                <w:highlight w:val="none"/>
                <w:lang w:val="pt-BR" w:eastAsia="zh-CN"/>
              </w:rPr>
              <w:t>或</w:t>
            </w:r>
            <w:r>
              <w:rPr>
                <w:rFonts w:hint="eastAsia" w:ascii="宋体" w:hAnsi="宋体" w:cs="宋体"/>
                <w:b w:val="0"/>
                <w:bCs w:val="0"/>
                <w:color w:val="auto"/>
                <w:sz w:val="22"/>
                <w:szCs w:val="22"/>
                <w:highlight w:val="none"/>
                <w:lang w:val="en-US" w:eastAsia="zh-CN"/>
              </w:rPr>
              <w:t>租赁</w:t>
            </w:r>
            <w:r>
              <w:rPr>
                <w:rFonts w:hint="eastAsia" w:ascii="宋体" w:hAnsi="宋体" w:eastAsia="宋体" w:cs="宋体"/>
                <w:b w:val="0"/>
                <w:bCs w:val="0"/>
                <w:color w:val="auto"/>
                <w:sz w:val="22"/>
                <w:szCs w:val="22"/>
                <w:highlight w:val="none"/>
                <w:lang w:val="pt-BR" w:eastAsia="zh-CN"/>
              </w:rPr>
              <w:t>的</w:t>
            </w:r>
            <w:r>
              <w:rPr>
                <w:rFonts w:hint="eastAsia" w:ascii="宋体" w:hAnsi="宋体" w:cs="宋体"/>
                <w:b w:val="0"/>
                <w:bCs w:val="0"/>
                <w:color w:val="auto"/>
                <w:sz w:val="22"/>
                <w:szCs w:val="22"/>
                <w:highlight w:val="none"/>
                <w:lang w:val="en-US" w:eastAsia="zh-CN"/>
              </w:rPr>
              <w:t>）</w:t>
            </w:r>
            <w:r>
              <w:rPr>
                <w:rFonts w:hint="eastAsia" w:ascii="宋体" w:hAnsi="宋体" w:eastAsia="宋体" w:cs="宋体"/>
                <w:b w:val="0"/>
                <w:bCs w:val="0"/>
                <w:color w:val="auto"/>
                <w:sz w:val="22"/>
                <w:szCs w:val="22"/>
                <w:highlight w:val="none"/>
                <w:lang w:val="pt-BR" w:eastAsia="zh-CN"/>
              </w:rPr>
              <w:t>冷藏冷冻食品贮存库</w:t>
            </w:r>
            <w:r>
              <w:rPr>
                <w:rFonts w:hint="eastAsia" w:ascii="宋体" w:hAnsi="宋体" w:cs="宋体"/>
                <w:b w:val="0"/>
                <w:bCs w:val="0"/>
                <w:color w:val="auto"/>
                <w:sz w:val="22"/>
                <w:szCs w:val="22"/>
                <w:highlight w:val="none"/>
                <w:lang w:val="en-US" w:eastAsia="zh-CN"/>
              </w:rPr>
              <w:t>面积</w:t>
            </w:r>
            <w:r>
              <w:rPr>
                <w:rFonts w:hint="eastAsia" w:ascii="宋体" w:hAnsi="宋体" w:eastAsia="宋体" w:cs="宋体"/>
                <w:color w:val="auto"/>
                <w:sz w:val="22"/>
                <w:szCs w:val="22"/>
                <w:highlight w:val="none"/>
                <w:lang w:val="en-US" w:eastAsia="zh-CN"/>
              </w:rPr>
              <w:t>及冷藏冷冻食品贮存库依法备案情况</w:t>
            </w:r>
            <w:r>
              <w:rPr>
                <w:rFonts w:hint="eastAsia" w:ascii="宋体" w:hAnsi="宋体" w:eastAsia="宋体" w:cs="宋体"/>
                <w:b w:val="0"/>
                <w:bCs w:val="0"/>
                <w:color w:val="auto"/>
                <w:sz w:val="22"/>
                <w:szCs w:val="22"/>
                <w:highlight w:val="none"/>
                <w:lang w:val="pt-BR" w:eastAsia="zh-CN"/>
              </w:rPr>
              <w:t>，进行评分</w:t>
            </w:r>
            <w:r>
              <w:rPr>
                <w:rFonts w:hint="eastAsia" w:ascii="宋体" w:hAnsi="宋体" w:cs="宋体"/>
                <w:b w:val="0"/>
                <w:bCs w:val="0"/>
                <w:color w:val="auto"/>
                <w:sz w:val="22"/>
                <w:szCs w:val="22"/>
                <w:highlight w:val="none"/>
                <w:lang w:val="pt-BR" w:eastAsia="zh-CN"/>
              </w:rPr>
              <w:t>，</w:t>
            </w:r>
            <w:r>
              <w:rPr>
                <w:rFonts w:hint="eastAsia" w:ascii="宋体" w:hAnsi="宋体" w:cs="宋体"/>
                <w:b w:val="0"/>
                <w:bCs w:val="0"/>
                <w:color w:val="auto"/>
                <w:sz w:val="22"/>
                <w:szCs w:val="22"/>
                <w:highlight w:val="none"/>
                <w:lang w:val="en-US" w:eastAsia="zh-CN"/>
              </w:rPr>
              <w:t>满分4</w:t>
            </w:r>
            <w:r>
              <w:rPr>
                <w:rFonts w:hint="eastAsia" w:ascii="宋体" w:hAnsi="宋体" w:eastAsia="宋体" w:cs="宋体"/>
                <w:b w:val="0"/>
                <w:bCs w:val="0"/>
                <w:color w:val="auto"/>
                <w:sz w:val="22"/>
                <w:szCs w:val="22"/>
                <w:highlight w:val="none"/>
                <w:lang w:val="pt-BR" w:eastAsia="zh-CN"/>
              </w:rPr>
              <w:t>分：</w:t>
            </w:r>
          </w:p>
          <w:p w14:paraId="43F17871">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b w:val="0"/>
                <w:bCs w:val="0"/>
                <w:color w:val="auto"/>
                <w:sz w:val="22"/>
                <w:szCs w:val="22"/>
                <w:highlight w:val="none"/>
                <w:lang w:val="pt-BR" w:eastAsia="zh-CN"/>
              </w:rPr>
            </w:pPr>
            <w:r>
              <w:rPr>
                <w:rFonts w:hint="eastAsia" w:ascii="宋体" w:hAnsi="宋体" w:cs="宋体"/>
                <w:b w:val="0"/>
                <w:bCs w:val="0"/>
                <w:color w:val="auto"/>
                <w:sz w:val="22"/>
                <w:szCs w:val="22"/>
                <w:highlight w:val="none"/>
                <w:lang w:val="pt-BR" w:eastAsia="zh-CN"/>
              </w:rPr>
              <w:t>（</w:t>
            </w:r>
            <w:r>
              <w:rPr>
                <w:rFonts w:hint="eastAsia" w:ascii="宋体" w:hAnsi="宋体" w:cs="宋体"/>
                <w:b w:val="0"/>
                <w:bCs w:val="0"/>
                <w:color w:val="auto"/>
                <w:sz w:val="22"/>
                <w:szCs w:val="22"/>
                <w:highlight w:val="none"/>
                <w:lang w:val="en-US" w:eastAsia="zh-CN"/>
              </w:rPr>
              <w:t>1</w:t>
            </w:r>
            <w:r>
              <w:rPr>
                <w:rFonts w:hint="eastAsia" w:ascii="宋体" w:hAnsi="宋体" w:cs="宋体"/>
                <w:b w:val="0"/>
                <w:bCs w:val="0"/>
                <w:color w:val="auto"/>
                <w:sz w:val="22"/>
                <w:szCs w:val="22"/>
                <w:highlight w:val="none"/>
                <w:lang w:val="pt-BR" w:eastAsia="zh-CN"/>
              </w:rPr>
              <w:t>）</w:t>
            </w:r>
            <w:r>
              <w:rPr>
                <w:rFonts w:hint="eastAsia" w:ascii="宋体" w:hAnsi="宋体" w:eastAsia="宋体" w:cs="宋体"/>
                <w:color w:val="auto"/>
                <w:sz w:val="22"/>
                <w:szCs w:val="22"/>
                <w:highlight w:val="none"/>
                <w:lang w:val="en-US" w:eastAsia="zh-CN"/>
              </w:rPr>
              <w:t>冷藏冷冻食品贮存库</w:t>
            </w:r>
            <w:r>
              <w:rPr>
                <w:rFonts w:hint="eastAsia" w:ascii="宋体" w:hAnsi="宋体" w:eastAsia="宋体" w:cs="宋体"/>
                <w:color w:val="auto"/>
                <w:sz w:val="22"/>
                <w:szCs w:val="22"/>
                <w:highlight w:val="none"/>
                <w:lang w:val="pt-BR" w:eastAsia="zh-CN"/>
              </w:rPr>
              <w:t>面积</w:t>
            </w:r>
            <w:r>
              <w:rPr>
                <w:rFonts w:hint="eastAsia" w:ascii="宋体" w:hAnsi="宋体" w:cs="宋体"/>
                <w:color w:val="auto"/>
                <w:sz w:val="22"/>
                <w:szCs w:val="22"/>
                <w:highlight w:val="none"/>
                <w:lang w:val="en-US" w:eastAsia="zh-CN"/>
              </w:rPr>
              <w:t>≥</w:t>
            </w:r>
            <w:r>
              <w:rPr>
                <w:rFonts w:hint="eastAsia" w:ascii="宋体" w:hAnsi="宋体" w:eastAsia="宋体" w:cs="宋体"/>
                <w:b w:val="0"/>
                <w:bCs w:val="0"/>
                <w:color w:val="auto"/>
                <w:sz w:val="22"/>
                <w:szCs w:val="22"/>
                <w:highlight w:val="none"/>
                <w:lang w:val="en-US" w:eastAsia="zh-CN"/>
              </w:rPr>
              <w:t>10</w:t>
            </w:r>
            <w:r>
              <w:rPr>
                <w:rFonts w:hint="eastAsia" w:ascii="宋体" w:hAnsi="宋体" w:eastAsia="宋体" w:cs="宋体"/>
                <w:b w:val="0"/>
                <w:bCs w:val="0"/>
                <w:color w:val="auto"/>
                <w:sz w:val="22"/>
                <w:szCs w:val="22"/>
                <w:highlight w:val="none"/>
                <w:lang w:val="pt-BR" w:eastAsia="zh-CN"/>
              </w:rPr>
              <w:t>00平方米的，得</w:t>
            </w:r>
            <w:r>
              <w:rPr>
                <w:rFonts w:hint="eastAsia" w:ascii="宋体" w:hAnsi="宋体" w:cs="宋体"/>
                <w:b w:val="0"/>
                <w:bCs w:val="0"/>
                <w:color w:val="auto"/>
                <w:sz w:val="22"/>
                <w:szCs w:val="22"/>
                <w:highlight w:val="none"/>
                <w:lang w:val="en-US" w:eastAsia="zh-CN"/>
              </w:rPr>
              <w:t>4</w:t>
            </w:r>
            <w:r>
              <w:rPr>
                <w:rFonts w:hint="eastAsia" w:ascii="宋体" w:hAnsi="宋体" w:eastAsia="宋体" w:cs="宋体"/>
                <w:b w:val="0"/>
                <w:bCs w:val="0"/>
                <w:color w:val="auto"/>
                <w:sz w:val="22"/>
                <w:szCs w:val="22"/>
                <w:highlight w:val="none"/>
                <w:lang w:val="pt-BR" w:eastAsia="zh-CN"/>
              </w:rPr>
              <w:t>分；</w:t>
            </w:r>
          </w:p>
          <w:p w14:paraId="6EE5F9CA">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b w:val="0"/>
                <w:bCs w:val="0"/>
                <w:color w:val="auto"/>
                <w:sz w:val="22"/>
                <w:szCs w:val="22"/>
                <w:highlight w:val="none"/>
                <w:lang w:val="pt-BR" w:eastAsia="zh-CN"/>
              </w:rPr>
            </w:pPr>
            <w:r>
              <w:rPr>
                <w:rFonts w:hint="eastAsia" w:ascii="宋体" w:hAnsi="宋体" w:cs="宋体"/>
                <w:b w:val="0"/>
                <w:bCs w:val="0"/>
                <w:color w:val="auto"/>
                <w:sz w:val="22"/>
                <w:szCs w:val="22"/>
                <w:highlight w:val="none"/>
                <w:lang w:val="pt-BR" w:eastAsia="zh-CN"/>
              </w:rPr>
              <w:t>（</w:t>
            </w:r>
            <w:r>
              <w:rPr>
                <w:rFonts w:hint="eastAsia" w:ascii="宋体" w:hAnsi="宋体" w:cs="宋体"/>
                <w:b w:val="0"/>
                <w:bCs w:val="0"/>
                <w:color w:val="auto"/>
                <w:sz w:val="22"/>
                <w:szCs w:val="22"/>
                <w:highlight w:val="none"/>
                <w:lang w:val="en-US" w:eastAsia="zh-CN"/>
              </w:rPr>
              <w:t>2</w:t>
            </w:r>
            <w:r>
              <w:rPr>
                <w:rFonts w:hint="eastAsia" w:ascii="宋体" w:hAnsi="宋体" w:cs="宋体"/>
                <w:b w:val="0"/>
                <w:bCs w:val="0"/>
                <w:color w:val="auto"/>
                <w:sz w:val="22"/>
                <w:szCs w:val="22"/>
                <w:highlight w:val="none"/>
                <w:lang w:val="pt-BR" w:eastAsia="zh-CN"/>
              </w:rPr>
              <w:t>）</w:t>
            </w:r>
            <w:r>
              <w:rPr>
                <w:rFonts w:hint="eastAsia" w:ascii="宋体" w:hAnsi="宋体" w:eastAsia="宋体" w:cs="宋体"/>
                <w:b w:val="0"/>
                <w:bCs w:val="0"/>
                <w:color w:val="auto"/>
                <w:sz w:val="22"/>
                <w:szCs w:val="22"/>
                <w:highlight w:val="none"/>
                <w:lang w:val="en-US" w:eastAsia="zh-CN"/>
              </w:rPr>
              <w:t>6</w:t>
            </w:r>
            <w:r>
              <w:rPr>
                <w:rFonts w:hint="eastAsia" w:ascii="宋体" w:hAnsi="宋体" w:eastAsia="宋体" w:cs="宋体"/>
                <w:b w:val="0"/>
                <w:bCs w:val="0"/>
                <w:color w:val="auto"/>
                <w:sz w:val="22"/>
                <w:szCs w:val="22"/>
                <w:highlight w:val="none"/>
                <w:lang w:val="pt-BR" w:eastAsia="zh-CN"/>
              </w:rPr>
              <w:t>00平方米</w:t>
            </w:r>
            <w:r>
              <w:rPr>
                <w:rFonts w:hint="eastAsia" w:ascii="宋体" w:hAnsi="宋体" w:cs="宋体"/>
                <w:b w:val="0"/>
                <w:bCs w:val="0"/>
                <w:color w:val="auto"/>
                <w:sz w:val="22"/>
                <w:szCs w:val="22"/>
                <w:highlight w:val="none"/>
                <w:lang w:val="en-US" w:eastAsia="zh-CN"/>
              </w:rPr>
              <w:t>≤</w:t>
            </w:r>
            <w:r>
              <w:rPr>
                <w:rFonts w:hint="eastAsia" w:ascii="宋体" w:hAnsi="宋体" w:eastAsia="宋体" w:cs="宋体"/>
                <w:color w:val="auto"/>
                <w:sz w:val="22"/>
                <w:szCs w:val="22"/>
                <w:highlight w:val="none"/>
                <w:lang w:val="en-US" w:eastAsia="zh-CN"/>
              </w:rPr>
              <w:t>冷藏冷冻食品贮存库</w:t>
            </w:r>
            <w:r>
              <w:rPr>
                <w:rFonts w:hint="eastAsia" w:ascii="宋体" w:hAnsi="宋体" w:eastAsia="宋体" w:cs="宋体"/>
                <w:color w:val="auto"/>
                <w:sz w:val="22"/>
                <w:szCs w:val="22"/>
                <w:highlight w:val="none"/>
                <w:lang w:val="pt-BR" w:eastAsia="zh-CN"/>
              </w:rPr>
              <w:t>面积</w:t>
            </w:r>
            <w:r>
              <w:rPr>
                <w:rFonts w:hint="eastAsia" w:ascii="宋体" w:hAnsi="宋体" w:cs="宋体"/>
                <w:b w:val="0"/>
                <w:bCs w:val="0"/>
                <w:color w:val="auto"/>
                <w:sz w:val="22"/>
                <w:szCs w:val="22"/>
                <w:highlight w:val="none"/>
                <w:lang w:val="en-US" w:eastAsia="zh-CN"/>
              </w:rPr>
              <w:t>＜</w:t>
            </w:r>
            <w:r>
              <w:rPr>
                <w:rFonts w:hint="eastAsia" w:ascii="宋体" w:hAnsi="宋体" w:eastAsia="宋体" w:cs="宋体"/>
                <w:b w:val="0"/>
                <w:bCs w:val="0"/>
                <w:color w:val="auto"/>
                <w:sz w:val="22"/>
                <w:szCs w:val="22"/>
                <w:highlight w:val="none"/>
                <w:lang w:val="en-US" w:eastAsia="zh-CN"/>
              </w:rPr>
              <w:t>10</w:t>
            </w:r>
            <w:r>
              <w:rPr>
                <w:rFonts w:hint="eastAsia" w:ascii="宋体" w:hAnsi="宋体" w:eastAsia="宋体" w:cs="宋体"/>
                <w:b w:val="0"/>
                <w:bCs w:val="0"/>
                <w:color w:val="auto"/>
                <w:sz w:val="22"/>
                <w:szCs w:val="22"/>
                <w:highlight w:val="none"/>
                <w:lang w:val="pt-BR" w:eastAsia="zh-CN"/>
              </w:rPr>
              <w:t>00平方米，得</w:t>
            </w:r>
            <w:r>
              <w:rPr>
                <w:rFonts w:hint="eastAsia" w:ascii="宋体" w:hAnsi="宋体" w:cs="宋体"/>
                <w:b w:val="0"/>
                <w:bCs w:val="0"/>
                <w:color w:val="auto"/>
                <w:sz w:val="22"/>
                <w:szCs w:val="22"/>
                <w:highlight w:val="none"/>
                <w:lang w:val="en-US" w:eastAsia="zh-CN"/>
              </w:rPr>
              <w:t>3</w:t>
            </w:r>
            <w:r>
              <w:rPr>
                <w:rFonts w:hint="eastAsia" w:ascii="宋体" w:hAnsi="宋体" w:eastAsia="宋体" w:cs="宋体"/>
                <w:b w:val="0"/>
                <w:bCs w:val="0"/>
                <w:color w:val="auto"/>
                <w:sz w:val="22"/>
                <w:szCs w:val="22"/>
                <w:highlight w:val="none"/>
                <w:lang w:val="pt-BR" w:eastAsia="zh-CN"/>
              </w:rPr>
              <w:t>分；</w:t>
            </w:r>
          </w:p>
          <w:p w14:paraId="5D9317DA">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b w:val="0"/>
                <w:bCs w:val="0"/>
                <w:color w:val="auto"/>
                <w:sz w:val="22"/>
                <w:szCs w:val="22"/>
                <w:highlight w:val="none"/>
                <w:lang w:val="pt-BR" w:eastAsia="zh-CN"/>
              </w:rPr>
            </w:pPr>
            <w:r>
              <w:rPr>
                <w:rFonts w:hint="eastAsia" w:ascii="宋体" w:hAnsi="宋体" w:cs="宋体"/>
                <w:b w:val="0"/>
                <w:bCs w:val="0"/>
                <w:color w:val="auto"/>
                <w:sz w:val="22"/>
                <w:szCs w:val="22"/>
                <w:highlight w:val="none"/>
                <w:lang w:val="pt-BR" w:eastAsia="zh-CN"/>
              </w:rPr>
              <w:t>（</w:t>
            </w:r>
            <w:r>
              <w:rPr>
                <w:rFonts w:hint="eastAsia" w:ascii="宋体" w:hAnsi="宋体" w:cs="宋体"/>
                <w:b w:val="0"/>
                <w:bCs w:val="0"/>
                <w:color w:val="auto"/>
                <w:sz w:val="22"/>
                <w:szCs w:val="22"/>
                <w:highlight w:val="none"/>
                <w:lang w:val="en-US" w:eastAsia="zh-CN"/>
              </w:rPr>
              <w:t>3</w:t>
            </w:r>
            <w:r>
              <w:rPr>
                <w:rFonts w:hint="eastAsia" w:ascii="宋体" w:hAnsi="宋体" w:cs="宋体"/>
                <w:b w:val="0"/>
                <w:bCs w:val="0"/>
                <w:color w:val="auto"/>
                <w:sz w:val="22"/>
                <w:szCs w:val="22"/>
                <w:highlight w:val="none"/>
                <w:lang w:val="pt-BR" w:eastAsia="zh-CN"/>
              </w:rPr>
              <w:t>）</w:t>
            </w:r>
            <w:r>
              <w:rPr>
                <w:rFonts w:hint="eastAsia" w:ascii="宋体" w:hAnsi="宋体" w:eastAsia="宋体" w:cs="宋体"/>
                <w:b w:val="0"/>
                <w:bCs w:val="0"/>
                <w:color w:val="auto"/>
                <w:sz w:val="22"/>
                <w:szCs w:val="22"/>
                <w:highlight w:val="none"/>
                <w:lang w:val="pt-BR" w:eastAsia="zh-CN"/>
              </w:rPr>
              <w:t>200平方米</w:t>
            </w:r>
            <w:r>
              <w:rPr>
                <w:rFonts w:hint="eastAsia" w:ascii="宋体" w:hAnsi="宋体" w:cs="宋体"/>
                <w:b w:val="0"/>
                <w:bCs w:val="0"/>
                <w:color w:val="auto"/>
                <w:sz w:val="22"/>
                <w:szCs w:val="22"/>
                <w:highlight w:val="none"/>
                <w:lang w:val="en-US" w:eastAsia="zh-CN"/>
              </w:rPr>
              <w:t>≤</w:t>
            </w:r>
            <w:r>
              <w:rPr>
                <w:rFonts w:hint="eastAsia" w:ascii="宋体" w:hAnsi="宋体" w:eastAsia="宋体" w:cs="宋体"/>
                <w:color w:val="auto"/>
                <w:sz w:val="22"/>
                <w:szCs w:val="22"/>
                <w:highlight w:val="none"/>
                <w:lang w:val="en-US" w:eastAsia="zh-CN"/>
              </w:rPr>
              <w:t>冷藏冷冻食品贮存库</w:t>
            </w:r>
            <w:r>
              <w:rPr>
                <w:rFonts w:hint="eastAsia" w:ascii="宋体" w:hAnsi="宋体" w:eastAsia="宋体" w:cs="宋体"/>
                <w:color w:val="auto"/>
                <w:sz w:val="22"/>
                <w:szCs w:val="22"/>
                <w:highlight w:val="none"/>
                <w:lang w:val="pt-BR" w:eastAsia="zh-CN"/>
              </w:rPr>
              <w:t>面积</w:t>
            </w:r>
            <w:r>
              <w:rPr>
                <w:rFonts w:hint="eastAsia" w:ascii="宋体" w:hAnsi="宋体" w:cs="宋体"/>
                <w:b w:val="0"/>
                <w:bCs w:val="0"/>
                <w:color w:val="auto"/>
                <w:sz w:val="22"/>
                <w:szCs w:val="22"/>
                <w:highlight w:val="none"/>
                <w:lang w:val="en-US" w:eastAsia="zh-CN"/>
              </w:rPr>
              <w:t>＜</w:t>
            </w:r>
            <w:r>
              <w:rPr>
                <w:rFonts w:hint="eastAsia" w:ascii="宋体" w:hAnsi="宋体" w:eastAsia="宋体" w:cs="宋体"/>
                <w:b w:val="0"/>
                <w:bCs w:val="0"/>
                <w:color w:val="auto"/>
                <w:sz w:val="22"/>
                <w:szCs w:val="22"/>
                <w:highlight w:val="none"/>
                <w:lang w:val="en-US" w:eastAsia="zh-CN"/>
              </w:rPr>
              <w:t>6</w:t>
            </w:r>
            <w:r>
              <w:rPr>
                <w:rFonts w:hint="eastAsia" w:ascii="宋体" w:hAnsi="宋体" w:eastAsia="宋体" w:cs="宋体"/>
                <w:b w:val="0"/>
                <w:bCs w:val="0"/>
                <w:color w:val="auto"/>
                <w:sz w:val="22"/>
                <w:szCs w:val="22"/>
                <w:highlight w:val="none"/>
                <w:lang w:val="pt-BR" w:eastAsia="zh-CN"/>
              </w:rPr>
              <w:t>00平方米，得</w:t>
            </w:r>
            <w:r>
              <w:rPr>
                <w:rFonts w:hint="eastAsia" w:ascii="宋体" w:hAnsi="宋体" w:cs="宋体"/>
                <w:b w:val="0"/>
                <w:bCs w:val="0"/>
                <w:color w:val="auto"/>
                <w:sz w:val="22"/>
                <w:szCs w:val="22"/>
                <w:highlight w:val="none"/>
                <w:lang w:val="en-US" w:eastAsia="zh-CN"/>
              </w:rPr>
              <w:t>2</w:t>
            </w:r>
            <w:r>
              <w:rPr>
                <w:rFonts w:hint="eastAsia" w:ascii="宋体" w:hAnsi="宋体" w:eastAsia="宋体" w:cs="宋体"/>
                <w:b w:val="0"/>
                <w:bCs w:val="0"/>
                <w:color w:val="auto"/>
                <w:sz w:val="22"/>
                <w:szCs w:val="22"/>
                <w:highlight w:val="none"/>
                <w:lang w:val="pt-BR" w:eastAsia="zh-CN"/>
              </w:rPr>
              <w:t>分；</w:t>
            </w:r>
          </w:p>
          <w:p w14:paraId="32DCC6CC">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cs="宋体"/>
                <w:b/>
                <w:bCs/>
                <w:color w:val="auto"/>
                <w:sz w:val="22"/>
                <w:szCs w:val="22"/>
                <w:highlight w:val="none"/>
                <w:lang w:val="en-US" w:eastAsia="zh-CN"/>
              </w:rPr>
            </w:pPr>
            <w:r>
              <w:rPr>
                <w:rFonts w:hint="eastAsia" w:ascii="宋体" w:hAnsi="宋体" w:cs="宋体"/>
                <w:b w:val="0"/>
                <w:bCs w:val="0"/>
                <w:color w:val="auto"/>
                <w:sz w:val="22"/>
                <w:szCs w:val="22"/>
                <w:highlight w:val="none"/>
                <w:lang w:val="pt-BR" w:eastAsia="zh-CN"/>
              </w:rPr>
              <w:t>（4）</w:t>
            </w:r>
            <w:r>
              <w:rPr>
                <w:rFonts w:hint="eastAsia" w:ascii="宋体" w:hAnsi="宋体" w:cs="宋体"/>
                <w:b w:val="0"/>
                <w:bCs w:val="0"/>
                <w:color w:val="auto"/>
                <w:sz w:val="22"/>
                <w:szCs w:val="22"/>
                <w:highlight w:val="none"/>
                <w:lang w:val="en-US" w:eastAsia="zh-CN"/>
              </w:rPr>
              <w:t>1</w:t>
            </w:r>
            <w:r>
              <w:rPr>
                <w:rFonts w:hint="eastAsia" w:ascii="宋体" w:hAnsi="宋体" w:eastAsia="宋体" w:cs="宋体"/>
                <w:b w:val="0"/>
                <w:bCs w:val="0"/>
                <w:color w:val="auto"/>
                <w:sz w:val="22"/>
                <w:szCs w:val="22"/>
                <w:highlight w:val="none"/>
                <w:lang w:val="pt-BR" w:eastAsia="zh-CN"/>
              </w:rPr>
              <w:t>00平方米</w:t>
            </w:r>
            <w:r>
              <w:rPr>
                <w:rFonts w:hint="eastAsia" w:ascii="宋体" w:hAnsi="宋体" w:cs="宋体"/>
                <w:b w:val="0"/>
                <w:bCs w:val="0"/>
                <w:color w:val="auto"/>
                <w:sz w:val="22"/>
                <w:szCs w:val="22"/>
                <w:highlight w:val="none"/>
                <w:lang w:val="en-US" w:eastAsia="zh-CN"/>
              </w:rPr>
              <w:t>≤</w:t>
            </w:r>
            <w:r>
              <w:rPr>
                <w:rFonts w:hint="eastAsia" w:ascii="宋体" w:hAnsi="宋体" w:eastAsia="宋体" w:cs="宋体"/>
                <w:color w:val="auto"/>
                <w:sz w:val="22"/>
                <w:szCs w:val="22"/>
                <w:highlight w:val="none"/>
                <w:lang w:val="en-US" w:eastAsia="zh-CN"/>
              </w:rPr>
              <w:t>冷藏冷冻食品贮存库</w:t>
            </w:r>
            <w:r>
              <w:rPr>
                <w:rFonts w:hint="eastAsia" w:ascii="宋体" w:hAnsi="宋体" w:eastAsia="宋体" w:cs="宋体"/>
                <w:color w:val="auto"/>
                <w:sz w:val="22"/>
                <w:szCs w:val="22"/>
                <w:highlight w:val="none"/>
                <w:lang w:val="pt-BR" w:eastAsia="zh-CN"/>
              </w:rPr>
              <w:t>面积</w:t>
            </w:r>
            <w:r>
              <w:rPr>
                <w:rFonts w:hint="eastAsia" w:ascii="宋体" w:hAnsi="宋体" w:cs="宋体"/>
                <w:b w:val="0"/>
                <w:bCs w:val="0"/>
                <w:color w:val="auto"/>
                <w:sz w:val="22"/>
                <w:szCs w:val="22"/>
                <w:highlight w:val="none"/>
                <w:lang w:val="en-US" w:eastAsia="zh-CN"/>
              </w:rPr>
              <w:t>＜2</w:t>
            </w:r>
            <w:r>
              <w:rPr>
                <w:rFonts w:hint="eastAsia" w:ascii="宋体" w:hAnsi="宋体" w:eastAsia="宋体" w:cs="宋体"/>
                <w:b w:val="0"/>
                <w:bCs w:val="0"/>
                <w:color w:val="auto"/>
                <w:sz w:val="22"/>
                <w:szCs w:val="22"/>
                <w:highlight w:val="none"/>
                <w:lang w:val="pt-BR" w:eastAsia="zh-CN"/>
              </w:rPr>
              <w:t>00平方米，得</w:t>
            </w:r>
            <w:r>
              <w:rPr>
                <w:rFonts w:hint="eastAsia" w:ascii="宋体" w:hAnsi="宋体" w:cs="宋体"/>
                <w:b w:val="0"/>
                <w:bCs w:val="0"/>
                <w:color w:val="auto"/>
                <w:sz w:val="22"/>
                <w:szCs w:val="22"/>
                <w:highlight w:val="none"/>
                <w:lang w:val="en-US" w:eastAsia="zh-CN"/>
              </w:rPr>
              <w:t>1</w:t>
            </w:r>
            <w:r>
              <w:rPr>
                <w:rFonts w:hint="eastAsia" w:ascii="宋体" w:hAnsi="宋体" w:eastAsia="宋体" w:cs="宋体"/>
                <w:b w:val="0"/>
                <w:bCs w:val="0"/>
                <w:color w:val="auto"/>
                <w:sz w:val="22"/>
                <w:szCs w:val="22"/>
                <w:highlight w:val="none"/>
                <w:lang w:val="pt-BR" w:eastAsia="zh-CN"/>
              </w:rPr>
              <w:t>分</w:t>
            </w:r>
            <w:r>
              <w:rPr>
                <w:rFonts w:hint="eastAsia" w:ascii="宋体" w:hAnsi="宋体" w:cs="宋体"/>
                <w:b w:val="0"/>
                <w:bCs w:val="0"/>
                <w:color w:val="auto"/>
                <w:sz w:val="22"/>
                <w:szCs w:val="22"/>
                <w:highlight w:val="none"/>
                <w:lang w:val="pt-BR" w:eastAsia="zh-CN"/>
              </w:rPr>
              <w:t>；</w:t>
            </w:r>
            <w:r>
              <w:rPr>
                <w:rFonts w:hint="eastAsia" w:ascii="宋体" w:hAnsi="宋体" w:eastAsia="宋体" w:cs="宋体"/>
                <w:b w:val="0"/>
                <w:bCs w:val="0"/>
                <w:color w:val="auto"/>
                <w:sz w:val="22"/>
                <w:szCs w:val="22"/>
                <w:highlight w:val="none"/>
                <w:lang w:val="pt-BR" w:eastAsia="zh-CN"/>
              </w:rPr>
              <w:br w:type="textWrapping"/>
            </w:r>
            <w:r>
              <w:rPr>
                <w:rFonts w:hint="eastAsia" w:ascii="宋体" w:hAnsi="宋体" w:cs="宋体"/>
                <w:b w:val="0"/>
                <w:bCs w:val="0"/>
                <w:color w:val="auto"/>
                <w:sz w:val="22"/>
                <w:szCs w:val="22"/>
                <w:highlight w:val="none"/>
                <w:lang w:val="pt-BR" w:eastAsia="zh-CN"/>
              </w:rPr>
              <w:t>（</w:t>
            </w:r>
            <w:r>
              <w:rPr>
                <w:rFonts w:hint="eastAsia" w:ascii="宋体" w:hAnsi="宋体" w:cs="宋体"/>
                <w:b w:val="0"/>
                <w:bCs w:val="0"/>
                <w:color w:val="auto"/>
                <w:sz w:val="22"/>
                <w:szCs w:val="22"/>
                <w:highlight w:val="none"/>
                <w:lang w:val="en-US" w:eastAsia="zh-CN"/>
              </w:rPr>
              <w:t>5</w:t>
            </w:r>
            <w:r>
              <w:rPr>
                <w:rFonts w:hint="eastAsia" w:ascii="宋体" w:hAnsi="宋体" w:cs="宋体"/>
                <w:b w:val="0"/>
                <w:bCs w:val="0"/>
                <w:color w:val="auto"/>
                <w:sz w:val="22"/>
                <w:szCs w:val="22"/>
                <w:highlight w:val="none"/>
                <w:lang w:val="pt-BR" w:eastAsia="zh-CN"/>
              </w:rPr>
              <w:t>）</w:t>
            </w:r>
            <w:r>
              <w:rPr>
                <w:rFonts w:hint="eastAsia" w:ascii="宋体" w:hAnsi="宋体" w:cs="宋体"/>
                <w:b w:val="0"/>
                <w:bCs w:val="0"/>
                <w:color w:val="auto"/>
                <w:sz w:val="22"/>
                <w:szCs w:val="22"/>
                <w:highlight w:val="none"/>
                <w:lang w:val="en-US" w:eastAsia="zh-CN"/>
              </w:rPr>
              <w:t>其它情况不得分</w:t>
            </w:r>
            <w:r>
              <w:rPr>
                <w:rFonts w:hint="eastAsia" w:ascii="宋体" w:hAnsi="宋体" w:eastAsia="宋体" w:cs="宋体"/>
                <w:b w:val="0"/>
                <w:bCs w:val="0"/>
                <w:color w:val="auto"/>
                <w:sz w:val="22"/>
                <w:szCs w:val="22"/>
                <w:highlight w:val="none"/>
                <w:lang w:val="pt-BR" w:eastAsia="zh-CN"/>
              </w:rPr>
              <w:t>。</w:t>
            </w:r>
          </w:p>
          <w:p w14:paraId="3248E25F">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b/>
                <w:bCs/>
                <w:color w:val="auto"/>
                <w:sz w:val="22"/>
                <w:szCs w:val="22"/>
                <w:highlight w:val="none"/>
                <w:lang w:val="en-US" w:eastAsia="zh-CN"/>
              </w:rPr>
            </w:pPr>
            <w:r>
              <w:rPr>
                <w:rFonts w:hint="eastAsia" w:ascii="宋体" w:hAnsi="宋体" w:cs="宋体"/>
                <w:b/>
                <w:bCs/>
                <w:color w:val="auto"/>
                <w:sz w:val="22"/>
                <w:szCs w:val="22"/>
                <w:highlight w:val="none"/>
                <w:lang w:val="en-US" w:eastAsia="zh-CN"/>
              </w:rPr>
              <w:t>注：</w:t>
            </w:r>
          </w:p>
          <w:p w14:paraId="4C836CBD">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lang w:eastAsia="zh-CN"/>
              </w:rPr>
              <w:t>（</w:t>
            </w:r>
            <w:r>
              <w:rPr>
                <w:rFonts w:hint="eastAsia" w:ascii="宋体" w:hAnsi="宋体" w:eastAsia="宋体" w:cs="宋体"/>
                <w:b/>
                <w:bCs/>
                <w:color w:val="auto"/>
                <w:sz w:val="22"/>
                <w:szCs w:val="22"/>
                <w:highlight w:val="none"/>
                <w:lang w:val="en-US" w:eastAsia="zh-CN"/>
              </w:rPr>
              <w:t>1</w:t>
            </w:r>
            <w:r>
              <w:rPr>
                <w:rFonts w:hint="eastAsia" w:ascii="宋体" w:hAnsi="宋体" w:eastAsia="宋体" w:cs="宋体"/>
                <w:b/>
                <w:bCs/>
                <w:color w:val="auto"/>
                <w:sz w:val="22"/>
                <w:szCs w:val="22"/>
                <w:highlight w:val="none"/>
                <w:lang w:eastAsia="zh-CN"/>
              </w:rPr>
              <w:t>）冷藏冷冻食品贮存库</w:t>
            </w:r>
            <w:r>
              <w:rPr>
                <w:rFonts w:hint="eastAsia" w:ascii="宋体" w:hAnsi="宋体" w:eastAsia="宋体" w:cs="宋体"/>
                <w:b/>
                <w:bCs/>
                <w:color w:val="auto"/>
                <w:sz w:val="22"/>
                <w:szCs w:val="22"/>
                <w:highlight w:val="none"/>
                <w:lang w:val="en-US" w:eastAsia="zh-CN"/>
              </w:rPr>
              <w:t>为</w:t>
            </w:r>
            <w:r>
              <w:rPr>
                <w:rFonts w:hint="eastAsia" w:ascii="宋体" w:hAnsi="宋体" w:eastAsia="宋体" w:cs="宋体"/>
                <w:b/>
                <w:bCs/>
                <w:color w:val="auto"/>
                <w:sz w:val="22"/>
                <w:szCs w:val="22"/>
                <w:highlight w:val="none"/>
              </w:rPr>
              <w:t>自有</w:t>
            </w:r>
            <w:r>
              <w:rPr>
                <w:rFonts w:hint="eastAsia" w:ascii="宋体" w:hAnsi="宋体" w:eastAsia="宋体" w:cs="宋体"/>
                <w:b/>
                <w:bCs/>
                <w:color w:val="auto"/>
                <w:sz w:val="22"/>
                <w:szCs w:val="22"/>
                <w:highlight w:val="none"/>
                <w:lang w:val="en-US" w:eastAsia="zh-CN"/>
              </w:rPr>
              <w:t>的，须同时</w:t>
            </w:r>
            <w:r>
              <w:rPr>
                <w:rFonts w:hint="eastAsia" w:ascii="宋体" w:hAnsi="宋体" w:eastAsia="宋体" w:cs="宋体"/>
                <w:b/>
                <w:bCs/>
                <w:color w:val="auto"/>
                <w:sz w:val="22"/>
                <w:szCs w:val="22"/>
                <w:highlight w:val="none"/>
              </w:rPr>
              <w:t>提供</w:t>
            </w:r>
            <w:r>
              <w:rPr>
                <w:rFonts w:hint="eastAsia" w:ascii="宋体" w:hAnsi="宋体" w:eastAsia="宋体" w:cs="宋体"/>
                <w:b/>
                <w:bCs/>
                <w:color w:val="auto"/>
                <w:sz w:val="22"/>
                <w:szCs w:val="22"/>
                <w:highlight w:val="none"/>
                <w:lang w:val="en-US" w:eastAsia="zh-CN"/>
              </w:rPr>
              <w:t>①</w:t>
            </w:r>
            <w:r>
              <w:rPr>
                <w:rFonts w:hint="eastAsia" w:ascii="宋体" w:hAnsi="宋体" w:eastAsia="宋体" w:cs="宋体"/>
                <w:b/>
                <w:bCs/>
                <w:color w:val="auto"/>
                <w:sz w:val="22"/>
                <w:szCs w:val="22"/>
                <w:highlight w:val="none"/>
              </w:rPr>
              <w:t>自有产权证明</w:t>
            </w:r>
            <w:r>
              <w:rPr>
                <w:rFonts w:hint="eastAsia" w:ascii="宋体" w:hAnsi="宋体" w:eastAsia="宋体" w:cs="宋体"/>
                <w:b/>
                <w:bCs/>
                <w:color w:val="auto"/>
                <w:sz w:val="22"/>
                <w:szCs w:val="22"/>
                <w:highlight w:val="none"/>
                <w:lang w:val="en-US" w:eastAsia="zh-CN"/>
              </w:rPr>
              <w:t>及</w:t>
            </w:r>
            <w:r>
              <w:rPr>
                <w:rFonts w:hint="eastAsia" w:ascii="宋体" w:hAnsi="宋体" w:eastAsia="宋体" w:cs="宋体"/>
                <w:b/>
                <w:bCs/>
                <w:color w:val="auto"/>
                <w:sz w:val="22"/>
                <w:szCs w:val="22"/>
                <w:highlight w:val="none"/>
              </w:rPr>
              <w:t>安装建造相关证明；</w:t>
            </w:r>
            <w:r>
              <w:rPr>
                <w:rFonts w:hint="eastAsia" w:ascii="宋体" w:hAnsi="宋体" w:eastAsia="宋体" w:cs="宋体"/>
                <w:b/>
                <w:bCs/>
                <w:color w:val="auto"/>
                <w:sz w:val="22"/>
                <w:szCs w:val="22"/>
                <w:highlight w:val="none"/>
                <w:lang w:val="en-US" w:eastAsia="zh-CN"/>
              </w:rPr>
              <w:t>②冷藏冷冻贮存条件证明（如市场监管部门出具的冷藏冷冻食品贮存库备案凭据或备案表等）；</w:t>
            </w:r>
          </w:p>
          <w:p w14:paraId="7D5842EF">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lang w:eastAsia="zh-CN"/>
              </w:rPr>
              <w:t>（</w:t>
            </w:r>
            <w:r>
              <w:rPr>
                <w:rFonts w:hint="eastAsia" w:ascii="宋体" w:hAnsi="宋体" w:eastAsia="宋体" w:cs="宋体"/>
                <w:b/>
                <w:bCs/>
                <w:color w:val="auto"/>
                <w:sz w:val="22"/>
                <w:szCs w:val="22"/>
                <w:highlight w:val="none"/>
                <w:lang w:val="en-US" w:eastAsia="zh-CN"/>
              </w:rPr>
              <w:t>2</w:t>
            </w:r>
            <w:r>
              <w:rPr>
                <w:rFonts w:hint="eastAsia" w:ascii="宋体" w:hAnsi="宋体" w:eastAsia="宋体" w:cs="宋体"/>
                <w:b/>
                <w:bCs/>
                <w:color w:val="auto"/>
                <w:sz w:val="22"/>
                <w:szCs w:val="22"/>
                <w:highlight w:val="none"/>
                <w:lang w:eastAsia="zh-CN"/>
              </w:rPr>
              <w:t>）冷藏冷冻食品贮存库</w:t>
            </w:r>
            <w:r>
              <w:rPr>
                <w:rFonts w:hint="eastAsia" w:ascii="宋体" w:hAnsi="宋体" w:eastAsia="宋体" w:cs="宋体"/>
                <w:b/>
                <w:bCs/>
                <w:color w:val="auto"/>
                <w:sz w:val="22"/>
                <w:szCs w:val="22"/>
                <w:highlight w:val="none"/>
                <w:lang w:val="en-US" w:eastAsia="zh-CN"/>
              </w:rPr>
              <w:t>为租赁的，须同时</w:t>
            </w:r>
            <w:r>
              <w:rPr>
                <w:rFonts w:hint="eastAsia" w:ascii="宋体" w:hAnsi="宋体" w:eastAsia="宋体" w:cs="宋体"/>
                <w:b/>
                <w:bCs/>
                <w:color w:val="auto"/>
                <w:sz w:val="22"/>
                <w:szCs w:val="22"/>
                <w:highlight w:val="none"/>
              </w:rPr>
              <w:t>提供</w:t>
            </w:r>
            <w:r>
              <w:rPr>
                <w:rFonts w:hint="eastAsia" w:ascii="宋体" w:hAnsi="宋体" w:eastAsia="宋体" w:cs="宋体"/>
                <w:b/>
                <w:bCs/>
                <w:color w:val="auto"/>
                <w:sz w:val="22"/>
                <w:szCs w:val="22"/>
                <w:highlight w:val="none"/>
                <w:lang w:val="en-US" w:eastAsia="zh-CN"/>
              </w:rPr>
              <w:t>①</w:t>
            </w:r>
            <w:r>
              <w:rPr>
                <w:rFonts w:hint="eastAsia" w:ascii="宋体" w:hAnsi="宋体" w:eastAsia="宋体" w:cs="宋体"/>
                <w:b/>
                <w:bCs/>
                <w:color w:val="auto"/>
                <w:sz w:val="22"/>
                <w:szCs w:val="22"/>
                <w:highlight w:val="none"/>
              </w:rPr>
              <w:t>有效期内的租赁合同</w:t>
            </w:r>
            <w:r>
              <w:rPr>
                <w:rFonts w:hint="eastAsia" w:ascii="宋体" w:hAnsi="宋体" w:eastAsia="宋体" w:cs="宋体"/>
                <w:b/>
                <w:bCs/>
                <w:color w:val="auto"/>
                <w:sz w:val="22"/>
                <w:szCs w:val="22"/>
                <w:highlight w:val="none"/>
                <w:lang w:eastAsia="zh-CN"/>
              </w:rPr>
              <w:t>（租赁期至少涵盖本项目投标截止之日起一年</w:t>
            </w:r>
            <w:r>
              <w:rPr>
                <w:rFonts w:hint="eastAsia" w:ascii="宋体" w:hAnsi="宋体" w:cs="宋体"/>
                <w:b/>
                <w:bCs/>
                <w:color w:val="auto"/>
                <w:sz w:val="22"/>
                <w:szCs w:val="22"/>
                <w:highlight w:val="none"/>
                <w:lang w:val="en-US" w:eastAsia="zh-CN"/>
              </w:rPr>
              <w:t>；</w:t>
            </w:r>
            <w:r>
              <w:rPr>
                <w:rFonts w:hint="eastAsia" w:ascii="宋体" w:hAnsi="宋体" w:cs="宋体"/>
                <w:b/>
                <w:bCs/>
                <w:color w:val="auto"/>
                <w:sz w:val="22"/>
                <w:highlight w:val="none"/>
                <w:lang w:val="en-US" w:eastAsia="zh-CN"/>
              </w:rPr>
              <w:t>②</w:t>
            </w:r>
            <w:r>
              <w:rPr>
                <w:rFonts w:hint="eastAsia" w:ascii="宋体" w:hAnsi="宋体" w:cs="宋体"/>
                <w:b/>
                <w:bCs/>
                <w:color w:val="auto"/>
                <w:sz w:val="22"/>
                <w:highlight w:val="none"/>
              </w:rPr>
              <w:t>近一年内任意时间段的租金发票</w:t>
            </w:r>
            <w:r>
              <w:rPr>
                <w:rFonts w:hint="eastAsia" w:ascii="宋体" w:hAnsi="宋体" w:cs="宋体"/>
                <w:b/>
                <w:bCs/>
                <w:color w:val="auto"/>
                <w:sz w:val="22"/>
                <w:highlight w:val="none"/>
                <w:lang w:val="en-US" w:eastAsia="zh-CN"/>
              </w:rPr>
              <w:t>或租金付款记录</w:t>
            </w:r>
            <w:r>
              <w:rPr>
                <w:rFonts w:hint="eastAsia" w:ascii="宋体" w:hAnsi="宋体" w:eastAsia="宋体" w:cs="宋体"/>
                <w:b/>
                <w:bCs/>
                <w:color w:val="auto"/>
                <w:sz w:val="22"/>
                <w:szCs w:val="22"/>
                <w:highlight w:val="none"/>
                <w:lang w:eastAsia="zh-CN"/>
              </w:rPr>
              <w:t>；</w:t>
            </w:r>
            <w:r>
              <w:rPr>
                <w:rFonts w:hint="eastAsia" w:ascii="宋体" w:hAnsi="宋体" w:eastAsia="宋体" w:cs="宋体"/>
                <w:b/>
                <w:bCs/>
                <w:color w:val="auto"/>
                <w:sz w:val="22"/>
                <w:szCs w:val="22"/>
                <w:highlight w:val="none"/>
                <w:lang w:val="en-US" w:eastAsia="zh-CN"/>
              </w:rPr>
              <w:t>③冷藏冷冻贮存条件证明（如市场监管部门出具的冷藏冷冻食品贮存库备案凭据或备案表等）</w:t>
            </w:r>
            <w:r>
              <w:rPr>
                <w:rFonts w:hint="eastAsia" w:ascii="宋体" w:hAnsi="宋体" w:cs="宋体"/>
                <w:b/>
                <w:bCs/>
                <w:color w:val="auto"/>
                <w:sz w:val="22"/>
                <w:szCs w:val="22"/>
                <w:highlight w:val="none"/>
                <w:lang w:val="en-US" w:eastAsia="zh-CN"/>
              </w:rPr>
              <w:t>；</w:t>
            </w:r>
          </w:p>
          <w:p w14:paraId="0D02471B">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cs="宋体"/>
                <w:b/>
                <w:bCs/>
                <w:color w:val="auto"/>
                <w:sz w:val="22"/>
                <w:highlight w:val="none"/>
              </w:rPr>
            </w:pPr>
            <w:r>
              <w:rPr>
                <w:rFonts w:hint="eastAsia" w:ascii="宋体" w:hAnsi="宋体" w:eastAsia="宋体" w:cs="宋体"/>
                <w:b/>
                <w:bCs/>
                <w:color w:val="auto"/>
                <w:sz w:val="22"/>
                <w:szCs w:val="22"/>
                <w:highlight w:val="none"/>
                <w:lang w:eastAsia="zh-CN"/>
              </w:rPr>
              <w:t>（</w:t>
            </w:r>
            <w:r>
              <w:rPr>
                <w:rFonts w:hint="eastAsia" w:ascii="宋体" w:hAnsi="宋体" w:eastAsia="宋体" w:cs="宋体"/>
                <w:b/>
                <w:bCs/>
                <w:color w:val="auto"/>
                <w:sz w:val="22"/>
                <w:szCs w:val="22"/>
                <w:highlight w:val="none"/>
                <w:lang w:val="en-US" w:eastAsia="zh-CN"/>
              </w:rPr>
              <w:t>3</w:t>
            </w:r>
            <w:r>
              <w:rPr>
                <w:rFonts w:hint="eastAsia" w:ascii="宋体" w:hAnsi="宋体" w:eastAsia="宋体" w:cs="宋体"/>
                <w:b/>
                <w:bCs/>
                <w:color w:val="auto"/>
                <w:sz w:val="22"/>
                <w:szCs w:val="22"/>
                <w:highlight w:val="none"/>
                <w:lang w:eastAsia="zh-CN"/>
              </w:rPr>
              <w:t>）</w:t>
            </w:r>
            <w:r>
              <w:rPr>
                <w:rFonts w:hint="eastAsia" w:ascii="宋体" w:hAnsi="宋体" w:cs="宋体"/>
                <w:b/>
                <w:bCs/>
                <w:color w:val="auto"/>
                <w:sz w:val="22"/>
                <w:szCs w:val="22"/>
                <w:highlight w:val="none"/>
                <w:lang w:eastAsia="zh-CN"/>
              </w:rPr>
              <w:t>提供上述证明文件并加盖投标人公章</w:t>
            </w:r>
            <w:r>
              <w:rPr>
                <w:rFonts w:hint="eastAsia" w:ascii="宋体" w:hAnsi="宋体" w:eastAsia="宋体" w:cs="宋体"/>
                <w:b/>
                <w:bCs/>
                <w:color w:val="auto"/>
                <w:sz w:val="22"/>
                <w:szCs w:val="22"/>
                <w:highlight w:val="none"/>
              </w:rPr>
              <w:t>，未提供或提供不清晰导致无法判断的不得分。</w:t>
            </w:r>
          </w:p>
        </w:tc>
      </w:tr>
      <w:tr w14:paraId="6979E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400" w:type="pct"/>
            <w:vMerge w:val="continue"/>
            <w:tcBorders>
              <w:left w:val="single" w:color="auto" w:sz="4" w:space="0"/>
              <w:bottom w:val="single" w:color="auto" w:sz="4" w:space="0"/>
              <w:right w:val="single" w:color="auto" w:sz="4" w:space="0"/>
            </w:tcBorders>
            <w:vAlign w:val="center"/>
          </w:tcPr>
          <w:p w14:paraId="0D55DF48">
            <w:pPr>
              <w:pStyle w:val="91"/>
              <w:shd w:val="clear"/>
              <w:spacing w:after="0" w:afterLines="0" w:line="360" w:lineRule="auto"/>
              <w:ind w:firstLine="0" w:firstLineChars="0"/>
              <w:jc w:val="center"/>
              <w:rPr>
                <w:rFonts w:hint="eastAsia" w:ascii="宋体" w:hAnsi="宋体" w:eastAsia="宋体" w:cs="宋体"/>
                <w:color w:val="auto"/>
                <w:sz w:val="22"/>
                <w:szCs w:val="22"/>
                <w:highlight w:val="none"/>
                <w:lang w:val="en-US" w:eastAsia="zh-CN"/>
              </w:rPr>
            </w:pPr>
          </w:p>
        </w:tc>
        <w:tc>
          <w:tcPr>
            <w:tcW w:w="657" w:type="pct"/>
            <w:vMerge w:val="continue"/>
            <w:tcBorders>
              <w:left w:val="single" w:color="auto" w:sz="4" w:space="0"/>
              <w:bottom w:val="single" w:color="auto" w:sz="4" w:space="0"/>
              <w:right w:val="single" w:color="auto" w:sz="4" w:space="0"/>
            </w:tcBorders>
            <w:vAlign w:val="center"/>
          </w:tcPr>
          <w:p w14:paraId="2091B691">
            <w:pPr>
              <w:pStyle w:val="91"/>
              <w:shd w:val="clear"/>
              <w:spacing w:after="0" w:afterLines="0" w:line="360" w:lineRule="auto"/>
              <w:ind w:firstLine="0" w:firstLineChars="0"/>
              <w:jc w:val="center"/>
              <w:rPr>
                <w:rFonts w:hint="eastAsia" w:ascii="宋体" w:hAnsi="宋体" w:eastAsia="宋体" w:cs="宋体"/>
                <w:color w:val="auto"/>
                <w:sz w:val="22"/>
                <w:szCs w:val="22"/>
                <w:highlight w:val="none"/>
                <w:lang w:val="en-US" w:eastAsia="zh-CN"/>
              </w:rPr>
            </w:pPr>
          </w:p>
        </w:tc>
        <w:tc>
          <w:tcPr>
            <w:tcW w:w="512" w:type="pct"/>
            <w:tcBorders>
              <w:top w:val="single" w:color="auto" w:sz="4" w:space="0"/>
              <w:left w:val="single" w:color="auto" w:sz="4" w:space="0"/>
              <w:bottom w:val="single" w:color="auto" w:sz="4" w:space="0"/>
              <w:right w:val="single" w:color="auto" w:sz="4" w:space="0"/>
            </w:tcBorders>
            <w:vAlign w:val="center"/>
          </w:tcPr>
          <w:p w14:paraId="1E756CE8">
            <w:pPr>
              <w:pStyle w:val="91"/>
              <w:shd w:val="clear"/>
              <w:spacing w:after="0" w:afterLines="0" w:line="360" w:lineRule="auto"/>
              <w:ind w:firstLine="0" w:firstLineChars="0"/>
              <w:jc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4</w:t>
            </w:r>
            <w:r>
              <w:rPr>
                <w:rFonts w:hint="eastAsia" w:ascii="宋体" w:hAnsi="宋体" w:eastAsia="宋体" w:cs="宋体"/>
                <w:color w:val="auto"/>
                <w:sz w:val="22"/>
                <w:szCs w:val="22"/>
                <w:highlight w:val="none"/>
                <w:lang w:val="en-US" w:eastAsia="zh-CN"/>
              </w:rPr>
              <w:t>分</w:t>
            </w:r>
          </w:p>
        </w:tc>
        <w:tc>
          <w:tcPr>
            <w:tcW w:w="3429" w:type="pct"/>
            <w:tcBorders>
              <w:top w:val="single" w:color="auto" w:sz="4" w:space="0"/>
              <w:left w:val="single" w:color="auto" w:sz="4" w:space="0"/>
              <w:bottom w:val="single" w:color="auto" w:sz="4" w:space="0"/>
              <w:right w:val="single" w:color="auto" w:sz="4" w:space="0"/>
            </w:tcBorders>
            <w:vAlign w:val="center"/>
          </w:tcPr>
          <w:p w14:paraId="43140590">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（三）拟供应货品来源情况：</w:t>
            </w:r>
          </w:p>
          <w:p w14:paraId="6B47E33B">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根据投标人具有固定的冻品类</w:t>
            </w:r>
            <w:r>
              <w:rPr>
                <w:rFonts w:hint="eastAsia" w:ascii="宋体" w:hAnsi="宋体" w:cs="宋体"/>
                <w:color w:val="auto"/>
                <w:sz w:val="22"/>
                <w:szCs w:val="22"/>
                <w:highlight w:val="none"/>
                <w:lang w:val="en-US" w:eastAsia="zh-CN"/>
              </w:rPr>
              <w:t>（</w:t>
            </w:r>
            <w:r>
              <w:rPr>
                <w:rFonts w:hint="eastAsia"/>
                <w:color w:val="auto"/>
                <w:highlight w:val="none"/>
                <w:lang w:val="en-US" w:eastAsia="zh-CN"/>
              </w:rPr>
              <w:t>冻牛羊肉类、冻海鲜类、其他冻肉类、预包装冻品类</w:t>
            </w:r>
            <w:r>
              <w:rPr>
                <w:rFonts w:hint="eastAsia" w:ascii="宋体" w:hAnsi="宋体" w:cs="宋体"/>
                <w:color w:val="auto"/>
                <w:sz w:val="22"/>
                <w:szCs w:val="22"/>
                <w:highlight w:val="none"/>
                <w:lang w:val="en-US" w:eastAsia="zh-CN"/>
              </w:rPr>
              <w:t>）</w:t>
            </w:r>
            <w:r>
              <w:rPr>
                <w:rFonts w:hint="eastAsia" w:ascii="宋体" w:hAnsi="宋体" w:eastAsia="宋体" w:cs="宋体"/>
                <w:color w:val="auto"/>
                <w:sz w:val="22"/>
                <w:szCs w:val="22"/>
                <w:highlight w:val="none"/>
                <w:lang w:val="en-US" w:eastAsia="zh-CN"/>
              </w:rPr>
              <w:t>供货协议商家的情况评审：每提供</w:t>
            </w:r>
            <w:r>
              <w:rPr>
                <w:rFonts w:hint="eastAsia" w:ascii="宋体" w:hAnsi="宋体" w:cs="宋体"/>
                <w:color w:val="auto"/>
                <w:sz w:val="22"/>
                <w:szCs w:val="22"/>
                <w:highlight w:val="none"/>
                <w:lang w:val="en-US" w:eastAsia="zh-CN"/>
              </w:rPr>
              <w:t>上述一类</w:t>
            </w:r>
            <w:r>
              <w:rPr>
                <w:rFonts w:hint="eastAsia" w:ascii="宋体" w:hAnsi="宋体" w:eastAsia="宋体" w:cs="宋体"/>
                <w:color w:val="auto"/>
                <w:sz w:val="22"/>
                <w:szCs w:val="22"/>
                <w:highlight w:val="none"/>
                <w:lang w:val="en-US" w:eastAsia="zh-CN"/>
              </w:rPr>
              <w:t>合作单位得1分，</w:t>
            </w:r>
            <w:r>
              <w:rPr>
                <w:rFonts w:hint="eastAsia" w:ascii="宋体" w:hAnsi="宋体" w:cs="宋体"/>
                <w:color w:val="auto"/>
                <w:sz w:val="22"/>
                <w:szCs w:val="22"/>
                <w:highlight w:val="none"/>
                <w:lang w:val="en-US" w:eastAsia="zh-CN"/>
              </w:rPr>
              <w:t>满分4分</w:t>
            </w:r>
            <w:r>
              <w:rPr>
                <w:rFonts w:hint="eastAsia" w:ascii="宋体" w:hAnsi="宋体" w:eastAsia="宋体" w:cs="宋体"/>
                <w:color w:val="auto"/>
                <w:sz w:val="22"/>
                <w:szCs w:val="22"/>
                <w:highlight w:val="none"/>
                <w:lang w:val="en-US" w:eastAsia="zh-CN"/>
              </w:rPr>
              <w:t xml:space="preserve">。 </w:t>
            </w:r>
          </w:p>
          <w:p w14:paraId="1FFC54C8">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注：</w:t>
            </w:r>
          </w:p>
          <w:p w14:paraId="1DF8BECA">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cs="宋体"/>
                <w:b/>
                <w:bCs/>
                <w:color w:val="auto"/>
                <w:sz w:val="22"/>
                <w:szCs w:val="22"/>
                <w:highlight w:val="none"/>
                <w:lang w:val="en-US" w:eastAsia="zh-CN"/>
              </w:rPr>
            </w:pPr>
            <w:r>
              <w:rPr>
                <w:rFonts w:hint="eastAsia" w:ascii="宋体" w:hAnsi="宋体" w:cs="宋体"/>
                <w:b/>
                <w:bCs/>
                <w:color w:val="auto"/>
                <w:sz w:val="22"/>
                <w:szCs w:val="22"/>
                <w:highlight w:val="none"/>
                <w:lang w:val="en-US" w:eastAsia="zh-CN"/>
              </w:rPr>
              <w:t>（1）</w:t>
            </w:r>
            <w:r>
              <w:rPr>
                <w:rFonts w:hint="eastAsia" w:ascii="宋体" w:hAnsi="宋体" w:eastAsia="宋体" w:cs="宋体"/>
                <w:b/>
                <w:bCs/>
                <w:color w:val="auto"/>
                <w:sz w:val="22"/>
                <w:szCs w:val="22"/>
                <w:highlight w:val="none"/>
                <w:lang w:val="en-US" w:eastAsia="zh-CN"/>
              </w:rPr>
              <w:t>提供投标人与合作单位在有效期内的供货协议复印件；合同中</w:t>
            </w:r>
            <w:r>
              <w:rPr>
                <w:rFonts w:hint="eastAsia" w:ascii="宋体" w:hAnsi="宋体" w:cs="宋体"/>
                <w:b/>
                <w:bCs/>
                <w:color w:val="auto"/>
                <w:sz w:val="22"/>
                <w:szCs w:val="22"/>
                <w:highlight w:val="none"/>
                <w:lang w:val="en-US" w:eastAsia="zh-CN"/>
              </w:rPr>
              <w:t>需体现冻品种类，</w:t>
            </w:r>
            <w:r>
              <w:rPr>
                <w:rFonts w:hint="eastAsia" w:ascii="宋体" w:hAnsi="宋体" w:eastAsia="宋体" w:cs="宋体"/>
                <w:b/>
                <w:bCs/>
                <w:color w:val="auto"/>
                <w:sz w:val="22"/>
                <w:szCs w:val="22"/>
                <w:highlight w:val="none"/>
                <w:lang w:val="en-US" w:eastAsia="zh-CN"/>
              </w:rPr>
              <w:t>若合同中未明确</w:t>
            </w:r>
            <w:r>
              <w:rPr>
                <w:rFonts w:hint="eastAsia" w:ascii="宋体" w:hAnsi="宋体" w:cs="宋体"/>
                <w:b/>
                <w:bCs/>
                <w:color w:val="auto"/>
                <w:sz w:val="22"/>
                <w:szCs w:val="22"/>
                <w:highlight w:val="none"/>
                <w:lang w:val="en-US" w:eastAsia="zh-CN"/>
              </w:rPr>
              <w:t>冻品种类</w:t>
            </w:r>
            <w:r>
              <w:rPr>
                <w:rFonts w:hint="eastAsia" w:ascii="宋体" w:hAnsi="宋体" w:eastAsia="宋体" w:cs="宋体"/>
                <w:b/>
                <w:bCs/>
                <w:color w:val="auto"/>
                <w:sz w:val="22"/>
                <w:szCs w:val="22"/>
                <w:highlight w:val="none"/>
                <w:lang w:val="en-US" w:eastAsia="zh-CN"/>
              </w:rPr>
              <w:t>则需提供</w:t>
            </w:r>
            <w:r>
              <w:rPr>
                <w:rFonts w:hint="eastAsia" w:ascii="宋体" w:hAnsi="宋体" w:cs="宋体"/>
                <w:b/>
                <w:bCs/>
                <w:color w:val="auto"/>
                <w:sz w:val="22"/>
                <w:szCs w:val="22"/>
                <w:highlight w:val="none"/>
                <w:lang w:val="en-US" w:eastAsia="zh-CN"/>
              </w:rPr>
              <w:t>供货期内的任意一期能体现冻品种类的发票证明；同一份协议中体现多个种类的可重复得分；</w:t>
            </w:r>
          </w:p>
          <w:p w14:paraId="09CE33DF">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b/>
                <w:bCs/>
                <w:color w:val="auto"/>
                <w:sz w:val="22"/>
                <w:szCs w:val="22"/>
                <w:highlight w:val="none"/>
                <w:lang w:val="en-US" w:eastAsia="zh-CN"/>
              </w:rPr>
            </w:pPr>
            <w:r>
              <w:rPr>
                <w:rFonts w:hint="eastAsia" w:ascii="宋体" w:hAnsi="宋体" w:cs="宋体"/>
                <w:b/>
                <w:bCs/>
                <w:color w:val="auto"/>
                <w:sz w:val="22"/>
                <w:szCs w:val="22"/>
                <w:highlight w:val="none"/>
                <w:lang w:val="en-US" w:eastAsia="zh-CN"/>
              </w:rPr>
              <w:t>（2）</w:t>
            </w:r>
            <w:r>
              <w:rPr>
                <w:rFonts w:hint="eastAsia" w:ascii="宋体" w:hAnsi="宋体" w:eastAsia="宋体" w:cs="宋体"/>
                <w:b/>
                <w:bCs/>
                <w:color w:val="auto"/>
                <w:sz w:val="22"/>
                <w:szCs w:val="22"/>
                <w:highlight w:val="none"/>
                <w:lang w:val="en-US" w:eastAsia="zh-CN"/>
              </w:rPr>
              <w:t>提供与合作单位在供货期内任意一期的供货发票复印件；</w:t>
            </w:r>
          </w:p>
          <w:p w14:paraId="2E41592B">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b/>
                <w:bCs/>
                <w:color w:val="auto"/>
                <w:sz w:val="22"/>
                <w:szCs w:val="22"/>
                <w:highlight w:val="none"/>
                <w:lang w:val="en-US" w:eastAsia="zh-CN"/>
              </w:rPr>
            </w:pPr>
            <w:r>
              <w:rPr>
                <w:rFonts w:hint="eastAsia" w:ascii="宋体" w:hAnsi="宋体" w:cs="宋体"/>
                <w:b/>
                <w:bCs/>
                <w:color w:val="auto"/>
                <w:sz w:val="22"/>
                <w:szCs w:val="22"/>
                <w:highlight w:val="none"/>
                <w:lang w:val="en-US" w:eastAsia="zh-CN"/>
              </w:rPr>
              <w:t>（3）</w:t>
            </w:r>
            <w:r>
              <w:rPr>
                <w:rFonts w:hint="eastAsia" w:ascii="宋体" w:hAnsi="宋体" w:eastAsia="宋体" w:cs="宋体"/>
                <w:b/>
                <w:bCs/>
                <w:color w:val="auto"/>
                <w:sz w:val="22"/>
                <w:szCs w:val="22"/>
                <w:highlight w:val="none"/>
                <w:lang w:val="en-US" w:eastAsia="zh-CN"/>
              </w:rPr>
              <w:t>合作单位的营业执照复印件；</w:t>
            </w:r>
          </w:p>
          <w:p w14:paraId="2C963279">
            <w:pPr>
              <w:keepNext w:val="0"/>
              <w:keepLines w:val="0"/>
              <w:pageBreakBefore w:val="0"/>
              <w:widowControl/>
              <w:numPr>
                <w:ilvl w:val="0"/>
                <w:numId w:val="0"/>
              </w:numPr>
              <w:shd w:val="clear"/>
              <w:kinsoku/>
              <w:wordWrap/>
              <w:overflowPunct/>
              <w:topLinePunct w:val="0"/>
              <w:autoSpaceDE/>
              <w:autoSpaceDN/>
              <w:bidi w:val="0"/>
              <w:spacing w:after="0" w:line="440" w:lineRule="exact"/>
              <w:textAlignment w:val="auto"/>
              <w:rPr>
                <w:rFonts w:hint="eastAsia" w:ascii="宋体" w:hAnsi="宋体" w:eastAsia="宋体" w:cs="宋体"/>
                <w:color w:val="auto"/>
                <w:sz w:val="22"/>
                <w:szCs w:val="22"/>
                <w:highlight w:val="none"/>
                <w:lang w:val="en-US" w:eastAsia="zh-CN"/>
              </w:rPr>
            </w:pPr>
            <w:r>
              <w:rPr>
                <w:rFonts w:hint="eastAsia" w:ascii="宋体" w:hAnsi="宋体" w:cs="宋体"/>
                <w:b/>
                <w:bCs/>
                <w:color w:val="auto"/>
                <w:sz w:val="22"/>
                <w:szCs w:val="22"/>
                <w:highlight w:val="none"/>
                <w:lang w:val="en-US" w:eastAsia="zh-CN"/>
              </w:rPr>
              <w:t>（4）提供上述证明文件并加盖投标人公章，</w:t>
            </w:r>
            <w:r>
              <w:rPr>
                <w:rFonts w:hint="eastAsia" w:ascii="宋体" w:hAnsi="宋体" w:eastAsia="宋体" w:cs="宋体"/>
                <w:b/>
                <w:bCs/>
                <w:color w:val="auto"/>
                <w:sz w:val="22"/>
                <w:szCs w:val="22"/>
                <w:highlight w:val="none"/>
                <w:lang w:val="en-US" w:eastAsia="zh-CN"/>
              </w:rPr>
              <w:t>未提供或提供不清晰导致无法判断的不得分。</w:t>
            </w:r>
          </w:p>
        </w:tc>
      </w:tr>
      <w:tr w14:paraId="35051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5000" w:type="pct"/>
            <w:gridSpan w:val="4"/>
            <w:tcBorders>
              <w:top w:val="single" w:color="auto" w:sz="4" w:space="0"/>
              <w:left w:val="single" w:color="auto" w:sz="4" w:space="0"/>
              <w:bottom w:val="single" w:color="auto" w:sz="4" w:space="0"/>
              <w:right w:val="single" w:color="auto" w:sz="4" w:space="0"/>
            </w:tcBorders>
            <w:vAlign w:val="center"/>
          </w:tcPr>
          <w:p w14:paraId="720FA37A">
            <w:pPr>
              <w:pStyle w:val="48"/>
              <w:shd w:val="clear"/>
              <w:spacing w:line="360" w:lineRule="auto"/>
              <w:ind w:firstLine="0" w:firstLineChars="0"/>
              <w:jc w:val="center"/>
              <w:rPr>
                <w:rFonts w:hint="eastAsia" w:ascii="宋体" w:eastAsia="宋体" w:cs="宋体"/>
                <w:color w:val="auto"/>
                <w:sz w:val="22"/>
                <w:highlight w:val="none"/>
              </w:rPr>
            </w:pPr>
            <w:r>
              <w:rPr>
                <w:rFonts w:hint="eastAsia" w:ascii="宋体" w:eastAsia="宋体" w:cs="宋体"/>
                <w:b/>
                <w:bCs/>
                <w:color w:val="auto"/>
                <w:sz w:val="22"/>
                <w:highlight w:val="none"/>
              </w:rPr>
              <w:t>技术评审（1</w:t>
            </w:r>
            <w:r>
              <w:rPr>
                <w:rFonts w:hint="eastAsia" w:ascii="宋体" w:eastAsia="宋体" w:cs="宋体"/>
                <w:b/>
                <w:bCs/>
                <w:color w:val="auto"/>
                <w:sz w:val="22"/>
                <w:highlight w:val="none"/>
                <w:lang w:val="en-US" w:eastAsia="zh-CN"/>
              </w:rPr>
              <w:t>5</w:t>
            </w:r>
            <w:r>
              <w:rPr>
                <w:rFonts w:hint="eastAsia" w:ascii="宋体" w:eastAsia="宋体" w:cs="宋体"/>
                <w:b/>
                <w:bCs/>
                <w:color w:val="auto"/>
                <w:sz w:val="22"/>
                <w:highlight w:val="none"/>
              </w:rPr>
              <w:t>分）</w:t>
            </w:r>
          </w:p>
        </w:tc>
      </w:tr>
      <w:tr w14:paraId="0741E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400" w:type="pct"/>
            <w:tcBorders>
              <w:top w:val="single" w:color="auto" w:sz="4" w:space="0"/>
              <w:left w:val="single" w:color="auto" w:sz="4" w:space="0"/>
              <w:bottom w:val="single" w:color="auto" w:sz="4" w:space="0"/>
              <w:right w:val="single" w:color="auto" w:sz="4" w:space="0"/>
            </w:tcBorders>
            <w:shd w:val="clear" w:color="auto" w:fill="auto"/>
            <w:vAlign w:val="center"/>
          </w:tcPr>
          <w:p w14:paraId="702933C3">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eastAsia" w:ascii="宋体" w:hAnsi="宋体" w:eastAsia="宋体" w:cs="宋体"/>
                <w:color w:val="auto"/>
                <w:sz w:val="22"/>
                <w:szCs w:val="22"/>
                <w:highlight w:val="none"/>
                <w:lang w:val="en-US" w:eastAsia="zh-CN" w:bidi="ar-SA"/>
              </w:rPr>
            </w:pPr>
            <w:r>
              <w:rPr>
                <w:rFonts w:hint="eastAsia" w:ascii="宋体" w:hAnsi="宋体" w:eastAsia="宋体" w:cs="宋体"/>
                <w:color w:val="auto"/>
                <w:sz w:val="22"/>
                <w:szCs w:val="22"/>
                <w:highlight w:val="none"/>
                <w:lang w:eastAsia="zh-CN"/>
              </w:rPr>
              <w:t>1</w:t>
            </w:r>
          </w:p>
        </w:tc>
        <w:tc>
          <w:tcPr>
            <w:tcW w:w="657" w:type="pct"/>
            <w:tcBorders>
              <w:top w:val="single" w:color="auto" w:sz="4" w:space="0"/>
              <w:left w:val="single" w:color="auto" w:sz="4" w:space="0"/>
              <w:bottom w:val="single" w:color="auto" w:sz="4" w:space="0"/>
              <w:right w:val="single" w:color="auto" w:sz="4" w:space="0"/>
            </w:tcBorders>
            <w:shd w:val="clear" w:color="auto" w:fill="auto"/>
            <w:vAlign w:val="center"/>
          </w:tcPr>
          <w:p w14:paraId="7530D7B3">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eastAsia" w:ascii="宋体" w:hAnsi="宋体" w:eastAsia="宋体" w:cs="宋体"/>
                <w:color w:val="auto"/>
                <w:sz w:val="22"/>
                <w:szCs w:val="22"/>
                <w:highlight w:val="none"/>
                <w:lang w:val="en-US" w:eastAsia="zh-CN" w:bidi="ar-SA"/>
              </w:rPr>
            </w:pPr>
            <w:r>
              <w:rPr>
                <w:rFonts w:hint="eastAsia" w:ascii="宋体" w:hAnsi="宋体" w:eastAsia="宋体" w:cs="宋体"/>
                <w:color w:val="auto"/>
                <w:sz w:val="22"/>
                <w:szCs w:val="22"/>
                <w:highlight w:val="none"/>
                <w:lang w:eastAsia="zh-CN"/>
              </w:rPr>
              <w:t>食品安全控制措施方案</w:t>
            </w:r>
          </w:p>
        </w:tc>
        <w:tc>
          <w:tcPr>
            <w:tcW w:w="512" w:type="pct"/>
            <w:tcBorders>
              <w:top w:val="single" w:color="auto" w:sz="4" w:space="0"/>
              <w:left w:val="single" w:color="auto" w:sz="4" w:space="0"/>
              <w:bottom w:val="single" w:color="auto" w:sz="4" w:space="0"/>
              <w:right w:val="single" w:color="auto" w:sz="4" w:space="0"/>
            </w:tcBorders>
            <w:shd w:val="clear" w:color="auto" w:fill="auto"/>
            <w:vAlign w:val="center"/>
          </w:tcPr>
          <w:p w14:paraId="39980EC0">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eastAsia" w:ascii="宋体" w:hAnsi="宋体" w:eastAsia="宋体" w:cs="宋体"/>
                <w:color w:val="auto"/>
                <w:sz w:val="22"/>
                <w:szCs w:val="22"/>
                <w:highlight w:val="none"/>
                <w:lang w:val="en-US" w:eastAsia="zh-CN" w:bidi="ar-SA"/>
              </w:rPr>
            </w:pPr>
            <w:r>
              <w:rPr>
                <w:rFonts w:hint="eastAsia" w:ascii="宋体" w:hAnsi="宋体" w:cs="宋体"/>
                <w:color w:val="auto"/>
                <w:sz w:val="22"/>
                <w:szCs w:val="22"/>
                <w:highlight w:val="none"/>
                <w:lang w:val="en-US" w:eastAsia="zh-CN"/>
              </w:rPr>
              <w:t>3</w:t>
            </w:r>
            <w:r>
              <w:rPr>
                <w:rFonts w:hint="eastAsia" w:ascii="宋体" w:hAnsi="宋体" w:eastAsia="宋体" w:cs="宋体"/>
                <w:color w:val="auto"/>
                <w:sz w:val="22"/>
                <w:szCs w:val="22"/>
                <w:highlight w:val="none"/>
                <w:lang w:eastAsia="zh-CN"/>
              </w:rPr>
              <w:t>分</w:t>
            </w:r>
          </w:p>
        </w:tc>
        <w:tc>
          <w:tcPr>
            <w:tcW w:w="3429" w:type="pct"/>
            <w:tcBorders>
              <w:top w:val="single" w:color="auto" w:sz="4" w:space="0"/>
              <w:left w:val="single" w:color="auto" w:sz="4" w:space="0"/>
              <w:bottom w:val="single" w:color="auto" w:sz="4" w:space="0"/>
              <w:right w:val="single" w:color="auto" w:sz="4" w:space="0"/>
            </w:tcBorders>
            <w:shd w:val="clear" w:color="auto" w:fill="auto"/>
            <w:vAlign w:val="center"/>
          </w:tcPr>
          <w:p w14:paraId="3E5EC580">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left"/>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根据投标人的食品安全控制措施方案（包括但不限于供货保障、加工、包装、保存、运输各环节的质量保证、食材品质管控措施等）进行综合评审：</w:t>
            </w:r>
          </w:p>
          <w:p w14:paraId="069233BF">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left"/>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（1）食品安全控制措施方案非常详细完善，流程非常严谨规范，安全控制措施非常科学合理，可行性非常强的，得</w:t>
            </w:r>
            <w:r>
              <w:rPr>
                <w:rFonts w:hint="eastAsia" w:ascii="宋体" w:hAnsi="宋体" w:cs="宋体"/>
                <w:color w:val="auto"/>
                <w:sz w:val="22"/>
                <w:szCs w:val="22"/>
                <w:highlight w:val="none"/>
                <w:lang w:val="en-US" w:eastAsia="zh-CN"/>
              </w:rPr>
              <w:t>3</w:t>
            </w:r>
            <w:r>
              <w:rPr>
                <w:rFonts w:hint="eastAsia" w:ascii="宋体" w:hAnsi="宋体" w:eastAsia="宋体" w:cs="宋体"/>
                <w:color w:val="auto"/>
                <w:sz w:val="22"/>
                <w:szCs w:val="22"/>
                <w:highlight w:val="none"/>
                <w:lang w:eastAsia="zh-CN"/>
              </w:rPr>
              <w:t>分；</w:t>
            </w:r>
          </w:p>
          <w:p w14:paraId="515E4098">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left"/>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（2）食品安全控制措施方案较详细完善，流程严谨规范，安全控制措施较科学合理，可行性较强的，得2分；</w:t>
            </w:r>
          </w:p>
          <w:p w14:paraId="7962A9CC">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left"/>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（3）食品安全控制措施方案详细完善度一般，流程严谨规范性一般，安全控制措施科学合理性一般，可行性一般的，得1分；</w:t>
            </w:r>
          </w:p>
          <w:p w14:paraId="4D2FDCA0">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left"/>
              <w:textAlignment w:val="auto"/>
              <w:rPr>
                <w:rFonts w:hint="eastAsia" w:ascii="宋体" w:hAnsi="宋体" w:eastAsia="宋体" w:cs="宋体"/>
                <w:color w:val="auto"/>
                <w:sz w:val="22"/>
                <w:szCs w:val="22"/>
                <w:highlight w:val="none"/>
                <w:lang w:val="zh-CN" w:eastAsia="zh-CN" w:bidi="ar-SA"/>
              </w:rPr>
            </w:pPr>
            <w:r>
              <w:rPr>
                <w:rFonts w:hint="eastAsia" w:ascii="宋体" w:hAnsi="宋体" w:eastAsia="宋体" w:cs="宋体"/>
                <w:color w:val="auto"/>
                <w:sz w:val="22"/>
                <w:szCs w:val="22"/>
                <w:highlight w:val="none"/>
                <w:lang w:eastAsia="zh-CN"/>
              </w:rPr>
              <w:t>（4）未提供相应方案的不得分。</w:t>
            </w:r>
          </w:p>
        </w:tc>
      </w:tr>
      <w:tr w14:paraId="30BE8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400" w:type="pct"/>
            <w:tcBorders>
              <w:top w:val="single" w:color="auto" w:sz="4" w:space="0"/>
              <w:left w:val="single" w:color="auto" w:sz="4" w:space="0"/>
              <w:bottom w:val="single" w:color="auto" w:sz="4" w:space="0"/>
              <w:right w:val="single" w:color="auto" w:sz="4" w:space="0"/>
            </w:tcBorders>
            <w:shd w:val="clear" w:color="auto" w:fill="auto"/>
            <w:vAlign w:val="center"/>
          </w:tcPr>
          <w:p w14:paraId="04324C03">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eastAsia" w:ascii="宋体" w:hAnsi="宋体" w:eastAsia="宋体" w:cs="宋体"/>
                <w:color w:val="auto"/>
                <w:sz w:val="22"/>
                <w:szCs w:val="22"/>
                <w:highlight w:val="none"/>
                <w:lang w:val="en-US" w:eastAsia="zh-CN" w:bidi="ar-SA"/>
              </w:rPr>
            </w:pPr>
            <w:r>
              <w:rPr>
                <w:rFonts w:hint="eastAsia" w:ascii="宋体" w:hAnsi="宋体" w:eastAsia="宋体" w:cs="宋体"/>
                <w:color w:val="auto"/>
                <w:sz w:val="22"/>
                <w:szCs w:val="22"/>
                <w:highlight w:val="none"/>
                <w:lang w:eastAsia="zh-CN"/>
              </w:rPr>
              <w:t>2</w:t>
            </w:r>
          </w:p>
        </w:tc>
        <w:tc>
          <w:tcPr>
            <w:tcW w:w="657" w:type="pct"/>
            <w:tcBorders>
              <w:top w:val="single" w:color="auto" w:sz="4" w:space="0"/>
              <w:left w:val="single" w:color="auto" w:sz="4" w:space="0"/>
              <w:bottom w:val="single" w:color="auto" w:sz="4" w:space="0"/>
              <w:right w:val="single" w:color="auto" w:sz="4" w:space="0"/>
            </w:tcBorders>
            <w:shd w:val="clear" w:color="auto" w:fill="auto"/>
            <w:vAlign w:val="center"/>
          </w:tcPr>
          <w:p w14:paraId="104BE0F7">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eastAsia" w:ascii="宋体" w:hAnsi="宋体" w:eastAsia="宋体" w:cs="宋体"/>
                <w:color w:val="auto"/>
                <w:sz w:val="22"/>
                <w:szCs w:val="22"/>
                <w:highlight w:val="none"/>
                <w:lang w:val="en-US" w:eastAsia="zh-CN" w:bidi="ar-SA"/>
              </w:rPr>
            </w:pPr>
            <w:r>
              <w:rPr>
                <w:rFonts w:hint="eastAsia" w:ascii="宋体" w:hAnsi="宋体" w:eastAsia="宋体" w:cs="宋体"/>
                <w:color w:val="auto"/>
                <w:sz w:val="22"/>
                <w:szCs w:val="22"/>
                <w:highlight w:val="none"/>
                <w:lang w:eastAsia="zh-CN"/>
              </w:rPr>
              <w:t>食品溯源管理方案</w:t>
            </w:r>
          </w:p>
        </w:tc>
        <w:tc>
          <w:tcPr>
            <w:tcW w:w="512" w:type="pct"/>
            <w:tcBorders>
              <w:top w:val="single" w:color="auto" w:sz="4" w:space="0"/>
              <w:left w:val="single" w:color="auto" w:sz="4" w:space="0"/>
              <w:bottom w:val="single" w:color="auto" w:sz="4" w:space="0"/>
              <w:right w:val="single" w:color="auto" w:sz="4" w:space="0"/>
            </w:tcBorders>
            <w:shd w:val="clear" w:color="auto" w:fill="auto"/>
            <w:vAlign w:val="center"/>
          </w:tcPr>
          <w:p w14:paraId="2AA00ED5">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eastAsia" w:ascii="宋体" w:hAnsi="宋体" w:eastAsia="宋体" w:cs="宋体"/>
                <w:color w:val="auto"/>
                <w:sz w:val="22"/>
                <w:szCs w:val="22"/>
                <w:highlight w:val="none"/>
                <w:lang w:val="en-US" w:eastAsia="zh-CN" w:bidi="ar-SA"/>
              </w:rPr>
            </w:pPr>
            <w:r>
              <w:rPr>
                <w:rFonts w:hint="eastAsia" w:ascii="宋体" w:hAnsi="宋体" w:cs="宋体"/>
                <w:color w:val="auto"/>
                <w:sz w:val="22"/>
                <w:szCs w:val="22"/>
                <w:highlight w:val="none"/>
                <w:lang w:val="en-US" w:eastAsia="zh-CN"/>
              </w:rPr>
              <w:t>3</w:t>
            </w:r>
            <w:r>
              <w:rPr>
                <w:rFonts w:hint="eastAsia" w:ascii="宋体" w:hAnsi="宋体" w:eastAsia="宋体" w:cs="宋体"/>
                <w:color w:val="auto"/>
                <w:sz w:val="22"/>
                <w:szCs w:val="22"/>
                <w:highlight w:val="none"/>
                <w:lang w:eastAsia="zh-CN"/>
              </w:rPr>
              <w:t>分</w:t>
            </w:r>
          </w:p>
        </w:tc>
        <w:tc>
          <w:tcPr>
            <w:tcW w:w="3429" w:type="pct"/>
            <w:tcBorders>
              <w:top w:val="single" w:color="auto" w:sz="4" w:space="0"/>
              <w:left w:val="single" w:color="auto" w:sz="4" w:space="0"/>
              <w:bottom w:val="single" w:color="auto" w:sz="4" w:space="0"/>
              <w:right w:val="single" w:color="auto" w:sz="4" w:space="0"/>
            </w:tcBorders>
            <w:shd w:val="clear" w:color="auto" w:fill="auto"/>
            <w:vAlign w:val="top"/>
          </w:tcPr>
          <w:p w14:paraId="39676255">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left"/>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根据投标人提供的食品溯源管理方案（包括但不限于食品溯源管理制度、采购渠道、进出货台账、留样检测制度、售后服务等）进行综合评审：</w:t>
            </w:r>
          </w:p>
          <w:p w14:paraId="12BB1705">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left"/>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（1）食品溯源管理方案非常详细完善，食品溯源管理制度非常科学严谨、食品溯源管理措施可行性非常强的，得</w:t>
            </w:r>
            <w:r>
              <w:rPr>
                <w:rFonts w:hint="eastAsia" w:ascii="宋体" w:hAnsi="宋体" w:cs="宋体"/>
                <w:color w:val="auto"/>
                <w:sz w:val="22"/>
                <w:szCs w:val="22"/>
                <w:highlight w:val="none"/>
                <w:lang w:val="en-US" w:eastAsia="zh-CN"/>
              </w:rPr>
              <w:t>3</w:t>
            </w:r>
            <w:r>
              <w:rPr>
                <w:rFonts w:hint="eastAsia" w:ascii="宋体" w:hAnsi="宋体" w:eastAsia="宋体" w:cs="宋体"/>
                <w:color w:val="auto"/>
                <w:sz w:val="22"/>
                <w:szCs w:val="22"/>
                <w:highlight w:val="none"/>
                <w:lang w:eastAsia="zh-CN"/>
              </w:rPr>
              <w:t>分；</w:t>
            </w:r>
          </w:p>
          <w:p w14:paraId="75234590">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left"/>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（2）食品溯源管理方案较详细完善，食品溯源管理制度科学严谨、食品溯源管理措施可行性较强的，得2分；</w:t>
            </w:r>
          </w:p>
          <w:p w14:paraId="5800B857">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left"/>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（3）食品溯源管理方案详细完善程度一般，食品溯源管理制度科学严谨性一般、食品溯源管理措施可行性一般的，得1分；</w:t>
            </w:r>
          </w:p>
          <w:p w14:paraId="491CB301">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left"/>
              <w:textAlignment w:val="auto"/>
              <w:rPr>
                <w:rFonts w:hint="eastAsia" w:ascii="宋体" w:hAnsi="宋体" w:eastAsia="宋体" w:cs="宋体"/>
                <w:color w:val="auto"/>
                <w:sz w:val="22"/>
                <w:szCs w:val="22"/>
                <w:highlight w:val="none"/>
                <w:lang w:val="zh-CN" w:eastAsia="zh-CN" w:bidi="ar-SA"/>
              </w:rPr>
            </w:pPr>
            <w:r>
              <w:rPr>
                <w:rFonts w:hint="eastAsia" w:ascii="宋体" w:hAnsi="宋体" w:eastAsia="宋体" w:cs="宋体"/>
                <w:color w:val="auto"/>
                <w:sz w:val="22"/>
                <w:szCs w:val="22"/>
                <w:highlight w:val="none"/>
                <w:lang w:eastAsia="zh-CN"/>
              </w:rPr>
              <w:t>（4）未提供相应方案的不得分。</w:t>
            </w:r>
          </w:p>
        </w:tc>
      </w:tr>
      <w:tr w14:paraId="6E5A6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400" w:type="pct"/>
            <w:tcBorders>
              <w:top w:val="single" w:color="auto" w:sz="4" w:space="0"/>
              <w:left w:val="single" w:color="auto" w:sz="4" w:space="0"/>
              <w:bottom w:val="single" w:color="auto" w:sz="4" w:space="0"/>
              <w:right w:val="single" w:color="auto" w:sz="4" w:space="0"/>
            </w:tcBorders>
            <w:shd w:val="clear" w:color="auto" w:fill="auto"/>
            <w:vAlign w:val="center"/>
          </w:tcPr>
          <w:p w14:paraId="316BEA16">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eastAsia" w:ascii="宋体" w:hAnsi="宋体" w:eastAsia="宋体" w:cs="宋体"/>
                <w:color w:val="auto"/>
                <w:sz w:val="22"/>
                <w:szCs w:val="22"/>
                <w:highlight w:val="none"/>
                <w:lang w:val="en-US" w:eastAsia="zh-CN" w:bidi="ar-SA"/>
              </w:rPr>
            </w:pPr>
            <w:r>
              <w:rPr>
                <w:rFonts w:hint="eastAsia" w:ascii="宋体" w:hAnsi="宋体" w:eastAsia="宋体" w:cs="宋体"/>
                <w:color w:val="auto"/>
                <w:sz w:val="22"/>
                <w:szCs w:val="22"/>
                <w:highlight w:val="none"/>
                <w:lang w:eastAsia="zh-CN"/>
              </w:rPr>
              <w:t>3</w:t>
            </w:r>
          </w:p>
        </w:tc>
        <w:tc>
          <w:tcPr>
            <w:tcW w:w="657" w:type="pct"/>
            <w:tcBorders>
              <w:top w:val="single" w:color="auto" w:sz="4" w:space="0"/>
              <w:left w:val="single" w:color="auto" w:sz="4" w:space="0"/>
              <w:bottom w:val="single" w:color="auto" w:sz="4" w:space="0"/>
              <w:right w:val="single" w:color="auto" w:sz="4" w:space="0"/>
            </w:tcBorders>
            <w:shd w:val="clear" w:color="auto" w:fill="auto"/>
            <w:vAlign w:val="center"/>
          </w:tcPr>
          <w:p w14:paraId="0F72882E">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eastAsia" w:ascii="宋体" w:hAnsi="宋体" w:eastAsia="宋体" w:cs="宋体"/>
                <w:color w:val="auto"/>
                <w:sz w:val="22"/>
                <w:szCs w:val="22"/>
                <w:highlight w:val="none"/>
                <w:lang w:val="en-US" w:eastAsia="zh-CN" w:bidi="ar-SA"/>
              </w:rPr>
            </w:pPr>
            <w:r>
              <w:rPr>
                <w:rFonts w:hint="eastAsia" w:ascii="宋体" w:hAnsi="宋体" w:eastAsia="宋体" w:cs="宋体"/>
                <w:color w:val="auto"/>
                <w:sz w:val="22"/>
                <w:szCs w:val="22"/>
                <w:highlight w:val="none"/>
                <w:lang w:eastAsia="zh-CN"/>
              </w:rPr>
              <w:t>整体配送服务方案</w:t>
            </w:r>
          </w:p>
        </w:tc>
        <w:tc>
          <w:tcPr>
            <w:tcW w:w="512" w:type="pct"/>
            <w:tcBorders>
              <w:top w:val="single" w:color="auto" w:sz="4" w:space="0"/>
              <w:left w:val="single" w:color="auto" w:sz="4" w:space="0"/>
              <w:bottom w:val="single" w:color="auto" w:sz="4" w:space="0"/>
              <w:right w:val="single" w:color="auto" w:sz="4" w:space="0"/>
            </w:tcBorders>
            <w:shd w:val="clear" w:color="auto" w:fill="auto"/>
            <w:vAlign w:val="center"/>
          </w:tcPr>
          <w:p w14:paraId="4A6DC632">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eastAsia" w:ascii="宋体" w:hAnsi="宋体" w:eastAsia="宋体" w:cs="宋体"/>
                <w:color w:val="auto"/>
                <w:sz w:val="22"/>
                <w:szCs w:val="22"/>
                <w:highlight w:val="none"/>
                <w:lang w:val="en-US" w:eastAsia="zh-CN" w:bidi="ar-SA"/>
              </w:rPr>
            </w:pPr>
            <w:r>
              <w:rPr>
                <w:rFonts w:hint="eastAsia" w:ascii="宋体" w:hAnsi="宋体" w:cs="宋体"/>
                <w:color w:val="auto"/>
                <w:sz w:val="22"/>
                <w:szCs w:val="22"/>
                <w:highlight w:val="none"/>
                <w:lang w:val="en-US" w:eastAsia="zh-CN"/>
              </w:rPr>
              <w:t>3</w:t>
            </w:r>
            <w:r>
              <w:rPr>
                <w:rFonts w:hint="eastAsia" w:ascii="宋体" w:hAnsi="宋体" w:eastAsia="宋体" w:cs="宋体"/>
                <w:color w:val="auto"/>
                <w:sz w:val="22"/>
                <w:szCs w:val="22"/>
                <w:highlight w:val="none"/>
                <w:lang w:eastAsia="zh-CN"/>
              </w:rPr>
              <w:t>分</w:t>
            </w:r>
          </w:p>
        </w:tc>
        <w:tc>
          <w:tcPr>
            <w:tcW w:w="3429" w:type="pct"/>
            <w:tcBorders>
              <w:top w:val="single" w:color="auto" w:sz="4" w:space="0"/>
              <w:left w:val="single" w:color="auto" w:sz="4" w:space="0"/>
              <w:bottom w:val="single" w:color="auto" w:sz="4" w:space="0"/>
              <w:right w:val="single" w:color="auto" w:sz="4" w:space="0"/>
            </w:tcBorders>
            <w:shd w:val="clear" w:color="auto" w:fill="auto"/>
            <w:vAlign w:val="top"/>
          </w:tcPr>
          <w:p w14:paraId="0779A0F0">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left"/>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 xml:space="preserve">根据投标人提供的整体服务方案（内容包括但不限于配送车辆安排、各配送人员的具体工作计划安排、配送流程、专人跟踪服务情况、退换货时间安排、售后服务方案等）进行评审： </w:t>
            </w:r>
          </w:p>
          <w:p w14:paraId="45139758">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left"/>
              <w:textAlignment w:val="auto"/>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lang w:val="en-US" w:eastAsia="zh-CN"/>
              </w:rPr>
              <w:t>1</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lang w:eastAsia="zh-CN"/>
              </w:rPr>
              <w:t>配送方案详细可行，配送流程完善，项目服务过程中配有专人跟踪服务，售后服务方案可行性、针对性很强，完全满足或优于本项目采购人需求的，得</w:t>
            </w:r>
            <w:r>
              <w:rPr>
                <w:rFonts w:hint="eastAsia" w:ascii="宋体" w:hAnsi="宋体" w:cs="宋体"/>
                <w:color w:val="auto"/>
                <w:sz w:val="22"/>
                <w:szCs w:val="22"/>
                <w:highlight w:val="none"/>
                <w:lang w:val="en-US" w:eastAsia="zh-CN"/>
              </w:rPr>
              <w:t>3</w:t>
            </w:r>
            <w:r>
              <w:rPr>
                <w:rFonts w:hint="eastAsia" w:ascii="宋体" w:hAnsi="宋体" w:eastAsia="宋体" w:cs="宋体"/>
                <w:color w:val="auto"/>
                <w:sz w:val="22"/>
                <w:szCs w:val="22"/>
                <w:highlight w:val="none"/>
                <w:lang w:eastAsia="zh-CN"/>
              </w:rPr>
              <w:t xml:space="preserve">分； </w:t>
            </w:r>
          </w:p>
          <w:p w14:paraId="71258DEF">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left"/>
              <w:textAlignment w:val="auto"/>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lang w:val="en-US" w:eastAsia="zh-CN"/>
              </w:rPr>
              <w:t>2</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lang w:eastAsia="zh-CN"/>
              </w:rPr>
              <w:t>配送方案较为详细可行，配送流程较完善，项目服务过程中配有专人跟踪服务，售后服务方案可行性、针对性强的，较为满足本项目采购人需求的，得</w:t>
            </w:r>
            <w:r>
              <w:rPr>
                <w:rFonts w:hint="eastAsia" w:ascii="宋体" w:hAnsi="宋体" w:cs="宋体"/>
                <w:color w:val="auto"/>
                <w:sz w:val="22"/>
                <w:szCs w:val="22"/>
                <w:highlight w:val="none"/>
                <w:lang w:val="en-US" w:eastAsia="zh-CN"/>
              </w:rPr>
              <w:t>2</w:t>
            </w:r>
            <w:r>
              <w:rPr>
                <w:rFonts w:hint="eastAsia" w:ascii="宋体" w:hAnsi="宋体" w:eastAsia="宋体" w:cs="宋体"/>
                <w:color w:val="auto"/>
                <w:sz w:val="22"/>
                <w:szCs w:val="22"/>
                <w:highlight w:val="none"/>
                <w:lang w:eastAsia="zh-CN"/>
              </w:rPr>
              <w:t xml:space="preserve">分； </w:t>
            </w:r>
          </w:p>
          <w:p w14:paraId="21378928">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left"/>
              <w:textAlignment w:val="auto"/>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lang w:val="en-US" w:eastAsia="zh-CN"/>
              </w:rPr>
              <w:t>3</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lang w:eastAsia="zh-CN"/>
              </w:rPr>
              <w:t>配送方案一般详细可行，配送流程一般完善，项目服务过程中配有专人跟踪服务，售后服务方案可行性、针对性一般，基本满足本项目采购人需求的，得</w:t>
            </w:r>
            <w:r>
              <w:rPr>
                <w:rFonts w:hint="eastAsia" w:ascii="宋体" w:hAnsi="宋体" w:cs="宋体"/>
                <w:color w:val="auto"/>
                <w:sz w:val="22"/>
                <w:szCs w:val="22"/>
                <w:highlight w:val="none"/>
                <w:lang w:val="en-US" w:eastAsia="zh-CN"/>
              </w:rPr>
              <w:t>1</w:t>
            </w:r>
            <w:r>
              <w:rPr>
                <w:rFonts w:hint="eastAsia" w:ascii="宋体" w:hAnsi="宋体" w:eastAsia="宋体" w:cs="宋体"/>
                <w:color w:val="auto"/>
                <w:sz w:val="22"/>
                <w:szCs w:val="22"/>
                <w:highlight w:val="none"/>
                <w:lang w:eastAsia="zh-CN"/>
              </w:rPr>
              <w:t xml:space="preserve">分； </w:t>
            </w:r>
          </w:p>
          <w:p w14:paraId="1B79B3B1">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left"/>
              <w:textAlignment w:val="auto"/>
              <w:rPr>
                <w:rFonts w:hint="eastAsia" w:ascii="宋体" w:hAnsi="宋体" w:eastAsia="宋体" w:cs="宋体"/>
                <w:color w:val="auto"/>
                <w:sz w:val="22"/>
                <w:szCs w:val="22"/>
                <w:highlight w:val="none"/>
                <w:lang w:val="en-US" w:eastAsia="zh-CN" w:bidi="ar-SA"/>
              </w:rPr>
            </w:pP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lang w:val="en-US" w:eastAsia="zh-CN"/>
              </w:rPr>
              <w:t>4</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lang w:eastAsia="zh-CN"/>
              </w:rPr>
              <w:t>未提供相应方案的不得分。</w:t>
            </w:r>
          </w:p>
        </w:tc>
      </w:tr>
      <w:tr w14:paraId="64404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400" w:type="pct"/>
            <w:tcBorders>
              <w:top w:val="single" w:color="auto" w:sz="4" w:space="0"/>
              <w:left w:val="single" w:color="auto" w:sz="4" w:space="0"/>
              <w:bottom w:val="single" w:color="auto" w:sz="4" w:space="0"/>
              <w:right w:val="single" w:color="auto" w:sz="4" w:space="0"/>
            </w:tcBorders>
            <w:shd w:val="clear" w:color="auto" w:fill="auto"/>
            <w:vAlign w:val="center"/>
          </w:tcPr>
          <w:p w14:paraId="6BCC2034">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eastAsia" w:ascii="宋体" w:hAnsi="宋体" w:eastAsia="宋体" w:cs="宋体"/>
                <w:color w:val="auto"/>
                <w:sz w:val="22"/>
                <w:szCs w:val="22"/>
                <w:highlight w:val="none"/>
                <w:lang w:val="en-US" w:eastAsia="zh-CN" w:bidi="ar-SA"/>
              </w:rPr>
            </w:pPr>
            <w:r>
              <w:rPr>
                <w:rFonts w:hint="eastAsia" w:ascii="宋体" w:hAnsi="宋体" w:eastAsia="宋体" w:cs="宋体"/>
                <w:color w:val="auto"/>
                <w:sz w:val="22"/>
                <w:szCs w:val="22"/>
                <w:highlight w:val="none"/>
                <w:lang w:eastAsia="zh-CN"/>
              </w:rPr>
              <w:t>4</w:t>
            </w:r>
          </w:p>
        </w:tc>
        <w:tc>
          <w:tcPr>
            <w:tcW w:w="657" w:type="pct"/>
            <w:tcBorders>
              <w:top w:val="single" w:color="auto" w:sz="4" w:space="0"/>
              <w:left w:val="single" w:color="auto" w:sz="4" w:space="0"/>
              <w:bottom w:val="single" w:color="auto" w:sz="4" w:space="0"/>
              <w:right w:val="single" w:color="auto" w:sz="4" w:space="0"/>
            </w:tcBorders>
            <w:shd w:val="clear" w:color="auto" w:fill="auto"/>
            <w:vAlign w:val="center"/>
          </w:tcPr>
          <w:p w14:paraId="63273768">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eastAsia" w:ascii="宋体" w:hAnsi="宋体" w:eastAsia="宋体" w:cs="宋体"/>
                <w:color w:val="auto"/>
                <w:sz w:val="22"/>
                <w:szCs w:val="22"/>
                <w:highlight w:val="none"/>
                <w:lang w:val="en-US" w:eastAsia="zh-CN" w:bidi="ar-SA"/>
              </w:rPr>
            </w:pPr>
            <w:r>
              <w:rPr>
                <w:rFonts w:hint="eastAsia" w:ascii="宋体" w:hAnsi="宋体" w:eastAsia="宋体" w:cs="宋体"/>
                <w:color w:val="auto"/>
                <w:sz w:val="22"/>
                <w:szCs w:val="22"/>
                <w:highlight w:val="none"/>
                <w:lang w:eastAsia="zh-CN"/>
              </w:rPr>
              <w:t>应急预案及保障措施</w:t>
            </w:r>
          </w:p>
        </w:tc>
        <w:tc>
          <w:tcPr>
            <w:tcW w:w="512" w:type="pct"/>
            <w:tcBorders>
              <w:top w:val="single" w:color="auto" w:sz="4" w:space="0"/>
              <w:left w:val="single" w:color="auto" w:sz="4" w:space="0"/>
              <w:bottom w:val="single" w:color="auto" w:sz="4" w:space="0"/>
              <w:right w:val="single" w:color="auto" w:sz="4" w:space="0"/>
            </w:tcBorders>
            <w:shd w:val="clear" w:color="auto" w:fill="auto"/>
            <w:vAlign w:val="center"/>
          </w:tcPr>
          <w:p w14:paraId="7FA6C0AD">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eastAsia" w:ascii="宋体" w:hAnsi="宋体" w:eastAsia="宋体" w:cs="宋体"/>
                <w:color w:val="auto"/>
                <w:sz w:val="22"/>
                <w:szCs w:val="22"/>
                <w:highlight w:val="none"/>
                <w:lang w:val="en-US" w:eastAsia="zh-CN" w:bidi="ar-SA"/>
              </w:rPr>
            </w:pPr>
            <w:r>
              <w:rPr>
                <w:rFonts w:hint="eastAsia" w:ascii="宋体" w:hAnsi="宋体" w:cs="宋体"/>
                <w:color w:val="auto"/>
                <w:sz w:val="22"/>
                <w:szCs w:val="22"/>
                <w:highlight w:val="none"/>
                <w:lang w:val="en-US" w:eastAsia="zh-CN"/>
              </w:rPr>
              <w:t>3</w:t>
            </w:r>
            <w:r>
              <w:rPr>
                <w:rFonts w:hint="eastAsia" w:ascii="宋体" w:hAnsi="宋体" w:eastAsia="宋体" w:cs="宋体"/>
                <w:color w:val="auto"/>
                <w:sz w:val="22"/>
                <w:szCs w:val="22"/>
                <w:highlight w:val="none"/>
                <w:lang w:eastAsia="zh-CN"/>
              </w:rPr>
              <w:t>分</w:t>
            </w:r>
          </w:p>
        </w:tc>
        <w:tc>
          <w:tcPr>
            <w:tcW w:w="3429" w:type="pct"/>
            <w:tcBorders>
              <w:top w:val="single" w:color="auto" w:sz="4" w:space="0"/>
              <w:left w:val="single" w:color="auto" w:sz="4" w:space="0"/>
              <w:bottom w:val="single" w:color="auto" w:sz="4" w:space="0"/>
              <w:right w:val="single" w:color="auto" w:sz="4" w:space="0"/>
            </w:tcBorders>
            <w:shd w:val="clear" w:color="auto" w:fill="auto"/>
            <w:vAlign w:val="top"/>
          </w:tcPr>
          <w:p w14:paraId="58C4A96C">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left"/>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根据投标人针对本项目的突发事件应急方案（内容包括不限于①</w:t>
            </w:r>
            <w:r>
              <w:rPr>
                <w:rFonts w:hint="eastAsia" w:ascii="宋体" w:hAnsi="宋体" w:cs="宋体"/>
                <w:color w:val="auto"/>
                <w:sz w:val="22"/>
                <w:szCs w:val="22"/>
                <w:highlight w:val="none"/>
                <w:lang w:val="en-US" w:eastAsia="zh-CN"/>
              </w:rPr>
              <w:t>各类突发事件应急</w:t>
            </w:r>
            <w:r>
              <w:rPr>
                <w:rFonts w:hint="eastAsia" w:ascii="宋体" w:hAnsi="宋体" w:eastAsia="宋体" w:cs="宋体"/>
                <w:color w:val="auto"/>
                <w:sz w:val="22"/>
                <w:szCs w:val="22"/>
                <w:highlight w:val="none"/>
                <w:lang w:eastAsia="zh-CN"/>
              </w:rPr>
              <w:t>解决方案②食品安全事故应急预案</w:t>
            </w:r>
            <w:r>
              <w:rPr>
                <w:rFonts w:hint="eastAsia" w:ascii="宋体" w:hAnsi="宋体" w:cs="宋体"/>
                <w:color w:val="auto"/>
                <w:sz w:val="22"/>
                <w:szCs w:val="22"/>
                <w:highlight w:val="none"/>
                <w:lang w:val="en-US" w:eastAsia="zh-CN"/>
              </w:rPr>
              <w:t>③应急</w:t>
            </w:r>
            <w:r>
              <w:rPr>
                <w:rFonts w:hint="eastAsia" w:ascii="宋体" w:hAnsi="宋体" w:eastAsia="宋体" w:cs="宋体"/>
                <w:color w:val="auto"/>
                <w:sz w:val="22"/>
                <w:szCs w:val="22"/>
                <w:highlight w:val="none"/>
                <w:lang w:eastAsia="zh-CN"/>
              </w:rPr>
              <w:t xml:space="preserve">保障措施等）进行评审： </w:t>
            </w:r>
          </w:p>
          <w:p w14:paraId="7C622369">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left"/>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（1）突发事件应急方案详细完善，</w:t>
            </w:r>
            <w:r>
              <w:rPr>
                <w:rFonts w:hint="eastAsia" w:ascii="宋体" w:hAnsi="宋体" w:eastAsia="宋体" w:cs="宋体"/>
                <w:color w:val="auto"/>
                <w:sz w:val="22"/>
                <w:szCs w:val="22"/>
                <w:highlight w:val="none"/>
                <w:lang w:val="en-US" w:eastAsia="zh-CN"/>
              </w:rPr>
              <w:t>保障措施</w:t>
            </w:r>
            <w:r>
              <w:rPr>
                <w:rFonts w:hint="eastAsia" w:ascii="宋体" w:hAnsi="宋体" w:eastAsia="宋体" w:cs="宋体"/>
                <w:color w:val="auto"/>
                <w:sz w:val="21"/>
                <w:szCs w:val="21"/>
                <w:highlight w:val="none"/>
              </w:rPr>
              <w:t>合理性强、可操作性强，</w:t>
            </w:r>
            <w:r>
              <w:rPr>
                <w:rFonts w:hint="eastAsia" w:ascii="宋体" w:hAnsi="宋体" w:eastAsia="宋体" w:cs="宋体"/>
                <w:color w:val="auto"/>
                <w:sz w:val="22"/>
                <w:szCs w:val="22"/>
                <w:highlight w:val="none"/>
              </w:rPr>
              <w:t>应急配送</w:t>
            </w:r>
            <w:r>
              <w:rPr>
                <w:rFonts w:hint="eastAsia" w:ascii="宋体" w:hAnsi="宋体" w:eastAsia="宋体" w:cs="宋体"/>
                <w:color w:val="auto"/>
                <w:sz w:val="22"/>
                <w:szCs w:val="22"/>
                <w:highlight w:val="none"/>
                <w:lang w:val="en-US" w:eastAsia="zh-CN"/>
              </w:rPr>
              <w:t>方案</w:t>
            </w:r>
            <w:r>
              <w:rPr>
                <w:rFonts w:hint="eastAsia" w:ascii="宋体" w:hAnsi="宋体" w:eastAsia="宋体" w:cs="宋体"/>
                <w:color w:val="auto"/>
                <w:sz w:val="22"/>
                <w:szCs w:val="22"/>
                <w:highlight w:val="none"/>
              </w:rPr>
              <w:t>切实可行的</w:t>
            </w:r>
            <w:r>
              <w:rPr>
                <w:rFonts w:hint="eastAsia" w:ascii="宋体" w:hAnsi="宋体" w:eastAsia="宋体" w:cs="宋体"/>
                <w:color w:val="auto"/>
                <w:sz w:val="22"/>
                <w:szCs w:val="22"/>
                <w:highlight w:val="none"/>
                <w:lang w:eastAsia="zh-CN"/>
              </w:rPr>
              <w:t>，得</w:t>
            </w:r>
            <w:r>
              <w:rPr>
                <w:rFonts w:hint="eastAsia" w:ascii="宋体" w:hAnsi="宋体" w:cs="宋体"/>
                <w:color w:val="auto"/>
                <w:sz w:val="22"/>
                <w:szCs w:val="22"/>
                <w:highlight w:val="none"/>
                <w:lang w:val="en-US" w:eastAsia="zh-CN"/>
              </w:rPr>
              <w:t>3</w:t>
            </w:r>
            <w:r>
              <w:rPr>
                <w:rFonts w:hint="eastAsia" w:ascii="宋体" w:hAnsi="宋体" w:eastAsia="宋体" w:cs="宋体"/>
                <w:color w:val="auto"/>
                <w:sz w:val="22"/>
                <w:szCs w:val="22"/>
                <w:highlight w:val="none"/>
                <w:lang w:eastAsia="zh-CN"/>
              </w:rPr>
              <w:t>分；</w:t>
            </w:r>
          </w:p>
          <w:p w14:paraId="6DE15C94">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left"/>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（2）突发事件应急方案</w:t>
            </w:r>
            <w:r>
              <w:rPr>
                <w:rFonts w:hint="eastAsia" w:ascii="宋体" w:hAnsi="宋体" w:eastAsia="宋体" w:cs="宋体"/>
                <w:color w:val="auto"/>
                <w:sz w:val="22"/>
                <w:szCs w:val="22"/>
                <w:highlight w:val="none"/>
                <w:lang w:val="en-US" w:eastAsia="zh-CN"/>
              </w:rPr>
              <w:t>较为</w:t>
            </w:r>
            <w:r>
              <w:rPr>
                <w:rFonts w:hint="eastAsia" w:ascii="宋体" w:hAnsi="宋体" w:eastAsia="宋体" w:cs="宋体"/>
                <w:color w:val="auto"/>
                <w:sz w:val="22"/>
                <w:szCs w:val="22"/>
                <w:highlight w:val="none"/>
                <w:lang w:eastAsia="zh-CN"/>
              </w:rPr>
              <w:t>完善，</w:t>
            </w:r>
            <w:r>
              <w:rPr>
                <w:rFonts w:hint="eastAsia" w:ascii="宋体" w:hAnsi="宋体" w:eastAsia="宋体" w:cs="宋体"/>
                <w:color w:val="auto"/>
                <w:sz w:val="22"/>
                <w:szCs w:val="22"/>
                <w:highlight w:val="none"/>
                <w:lang w:val="en-US" w:eastAsia="zh-CN"/>
              </w:rPr>
              <w:t>保障措施</w:t>
            </w:r>
            <w:r>
              <w:rPr>
                <w:rFonts w:hint="eastAsia" w:ascii="宋体" w:hAnsi="宋体" w:eastAsia="宋体" w:cs="宋体"/>
                <w:color w:val="auto"/>
                <w:sz w:val="21"/>
                <w:szCs w:val="21"/>
                <w:highlight w:val="none"/>
              </w:rPr>
              <w:t>合理性</w:t>
            </w:r>
            <w:r>
              <w:rPr>
                <w:rFonts w:hint="eastAsia" w:ascii="宋体" w:hAnsi="宋体" w:eastAsia="宋体" w:cs="宋体"/>
                <w:color w:val="auto"/>
                <w:sz w:val="21"/>
                <w:szCs w:val="21"/>
                <w:highlight w:val="none"/>
                <w:lang w:val="en-US" w:eastAsia="zh-CN"/>
              </w:rPr>
              <w:t>较</w:t>
            </w:r>
            <w:r>
              <w:rPr>
                <w:rFonts w:hint="eastAsia" w:ascii="宋体" w:hAnsi="宋体" w:eastAsia="宋体" w:cs="宋体"/>
                <w:color w:val="auto"/>
                <w:sz w:val="21"/>
                <w:szCs w:val="21"/>
                <w:highlight w:val="none"/>
              </w:rPr>
              <w:t>强、可操作</w:t>
            </w:r>
            <w:r>
              <w:rPr>
                <w:rFonts w:hint="eastAsia" w:ascii="宋体" w:hAnsi="宋体" w:eastAsia="宋体" w:cs="宋体"/>
                <w:color w:val="auto"/>
                <w:sz w:val="21"/>
                <w:szCs w:val="21"/>
                <w:highlight w:val="none"/>
                <w:lang w:val="en-US" w:eastAsia="zh-CN"/>
              </w:rPr>
              <w:t>较</w:t>
            </w:r>
            <w:r>
              <w:rPr>
                <w:rFonts w:hint="eastAsia" w:ascii="宋体" w:hAnsi="宋体" w:eastAsia="宋体" w:cs="宋体"/>
                <w:color w:val="auto"/>
                <w:sz w:val="21"/>
                <w:szCs w:val="21"/>
                <w:highlight w:val="none"/>
              </w:rPr>
              <w:t>性强，</w:t>
            </w:r>
            <w:r>
              <w:rPr>
                <w:rFonts w:hint="eastAsia" w:ascii="宋体" w:hAnsi="宋体" w:eastAsia="宋体" w:cs="宋体"/>
                <w:color w:val="auto"/>
                <w:sz w:val="22"/>
                <w:szCs w:val="22"/>
                <w:highlight w:val="none"/>
              </w:rPr>
              <w:t>应急配送</w:t>
            </w:r>
            <w:r>
              <w:rPr>
                <w:rFonts w:hint="eastAsia" w:ascii="宋体" w:hAnsi="宋体" w:eastAsia="宋体" w:cs="宋体"/>
                <w:color w:val="auto"/>
                <w:sz w:val="22"/>
                <w:szCs w:val="22"/>
                <w:highlight w:val="none"/>
                <w:lang w:val="en-US" w:eastAsia="zh-CN"/>
              </w:rPr>
              <w:t>方案</w:t>
            </w:r>
            <w:r>
              <w:rPr>
                <w:rFonts w:hint="eastAsia" w:ascii="宋体" w:hAnsi="宋体" w:eastAsia="宋体" w:cs="宋体"/>
                <w:color w:val="auto"/>
                <w:sz w:val="22"/>
                <w:szCs w:val="22"/>
                <w:highlight w:val="none"/>
              </w:rPr>
              <w:t>可行的</w:t>
            </w:r>
            <w:r>
              <w:rPr>
                <w:rFonts w:hint="eastAsia" w:ascii="宋体" w:hAnsi="宋体" w:eastAsia="宋体" w:cs="宋体"/>
                <w:color w:val="auto"/>
                <w:sz w:val="22"/>
                <w:szCs w:val="22"/>
                <w:highlight w:val="none"/>
                <w:lang w:eastAsia="zh-CN"/>
              </w:rPr>
              <w:t>，得2分；</w:t>
            </w:r>
          </w:p>
          <w:p w14:paraId="0C7A669D">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left"/>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（3）突发事件应急方案详细完善度一般，</w:t>
            </w:r>
            <w:r>
              <w:rPr>
                <w:rFonts w:hint="eastAsia" w:ascii="宋体" w:hAnsi="宋体" w:eastAsia="宋体" w:cs="宋体"/>
                <w:color w:val="auto"/>
                <w:sz w:val="22"/>
                <w:szCs w:val="22"/>
                <w:highlight w:val="none"/>
                <w:lang w:val="en-US" w:eastAsia="zh-CN"/>
              </w:rPr>
              <w:t>保障措施</w:t>
            </w:r>
            <w:r>
              <w:rPr>
                <w:rFonts w:hint="eastAsia" w:ascii="宋体" w:hAnsi="宋体" w:eastAsia="宋体" w:cs="宋体"/>
                <w:color w:val="auto"/>
                <w:sz w:val="21"/>
                <w:szCs w:val="21"/>
                <w:highlight w:val="none"/>
              </w:rPr>
              <w:t>合理性</w:t>
            </w:r>
            <w:r>
              <w:rPr>
                <w:rFonts w:hint="eastAsia" w:ascii="宋体" w:hAnsi="宋体" w:eastAsia="宋体" w:cs="宋体"/>
                <w:color w:val="auto"/>
                <w:sz w:val="21"/>
                <w:szCs w:val="21"/>
                <w:highlight w:val="none"/>
                <w:lang w:val="en-US" w:eastAsia="zh-CN"/>
              </w:rPr>
              <w:t>一般</w:t>
            </w:r>
            <w:r>
              <w:rPr>
                <w:rFonts w:hint="eastAsia" w:ascii="宋体" w:hAnsi="宋体" w:eastAsia="宋体" w:cs="宋体"/>
                <w:color w:val="auto"/>
                <w:sz w:val="21"/>
                <w:szCs w:val="21"/>
                <w:highlight w:val="none"/>
              </w:rPr>
              <w:t>、可操作</w:t>
            </w:r>
            <w:r>
              <w:rPr>
                <w:rFonts w:hint="eastAsia" w:ascii="宋体" w:hAnsi="宋体" w:eastAsia="宋体" w:cs="宋体"/>
                <w:color w:val="auto"/>
                <w:sz w:val="21"/>
                <w:szCs w:val="21"/>
                <w:highlight w:val="none"/>
                <w:lang w:val="en-US" w:eastAsia="zh-CN"/>
              </w:rPr>
              <w:t>较</w:t>
            </w:r>
            <w:r>
              <w:rPr>
                <w:rFonts w:hint="eastAsia" w:ascii="宋体" w:hAnsi="宋体" w:eastAsia="宋体" w:cs="宋体"/>
                <w:color w:val="auto"/>
                <w:sz w:val="21"/>
                <w:szCs w:val="21"/>
                <w:highlight w:val="none"/>
              </w:rPr>
              <w:t>性</w:t>
            </w:r>
            <w:r>
              <w:rPr>
                <w:rFonts w:hint="eastAsia" w:ascii="宋体" w:hAnsi="宋体" w:eastAsia="宋体" w:cs="宋体"/>
                <w:color w:val="auto"/>
                <w:sz w:val="21"/>
                <w:szCs w:val="21"/>
                <w:highlight w:val="none"/>
                <w:lang w:val="en-US" w:eastAsia="zh-CN"/>
              </w:rPr>
              <w:t>一般</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满足基本的</w:t>
            </w:r>
            <w:r>
              <w:rPr>
                <w:rFonts w:hint="eastAsia" w:ascii="宋体" w:hAnsi="宋体" w:eastAsia="宋体" w:cs="宋体"/>
                <w:color w:val="auto"/>
                <w:sz w:val="22"/>
                <w:szCs w:val="22"/>
                <w:highlight w:val="none"/>
              </w:rPr>
              <w:t>应急配送</w:t>
            </w:r>
            <w:r>
              <w:rPr>
                <w:rFonts w:hint="eastAsia" w:ascii="宋体" w:hAnsi="宋体" w:eastAsia="宋体" w:cs="宋体"/>
                <w:color w:val="auto"/>
                <w:sz w:val="22"/>
                <w:szCs w:val="22"/>
                <w:highlight w:val="none"/>
                <w:lang w:eastAsia="zh-CN"/>
              </w:rPr>
              <w:t>，得1分；</w:t>
            </w:r>
          </w:p>
          <w:p w14:paraId="5DF8C34B">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left"/>
              <w:textAlignment w:val="auto"/>
              <w:rPr>
                <w:rFonts w:hint="eastAsia" w:ascii="宋体" w:hAnsi="宋体" w:eastAsia="宋体" w:cs="宋体"/>
                <w:color w:val="auto"/>
                <w:sz w:val="22"/>
                <w:szCs w:val="22"/>
                <w:highlight w:val="none"/>
                <w:lang w:val="en-US" w:eastAsia="zh-CN" w:bidi="ar-SA"/>
              </w:rPr>
            </w:pP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lang w:val="en-US" w:eastAsia="zh-CN"/>
              </w:rPr>
              <w:t>4</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lang w:eastAsia="zh-CN"/>
              </w:rPr>
              <w:t>未提供相应方案的不得分。</w:t>
            </w:r>
          </w:p>
        </w:tc>
      </w:tr>
      <w:tr w14:paraId="18884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400" w:type="pct"/>
            <w:tcBorders>
              <w:top w:val="single" w:color="auto" w:sz="4" w:space="0"/>
              <w:left w:val="single" w:color="auto" w:sz="4" w:space="0"/>
              <w:bottom w:val="single" w:color="auto" w:sz="4" w:space="0"/>
              <w:right w:val="single" w:color="auto" w:sz="4" w:space="0"/>
            </w:tcBorders>
            <w:shd w:val="clear" w:color="auto" w:fill="auto"/>
            <w:vAlign w:val="center"/>
          </w:tcPr>
          <w:p w14:paraId="11AAAC0F">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default" w:ascii="宋体" w:hAnsi="宋体" w:eastAsia="宋体" w:cs="宋体"/>
                <w:color w:val="auto"/>
                <w:sz w:val="22"/>
                <w:szCs w:val="22"/>
                <w:highlight w:val="none"/>
                <w:lang w:val="en-US" w:eastAsia="zh-CN" w:bidi="ar-SA"/>
              </w:rPr>
            </w:pPr>
            <w:r>
              <w:rPr>
                <w:rFonts w:hint="eastAsia" w:ascii="宋体" w:hAnsi="宋体" w:cs="宋体"/>
                <w:color w:val="auto"/>
                <w:sz w:val="22"/>
                <w:szCs w:val="22"/>
                <w:highlight w:val="none"/>
                <w:lang w:val="en-US" w:eastAsia="zh-CN"/>
              </w:rPr>
              <w:t>5</w:t>
            </w:r>
          </w:p>
        </w:tc>
        <w:tc>
          <w:tcPr>
            <w:tcW w:w="657" w:type="pct"/>
            <w:tcBorders>
              <w:top w:val="single" w:color="auto" w:sz="4" w:space="0"/>
              <w:left w:val="single" w:color="auto" w:sz="4" w:space="0"/>
              <w:bottom w:val="single" w:color="auto" w:sz="4" w:space="0"/>
              <w:right w:val="single" w:color="auto" w:sz="4" w:space="0"/>
            </w:tcBorders>
            <w:shd w:val="clear" w:color="auto" w:fill="auto"/>
            <w:vAlign w:val="center"/>
          </w:tcPr>
          <w:p w14:paraId="15E39129">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default" w:ascii="宋体" w:hAnsi="宋体" w:eastAsia="宋体" w:cs="宋体"/>
                <w:color w:val="auto"/>
                <w:sz w:val="22"/>
                <w:szCs w:val="22"/>
                <w:highlight w:val="none"/>
                <w:lang w:val="en-US" w:eastAsia="zh-CN" w:bidi="ar-SA"/>
              </w:rPr>
            </w:pPr>
            <w:r>
              <w:rPr>
                <w:rFonts w:hint="eastAsia" w:ascii="宋体" w:hAnsi="宋体" w:cs="宋体"/>
                <w:color w:val="auto"/>
                <w:sz w:val="22"/>
                <w:szCs w:val="22"/>
                <w:highlight w:val="none"/>
                <w:lang w:val="en-US" w:eastAsia="zh-CN"/>
              </w:rPr>
              <w:t>应急配送承诺</w:t>
            </w:r>
          </w:p>
        </w:tc>
        <w:tc>
          <w:tcPr>
            <w:tcW w:w="512" w:type="pct"/>
            <w:tcBorders>
              <w:top w:val="single" w:color="auto" w:sz="4" w:space="0"/>
              <w:left w:val="single" w:color="auto" w:sz="4" w:space="0"/>
              <w:bottom w:val="single" w:color="auto" w:sz="4" w:space="0"/>
              <w:right w:val="single" w:color="auto" w:sz="4" w:space="0"/>
            </w:tcBorders>
            <w:shd w:val="clear" w:color="auto" w:fill="auto"/>
            <w:vAlign w:val="center"/>
          </w:tcPr>
          <w:p w14:paraId="398FBCA3">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center"/>
              <w:textAlignment w:val="auto"/>
              <w:rPr>
                <w:rFonts w:hint="default" w:ascii="宋体" w:hAnsi="宋体" w:eastAsia="宋体" w:cs="宋体"/>
                <w:color w:val="auto"/>
                <w:sz w:val="22"/>
                <w:szCs w:val="22"/>
                <w:highlight w:val="none"/>
                <w:lang w:val="en-US" w:eastAsia="zh-CN" w:bidi="ar-SA"/>
              </w:rPr>
            </w:pPr>
            <w:r>
              <w:rPr>
                <w:rFonts w:hint="eastAsia" w:ascii="宋体" w:hAnsi="宋体" w:cs="宋体"/>
                <w:color w:val="auto"/>
                <w:sz w:val="22"/>
                <w:szCs w:val="22"/>
                <w:highlight w:val="none"/>
                <w:lang w:val="en-US" w:eastAsia="zh-CN"/>
              </w:rPr>
              <w:t>3分</w:t>
            </w:r>
          </w:p>
        </w:tc>
        <w:tc>
          <w:tcPr>
            <w:tcW w:w="3429" w:type="pct"/>
            <w:tcBorders>
              <w:top w:val="single" w:color="auto" w:sz="4" w:space="0"/>
              <w:left w:val="single" w:color="auto" w:sz="4" w:space="0"/>
              <w:bottom w:val="single" w:color="auto" w:sz="4" w:space="0"/>
              <w:right w:val="single" w:color="auto" w:sz="4" w:space="0"/>
            </w:tcBorders>
            <w:shd w:val="clear" w:color="auto" w:fill="auto"/>
            <w:vAlign w:val="top"/>
          </w:tcPr>
          <w:p w14:paraId="6C01566E">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left"/>
              <w:textAlignment w:val="auto"/>
              <w:rPr>
                <w:rFonts w:hint="default" w:ascii="宋体" w:hAnsi="宋体" w:cs="宋体"/>
                <w:color w:val="auto"/>
                <w:sz w:val="22"/>
                <w:szCs w:val="22"/>
                <w:highlight w:val="none"/>
                <w:lang w:val="en-US" w:eastAsia="zh-CN"/>
              </w:rPr>
            </w:pPr>
            <w:r>
              <w:rPr>
                <w:rFonts w:hint="eastAsia" w:ascii="宋体" w:hAnsi="宋体" w:eastAsia="宋体" w:cs="宋体"/>
                <w:color w:val="auto"/>
                <w:sz w:val="22"/>
                <w:szCs w:val="22"/>
                <w:highlight w:val="none"/>
                <w:lang w:eastAsia="zh-CN"/>
              </w:rPr>
              <w:t>根据投标人针对本项目</w:t>
            </w:r>
            <w:r>
              <w:rPr>
                <w:rFonts w:hint="eastAsia" w:ascii="宋体" w:hAnsi="宋体" w:cs="宋体"/>
                <w:color w:val="auto"/>
                <w:sz w:val="22"/>
                <w:szCs w:val="22"/>
                <w:highlight w:val="none"/>
                <w:lang w:val="en-US" w:eastAsia="zh-CN"/>
              </w:rPr>
              <w:t>的应急配送承诺情况进行评审：</w:t>
            </w:r>
          </w:p>
          <w:p w14:paraId="7EEAE940">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left"/>
              <w:textAlignment w:val="auto"/>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lang w:val="en-US" w:eastAsia="zh-CN"/>
              </w:rPr>
              <w:t>1</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lang w:eastAsia="zh-CN"/>
              </w:rPr>
              <w:t>承诺采购人需应急配送时，在1小时（含）内将货物送达采购人配送地点的，得</w:t>
            </w:r>
            <w:r>
              <w:rPr>
                <w:rFonts w:hint="eastAsia" w:ascii="宋体" w:hAnsi="宋体" w:cs="宋体"/>
                <w:color w:val="auto"/>
                <w:sz w:val="22"/>
                <w:szCs w:val="22"/>
                <w:highlight w:val="none"/>
                <w:lang w:val="en-US" w:eastAsia="zh-CN"/>
              </w:rPr>
              <w:t>3</w:t>
            </w:r>
            <w:r>
              <w:rPr>
                <w:rFonts w:hint="eastAsia" w:ascii="宋体" w:hAnsi="宋体" w:eastAsia="宋体" w:cs="宋体"/>
                <w:color w:val="auto"/>
                <w:sz w:val="22"/>
                <w:szCs w:val="22"/>
                <w:highlight w:val="none"/>
                <w:lang w:eastAsia="zh-CN"/>
              </w:rPr>
              <w:t xml:space="preserve">分； </w:t>
            </w:r>
          </w:p>
          <w:p w14:paraId="387A7CA2">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left"/>
              <w:textAlignment w:val="auto"/>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lang w:val="en-US" w:eastAsia="zh-CN"/>
              </w:rPr>
              <w:t>2</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lang w:eastAsia="zh-CN"/>
              </w:rPr>
              <w:t>承诺采购人需应急配送时，在1小时（不含）-2.5小时（含）内将货物送达采购人配送地点的，得</w:t>
            </w:r>
            <w:r>
              <w:rPr>
                <w:rFonts w:hint="eastAsia" w:ascii="宋体" w:hAnsi="宋体" w:cs="宋体"/>
                <w:color w:val="auto"/>
                <w:sz w:val="22"/>
                <w:szCs w:val="22"/>
                <w:highlight w:val="none"/>
                <w:lang w:val="en-US" w:eastAsia="zh-CN"/>
              </w:rPr>
              <w:t>2</w:t>
            </w:r>
            <w:r>
              <w:rPr>
                <w:rFonts w:hint="eastAsia" w:ascii="宋体" w:hAnsi="宋体" w:eastAsia="宋体" w:cs="宋体"/>
                <w:color w:val="auto"/>
                <w:sz w:val="22"/>
                <w:szCs w:val="22"/>
                <w:highlight w:val="none"/>
                <w:lang w:eastAsia="zh-CN"/>
              </w:rPr>
              <w:t xml:space="preserve">分； </w:t>
            </w:r>
          </w:p>
          <w:p w14:paraId="41191948">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left"/>
              <w:textAlignment w:val="auto"/>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lang w:val="en-US" w:eastAsia="zh-CN"/>
              </w:rPr>
              <w:t>3</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lang w:eastAsia="zh-CN"/>
              </w:rPr>
              <w:t xml:space="preserve">承诺采购人需应急配送时，在2.5小时（不含）-4小时（含）内将货物送达采购人配送地点的，得1分； </w:t>
            </w:r>
          </w:p>
          <w:p w14:paraId="53B0AB2C">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left"/>
              <w:textAlignment w:val="auto"/>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lang w:val="en-US" w:eastAsia="zh-CN"/>
              </w:rPr>
              <w:t>4</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lang w:eastAsia="zh-CN"/>
              </w:rPr>
              <w:t>承诺采购人需应急配送时，送达时间大于4小时，或未承诺应急供应送达时间的，</w:t>
            </w:r>
            <w:r>
              <w:rPr>
                <w:rFonts w:hint="eastAsia" w:ascii="宋体" w:hAnsi="宋体" w:cs="宋体"/>
                <w:color w:val="auto"/>
                <w:sz w:val="22"/>
                <w:szCs w:val="22"/>
                <w:highlight w:val="none"/>
                <w:lang w:val="en-US" w:eastAsia="zh-CN"/>
              </w:rPr>
              <w:t>不得分</w:t>
            </w:r>
            <w:r>
              <w:rPr>
                <w:rFonts w:hint="eastAsia" w:ascii="宋体" w:hAnsi="宋体" w:eastAsia="宋体" w:cs="宋体"/>
                <w:color w:val="auto"/>
                <w:sz w:val="22"/>
                <w:szCs w:val="22"/>
                <w:highlight w:val="none"/>
                <w:lang w:eastAsia="zh-CN"/>
              </w:rPr>
              <w:t>。</w:t>
            </w:r>
          </w:p>
          <w:p w14:paraId="168558BA">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left"/>
              <w:textAlignment w:val="auto"/>
              <w:rPr>
                <w:rFonts w:hint="eastAsia" w:ascii="宋体" w:hAnsi="宋体" w:eastAsia="宋体" w:cs="宋体"/>
                <w:color w:val="auto"/>
                <w:sz w:val="22"/>
                <w:szCs w:val="22"/>
                <w:highlight w:val="none"/>
                <w:lang w:val="en-US" w:eastAsia="zh-CN" w:bidi="ar-SA"/>
              </w:rPr>
            </w:pPr>
            <w:r>
              <w:rPr>
                <w:rFonts w:hint="eastAsia" w:ascii="宋体" w:hAnsi="宋体" w:cs="宋体"/>
                <w:b/>
                <w:bCs/>
                <w:color w:val="auto"/>
                <w:sz w:val="22"/>
                <w:szCs w:val="22"/>
                <w:highlight w:val="none"/>
                <w:lang w:val="en-US" w:eastAsia="zh-CN"/>
              </w:rPr>
              <w:t>注：提供承诺函并加盖投标人公章，格式自拟</w:t>
            </w:r>
            <w:r>
              <w:rPr>
                <w:rFonts w:hint="eastAsia" w:ascii="宋体" w:hAnsi="宋体" w:eastAsia="宋体" w:cs="宋体"/>
                <w:b/>
                <w:bCs/>
                <w:color w:val="auto"/>
                <w:sz w:val="22"/>
                <w:szCs w:val="22"/>
                <w:highlight w:val="none"/>
              </w:rPr>
              <w:t>，未提供或提供不清晰导致无法判断的不得分</w:t>
            </w:r>
            <w:r>
              <w:rPr>
                <w:rFonts w:hint="eastAsia" w:ascii="宋体" w:hAnsi="宋体" w:cs="宋体"/>
                <w:b/>
                <w:bCs/>
                <w:color w:val="auto"/>
                <w:sz w:val="22"/>
                <w:szCs w:val="22"/>
                <w:highlight w:val="none"/>
                <w:lang w:val="en-US" w:eastAsia="zh-CN"/>
              </w:rPr>
              <w:t>。</w:t>
            </w:r>
          </w:p>
        </w:tc>
      </w:tr>
      <w:tr w14:paraId="1A9D7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0" w:hRule="atLeast"/>
          <w:jc w:val="center"/>
        </w:trPr>
        <w:tc>
          <w:tcPr>
            <w:tcW w:w="5000" w:type="pct"/>
            <w:gridSpan w:val="4"/>
            <w:tcBorders>
              <w:top w:val="single" w:color="auto" w:sz="4" w:space="0"/>
              <w:left w:val="single" w:color="auto" w:sz="4" w:space="0"/>
              <w:bottom w:val="single" w:color="auto" w:sz="4" w:space="0"/>
              <w:right w:val="single" w:color="auto" w:sz="4" w:space="0"/>
            </w:tcBorders>
            <w:vAlign w:val="center"/>
          </w:tcPr>
          <w:p w14:paraId="48DFD79A">
            <w:pPr>
              <w:shd w:val="clear"/>
              <w:rPr>
                <w:rFonts w:hint="eastAsia" w:ascii="宋体" w:hAnsi="宋体" w:cs="宋体"/>
                <w:b/>
                <w:color w:val="auto"/>
                <w:sz w:val="22"/>
                <w:highlight w:val="none"/>
              </w:rPr>
            </w:pPr>
            <w:r>
              <w:rPr>
                <w:rFonts w:hint="eastAsia" w:ascii="宋体" w:hAnsi="宋体" w:cs="宋体"/>
                <w:b/>
                <w:color w:val="auto"/>
                <w:sz w:val="22"/>
                <w:highlight w:val="none"/>
              </w:rPr>
              <w:t>注：</w:t>
            </w:r>
          </w:p>
          <w:p w14:paraId="6D77A875">
            <w:pPr>
              <w:shd w:val="clear"/>
              <w:rPr>
                <w:rFonts w:hint="eastAsia" w:ascii="宋体" w:hAnsi="宋体" w:cs="宋体"/>
                <w:b/>
                <w:color w:val="auto"/>
                <w:sz w:val="22"/>
                <w:highlight w:val="none"/>
              </w:rPr>
            </w:pPr>
            <w:r>
              <w:rPr>
                <w:rFonts w:hint="eastAsia" w:ascii="宋体" w:hAnsi="宋体" w:cs="宋体"/>
                <w:b/>
                <w:color w:val="auto"/>
                <w:sz w:val="22"/>
                <w:highlight w:val="none"/>
              </w:rPr>
              <w:t>（1）无特殊说明外，以上评审项，同一证明文件不重复计分。</w:t>
            </w:r>
          </w:p>
          <w:p w14:paraId="5D42C4E6">
            <w:pPr>
              <w:shd w:val="clear"/>
              <w:rPr>
                <w:rFonts w:hint="eastAsia" w:ascii="宋体" w:hAnsi="宋体" w:cs="宋体"/>
                <w:color w:val="auto"/>
                <w:sz w:val="22"/>
                <w:highlight w:val="none"/>
              </w:rPr>
            </w:pPr>
            <w:r>
              <w:rPr>
                <w:rFonts w:hint="eastAsia" w:ascii="宋体" w:hAnsi="宋体" w:cs="宋体"/>
                <w:b/>
                <w:color w:val="auto"/>
                <w:sz w:val="22"/>
                <w:highlight w:val="none"/>
              </w:rPr>
              <w:t>（2）投标人根据以上评分要求提供的投标材料因模糊不清导致评标委员会无法清晰辨认进行评审的，视为无效材料。</w:t>
            </w:r>
          </w:p>
        </w:tc>
      </w:tr>
      <w:tr w14:paraId="33301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5000" w:type="pct"/>
            <w:gridSpan w:val="4"/>
            <w:tcBorders>
              <w:top w:val="single" w:color="auto" w:sz="4" w:space="0"/>
              <w:left w:val="single" w:color="auto" w:sz="4" w:space="0"/>
              <w:bottom w:val="single" w:color="auto" w:sz="4" w:space="0"/>
              <w:right w:val="single" w:color="auto" w:sz="4" w:space="0"/>
            </w:tcBorders>
            <w:vAlign w:val="center"/>
          </w:tcPr>
          <w:p w14:paraId="3086946B">
            <w:pPr>
              <w:pStyle w:val="48"/>
              <w:shd w:val="clear"/>
              <w:spacing w:line="360" w:lineRule="auto"/>
              <w:ind w:firstLine="0" w:firstLineChars="0"/>
              <w:jc w:val="center"/>
              <w:rPr>
                <w:rFonts w:hint="eastAsia" w:ascii="宋体" w:eastAsia="宋体" w:cs="宋体"/>
                <w:color w:val="auto"/>
                <w:sz w:val="22"/>
                <w:highlight w:val="none"/>
              </w:rPr>
            </w:pPr>
            <w:r>
              <w:rPr>
                <w:rFonts w:hint="eastAsia" w:ascii="宋体" w:eastAsia="宋体" w:cs="宋体"/>
                <w:b/>
                <w:bCs/>
                <w:color w:val="auto"/>
                <w:sz w:val="22"/>
                <w:highlight w:val="none"/>
              </w:rPr>
              <w:t>价格评审（</w:t>
            </w:r>
            <w:r>
              <w:rPr>
                <w:rFonts w:hint="eastAsia" w:ascii="宋体" w:eastAsia="宋体" w:cs="宋体"/>
                <w:b/>
                <w:bCs/>
                <w:color w:val="auto"/>
                <w:sz w:val="22"/>
                <w:highlight w:val="none"/>
                <w:lang w:val="en-US" w:eastAsia="zh-CN"/>
              </w:rPr>
              <w:t>40</w:t>
            </w:r>
            <w:r>
              <w:rPr>
                <w:rFonts w:hint="eastAsia" w:ascii="宋体" w:eastAsia="宋体" w:cs="宋体"/>
                <w:b/>
                <w:bCs/>
                <w:color w:val="auto"/>
                <w:sz w:val="22"/>
                <w:highlight w:val="none"/>
              </w:rPr>
              <w:t>分）</w:t>
            </w:r>
          </w:p>
        </w:tc>
      </w:tr>
      <w:tr w14:paraId="3CBF8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4" w:hRule="atLeast"/>
          <w:jc w:val="center"/>
        </w:trPr>
        <w:tc>
          <w:tcPr>
            <w:tcW w:w="400" w:type="pct"/>
            <w:tcBorders>
              <w:top w:val="single" w:color="auto" w:sz="4" w:space="0"/>
              <w:left w:val="single" w:color="auto" w:sz="4" w:space="0"/>
              <w:bottom w:val="single" w:color="auto" w:sz="4" w:space="0"/>
              <w:right w:val="single" w:color="auto" w:sz="4" w:space="0"/>
            </w:tcBorders>
            <w:vAlign w:val="center"/>
          </w:tcPr>
          <w:p w14:paraId="49074356">
            <w:pPr>
              <w:pStyle w:val="91"/>
              <w:shd w:val="clear"/>
              <w:spacing w:after="0" w:afterLines="0" w:line="360" w:lineRule="auto"/>
              <w:ind w:firstLine="0" w:firstLineChars="0"/>
              <w:jc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w:t>
            </w:r>
          </w:p>
        </w:tc>
        <w:tc>
          <w:tcPr>
            <w:tcW w:w="657" w:type="pct"/>
            <w:tcBorders>
              <w:top w:val="single" w:color="auto" w:sz="4" w:space="0"/>
              <w:left w:val="single" w:color="auto" w:sz="4" w:space="0"/>
              <w:bottom w:val="single" w:color="auto" w:sz="4" w:space="0"/>
              <w:right w:val="single" w:color="auto" w:sz="4" w:space="0"/>
            </w:tcBorders>
            <w:vAlign w:val="center"/>
          </w:tcPr>
          <w:p w14:paraId="583E968E">
            <w:pPr>
              <w:pStyle w:val="91"/>
              <w:shd w:val="clear"/>
              <w:spacing w:after="0" w:afterLines="0" w:line="360" w:lineRule="auto"/>
              <w:ind w:firstLine="0" w:firstLineChars="0"/>
              <w:jc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价格评分</w:t>
            </w:r>
          </w:p>
        </w:tc>
        <w:tc>
          <w:tcPr>
            <w:tcW w:w="512" w:type="pct"/>
            <w:tcBorders>
              <w:top w:val="single" w:color="auto" w:sz="4" w:space="0"/>
              <w:left w:val="single" w:color="auto" w:sz="4" w:space="0"/>
              <w:bottom w:val="single" w:color="auto" w:sz="4" w:space="0"/>
              <w:right w:val="single" w:color="auto" w:sz="4" w:space="0"/>
            </w:tcBorders>
            <w:vAlign w:val="center"/>
          </w:tcPr>
          <w:p w14:paraId="23D6EE46">
            <w:pPr>
              <w:pStyle w:val="91"/>
              <w:shd w:val="clear"/>
              <w:spacing w:after="0" w:afterLines="0" w:line="360" w:lineRule="auto"/>
              <w:ind w:firstLine="0" w:firstLineChars="0"/>
              <w:jc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40</w:t>
            </w:r>
            <w:r>
              <w:rPr>
                <w:rFonts w:hint="eastAsia" w:ascii="宋体" w:hAnsi="宋体" w:eastAsia="宋体" w:cs="宋体"/>
                <w:color w:val="auto"/>
                <w:sz w:val="22"/>
                <w:szCs w:val="22"/>
                <w:highlight w:val="none"/>
                <w:lang w:val="en-US" w:eastAsia="zh-CN"/>
              </w:rPr>
              <w:t>分</w:t>
            </w:r>
          </w:p>
        </w:tc>
        <w:tc>
          <w:tcPr>
            <w:tcW w:w="3429" w:type="pct"/>
            <w:tcBorders>
              <w:top w:val="single" w:color="auto" w:sz="4" w:space="0"/>
              <w:left w:val="single" w:color="auto" w:sz="4" w:space="0"/>
              <w:bottom w:val="single" w:color="auto" w:sz="4" w:space="0"/>
              <w:right w:val="single" w:color="auto" w:sz="4" w:space="0"/>
            </w:tcBorders>
            <w:vAlign w:val="center"/>
          </w:tcPr>
          <w:p w14:paraId="1C3BBD8B">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left"/>
              <w:textAlignment w:val="auto"/>
              <w:rPr>
                <w:rFonts w:hint="eastAsia" w:ascii="宋体" w:hAnsi="宋体" w:cs="宋体"/>
                <w:color w:val="auto"/>
                <w:kern w:val="2"/>
                <w:sz w:val="22"/>
                <w:highlight w:val="none"/>
              </w:rPr>
            </w:pPr>
            <w:r>
              <w:rPr>
                <w:rFonts w:hint="eastAsia" w:ascii="宋体" w:hAnsi="宋体" w:cs="宋体"/>
                <w:color w:val="auto"/>
                <w:kern w:val="2"/>
                <w:sz w:val="22"/>
                <w:highlight w:val="none"/>
              </w:rPr>
              <w:t>价格分计算方法：以满足招标文件要求且不含税总价最低的投标报价为评标基准价，其价格分为满分。其他供应商的价格分统一按照下列公式计算：其他供应商的价格分统一按照下列公式计算：</w:t>
            </w:r>
          </w:p>
          <w:p w14:paraId="657714AA">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left"/>
              <w:textAlignment w:val="auto"/>
              <w:rPr>
                <w:rFonts w:hint="eastAsia" w:ascii="宋体" w:hAnsi="宋体" w:cs="宋体"/>
                <w:color w:val="auto"/>
                <w:kern w:val="2"/>
                <w:sz w:val="22"/>
                <w:highlight w:val="none"/>
              </w:rPr>
            </w:pPr>
            <w:r>
              <w:rPr>
                <w:rFonts w:hint="eastAsia" w:ascii="宋体" w:hAnsi="宋体" w:cs="宋体"/>
                <w:color w:val="auto"/>
                <w:kern w:val="2"/>
                <w:sz w:val="22"/>
                <w:highlight w:val="none"/>
              </w:rPr>
              <w:t>投标报价得分 = (评标基准价 / 投标人的不含税总价)  ×价格权重</w:t>
            </w:r>
          </w:p>
          <w:p w14:paraId="7E758032">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left"/>
              <w:textAlignment w:val="auto"/>
              <w:rPr>
                <w:rFonts w:hint="eastAsia" w:ascii="宋体" w:hAnsi="宋体" w:eastAsia="宋体" w:cs="宋体"/>
                <w:color w:val="auto"/>
                <w:kern w:val="2"/>
                <w:sz w:val="22"/>
                <w:highlight w:val="none"/>
              </w:rPr>
            </w:pPr>
            <w:r>
              <w:rPr>
                <w:rFonts w:hint="eastAsia" w:ascii="宋体" w:hAnsi="宋体" w:cs="宋体"/>
                <w:color w:val="auto"/>
                <w:kern w:val="2"/>
                <w:sz w:val="22"/>
                <w:highlight w:val="none"/>
              </w:rPr>
              <w:t>注：</w:t>
            </w:r>
            <w:r>
              <w:rPr>
                <w:rFonts w:hint="eastAsia" w:ascii="宋体" w:hAnsi="宋体" w:cs="宋体"/>
                <w:color w:val="auto"/>
                <w:kern w:val="2"/>
                <w:sz w:val="22"/>
                <w:highlight w:val="none"/>
                <w:lang w:val="en-US" w:eastAsia="zh-CN"/>
              </w:rPr>
              <w:t>1、</w:t>
            </w:r>
            <w:r>
              <w:rPr>
                <w:rFonts w:hint="eastAsia" w:ascii="宋体" w:hAnsi="宋体" w:cs="宋体"/>
                <w:color w:val="auto"/>
                <w:kern w:val="2"/>
                <w:sz w:val="22"/>
                <w:highlight w:val="none"/>
              </w:rPr>
              <w:t>投标人适用增值税</w:t>
            </w:r>
            <w:r>
              <w:rPr>
                <w:rFonts w:hint="eastAsia" w:ascii="宋体" w:hAnsi="宋体" w:cs="宋体"/>
                <w:color w:val="auto"/>
                <w:kern w:val="2"/>
                <w:sz w:val="22"/>
                <w:highlight w:val="none"/>
                <w:lang w:val="en-US" w:eastAsia="zh-CN"/>
              </w:rPr>
              <w:t>专用发票</w:t>
            </w:r>
            <w:r>
              <w:rPr>
                <w:rFonts w:hint="eastAsia" w:ascii="宋体" w:hAnsi="宋体" w:cs="宋体"/>
                <w:color w:val="auto"/>
                <w:kern w:val="2"/>
                <w:sz w:val="22"/>
                <w:highlight w:val="none"/>
              </w:rPr>
              <w:t>税率由投标人在《开标一</w:t>
            </w:r>
            <w:r>
              <w:rPr>
                <w:rFonts w:hint="eastAsia" w:ascii="宋体" w:hAnsi="宋体" w:eastAsia="宋体" w:cs="宋体"/>
                <w:color w:val="auto"/>
                <w:kern w:val="2"/>
                <w:sz w:val="22"/>
                <w:highlight w:val="none"/>
              </w:rPr>
              <w:t>览表》中明确填报，并承诺中标后能开具相应税率的合法增值税专用发票。</w:t>
            </w:r>
          </w:p>
          <w:p w14:paraId="2CDD729E">
            <w:pPr>
              <w:pStyle w:val="91"/>
              <w:keepNext w:val="0"/>
              <w:keepLines w:val="0"/>
              <w:pageBreakBefore w:val="0"/>
              <w:widowControl/>
              <w:shd w:val="clear"/>
              <w:kinsoku/>
              <w:wordWrap/>
              <w:overflowPunct/>
              <w:topLinePunct w:val="0"/>
              <w:autoSpaceDE/>
              <w:autoSpaceDN/>
              <w:bidi w:val="0"/>
              <w:spacing w:after="0" w:afterLines="0" w:line="440" w:lineRule="exact"/>
              <w:ind w:firstLine="0" w:firstLineChars="0"/>
              <w:jc w:val="left"/>
              <w:textAlignment w:val="auto"/>
              <w:rPr>
                <w:rFonts w:hint="eastAsia" w:ascii="宋体" w:hAnsi="宋体" w:cs="宋体"/>
                <w:color w:val="auto"/>
                <w:kern w:val="2"/>
                <w:sz w:val="22"/>
                <w:highlight w:val="none"/>
              </w:rPr>
            </w:pPr>
            <w:r>
              <w:rPr>
                <w:rFonts w:hint="eastAsia" w:ascii="宋体" w:hAnsi="宋体" w:eastAsia="宋体" w:cs="宋体"/>
                <w:color w:val="auto"/>
                <w:kern w:val="2"/>
                <w:sz w:val="22"/>
                <w:highlight w:val="none"/>
                <w:lang w:val="en-US" w:eastAsia="zh-CN"/>
              </w:rPr>
              <w:t>2、此处的不含税总价指采购清单预估不含税总价，仅作为价格评审评审之用途。</w:t>
            </w:r>
          </w:p>
        </w:tc>
      </w:tr>
    </w:tbl>
    <w:p w14:paraId="77F820AD">
      <w:pPr>
        <w:shd w:val="clear"/>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br w:type="page"/>
      </w:r>
    </w:p>
    <w:p w14:paraId="041752D6">
      <w:pPr>
        <w:pStyle w:val="4"/>
        <w:shd w:val="clear"/>
        <w:spacing w:before="0" w:after="0" w:line="240" w:lineRule="auto"/>
        <w:rPr>
          <w:rFonts w:hint="eastAsia" w:ascii="宋体" w:hAnsi="宋体" w:eastAsia="宋体" w:cs="宋体"/>
          <w:color w:val="auto"/>
          <w:sz w:val="36"/>
          <w:szCs w:val="36"/>
          <w:highlight w:val="none"/>
        </w:rPr>
      </w:pPr>
      <w:bookmarkStart w:id="12" w:name="_Toc16274"/>
      <w:bookmarkStart w:id="13" w:name="_Toc5472"/>
      <w:r>
        <w:rPr>
          <w:rFonts w:hint="eastAsia" w:ascii="宋体" w:hAnsi="宋体" w:eastAsia="宋体" w:cs="宋体"/>
          <w:color w:val="auto"/>
          <w:sz w:val="28"/>
          <w:szCs w:val="28"/>
          <w:highlight w:val="none"/>
        </w:rPr>
        <w:t>第三部分用户需求书</w:t>
      </w:r>
      <w:bookmarkEnd w:id="12"/>
      <w:bookmarkEnd w:id="13"/>
    </w:p>
    <w:p w14:paraId="27AFFC62">
      <w:pPr>
        <w:pStyle w:val="5"/>
        <w:shd w:val="clear"/>
        <w:spacing w:before="0" w:after="0" w:line="360" w:lineRule="auto"/>
        <w:jc w:val="center"/>
        <w:rPr>
          <w:rFonts w:hint="eastAsia" w:ascii="宋体" w:hAnsi="宋体" w:eastAsia="宋体" w:cs="宋体"/>
          <w:color w:val="auto"/>
          <w:sz w:val="28"/>
          <w:szCs w:val="28"/>
          <w:highlight w:val="none"/>
          <w:lang w:eastAsia="zh-CN"/>
        </w:rPr>
      </w:pPr>
      <w:bookmarkStart w:id="14" w:name="_Toc1593"/>
      <w:bookmarkStart w:id="15" w:name="_Toc7907"/>
      <w:bookmarkStart w:id="16" w:name="_Toc17071"/>
      <w:bookmarkStart w:id="17" w:name="_Toc308786492"/>
      <w:bookmarkStart w:id="18" w:name="_Toc31278"/>
      <w:bookmarkStart w:id="19" w:name="_Toc14462"/>
      <w:bookmarkStart w:id="20" w:name="_Toc13112"/>
      <w:bookmarkStart w:id="21" w:name="_Toc24679"/>
      <w:r>
        <w:rPr>
          <w:rFonts w:hint="eastAsia" w:ascii="宋体" w:hAnsi="宋体" w:cs="宋体"/>
          <w:color w:val="auto"/>
          <w:sz w:val="28"/>
          <w:szCs w:val="28"/>
          <w:highlight w:val="none"/>
        </w:rPr>
        <w:t>第一章 商务需求书</w:t>
      </w:r>
      <w:bookmarkEnd w:id="14"/>
      <w:bookmarkEnd w:id="15"/>
      <w:r>
        <w:rPr>
          <w:rFonts w:hint="eastAsia" w:ascii="宋体" w:hAnsi="宋体" w:cs="宋体"/>
          <w:color w:val="auto"/>
          <w:sz w:val="28"/>
          <w:szCs w:val="28"/>
          <w:highlight w:val="none"/>
          <w:lang w:eastAsia="zh-CN"/>
        </w:rPr>
        <w:t>（</w:t>
      </w:r>
      <w:r>
        <w:rPr>
          <w:rFonts w:hint="eastAsia" w:ascii="宋体" w:hAnsi="宋体" w:cs="宋体"/>
          <w:color w:val="auto"/>
          <w:sz w:val="28"/>
          <w:szCs w:val="28"/>
          <w:highlight w:val="none"/>
          <w:lang w:val="en-US" w:eastAsia="zh-CN"/>
        </w:rPr>
        <w:t>包A</w:t>
      </w:r>
      <w:r>
        <w:rPr>
          <w:rFonts w:hint="eastAsia" w:ascii="宋体" w:hAnsi="宋体" w:cs="宋体"/>
          <w:color w:val="auto"/>
          <w:sz w:val="28"/>
          <w:szCs w:val="28"/>
          <w:highlight w:val="none"/>
          <w:lang w:eastAsia="zh-CN"/>
        </w:rPr>
        <w:t>）</w:t>
      </w:r>
      <w:bookmarkEnd w:id="16"/>
    </w:p>
    <w:tbl>
      <w:tblPr>
        <w:tblStyle w:val="32"/>
        <w:tblW w:w="8685"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18"/>
        <w:gridCol w:w="1085"/>
        <w:gridCol w:w="6882"/>
      </w:tblGrid>
      <w:tr w14:paraId="1FF8C1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718" w:type="dxa"/>
            <w:vAlign w:val="center"/>
          </w:tcPr>
          <w:p w14:paraId="47260780">
            <w:pPr>
              <w:shd w:val="clear"/>
              <w:spacing w:after="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1085" w:type="dxa"/>
            <w:vAlign w:val="center"/>
          </w:tcPr>
          <w:p w14:paraId="58E9482D">
            <w:pPr>
              <w:shd w:val="clear"/>
              <w:spacing w:after="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条款名称</w:t>
            </w:r>
          </w:p>
        </w:tc>
        <w:tc>
          <w:tcPr>
            <w:tcW w:w="6882" w:type="dxa"/>
            <w:vAlign w:val="center"/>
          </w:tcPr>
          <w:p w14:paraId="38E67787">
            <w:pPr>
              <w:shd w:val="clear"/>
              <w:jc w:val="center"/>
              <w:rPr>
                <w:rFonts w:hint="eastAsia" w:ascii="宋体" w:hAnsi="宋体" w:cs="宋体"/>
                <w:color w:val="auto"/>
                <w:szCs w:val="21"/>
                <w:highlight w:val="none"/>
              </w:rPr>
            </w:pPr>
            <w:r>
              <w:rPr>
                <w:rFonts w:hint="eastAsia" w:ascii="宋体" w:hAnsi="宋体" w:cs="宋体"/>
                <w:color w:val="auto"/>
                <w:szCs w:val="21"/>
                <w:highlight w:val="none"/>
              </w:rPr>
              <w:t>说  明</w:t>
            </w:r>
          </w:p>
        </w:tc>
      </w:tr>
      <w:tr w14:paraId="07CC4F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1" w:hRule="atLeast"/>
        </w:trPr>
        <w:tc>
          <w:tcPr>
            <w:tcW w:w="718" w:type="dxa"/>
            <w:vAlign w:val="center"/>
          </w:tcPr>
          <w:p w14:paraId="00A93FED">
            <w:pPr>
              <w:shd w:val="clear"/>
              <w:spacing w:after="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085" w:type="dxa"/>
            <w:vAlign w:val="center"/>
          </w:tcPr>
          <w:p w14:paraId="080DDA81">
            <w:pPr>
              <w:shd w:val="clear"/>
              <w:spacing w:after="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合格投标人</w:t>
            </w:r>
          </w:p>
        </w:tc>
        <w:tc>
          <w:tcPr>
            <w:tcW w:w="6882" w:type="dxa"/>
            <w:vAlign w:val="center"/>
          </w:tcPr>
          <w:p w14:paraId="3EEE3D72">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详见“第一部分 投标邀请”中“二、投标人资格要求”</w:t>
            </w:r>
          </w:p>
        </w:tc>
      </w:tr>
      <w:tr w14:paraId="328398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1" w:hRule="atLeast"/>
        </w:trPr>
        <w:tc>
          <w:tcPr>
            <w:tcW w:w="718" w:type="dxa"/>
            <w:vAlign w:val="center"/>
          </w:tcPr>
          <w:p w14:paraId="24CA1C24">
            <w:pPr>
              <w:shd w:val="clear"/>
              <w:spacing w:after="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w:t>
            </w:r>
          </w:p>
        </w:tc>
        <w:tc>
          <w:tcPr>
            <w:tcW w:w="1085" w:type="dxa"/>
            <w:vAlign w:val="center"/>
          </w:tcPr>
          <w:p w14:paraId="6A546E65">
            <w:pPr>
              <w:shd w:val="clear"/>
              <w:spacing w:after="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★服务期</w:t>
            </w:r>
          </w:p>
        </w:tc>
        <w:tc>
          <w:tcPr>
            <w:tcW w:w="6882" w:type="dxa"/>
            <w:vAlign w:val="center"/>
          </w:tcPr>
          <w:p w14:paraId="56C70EB0">
            <w:pPr>
              <w:shd w:val="clear"/>
              <w:spacing w:after="0"/>
              <w:rPr>
                <w:rFonts w:hint="eastAsia" w:ascii="宋体" w:hAnsi="宋体" w:eastAsia="宋体" w:cs="宋体"/>
                <w:b/>
                <w:bCs/>
                <w:color w:val="auto"/>
                <w:szCs w:val="21"/>
                <w:highlight w:val="none"/>
                <w:lang w:eastAsia="zh-CN"/>
              </w:rPr>
            </w:pPr>
            <w:r>
              <w:rPr>
                <w:rFonts w:hint="eastAsia" w:ascii="宋体" w:hAnsi="宋体" w:cs="宋体"/>
                <w:b/>
                <w:bCs/>
                <w:color w:val="auto"/>
                <w:szCs w:val="21"/>
                <w:highlight w:val="none"/>
              </w:rPr>
              <w:t>服务期:</w:t>
            </w:r>
            <w:r>
              <w:rPr>
                <w:rFonts w:hint="eastAsia" w:ascii="宋体" w:hAnsi="宋体" w:cs="宋体"/>
                <w:b/>
                <w:bCs/>
                <w:color w:val="auto"/>
                <w:szCs w:val="21"/>
                <w:highlight w:val="none"/>
                <w:lang w:eastAsia="zh-CN"/>
              </w:rPr>
              <w:t>一年（期满后采购人结合中标人履约情况，经综合评定后可考虑续签合同，续签期限最长为一年，服务总期限最长不超过</w:t>
            </w:r>
            <w:r>
              <w:rPr>
                <w:rFonts w:hint="eastAsia" w:ascii="宋体" w:hAnsi="宋体" w:cs="宋体"/>
                <w:b/>
                <w:bCs/>
                <w:color w:val="auto"/>
                <w:szCs w:val="21"/>
                <w:highlight w:val="none"/>
                <w:lang w:val="en-US" w:eastAsia="zh-CN"/>
              </w:rPr>
              <w:t>两</w:t>
            </w:r>
            <w:r>
              <w:rPr>
                <w:rFonts w:hint="eastAsia" w:ascii="宋体" w:hAnsi="宋体" w:cs="宋体"/>
                <w:b/>
                <w:bCs/>
                <w:color w:val="auto"/>
                <w:szCs w:val="21"/>
                <w:highlight w:val="none"/>
                <w:lang w:eastAsia="zh-CN"/>
              </w:rPr>
              <w:t>年）</w:t>
            </w:r>
          </w:p>
        </w:tc>
      </w:tr>
      <w:tr w14:paraId="7C85F0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18" w:hRule="atLeast"/>
        </w:trPr>
        <w:tc>
          <w:tcPr>
            <w:tcW w:w="718" w:type="dxa"/>
            <w:vAlign w:val="center"/>
          </w:tcPr>
          <w:p w14:paraId="45E0C739">
            <w:pPr>
              <w:shd w:val="clear"/>
              <w:spacing w:after="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w:t>
            </w:r>
          </w:p>
        </w:tc>
        <w:tc>
          <w:tcPr>
            <w:tcW w:w="1085" w:type="dxa"/>
            <w:vAlign w:val="center"/>
          </w:tcPr>
          <w:p w14:paraId="169E1D37">
            <w:pPr>
              <w:shd w:val="clear"/>
              <w:spacing w:after="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★付款方式</w:t>
            </w:r>
          </w:p>
        </w:tc>
        <w:tc>
          <w:tcPr>
            <w:tcW w:w="6882" w:type="dxa"/>
            <w:vAlign w:val="center"/>
          </w:tcPr>
          <w:p w14:paraId="5C3E5BB7">
            <w:pPr>
              <w:shd w:val="clear"/>
              <w:spacing w:after="0"/>
              <w:rPr>
                <w:rFonts w:hint="eastAsia" w:ascii="宋体" w:hAnsi="宋体" w:cs="宋体"/>
                <w:b/>
                <w:bCs/>
                <w:color w:val="auto"/>
                <w:szCs w:val="21"/>
                <w:highlight w:val="none"/>
              </w:rPr>
            </w:pPr>
            <w:r>
              <w:rPr>
                <w:rFonts w:hint="eastAsia" w:ascii="宋体" w:hAnsi="宋体" w:cs="宋体"/>
                <w:b/>
                <w:bCs/>
                <w:color w:val="auto"/>
                <w:szCs w:val="21"/>
                <w:highlight w:val="none"/>
              </w:rPr>
              <w:t>1、本合同的付款方式为：采取“先送货后结款”的方式，货款按月</w:t>
            </w:r>
            <w:r>
              <w:rPr>
                <w:rFonts w:hint="eastAsia" w:ascii="宋体" w:hAnsi="宋体" w:cs="宋体"/>
                <w:b/>
                <w:bCs/>
                <w:color w:val="auto"/>
                <w:szCs w:val="21"/>
                <w:highlight w:val="none"/>
                <w:lang w:val="en-US" w:eastAsia="zh-CN"/>
              </w:rPr>
              <w:t>结</w:t>
            </w:r>
            <w:r>
              <w:rPr>
                <w:rFonts w:hint="eastAsia" w:ascii="宋体" w:hAnsi="宋体" w:cs="宋体"/>
                <w:b/>
                <w:bCs/>
                <w:color w:val="auto"/>
                <w:szCs w:val="21"/>
                <w:highlight w:val="none"/>
              </w:rPr>
              <w:t>算，当月含税</w:t>
            </w:r>
            <w:r>
              <w:rPr>
                <w:rFonts w:hint="eastAsia" w:ascii="宋体" w:hAnsi="宋体" w:eastAsia="宋体" w:cs="宋体"/>
                <w:b/>
                <w:bCs/>
                <w:color w:val="auto"/>
                <w:sz w:val="21"/>
                <w:szCs w:val="21"/>
                <w:highlight w:val="none"/>
              </w:rPr>
              <w:t>结算</w:t>
            </w:r>
            <w:r>
              <w:rPr>
                <w:rFonts w:hint="eastAsia" w:ascii="宋体" w:hAnsi="宋体" w:cs="宋体"/>
                <w:b/>
                <w:bCs/>
                <w:color w:val="auto"/>
                <w:szCs w:val="21"/>
                <w:highlight w:val="none"/>
              </w:rPr>
              <w:t>总价 = 当月适用的不含税结算单价 × (1 + 增值税</w:t>
            </w:r>
            <w:r>
              <w:rPr>
                <w:rFonts w:hint="eastAsia" w:ascii="宋体" w:hAnsi="宋体" w:cs="宋体"/>
                <w:b/>
                <w:bCs/>
                <w:color w:val="auto"/>
                <w:szCs w:val="21"/>
                <w:highlight w:val="none"/>
                <w:lang w:val="en-US" w:eastAsia="zh-CN"/>
              </w:rPr>
              <w:t>专票</w:t>
            </w:r>
            <w:r>
              <w:rPr>
                <w:rFonts w:hint="eastAsia" w:ascii="宋体" w:hAnsi="宋体" w:cs="宋体"/>
                <w:b/>
                <w:bCs/>
                <w:color w:val="auto"/>
                <w:szCs w:val="21"/>
                <w:highlight w:val="none"/>
              </w:rPr>
              <w:t xml:space="preserve">税率) × 当月实际验收合格数量。 </w:t>
            </w:r>
          </w:p>
          <w:p w14:paraId="192F7097">
            <w:pPr>
              <w:shd w:val="clear"/>
              <w:spacing w:after="0"/>
              <w:rPr>
                <w:rFonts w:hint="eastAsia" w:ascii="宋体" w:hAnsi="宋体" w:cs="宋体"/>
                <w:b/>
                <w:bCs/>
                <w:color w:val="auto"/>
                <w:szCs w:val="21"/>
                <w:highlight w:val="none"/>
              </w:rPr>
            </w:pPr>
            <w:r>
              <w:rPr>
                <w:rFonts w:hint="eastAsia" w:ascii="宋体" w:hAnsi="宋体" w:cs="宋体"/>
                <w:b/>
                <w:bCs/>
                <w:color w:val="auto"/>
                <w:szCs w:val="21"/>
                <w:highlight w:val="none"/>
              </w:rPr>
              <w:t>2、每月结束后，中标人在10日内根据上月的收货凭证与采购人对上月货款进行确认结算。中标人根据实际结算金额，开具符合法律规定和合同约定的增值税专用发票，并与其他请款资料一并提交给采购人，采购人收到并核对无误后，90日内以银行转账方式支付货款。</w:t>
            </w:r>
          </w:p>
          <w:p w14:paraId="03BE7DEF">
            <w:pPr>
              <w:shd w:val="clear"/>
              <w:rPr>
                <w:rFonts w:hint="eastAsia" w:ascii="宋体" w:hAnsi="宋体" w:cs="宋体"/>
                <w:b/>
                <w:bCs/>
                <w:color w:val="auto"/>
                <w:szCs w:val="21"/>
                <w:highlight w:val="none"/>
              </w:rPr>
            </w:pPr>
            <w:r>
              <w:rPr>
                <w:rFonts w:hint="eastAsia" w:ascii="宋体" w:hAnsi="宋体" w:cs="宋体"/>
                <w:b/>
                <w:bCs/>
                <w:color w:val="auto"/>
                <w:szCs w:val="21"/>
                <w:highlight w:val="none"/>
              </w:rPr>
              <w:t>3、收款方、发票的销售方、合同乙方均必须与中标人名称一致。</w:t>
            </w:r>
          </w:p>
          <w:p w14:paraId="60C654FA">
            <w:pPr>
              <w:shd w:val="clear"/>
              <w:spacing w:after="0"/>
              <w:rPr>
                <w:rFonts w:hint="eastAsia" w:ascii="宋体" w:hAnsi="宋体" w:cs="宋体"/>
                <w:b/>
                <w:bCs/>
                <w:color w:val="auto"/>
                <w:szCs w:val="21"/>
                <w:highlight w:val="none"/>
              </w:rPr>
            </w:pPr>
            <w:r>
              <w:rPr>
                <w:rFonts w:hint="eastAsia" w:ascii="宋体" w:hAnsi="宋体" w:cs="宋体"/>
                <w:b/>
                <w:bCs/>
                <w:color w:val="auto"/>
                <w:szCs w:val="21"/>
                <w:highlight w:val="none"/>
              </w:rPr>
              <w:t>4、按照现行税收政策规定，每次付款前，中标人必须提供合法有效、与本合同总价款条款中增值税</w:t>
            </w:r>
            <w:r>
              <w:rPr>
                <w:rFonts w:hint="eastAsia" w:ascii="宋体" w:hAnsi="宋体" w:cs="宋体"/>
                <w:b/>
                <w:bCs/>
                <w:color w:val="auto"/>
                <w:szCs w:val="21"/>
                <w:highlight w:val="none"/>
                <w:lang w:val="en-US" w:eastAsia="zh-CN"/>
              </w:rPr>
              <w:t>专票</w:t>
            </w:r>
            <w:r>
              <w:rPr>
                <w:rFonts w:hint="eastAsia" w:ascii="宋体" w:hAnsi="宋体" w:cs="宋体"/>
                <w:b/>
                <w:bCs/>
                <w:color w:val="auto"/>
                <w:szCs w:val="21"/>
                <w:highlight w:val="none"/>
              </w:rPr>
              <w:t>税率一致（税收政策变化导致税率发生变化的除外）的增值税</w:t>
            </w:r>
            <w:r>
              <w:rPr>
                <w:rFonts w:hint="eastAsia" w:ascii="宋体" w:hAnsi="宋体" w:cs="宋体"/>
                <w:b/>
                <w:bCs/>
                <w:color w:val="auto"/>
                <w:szCs w:val="21"/>
                <w:highlight w:val="none"/>
                <w:lang w:val="en-US" w:eastAsia="zh-CN"/>
              </w:rPr>
              <w:t>专用</w:t>
            </w:r>
            <w:r>
              <w:rPr>
                <w:rFonts w:hint="eastAsia" w:ascii="宋体" w:hAnsi="宋体" w:cs="宋体"/>
                <w:b/>
                <w:bCs/>
                <w:color w:val="auto"/>
                <w:szCs w:val="21"/>
                <w:highlight w:val="none"/>
              </w:rPr>
              <w:t>发票给采购人，否则采购人有权拒绝付款且不构成违约。</w:t>
            </w:r>
          </w:p>
          <w:p w14:paraId="26C4927D">
            <w:pPr>
              <w:shd w:val="clear"/>
              <w:spacing w:after="0"/>
              <w:rPr>
                <w:rFonts w:hint="eastAsia" w:ascii="宋体" w:hAnsi="宋体" w:cs="宋体"/>
                <w:b/>
                <w:bCs/>
                <w:color w:val="auto"/>
                <w:szCs w:val="21"/>
                <w:highlight w:val="none"/>
              </w:rPr>
            </w:pPr>
            <w:r>
              <w:rPr>
                <w:rFonts w:hint="eastAsia" w:ascii="宋体" w:hAnsi="宋体" w:cs="宋体"/>
                <w:b/>
                <w:bCs/>
                <w:color w:val="auto"/>
                <w:szCs w:val="21"/>
                <w:highlight w:val="none"/>
              </w:rPr>
              <w:t>5、本项目东莞迎宾馆酒店</w:t>
            </w:r>
            <w:r>
              <w:rPr>
                <w:rFonts w:hint="eastAsia" w:ascii="宋体" w:hAnsi="宋体" w:eastAsia="宋体" w:cs="宋体"/>
                <w:b/>
                <w:bCs/>
                <w:color w:val="auto"/>
                <w:sz w:val="21"/>
                <w:szCs w:val="21"/>
                <w:highlight w:val="none"/>
              </w:rPr>
              <w:t>有限公司</w:t>
            </w:r>
            <w:r>
              <w:rPr>
                <w:rFonts w:hint="eastAsia" w:ascii="宋体" w:hAnsi="宋体" w:cs="宋体"/>
                <w:b/>
                <w:bCs/>
                <w:color w:val="auto"/>
                <w:szCs w:val="21"/>
                <w:highlight w:val="none"/>
              </w:rPr>
              <w:t>仅作为招标单位，中标</w:t>
            </w:r>
            <w:r>
              <w:rPr>
                <w:rFonts w:hint="eastAsia" w:ascii="宋体" w:hAnsi="宋体" w:cs="宋体"/>
                <w:b/>
                <w:bCs/>
                <w:color w:val="auto"/>
                <w:szCs w:val="21"/>
                <w:highlight w:val="none"/>
                <w:lang w:val="en-US" w:eastAsia="zh-CN"/>
              </w:rPr>
              <w:t>供应</w:t>
            </w:r>
            <w:r>
              <w:rPr>
                <w:rFonts w:hint="eastAsia" w:ascii="宋体" w:hAnsi="宋体" w:cs="宋体"/>
                <w:b/>
                <w:bCs/>
                <w:color w:val="auto"/>
                <w:szCs w:val="21"/>
                <w:highlight w:val="none"/>
              </w:rPr>
              <w:t>商须分别与东莞迎宾馆酒店有限公司、</w:t>
            </w:r>
            <w:r>
              <w:rPr>
                <w:rFonts w:ascii="宋体" w:hAnsi="宋体" w:cs="宋体"/>
                <w:b/>
                <w:bCs/>
                <w:color w:val="auto"/>
                <w:szCs w:val="21"/>
                <w:highlight w:val="none"/>
              </w:rPr>
              <w:t>东莞市迎宾馆酒店管理有限公司</w:t>
            </w:r>
            <w:r>
              <w:rPr>
                <w:rFonts w:hint="eastAsia" w:ascii="宋体" w:hAnsi="宋体" w:cs="宋体"/>
                <w:b/>
                <w:bCs/>
                <w:color w:val="auto"/>
                <w:szCs w:val="21"/>
                <w:highlight w:val="none"/>
                <w:lang w:eastAsia="zh-CN"/>
              </w:rPr>
              <w:t>、东莞松湖迎宾里酒店有限公司</w:t>
            </w:r>
            <w:r>
              <w:rPr>
                <w:rFonts w:hint="eastAsia" w:ascii="宋体" w:hAnsi="宋体" w:cs="宋体"/>
                <w:b/>
                <w:bCs/>
                <w:color w:val="auto"/>
                <w:szCs w:val="21"/>
                <w:highlight w:val="none"/>
              </w:rPr>
              <w:t>及各公司的分公司按中标价具体签订供货合同并由对应的需求单位支付货款。</w:t>
            </w:r>
            <w:r>
              <w:rPr>
                <w:rFonts w:hint="eastAsia" w:ascii="宋体" w:hAnsi="宋体" w:cs="宋体"/>
                <w:b/>
                <w:bCs/>
                <w:color w:val="auto"/>
                <w:szCs w:val="21"/>
                <w:highlight w:val="none"/>
                <w:lang w:val="en-US" w:eastAsia="zh-CN"/>
              </w:rPr>
              <w:t>合同</w:t>
            </w:r>
            <w:r>
              <w:rPr>
                <w:rFonts w:hint="eastAsia" w:ascii="宋体" w:hAnsi="宋体" w:cs="宋体"/>
                <w:b/>
                <w:bCs/>
                <w:color w:val="auto"/>
                <w:szCs w:val="21"/>
                <w:highlight w:val="none"/>
              </w:rPr>
              <w:t>期内采购人有新项目配送需求的，中标单位承诺按招采文件与相关主体签订供货合同并由对应的需求单位支付货款。</w:t>
            </w:r>
          </w:p>
        </w:tc>
      </w:tr>
      <w:tr w14:paraId="281255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1" w:hRule="atLeast"/>
        </w:trPr>
        <w:tc>
          <w:tcPr>
            <w:tcW w:w="718" w:type="dxa"/>
            <w:vAlign w:val="center"/>
          </w:tcPr>
          <w:p w14:paraId="6818148F">
            <w:pPr>
              <w:shd w:val="clear"/>
              <w:spacing w:after="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1085" w:type="dxa"/>
            <w:vAlign w:val="center"/>
          </w:tcPr>
          <w:p w14:paraId="2B652222">
            <w:pPr>
              <w:shd w:val="clear"/>
              <w:spacing w:after="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项目地点</w:t>
            </w:r>
          </w:p>
        </w:tc>
        <w:tc>
          <w:tcPr>
            <w:tcW w:w="6882" w:type="dxa"/>
            <w:vAlign w:val="center"/>
          </w:tcPr>
          <w:p w14:paraId="3F1F73EA">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采购人指定地点分别为东莞迎宾馆（地址：东莞市南城区桃源路1号）；“莞萃园”中餐厅（地址：东莞市南城区簪花路与东莞大道交叉口睿派R&amp;APARK5栋三楼）；东莞松湖迎宾里酒店有限公司湾大分公司（东莞市松山湖大学路南大湾区大学（松山湖校区）-东门）</w:t>
            </w:r>
            <w:r>
              <w:rPr>
                <w:rFonts w:hint="eastAsia"/>
                <w:color w:val="auto"/>
                <w:highlight w:val="none"/>
              </w:rPr>
              <w:t>等。</w:t>
            </w:r>
          </w:p>
        </w:tc>
      </w:tr>
      <w:tr w14:paraId="644655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6" w:hRule="atLeast"/>
        </w:trPr>
        <w:tc>
          <w:tcPr>
            <w:tcW w:w="718" w:type="dxa"/>
            <w:vAlign w:val="center"/>
          </w:tcPr>
          <w:p w14:paraId="539CC83D">
            <w:pPr>
              <w:shd w:val="clear"/>
              <w:spacing w:after="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5</w:t>
            </w:r>
          </w:p>
        </w:tc>
        <w:tc>
          <w:tcPr>
            <w:tcW w:w="1085" w:type="dxa"/>
            <w:vAlign w:val="center"/>
          </w:tcPr>
          <w:p w14:paraId="4D842D18">
            <w:pPr>
              <w:shd w:val="clear"/>
              <w:spacing w:after="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★供货价格要求</w:t>
            </w:r>
          </w:p>
        </w:tc>
        <w:tc>
          <w:tcPr>
            <w:tcW w:w="6882" w:type="dxa"/>
            <w:vAlign w:val="center"/>
          </w:tcPr>
          <w:p w14:paraId="30AAFFB0">
            <w:pPr>
              <w:shd w:val="clear"/>
              <w:spacing w:after="0"/>
              <w:rPr>
                <w:rFonts w:hint="eastAsia" w:ascii="宋体" w:hAnsi="宋体" w:cs="宋体"/>
                <w:b/>
                <w:bCs/>
                <w:color w:val="auto"/>
                <w:szCs w:val="21"/>
                <w:highlight w:val="none"/>
              </w:rPr>
            </w:pPr>
            <w:r>
              <w:rPr>
                <w:rFonts w:hint="eastAsia" w:ascii="宋体" w:hAnsi="宋体" w:cs="宋体"/>
                <w:b/>
                <w:bCs/>
                <w:color w:val="auto"/>
                <w:szCs w:val="21"/>
                <w:highlight w:val="none"/>
              </w:rPr>
              <w:t>1、供货价格为采购人指定目的地交货价。包含：购货成本、包装配送运输、保险、装卸、退换、雇员费用、损耗费、样品费、包装费、检验检测费、质保期售后服务、全额含税发票、合同实施过程中的应预见和不可预见费用等。在项目的实施过程中，中标人必须充分考虑在本项目实施期间的一切可能产生的风险和相关费用，采购人将拒绝支付合同约定配送费之外的任何费用和补偿。</w:t>
            </w:r>
          </w:p>
          <w:p w14:paraId="7578E01F">
            <w:pPr>
              <w:shd w:val="clear"/>
              <w:spacing w:after="0"/>
              <w:rPr>
                <w:rFonts w:hint="eastAsia" w:ascii="宋体" w:hAnsi="宋体" w:cs="宋体"/>
                <w:b/>
                <w:bCs/>
                <w:color w:val="auto"/>
                <w:szCs w:val="21"/>
                <w:highlight w:val="none"/>
              </w:rPr>
            </w:pPr>
            <w:r>
              <w:rPr>
                <w:rFonts w:hint="eastAsia" w:ascii="宋体" w:hAnsi="宋体" w:cs="宋体"/>
                <w:b/>
                <w:bCs/>
                <w:color w:val="auto"/>
                <w:szCs w:val="21"/>
                <w:highlight w:val="none"/>
              </w:rPr>
              <w:t>2、中标后，完善价格调整机制。</w:t>
            </w:r>
            <w:r>
              <w:rPr>
                <w:rFonts w:hint="eastAsia" w:ascii="宋体" w:hAnsi="宋体" w:cs="宋体"/>
                <w:b/>
                <w:bCs/>
                <w:color w:val="auto"/>
                <w:szCs w:val="21"/>
                <w:highlight w:val="none"/>
                <w:lang w:val="en-US" w:eastAsia="zh-CN"/>
              </w:rPr>
              <w:t>除采购文件约定的调价情形外，海鲜水产类</w:t>
            </w:r>
            <w:r>
              <w:rPr>
                <w:rFonts w:hint="eastAsia" w:ascii="宋体" w:hAnsi="宋体" w:cs="宋体"/>
                <w:b/>
                <w:bCs/>
                <w:color w:val="auto"/>
                <w:szCs w:val="21"/>
                <w:highlight w:val="none"/>
              </w:rPr>
              <w:t>签订合同后</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rPr>
              <w:t>前3个月内定价不变，以中标人投标单价报价为准；3个月后每月可重新定价一次。除出现市场上价格涨跌幅超过20%的情况外，原则上双方后续每个价格周期的结算价（不含税价）不得高于首个价格周期的结算单价（不含税价）。市场价抽样调查基准价=市场平均价=市场抽样价格之和/价格样本数，原则上价格样本数为3个</w:t>
            </w:r>
            <w:r>
              <w:rPr>
                <w:rFonts w:hint="eastAsia" w:ascii="宋体" w:hAnsi="宋体" w:cs="宋体"/>
                <w:b/>
                <w:bCs/>
                <w:color w:val="auto"/>
                <w:szCs w:val="21"/>
                <w:highlight w:val="none"/>
                <w:lang w:val="en-US" w:eastAsia="zh-CN"/>
              </w:rPr>
              <w:t>或以上</w:t>
            </w:r>
            <w:r>
              <w:rPr>
                <w:rFonts w:hint="eastAsia" w:ascii="宋体" w:hAnsi="宋体" w:cs="宋体"/>
                <w:b/>
                <w:bCs/>
                <w:color w:val="auto"/>
                <w:szCs w:val="21"/>
                <w:highlight w:val="none"/>
              </w:rPr>
              <w:t>，但市调时提供该商品的</w:t>
            </w:r>
            <w:r>
              <w:rPr>
                <w:rFonts w:hint="eastAsia" w:ascii="宋体" w:hAnsi="宋体" w:cs="宋体"/>
                <w:b/>
                <w:bCs/>
                <w:color w:val="auto"/>
                <w:szCs w:val="21"/>
                <w:highlight w:val="none"/>
                <w:lang w:val="en-US" w:eastAsia="zh-CN"/>
              </w:rPr>
              <w:t>市场商家</w:t>
            </w:r>
            <w:r>
              <w:rPr>
                <w:rFonts w:hint="eastAsia" w:ascii="宋体" w:hAnsi="宋体" w:cs="宋体"/>
                <w:b/>
                <w:bCs/>
                <w:color w:val="auto"/>
                <w:szCs w:val="21"/>
                <w:highlight w:val="none"/>
              </w:rPr>
              <w:t>不足3家除外。</w:t>
            </w:r>
            <w:r>
              <w:rPr>
                <w:rFonts w:hint="eastAsia" w:ascii="宋体" w:hAnsi="宋体" w:cs="宋体"/>
                <w:b/>
                <w:bCs/>
                <w:color w:val="auto"/>
                <w:szCs w:val="21"/>
                <w:highlight w:val="none"/>
                <w:lang w:eastAsia="zh-CN"/>
              </w:rPr>
              <w:t>海鲜水产类</w:t>
            </w:r>
            <w:r>
              <w:rPr>
                <w:rFonts w:hint="eastAsia" w:ascii="宋体" w:hAnsi="宋体" w:cs="宋体"/>
                <w:b/>
                <w:bCs/>
                <w:color w:val="auto"/>
                <w:highlight w:val="none"/>
              </w:rPr>
              <w:t>市场价抽样调查，可选择</w:t>
            </w:r>
            <w:r>
              <w:rPr>
                <w:rFonts w:hint="eastAsia" w:ascii="宋体" w:hAnsi="宋体" w:cs="宋体"/>
                <w:b/>
                <w:bCs/>
                <w:color w:val="auto"/>
                <w:szCs w:val="21"/>
                <w:highlight w:val="none"/>
              </w:rPr>
              <w:t>大型综合超市或在东莞虎门海鲜市场、广州黄沙水产中心、深圳蛇口海鲜市场等，</w:t>
            </w:r>
            <w:r>
              <w:rPr>
                <w:rFonts w:hint="eastAsia" w:ascii="宋体" w:hAnsi="宋体" w:cs="宋体"/>
                <w:b/>
                <w:bCs/>
                <w:color w:val="auto"/>
                <w:highlight w:val="none"/>
              </w:rPr>
              <w:t>进行市场价抽样调查；核定相同货品的市场平均价格</w:t>
            </w:r>
            <w:r>
              <w:rPr>
                <w:rFonts w:hint="eastAsia" w:ascii="宋体" w:hAnsi="宋体" w:cs="宋体"/>
                <w:b/>
                <w:bCs/>
                <w:color w:val="auto"/>
                <w:szCs w:val="21"/>
                <w:highlight w:val="none"/>
              </w:rPr>
              <w:t>。新的不含税结算单价按以下公式核定:新的不含税结算单价=新的含税市场基准价/(1+增值税</w:t>
            </w:r>
            <w:r>
              <w:rPr>
                <w:rFonts w:hint="eastAsia" w:ascii="宋体" w:hAnsi="宋体" w:cs="宋体"/>
                <w:b/>
                <w:bCs/>
                <w:color w:val="auto"/>
                <w:szCs w:val="21"/>
                <w:highlight w:val="none"/>
                <w:lang w:val="en-US" w:eastAsia="zh-CN"/>
              </w:rPr>
              <w:t>专票</w:t>
            </w:r>
            <w:r>
              <w:rPr>
                <w:rFonts w:hint="eastAsia" w:ascii="宋体" w:hAnsi="宋体" w:cs="宋体"/>
                <w:b/>
                <w:bCs/>
                <w:color w:val="auto"/>
                <w:szCs w:val="21"/>
                <w:highlight w:val="none"/>
              </w:rPr>
              <w:t>税率)。</w:t>
            </w:r>
            <w:r>
              <w:rPr>
                <w:rFonts w:ascii="宋体" w:hAnsi="宋体" w:cs="宋体"/>
                <w:b/>
                <w:bCs/>
                <w:color w:val="auto"/>
                <w:szCs w:val="21"/>
                <w:highlight w:val="none"/>
              </w:rPr>
              <w:t>市场抽样调查的样本应当具有广泛的代表性，且抽样价格明显异常的（如偏离市场平均水平过大）应予剔除</w:t>
            </w:r>
            <w:r>
              <w:rPr>
                <w:rFonts w:hint="eastAsia" w:ascii="宋体" w:hAnsi="宋体" w:cs="宋体"/>
                <w:b/>
                <w:bCs/>
                <w:color w:val="auto"/>
                <w:szCs w:val="21"/>
                <w:highlight w:val="none"/>
              </w:rPr>
              <w:t>。</w:t>
            </w:r>
            <w:r>
              <w:rPr>
                <w:rFonts w:ascii="宋体" w:hAnsi="宋体" w:cs="宋体"/>
                <w:b/>
                <w:bCs/>
                <w:color w:val="auto"/>
                <w:szCs w:val="21"/>
                <w:highlight w:val="none"/>
              </w:rPr>
              <w:t>市场价抽样调查由采购人组织，中标人可派员参与见证。双方对抽样调查结果有争议的，应当在收到结果后2个工作日内提出复核，复核仍不成的，以</w:t>
            </w:r>
            <w:r>
              <w:rPr>
                <w:rFonts w:hint="eastAsia" w:ascii="宋体" w:hAnsi="宋体" w:cs="宋体"/>
                <w:b/>
                <w:bCs/>
                <w:color w:val="auto"/>
                <w:szCs w:val="21"/>
                <w:highlight w:val="none"/>
              </w:rPr>
              <w:t>采购人</w:t>
            </w:r>
            <w:r>
              <w:rPr>
                <w:rFonts w:ascii="宋体" w:hAnsi="宋体" w:cs="宋体"/>
                <w:b/>
                <w:bCs/>
                <w:color w:val="auto"/>
                <w:szCs w:val="21"/>
                <w:highlight w:val="none"/>
              </w:rPr>
              <w:t>最终核定的市场基准价为准执行，</w:t>
            </w:r>
            <w:r>
              <w:rPr>
                <w:rFonts w:hint="eastAsia" w:ascii="宋体" w:hAnsi="宋体" w:cs="宋体"/>
                <w:b/>
                <w:bCs/>
                <w:color w:val="auto"/>
                <w:szCs w:val="21"/>
                <w:highlight w:val="none"/>
              </w:rPr>
              <w:t>中标人</w:t>
            </w:r>
            <w:r>
              <w:rPr>
                <w:rFonts w:ascii="宋体" w:hAnsi="宋体" w:cs="宋体"/>
                <w:b/>
                <w:bCs/>
                <w:color w:val="auto"/>
                <w:szCs w:val="21"/>
                <w:highlight w:val="none"/>
              </w:rPr>
              <w:t>不得以此拒绝供货。</w:t>
            </w:r>
          </w:p>
          <w:p w14:paraId="0B3BA6FE">
            <w:pPr>
              <w:shd w:val="clear"/>
              <w:spacing w:after="0"/>
              <w:rPr>
                <w:rFonts w:hint="eastAsia" w:ascii="宋体" w:hAnsi="宋体" w:cs="宋体"/>
                <w:b/>
                <w:bCs/>
                <w:color w:val="auto"/>
                <w:szCs w:val="21"/>
                <w:highlight w:val="none"/>
              </w:rPr>
            </w:pPr>
            <w:r>
              <w:rPr>
                <w:rFonts w:hint="eastAsia" w:ascii="宋体" w:hAnsi="宋体" w:cs="宋体"/>
                <w:b/>
                <w:bCs/>
                <w:color w:val="auto"/>
                <w:szCs w:val="21"/>
                <w:highlight w:val="none"/>
              </w:rPr>
              <w:t>3、采购人临时需求货品不在核定的供货价格清单内的，中标人必须按采购人要求供货，供货价格由双方采用市场抽样调查的方式确定供货价格。</w:t>
            </w:r>
          </w:p>
          <w:p w14:paraId="64A0CE14">
            <w:pPr>
              <w:shd w:val="clear"/>
              <w:spacing w:after="0"/>
              <w:rPr>
                <w:rFonts w:hint="eastAsia" w:ascii="宋体" w:hAnsi="宋体" w:cs="宋体"/>
                <w:b/>
                <w:bCs/>
                <w:color w:val="auto"/>
                <w:szCs w:val="21"/>
                <w:highlight w:val="none"/>
              </w:rPr>
            </w:pPr>
            <w:r>
              <w:rPr>
                <w:rFonts w:hint="eastAsia" w:ascii="宋体" w:hAnsi="宋体" w:cs="宋体"/>
                <w:b/>
                <w:bCs/>
                <w:color w:val="auto"/>
                <w:szCs w:val="21"/>
                <w:highlight w:val="none"/>
              </w:rPr>
              <w:t>4、中标人不得擅自变更货物品种及产地、包装、规格和重量等，严格按采购人要求供应，否则采购人有权拒收。对不易购买或暂时短缺的品种，经采购人同意，可由中标人通过其它途径采购或使用指定替代品替换，价格按上述规定的</w:t>
            </w:r>
            <w:r>
              <w:rPr>
                <w:rFonts w:hint="eastAsia" w:ascii="宋体" w:hAnsi="宋体" w:cs="宋体"/>
                <w:b/>
                <w:bCs/>
                <w:color w:val="auto"/>
                <w:highlight w:val="none"/>
              </w:rPr>
              <w:t>市场价抽样调查平均价确定</w:t>
            </w:r>
            <w:r>
              <w:rPr>
                <w:rFonts w:hint="eastAsia" w:ascii="宋体" w:hAnsi="宋体" w:cs="宋体"/>
                <w:b/>
                <w:bCs/>
                <w:color w:val="auto"/>
                <w:szCs w:val="21"/>
                <w:highlight w:val="none"/>
              </w:rPr>
              <w:t>。</w:t>
            </w:r>
          </w:p>
          <w:p w14:paraId="1CC11955">
            <w:pPr>
              <w:shd w:val="clear"/>
              <w:spacing w:after="0"/>
              <w:rPr>
                <w:rFonts w:hint="eastAsia" w:ascii="宋体" w:hAnsi="宋体" w:cs="宋体"/>
                <w:b/>
                <w:bCs/>
                <w:color w:val="auto"/>
                <w:szCs w:val="21"/>
                <w:highlight w:val="none"/>
              </w:rPr>
            </w:pPr>
            <w:r>
              <w:rPr>
                <w:rFonts w:hint="eastAsia" w:ascii="宋体" w:hAnsi="宋体" w:cs="宋体"/>
                <w:b/>
                <w:bCs/>
                <w:color w:val="auto"/>
                <w:szCs w:val="21"/>
                <w:highlight w:val="none"/>
              </w:rPr>
              <w:t>5、采购人根据自身的需求，有权终止某类中的某些商品的采购或变更某类商品的采购。</w:t>
            </w:r>
          </w:p>
          <w:p w14:paraId="4686DEDF">
            <w:pPr>
              <w:shd w:val="clear"/>
              <w:spacing w:after="0"/>
              <w:rPr>
                <w:rFonts w:hint="eastAsia" w:ascii="宋体" w:hAnsi="宋体" w:cs="宋体"/>
                <w:b/>
                <w:bCs/>
                <w:color w:val="auto"/>
                <w:szCs w:val="21"/>
                <w:highlight w:val="none"/>
              </w:rPr>
            </w:pPr>
            <w:r>
              <w:rPr>
                <w:rFonts w:hint="eastAsia" w:ascii="宋体" w:hAnsi="宋体" w:cs="宋体"/>
                <w:b/>
                <w:bCs/>
                <w:color w:val="auto"/>
                <w:szCs w:val="21"/>
                <w:highlight w:val="none"/>
              </w:rPr>
              <w:t>6、中标人</w:t>
            </w:r>
            <w:r>
              <w:rPr>
                <w:rFonts w:hint="eastAsia" w:ascii="宋体" w:hAnsi="宋体" w:cs="宋体"/>
                <w:b/>
                <w:bCs/>
                <w:color w:val="auto"/>
                <w:szCs w:val="21"/>
                <w:highlight w:val="none"/>
                <w:lang w:val="en-US" w:eastAsia="zh-CN"/>
              </w:rPr>
              <w:t>在</w:t>
            </w:r>
            <w:r>
              <w:rPr>
                <w:rFonts w:hint="eastAsia" w:ascii="宋体" w:hAnsi="宋体" w:cs="宋体"/>
                <w:b/>
                <w:bCs/>
                <w:color w:val="auto"/>
                <w:szCs w:val="21"/>
                <w:highlight w:val="none"/>
              </w:rPr>
              <w:t>每个价格周期前</w:t>
            </w:r>
            <w:r>
              <w:rPr>
                <w:rFonts w:hint="eastAsia" w:ascii="宋体" w:hAnsi="宋体" w:cs="宋体"/>
                <w:b/>
                <w:bCs/>
                <w:color w:val="auto"/>
                <w:szCs w:val="21"/>
                <w:highlight w:val="none"/>
                <w:lang w:val="en-US" w:eastAsia="zh-CN"/>
              </w:rPr>
              <w:t>10</w:t>
            </w:r>
            <w:r>
              <w:rPr>
                <w:rFonts w:hint="eastAsia" w:ascii="宋体" w:hAnsi="宋体" w:cs="宋体"/>
                <w:b/>
                <w:bCs/>
                <w:color w:val="auto"/>
                <w:szCs w:val="21"/>
                <w:highlight w:val="none"/>
              </w:rPr>
              <w:t>个工作日报价给采购人审核，采购人</w:t>
            </w:r>
            <w:r>
              <w:rPr>
                <w:rFonts w:hint="eastAsia" w:ascii="宋体" w:hAnsi="宋体" w:cs="宋体"/>
                <w:b/>
                <w:bCs/>
                <w:color w:val="auto"/>
                <w:szCs w:val="21"/>
                <w:highlight w:val="none"/>
                <w:lang w:val="en-US" w:eastAsia="zh-CN"/>
              </w:rPr>
              <w:t>结合</w:t>
            </w:r>
            <w:r>
              <w:rPr>
                <w:rFonts w:hint="eastAsia" w:ascii="宋体" w:hAnsi="宋体" w:cs="宋体"/>
                <w:b/>
                <w:bCs/>
                <w:color w:val="auto"/>
                <w:szCs w:val="21"/>
                <w:highlight w:val="none"/>
              </w:rPr>
              <w:t>市场价</w:t>
            </w:r>
            <w:r>
              <w:rPr>
                <w:rFonts w:hint="eastAsia" w:ascii="宋体" w:hAnsi="宋体" w:cs="宋体"/>
                <w:b/>
                <w:bCs/>
                <w:color w:val="auto"/>
                <w:szCs w:val="21"/>
                <w:highlight w:val="none"/>
                <w:lang w:val="en-US" w:eastAsia="zh-CN"/>
              </w:rPr>
              <w:t>格</w:t>
            </w:r>
            <w:r>
              <w:rPr>
                <w:rFonts w:hint="eastAsia" w:ascii="宋体" w:hAnsi="宋体" w:cs="宋体"/>
                <w:b/>
                <w:bCs/>
                <w:color w:val="auto"/>
                <w:szCs w:val="21"/>
                <w:highlight w:val="none"/>
              </w:rPr>
              <w:t>抽样调查结果审核同意</w:t>
            </w:r>
            <w:r>
              <w:rPr>
                <w:rFonts w:hint="eastAsia"/>
                <w:b/>
                <w:bCs/>
                <w:color w:val="auto"/>
                <w:highlight w:val="none"/>
                <w:lang w:val="en-US" w:eastAsia="zh-CN"/>
              </w:rPr>
              <w:t>并完成相关审批流程后生效</w:t>
            </w:r>
            <w:r>
              <w:rPr>
                <w:rFonts w:hint="eastAsia" w:ascii="宋体" w:hAnsi="宋体" w:cs="宋体"/>
                <w:b/>
                <w:bCs/>
                <w:color w:val="auto"/>
                <w:szCs w:val="21"/>
                <w:highlight w:val="none"/>
              </w:rPr>
              <w:t>。若通过市场调查确定基准价的，则由采购人按上述方式进行市场抽样调查并将调查价格报中标人确认。</w:t>
            </w:r>
          </w:p>
          <w:p w14:paraId="3344C8CD">
            <w:pPr>
              <w:shd w:val="clear"/>
              <w:spacing w:after="0"/>
              <w:rPr>
                <w:b/>
                <w:bCs/>
                <w:color w:val="auto"/>
                <w:highlight w:val="none"/>
              </w:rPr>
            </w:pPr>
            <w:r>
              <w:rPr>
                <w:rFonts w:hint="eastAsia" w:ascii="宋体" w:hAnsi="宋体" w:cs="宋体"/>
                <w:b/>
                <w:bCs/>
                <w:color w:val="auto"/>
                <w:szCs w:val="21"/>
                <w:highlight w:val="none"/>
              </w:rPr>
              <w:t>7、核定价格后，若供货期间市场商品价格涨跌幅度达到20%及以上的，双方任一方均有权以书面形式提出价格调整请求</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rPr>
              <w:t>未提出价格调整请求的物资，仍按原核定价格执行</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rPr>
              <w:t>。一方提出调价请求后，双方开展市场调查核实，按照定价原则</w:t>
            </w:r>
            <w:r>
              <w:rPr>
                <w:rFonts w:hint="eastAsia" w:ascii="宋体" w:hAnsi="宋体" w:cs="宋体"/>
                <w:b/>
                <w:bCs/>
                <w:color w:val="auto"/>
                <w:szCs w:val="21"/>
                <w:highlight w:val="none"/>
                <w:lang w:val="en-US" w:eastAsia="zh-CN"/>
              </w:rPr>
              <w:t>重新</w:t>
            </w:r>
            <w:r>
              <w:rPr>
                <w:rFonts w:hint="eastAsia" w:ascii="宋体" w:hAnsi="宋体" w:cs="宋体"/>
                <w:b/>
                <w:bCs/>
                <w:color w:val="auto"/>
                <w:szCs w:val="21"/>
                <w:highlight w:val="none"/>
              </w:rPr>
              <w:t>确定价格，并应于3 个工作日内予以书面函复。新价格经双方确认生效后执行，调价生效前已发生的供货仍按原核定价格执行。若收到调价请求一方在上述 3 个工作日期限内未予以书面函复的，</w:t>
            </w:r>
            <w:r>
              <w:rPr>
                <w:rFonts w:hint="eastAsia" w:ascii="宋体" w:hAnsi="宋体" w:cs="宋体"/>
                <w:b/>
                <w:bCs/>
                <w:color w:val="auto"/>
                <w:szCs w:val="21"/>
                <w:highlight w:val="none"/>
                <w:lang w:val="en-US" w:eastAsia="zh-CN"/>
              </w:rPr>
              <w:t>默认认可调价请求，</w:t>
            </w:r>
            <w:r>
              <w:rPr>
                <w:rFonts w:hint="eastAsia" w:ascii="宋体" w:hAnsi="宋体" w:cs="宋体"/>
                <w:b/>
                <w:bCs/>
                <w:color w:val="auto"/>
                <w:szCs w:val="21"/>
                <w:highlight w:val="none"/>
              </w:rPr>
              <w:t>双方按新价格执行。除前述情形外，</w:t>
            </w:r>
            <w:r>
              <w:rPr>
                <w:rFonts w:hint="eastAsia" w:ascii="宋体" w:hAnsi="宋体" w:cs="宋体"/>
                <w:b/>
                <w:bCs/>
                <w:color w:val="auto"/>
                <w:szCs w:val="21"/>
                <w:highlight w:val="none"/>
                <w:lang w:val="en-US" w:eastAsia="zh-CN"/>
              </w:rPr>
              <w:t>双方</w:t>
            </w:r>
            <w:r>
              <w:rPr>
                <w:rFonts w:hint="eastAsia" w:ascii="宋体" w:hAnsi="宋体" w:cs="宋体"/>
                <w:b/>
                <w:bCs/>
                <w:color w:val="auto"/>
                <w:szCs w:val="21"/>
                <w:highlight w:val="none"/>
              </w:rPr>
              <w:t>约定的供货物资价格在有效期内，任何一方不得随意变更。</w:t>
            </w:r>
          </w:p>
          <w:p w14:paraId="2386B2E3">
            <w:pPr>
              <w:shd w:val="clear"/>
              <w:spacing w:after="0"/>
              <w:rPr>
                <w:rFonts w:hint="eastAsia" w:ascii="宋体" w:hAnsi="宋体" w:cs="宋体"/>
                <w:b/>
                <w:bCs/>
                <w:color w:val="auto"/>
                <w:szCs w:val="21"/>
                <w:highlight w:val="none"/>
              </w:rPr>
            </w:pPr>
            <w:r>
              <w:rPr>
                <w:rFonts w:hint="eastAsia" w:ascii="宋体" w:hAnsi="宋体" w:eastAsia="宋体" w:cs="宋体"/>
                <w:b/>
                <w:bCs/>
                <w:color w:val="auto"/>
                <w:highlight w:val="none"/>
                <w:lang w:val="en-US" w:eastAsia="zh-CN"/>
              </w:rPr>
              <w:t>8、采购人发现中标人的供货价格高于市场价20%且未通知采购人进行价格调整的，采购人</w:t>
            </w:r>
            <w:r>
              <w:rPr>
                <w:rFonts w:hint="eastAsia" w:ascii="宋体" w:hAnsi="宋体" w:cs="宋体"/>
                <w:b/>
                <w:bCs/>
                <w:color w:val="auto"/>
                <w:highlight w:val="none"/>
                <w:lang w:val="en-US" w:eastAsia="zh-CN"/>
              </w:rPr>
              <w:t>有权要求从指定时间开始按市调价格结算</w:t>
            </w:r>
            <w:r>
              <w:rPr>
                <w:rFonts w:hint="eastAsia" w:ascii="宋体" w:hAnsi="宋体" w:eastAsia="宋体" w:cs="宋体"/>
                <w:b/>
                <w:bCs/>
                <w:color w:val="auto"/>
                <w:highlight w:val="none"/>
                <w:lang w:val="en-US" w:eastAsia="zh-CN"/>
              </w:rPr>
              <w:t>，如当月已结算的金额须在</w:t>
            </w:r>
            <w:r>
              <w:rPr>
                <w:rFonts w:hint="eastAsia" w:ascii="宋体" w:hAnsi="宋体" w:cs="宋体"/>
                <w:b/>
                <w:bCs/>
                <w:color w:val="auto"/>
                <w:highlight w:val="none"/>
                <w:lang w:val="en-US" w:eastAsia="zh-CN"/>
              </w:rPr>
              <w:t>后续</w:t>
            </w:r>
            <w:r>
              <w:rPr>
                <w:rFonts w:hint="eastAsia" w:ascii="宋体" w:hAnsi="宋体" w:eastAsia="宋体" w:cs="宋体"/>
                <w:b/>
                <w:bCs/>
                <w:color w:val="auto"/>
                <w:highlight w:val="none"/>
                <w:lang w:val="en-US" w:eastAsia="zh-CN"/>
              </w:rPr>
              <w:t>结算金额中扣除，并且每次处以违约金2000元。</w:t>
            </w:r>
          </w:p>
        </w:tc>
      </w:tr>
      <w:tr w14:paraId="44D1D0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01" w:hRule="atLeast"/>
        </w:trPr>
        <w:tc>
          <w:tcPr>
            <w:tcW w:w="718" w:type="dxa"/>
            <w:vAlign w:val="center"/>
          </w:tcPr>
          <w:p w14:paraId="029B74D3">
            <w:pPr>
              <w:shd w:val="clear"/>
              <w:spacing w:after="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1085" w:type="dxa"/>
            <w:vAlign w:val="center"/>
          </w:tcPr>
          <w:p w14:paraId="250FE6C8">
            <w:pPr>
              <w:shd w:val="clear"/>
              <w:spacing w:after="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验收标准</w:t>
            </w:r>
          </w:p>
        </w:tc>
        <w:tc>
          <w:tcPr>
            <w:tcW w:w="6882" w:type="dxa"/>
            <w:vAlign w:val="center"/>
          </w:tcPr>
          <w:p w14:paraId="7E615638">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1.项目验收依次序对照执行标准：</w:t>
            </w:r>
          </w:p>
          <w:p w14:paraId="2437678D">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1.1符合中华人民共和国国家和履约地相关安全质量标准、行业技术规范标准；</w:t>
            </w:r>
          </w:p>
          <w:p w14:paraId="0658420D">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1.2符合</w:t>
            </w:r>
            <w:r>
              <w:rPr>
                <w:rFonts w:hint="eastAsia" w:ascii="宋体" w:hAnsi="宋体" w:cs="宋体"/>
                <w:color w:val="auto"/>
                <w:szCs w:val="21"/>
                <w:highlight w:val="none"/>
                <w:lang w:val="en-US" w:eastAsia="zh-CN"/>
              </w:rPr>
              <w:t>采购</w:t>
            </w:r>
            <w:r>
              <w:rPr>
                <w:rFonts w:hint="eastAsia" w:ascii="宋体" w:hAnsi="宋体" w:cs="宋体"/>
                <w:color w:val="auto"/>
                <w:szCs w:val="21"/>
                <w:highlight w:val="none"/>
              </w:rPr>
              <w:t>文件和响应承诺中各方共同认可的各项要求；</w:t>
            </w:r>
          </w:p>
          <w:p w14:paraId="3288362B">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1.3符合货物来源国官方颁布标准。</w:t>
            </w:r>
          </w:p>
          <w:p w14:paraId="49C8ED1C">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 xml:space="preserve">1.4上述各类标准与法规必须是有关官方机构最新发布的现行标准版本。 </w:t>
            </w:r>
          </w:p>
          <w:p w14:paraId="1D91EE5D">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2.做好卸货前的检查：采购人和中标人双方的验收人员卸货前应对场地和验收设备做好准备，并对商品的外观质量进行初步了解。如发现食品有损坏情况等，应在相关单据上记录损坏情况，建议对损坏情况进行拍照存档。保证斤两的准确性，经采购人的验货数量为准，中标人每次随货送上一式两份的送货单，采购人验货后签订确认，采购人、中标人双方各持一份，作为收货、结算的凭证。</w:t>
            </w:r>
          </w:p>
          <w:p w14:paraId="7AB318AC">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3.</w:t>
            </w:r>
            <w:bookmarkStart w:id="22" w:name="OLE_LINK11"/>
            <w:r>
              <w:rPr>
                <w:rFonts w:hint="eastAsia" w:ascii="宋体" w:hAnsi="宋体" w:cs="宋体"/>
                <w:color w:val="auto"/>
                <w:szCs w:val="21"/>
                <w:highlight w:val="none"/>
              </w:rPr>
              <w:t>食品运输采用符合国家标准的外包装和运输工具：保持清洁和定期消毒，车厢内无不良气味、异味。采用专用载具运输，在运输过程中保持安全的温度</w:t>
            </w:r>
            <w:r>
              <w:rPr>
                <w:rFonts w:hint="eastAsia" w:ascii="宋体" w:hAnsi="宋体" w:cs="宋体"/>
                <w:color w:val="auto"/>
                <w:szCs w:val="21"/>
                <w:highlight w:val="none"/>
                <w:lang w:val="en-US" w:eastAsia="zh-CN"/>
              </w:rPr>
              <w:t>和湿度</w:t>
            </w:r>
            <w:r>
              <w:rPr>
                <w:rFonts w:hint="eastAsia" w:ascii="宋体" w:hAnsi="宋体" w:cs="宋体"/>
                <w:color w:val="auto"/>
                <w:szCs w:val="21"/>
                <w:highlight w:val="none"/>
              </w:rPr>
              <w:t>。食品应清洁，无损伤、腐烂现象，外包装完整，无寄生虫或</w:t>
            </w:r>
            <w:r>
              <w:rPr>
                <w:rFonts w:hint="eastAsia" w:ascii="宋体" w:hAnsi="宋体" w:cs="宋体"/>
                <w:color w:val="auto"/>
                <w:szCs w:val="21"/>
                <w:highlight w:val="none"/>
                <w:lang w:val="en-US" w:eastAsia="zh-CN"/>
              </w:rPr>
              <w:t>病害</w:t>
            </w:r>
            <w:r>
              <w:rPr>
                <w:rFonts w:hint="eastAsia" w:ascii="宋体" w:hAnsi="宋体" w:cs="宋体"/>
                <w:color w:val="auto"/>
                <w:szCs w:val="21"/>
                <w:highlight w:val="none"/>
              </w:rPr>
              <w:t>现象</w:t>
            </w:r>
            <w:bookmarkEnd w:id="22"/>
            <w:r>
              <w:rPr>
                <w:rFonts w:hint="eastAsia" w:ascii="宋体" w:hAnsi="宋体" w:cs="宋体"/>
                <w:color w:val="auto"/>
                <w:szCs w:val="21"/>
                <w:highlight w:val="none"/>
              </w:rPr>
              <w:t>。</w:t>
            </w:r>
          </w:p>
          <w:p w14:paraId="0EEC880E">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4.采取现场验收的方式：验收人员应认真检查物资的质量，按索票—验证—抽查—过磅—入库的程序完成验收，中标人可提供原件的留原件，原件只有一份而无法提供给采购人的查验原件后索取复印件留存。</w:t>
            </w:r>
          </w:p>
          <w:p w14:paraId="6D71C01D">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5.每批次每种货物均抽查验收。</w:t>
            </w:r>
          </w:p>
          <w:p w14:paraId="080A4EA1">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6.按项目需求的描述要求对货物质量进行抽查。</w:t>
            </w:r>
          </w:p>
          <w:p w14:paraId="769EF0E5">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7.抽查发现食品安全质量问题的处理：</w:t>
            </w:r>
          </w:p>
          <w:p w14:paraId="1DB67DA8">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7.1对危及人身安全的食品质量问题采取零容忍措施，一经发现，当日所送同批次产品全部退货；</w:t>
            </w:r>
          </w:p>
          <w:p w14:paraId="42ABD13D">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7.2若抽查未发现问题，而在加工食用前发现部分产品质量问题</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品质不达标问题</w:t>
            </w:r>
            <w:r>
              <w:rPr>
                <w:rFonts w:hint="eastAsia" w:ascii="宋体" w:hAnsi="宋体" w:cs="宋体"/>
                <w:color w:val="auto"/>
                <w:szCs w:val="21"/>
                <w:highlight w:val="none"/>
              </w:rPr>
              <w:t>，应立即通知</w:t>
            </w:r>
            <w:r>
              <w:rPr>
                <w:rFonts w:hint="eastAsia"/>
                <w:color w:val="auto"/>
                <w:highlight w:val="none"/>
                <w:lang w:val="en-US" w:eastAsia="zh-CN"/>
              </w:rPr>
              <w:t>采购人需求部门、财务部（仓库）</w:t>
            </w:r>
            <w:r>
              <w:rPr>
                <w:rFonts w:hint="eastAsia" w:ascii="宋体" w:hAnsi="宋体" w:cs="宋体"/>
                <w:color w:val="auto"/>
                <w:szCs w:val="21"/>
                <w:highlight w:val="none"/>
              </w:rPr>
              <w:t>及中标人，将问题产品退货处理。</w:t>
            </w:r>
          </w:p>
          <w:p w14:paraId="2C9AF23A">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7.3如有任何货品未能达标，中标人保证</w:t>
            </w:r>
            <w:r>
              <w:rPr>
                <w:rFonts w:hint="eastAsia" w:ascii="宋体" w:hAnsi="宋体" w:cs="宋体"/>
                <w:color w:val="auto"/>
                <w:szCs w:val="21"/>
                <w:highlight w:val="none"/>
                <w:lang w:val="en-US" w:eastAsia="zh-CN"/>
              </w:rPr>
              <w:t>收到通知后</w:t>
            </w:r>
            <w:r>
              <w:rPr>
                <w:rFonts w:hint="eastAsia" w:ascii="宋体" w:hAnsi="宋体" w:cs="宋体"/>
                <w:color w:val="auto"/>
                <w:szCs w:val="21"/>
                <w:highlight w:val="none"/>
              </w:rPr>
              <w:t>当天内，全数更换，并承担所有有关费用。如遇紧急情况，中标人应配合酒店及时退换货，如果未及时退换，致使酒店自行采购或者找其他供应商送货，由此产生的差价由中标人承担，如果因此影响酒店运营，造成的经济损失由中标人承担。</w:t>
            </w:r>
          </w:p>
          <w:p w14:paraId="5058E69A">
            <w:pPr>
              <w:shd w:val="clear"/>
              <w:spacing w:after="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 xml:space="preserve">8. </w:t>
            </w:r>
            <w:r>
              <w:rPr>
                <w:rFonts w:hint="eastAsia" w:ascii="宋体" w:hAnsi="宋体" w:cs="宋体"/>
                <w:color w:val="auto"/>
                <w:szCs w:val="21"/>
                <w:highlight w:val="none"/>
                <w:lang w:val="en-US" w:eastAsia="zh-CN"/>
              </w:rPr>
              <w:t>采购人</w:t>
            </w:r>
            <w:r>
              <w:rPr>
                <w:rFonts w:hint="eastAsia" w:ascii="宋体" w:hAnsi="宋体" w:cs="宋体"/>
                <w:color w:val="auto"/>
                <w:szCs w:val="21"/>
                <w:highlight w:val="none"/>
              </w:rPr>
              <w:t>抽样送检发现不合格的处理</w:t>
            </w:r>
            <w:r>
              <w:rPr>
                <w:rFonts w:hint="eastAsia" w:ascii="宋体" w:hAnsi="宋体" w:cs="宋体"/>
                <w:color w:val="auto"/>
                <w:szCs w:val="21"/>
                <w:highlight w:val="none"/>
                <w:lang w:eastAsia="zh-CN"/>
              </w:rPr>
              <w:t>：</w:t>
            </w:r>
          </w:p>
          <w:p w14:paraId="45A23B59">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 xml:space="preserve">8.1 </w:t>
            </w:r>
            <w:r>
              <w:rPr>
                <w:rFonts w:hint="eastAsia" w:ascii="宋体" w:hAnsi="宋体" w:cs="宋体"/>
                <w:color w:val="auto"/>
                <w:szCs w:val="21"/>
                <w:highlight w:val="none"/>
                <w:lang w:val="en-US" w:eastAsia="zh-CN"/>
              </w:rPr>
              <w:t>采购人</w:t>
            </w:r>
            <w:r>
              <w:rPr>
                <w:rFonts w:hint="eastAsia" w:ascii="宋体" w:hAnsi="宋体" w:cs="宋体"/>
                <w:color w:val="auto"/>
                <w:szCs w:val="21"/>
                <w:highlight w:val="none"/>
              </w:rPr>
              <w:t>有权按照国家及行业相关标准，对</w:t>
            </w:r>
            <w:r>
              <w:rPr>
                <w:rFonts w:hint="eastAsia" w:ascii="宋体" w:hAnsi="宋体" w:cs="宋体"/>
                <w:color w:val="auto"/>
                <w:szCs w:val="21"/>
                <w:highlight w:val="none"/>
                <w:lang w:val="en-US" w:eastAsia="zh-CN"/>
              </w:rPr>
              <w:t>中标人</w:t>
            </w:r>
            <w:r>
              <w:rPr>
                <w:rFonts w:hint="eastAsia" w:ascii="宋体" w:hAnsi="宋体" w:cs="宋体"/>
                <w:color w:val="auto"/>
                <w:szCs w:val="21"/>
                <w:highlight w:val="none"/>
              </w:rPr>
              <w:t>供应的食材进行现场抽样</w:t>
            </w:r>
            <w:r>
              <w:rPr>
                <w:rFonts w:hint="eastAsia" w:ascii="宋体" w:hAnsi="宋体" w:cs="宋体"/>
                <w:color w:val="auto"/>
                <w:szCs w:val="21"/>
                <w:highlight w:val="none"/>
                <w:lang w:val="en-US" w:eastAsia="zh-CN"/>
              </w:rPr>
              <w:t>或</w:t>
            </w:r>
            <w:r>
              <w:rPr>
                <w:rFonts w:hint="eastAsia" w:ascii="宋体" w:hAnsi="宋体" w:cs="宋体"/>
                <w:color w:val="auto"/>
                <w:szCs w:val="21"/>
                <w:highlight w:val="none"/>
              </w:rPr>
              <w:t>送第三方机构检验，抽样检验工作由</w:t>
            </w:r>
            <w:r>
              <w:rPr>
                <w:rFonts w:hint="eastAsia" w:ascii="宋体" w:hAnsi="宋体" w:cs="宋体"/>
                <w:color w:val="auto"/>
                <w:szCs w:val="21"/>
                <w:highlight w:val="none"/>
                <w:lang w:val="en-US" w:eastAsia="zh-CN"/>
              </w:rPr>
              <w:t>采购人</w:t>
            </w:r>
            <w:r>
              <w:rPr>
                <w:rFonts w:hint="eastAsia" w:ascii="宋体" w:hAnsi="宋体" w:cs="宋体"/>
                <w:color w:val="auto"/>
                <w:szCs w:val="21"/>
                <w:highlight w:val="none"/>
              </w:rPr>
              <w:t>独立实施，</w:t>
            </w:r>
            <w:r>
              <w:rPr>
                <w:rFonts w:hint="eastAsia" w:ascii="宋体" w:hAnsi="宋体" w:cs="宋体"/>
                <w:color w:val="auto"/>
                <w:szCs w:val="21"/>
                <w:highlight w:val="none"/>
                <w:lang w:val="en-US" w:eastAsia="zh-CN"/>
              </w:rPr>
              <w:t>中标人</w:t>
            </w:r>
            <w:r>
              <w:rPr>
                <w:rFonts w:hint="eastAsia" w:ascii="宋体" w:hAnsi="宋体" w:cs="宋体"/>
                <w:color w:val="auto"/>
                <w:szCs w:val="21"/>
                <w:highlight w:val="none"/>
              </w:rPr>
              <w:t>应予配合，不得阻挠、干扰抽样过程。</w:t>
            </w:r>
          </w:p>
          <w:p w14:paraId="4AEF14EA">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 xml:space="preserve">8.2 </w:t>
            </w:r>
            <w:r>
              <w:rPr>
                <w:rFonts w:hint="eastAsia" w:ascii="宋体" w:hAnsi="宋体" w:cs="宋体"/>
                <w:color w:val="auto"/>
                <w:szCs w:val="21"/>
                <w:highlight w:val="none"/>
                <w:lang w:val="en-US" w:eastAsia="zh-CN"/>
              </w:rPr>
              <w:t>采购人可自行对货物进行</w:t>
            </w:r>
            <w:r>
              <w:rPr>
                <w:rFonts w:hint="eastAsia" w:ascii="宋体" w:hAnsi="宋体" w:cs="宋体"/>
                <w:color w:val="auto"/>
                <w:szCs w:val="21"/>
                <w:highlight w:val="none"/>
              </w:rPr>
              <w:t>抽样送检，检测报告显示部分产品检测结果不合格的，</w:t>
            </w:r>
            <w:r>
              <w:rPr>
                <w:rFonts w:hint="eastAsia" w:ascii="宋体" w:hAnsi="宋体" w:cs="宋体"/>
                <w:color w:val="auto"/>
                <w:szCs w:val="21"/>
                <w:highlight w:val="none"/>
                <w:lang w:val="en-US" w:eastAsia="zh-CN"/>
              </w:rPr>
              <w:t>采购人</w:t>
            </w:r>
            <w:r>
              <w:rPr>
                <w:rFonts w:hint="eastAsia" w:ascii="宋体" w:hAnsi="宋体" w:cs="宋体"/>
                <w:color w:val="auto"/>
                <w:szCs w:val="21"/>
                <w:highlight w:val="none"/>
              </w:rPr>
              <w:t>有权对该部分不合格</w:t>
            </w:r>
            <w:r>
              <w:rPr>
                <w:rFonts w:hint="eastAsia" w:ascii="宋体" w:hAnsi="宋体" w:cs="宋体"/>
                <w:color w:val="auto"/>
                <w:szCs w:val="21"/>
                <w:highlight w:val="none"/>
                <w:lang w:val="en-US" w:eastAsia="zh-CN"/>
              </w:rPr>
              <w:t>产品</w:t>
            </w:r>
            <w:r>
              <w:rPr>
                <w:rFonts w:hint="eastAsia" w:ascii="宋体" w:hAnsi="宋体" w:cs="宋体"/>
                <w:color w:val="auto"/>
                <w:szCs w:val="21"/>
                <w:highlight w:val="none"/>
              </w:rPr>
              <w:t>作退货处理</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并</w:t>
            </w:r>
            <w:r>
              <w:rPr>
                <w:rFonts w:hint="eastAsia" w:ascii="宋体" w:hAnsi="宋体" w:cs="宋体"/>
                <w:color w:val="auto"/>
                <w:szCs w:val="21"/>
                <w:highlight w:val="none"/>
              </w:rPr>
              <w:t>对该批次</w:t>
            </w:r>
            <w:r>
              <w:rPr>
                <w:rFonts w:hint="eastAsia" w:ascii="宋体" w:hAnsi="宋体" w:cs="宋体"/>
                <w:color w:val="auto"/>
                <w:szCs w:val="21"/>
                <w:highlight w:val="none"/>
                <w:lang w:val="en-US" w:eastAsia="zh-CN"/>
              </w:rPr>
              <w:t>产品进行</w:t>
            </w:r>
            <w:r>
              <w:rPr>
                <w:rFonts w:hint="eastAsia" w:ascii="宋体" w:hAnsi="宋体" w:cs="宋体"/>
                <w:color w:val="auto"/>
                <w:szCs w:val="21"/>
                <w:highlight w:val="none"/>
              </w:rPr>
              <w:t>追加抽样复检</w:t>
            </w:r>
            <w:r>
              <w:rPr>
                <w:rFonts w:hint="eastAsia" w:ascii="宋体" w:hAnsi="宋体" w:cs="宋体"/>
                <w:color w:val="auto"/>
                <w:szCs w:val="21"/>
                <w:highlight w:val="none"/>
                <w:lang w:eastAsia="zh-CN"/>
              </w:rPr>
              <w:t>，</w:t>
            </w:r>
            <w:r>
              <w:rPr>
                <w:rFonts w:hint="eastAsia" w:ascii="宋体" w:hAnsi="宋体" w:cs="宋体"/>
                <w:color w:val="auto"/>
                <w:szCs w:val="21"/>
                <w:highlight w:val="none"/>
              </w:rPr>
              <w:t>若</w:t>
            </w:r>
            <w:r>
              <w:rPr>
                <w:rFonts w:hint="eastAsia" w:ascii="宋体" w:hAnsi="宋体" w:cs="宋体"/>
                <w:color w:val="auto"/>
                <w:szCs w:val="21"/>
                <w:highlight w:val="none"/>
                <w:lang w:val="en-US" w:eastAsia="zh-CN"/>
              </w:rPr>
              <w:t>第二次抽样</w:t>
            </w:r>
            <w:r>
              <w:rPr>
                <w:rFonts w:hint="eastAsia" w:ascii="宋体" w:hAnsi="宋体" w:cs="宋体"/>
                <w:color w:val="auto"/>
                <w:szCs w:val="21"/>
                <w:highlight w:val="none"/>
              </w:rPr>
              <w:t>的</w:t>
            </w:r>
            <w:r>
              <w:rPr>
                <w:rFonts w:hint="eastAsia" w:ascii="宋体" w:hAnsi="宋体" w:cs="宋体"/>
                <w:color w:val="auto"/>
                <w:szCs w:val="21"/>
                <w:highlight w:val="none"/>
                <w:lang w:val="en-US" w:eastAsia="zh-CN"/>
              </w:rPr>
              <w:t>产品检验结果仍有</w:t>
            </w:r>
            <w:r>
              <w:rPr>
                <w:rFonts w:hint="eastAsia" w:ascii="宋体" w:hAnsi="宋体" w:cs="宋体"/>
                <w:color w:val="auto"/>
                <w:szCs w:val="21"/>
                <w:highlight w:val="none"/>
              </w:rPr>
              <w:t>不合格，</w:t>
            </w:r>
            <w:r>
              <w:rPr>
                <w:rFonts w:hint="eastAsia" w:ascii="宋体" w:hAnsi="宋体" w:cs="宋体"/>
                <w:color w:val="auto"/>
                <w:szCs w:val="21"/>
                <w:highlight w:val="none"/>
                <w:lang w:val="en-US" w:eastAsia="zh-CN"/>
              </w:rPr>
              <w:t>采购人</w:t>
            </w:r>
            <w:r>
              <w:rPr>
                <w:rFonts w:hint="eastAsia" w:ascii="宋体" w:hAnsi="宋体" w:cs="宋体"/>
                <w:color w:val="auto"/>
                <w:szCs w:val="21"/>
                <w:highlight w:val="none"/>
              </w:rPr>
              <w:t>有权对整批产品全部退货</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中标人须</w:t>
            </w:r>
            <w:r>
              <w:rPr>
                <w:rFonts w:hint="eastAsia" w:ascii="宋体" w:hAnsi="宋体" w:cs="宋体"/>
                <w:color w:val="auto"/>
                <w:szCs w:val="21"/>
                <w:highlight w:val="none"/>
              </w:rPr>
              <w:t>承担由此产生的一切损失</w:t>
            </w:r>
            <w:r>
              <w:rPr>
                <w:rFonts w:hint="eastAsia" w:ascii="宋体" w:hAnsi="宋体" w:cs="宋体"/>
                <w:color w:val="auto"/>
                <w:szCs w:val="21"/>
                <w:highlight w:val="none"/>
                <w:lang w:eastAsia="zh-CN"/>
              </w:rPr>
              <w:t>。</w:t>
            </w:r>
          </w:p>
          <w:p w14:paraId="2C4952B5">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8.3 经检验，整批食材检验结果不合格的，甲方有权对该批次全部食材予以退货，</w:t>
            </w:r>
            <w:r>
              <w:rPr>
                <w:rFonts w:hint="eastAsia" w:ascii="宋体" w:hAnsi="宋体" w:cs="宋体"/>
                <w:color w:val="auto"/>
                <w:szCs w:val="21"/>
                <w:highlight w:val="none"/>
                <w:lang w:val="en-US" w:eastAsia="zh-CN"/>
              </w:rPr>
              <w:t>中标人须</w:t>
            </w:r>
            <w:r>
              <w:rPr>
                <w:rFonts w:hint="eastAsia" w:ascii="宋体" w:hAnsi="宋体" w:cs="宋体"/>
                <w:color w:val="auto"/>
                <w:szCs w:val="21"/>
                <w:highlight w:val="none"/>
              </w:rPr>
              <w:t>承担由此产生的一切损失</w:t>
            </w:r>
            <w:r>
              <w:rPr>
                <w:rFonts w:hint="eastAsia" w:ascii="宋体" w:hAnsi="宋体" w:cs="宋体"/>
                <w:color w:val="auto"/>
                <w:szCs w:val="21"/>
                <w:highlight w:val="none"/>
                <w:lang w:eastAsia="zh-CN"/>
              </w:rPr>
              <w:t>。</w:t>
            </w:r>
          </w:p>
          <w:p w14:paraId="04F36AA8">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9.货物的质量问题争议及解决办法：因货物的质量问题发生争议，由东莞市市场监督管理局或国家法定的质量鉴定相关单位进行质量鉴定。货物符合质量标准的，鉴定费由采购人承担；货物不符合质量标准的，鉴定费由中标人承担，并且采购人有权追究中标人的相关责任。</w:t>
            </w:r>
          </w:p>
          <w:p w14:paraId="0638A776">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10.若采购的为进口产品，中标人应保证所供产品</w:t>
            </w:r>
            <w:r>
              <w:rPr>
                <w:rFonts w:hint="eastAsia" w:ascii="宋体" w:hAnsi="宋体" w:cs="宋体"/>
                <w:color w:val="auto"/>
                <w:szCs w:val="21"/>
                <w:highlight w:val="none"/>
                <w:lang w:val="en-US" w:eastAsia="zh-CN"/>
              </w:rPr>
              <w:t>已</w:t>
            </w:r>
            <w:r>
              <w:rPr>
                <w:rFonts w:hint="eastAsia" w:ascii="宋体" w:hAnsi="宋体" w:cs="宋体"/>
                <w:color w:val="auto"/>
                <w:szCs w:val="21"/>
                <w:highlight w:val="none"/>
              </w:rPr>
              <w:t>履行合法报通关手续进入中国关境内，且需向采购人提供进口食品的合法证明、</w:t>
            </w:r>
            <w:r>
              <w:rPr>
                <w:rFonts w:hint="eastAsia"/>
                <w:color w:val="auto"/>
                <w:highlight w:val="none"/>
              </w:rPr>
              <w:t>检验检疫证明、报关证明、出口国家出境证明等相关证明材料，缺少相关证明的产品，采购人有权拒收</w:t>
            </w:r>
            <w:r>
              <w:rPr>
                <w:rFonts w:hint="eastAsia" w:ascii="宋体" w:hAnsi="宋体" w:cs="宋体"/>
                <w:color w:val="auto"/>
                <w:szCs w:val="21"/>
                <w:highlight w:val="none"/>
              </w:rPr>
              <w:t>。</w:t>
            </w:r>
          </w:p>
        </w:tc>
      </w:tr>
      <w:tr w14:paraId="65A50E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01" w:hRule="atLeast"/>
        </w:trPr>
        <w:tc>
          <w:tcPr>
            <w:tcW w:w="718" w:type="dxa"/>
            <w:vAlign w:val="center"/>
          </w:tcPr>
          <w:p w14:paraId="03552D8A">
            <w:pPr>
              <w:shd w:val="clear"/>
              <w:spacing w:after="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1085" w:type="dxa"/>
            <w:vAlign w:val="center"/>
          </w:tcPr>
          <w:p w14:paraId="2499D70D">
            <w:pPr>
              <w:shd w:val="clear"/>
              <w:spacing w:after="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违约处理</w:t>
            </w:r>
          </w:p>
        </w:tc>
        <w:tc>
          <w:tcPr>
            <w:tcW w:w="6882" w:type="dxa"/>
            <w:vAlign w:val="center"/>
          </w:tcPr>
          <w:p w14:paraId="7A5CBD2E">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针对中标人在</w:t>
            </w:r>
            <w:r>
              <w:rPr>
                <w:rFonts w:hint="eastAsia" w:ascii="宋体" w:hAnsi="宋体" w:cs="宋体"/>
                <w:color w:val="auto"/>
                <w:szCs w:val="21"/>
                <w:highlight w:val="none"/>
                <w:lang w:val="en-US" w:eastAsia="zh-CN"/>
              </w:rPr>
              <w:t>合同履行</w:t>
            </w:r>
            <w:r>
              <w:rPr>
                <w:rFonts w:hint="eastAsia" w:ascii="宋体" w:hAnsi="宋体" w:cs="宋体"/>
                <w:color w:val="auto"/>
                <w:szCs w:val="21"/>
                <w:highlight w:val="none"/>
              </w:rPr>
              <w:t xml:space="preserve">过程中出现的违反采购文件或合同约定的行为，采购人有权对中标人收取违约金，违约金从未结配送费中扣除。情节严重的,采购人有权单方终止合同,并依法追究中标人法律责任。 </w:t>
            </w:r>
          </w:p>
          <w:p w14:paraId="5FD9E521">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1、中标人没有使用专用载具运输配送的，按当批货物货值的5%收取违约金，且采购人有权拒收该批次所有货品。</w:t>
            </w:r>
          </w:p>
          <w:p w14:paraId="32722943">
            <w:pPr>
              <w:shd w:val="clear"/>
              <w:spacing w:after="0"/>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rPr>
              <w:t>2、中标人提供过期、变质货品的，问题产品同批次产品全部予以退货，按当批货物货值的</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%收取违约金，违约金不足以弥补采购人损失的，中标人还需补足。</w:t>
            </w:r>
            <w:r>
              <w:rPr>
                <w:rFonts w:hint="eastAsia" w:ascii="宋体" w:hAnsi="宋体" w:cs="宋体"/>
                <w:color w:val="auto"/>
                <w:szCs w:val="21"/>
                <w:highlight w:val="none"/>
                <w:lang w:val="en-US" w:eastAsia="zh-CN"/>
              </w:rPr>
              <w:t>中标人还须执行采购人的退、换货要求。</w:t>
            </w:r>
            <w:r>
              <w:rPr>
                <w:rFonts w:hint="eastAsia" w:ascii="宋体" w:hAnsi="宋体" w:cs="宋体"/>
                <w:color w:val="auto"/>
                <w:szCs w:val="21"/>
                <w:highlight w:val="none"/>
              </w:rPr>
              <w:t>造成食品安全问题的，中标人应依法承担责任，且采购人有权拒收该批次所有货品。</w:t>
            </w:r>
          </w:p>
          <w:p w14:paraId="5AF4ED36">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 xml:space="preserve">3、中标人供货数量与采购人订单偏差超过±10%但没有事先说明的，每次提交违约金人民币500元。 </w:t>
            </w:r>
          </w:p>
          <w:p w14:paraId="7FD6F68D">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4、中标人接受了采购人的采购订单，但不能按要求提供配送服务，导致采购人供餐受影响的，每次按货值的</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 xml:space="preserve">%处以违约金。 </w:t>
            </w:r>
          </w:p>
          <w:p w14:paraId="2CE8AFB8">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5、已经定价的货品，中标人称没货，但采购人能通过常规途径在市场、超市等场所购买到所需数量的，每次按货值的</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 xml:space="preserve">%处以违约金。 </w:t>
            </w:r>
          </w:p>
          <w:p w14:paraId="14D68BF0">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 xml:space="preserve">6、中标人货品溯源制度不落实、进货查验记录不全的，每次按货值的3%处以违约金。 </w:t>
            </w:r>
          </w:p>
          <w:p w14:paraId="0B7FDED5">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7、中标人上述违约行为累计发生已达3次的，再发生时每次提交违约金人民币1000元，且采购人有权单方终止合同。</w:t>
            </w:r>
          </w:p>
          <w:p w14:paraId="5282E719">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8、中标人无故中途退出，</w:t>
            </w:r>
            <w:r>
              <w:rPr>
                <w:rFonts w:hint="eastAsia" w:ascii="宋体" w:hAnsi="宋体" w:cs="宋体"/>
                <w:color w:val="auto"/>
                <w:szCs w:val="21"/>
                <w:highlight w:val="none"/>
                <w:lang w:val="en-US" w:eastAsia="zh-CN"/>
              </w:rPr>
              <w:t>采购人有权</w:t>
            </w:r>
            <w:r>
              <w:rPr>
                <w:rFonts w:hint="eastAsia" w:ascii="宋体" w:hAnsi="宋体" w:cs="宋体"/>
                <w:color w:val="auto"/>
                <w:szCs w:val="21"/>
                <w:highlight w:val="none"/>
              </w:rPr>
              <w:t>没收履约</w:t>
            </w:r>
            <w:r>
              <w:rPr>
                <w:rFonts w:hint="eastAsia" w:ascii="宋体" w:hAnsi="宋体" w:cs="宋体"/>
                <w:color w:val="auto"/>
                <w:szCs w:val="21"/>
                <w:highlight w:val="none"/>
                <w:lang w:val="en-US" w:eastAsia="zh-CN"/>
              </w:rPr>
              <w:t>担</w:t>
            </w:r>
            <w:r>
              <w:rPr>
                <w:rFonts w:hint="eastAsia" w:ascii="宋体" w:hAnsi="宋体" w:cs="宋体"/>
                <w:color w:val="auto"/>
                <w:szCs w:val="21"/>
                <w:highlight w:val="none"/>
              </w:rPr>
              <w:t>保。</w:t>
            </w:r>
          </w:p>
          <w:p w14:paraId="3191AA4A">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9、本项目服务期间，中标人必须独立经营，不得以挂靠形式经营，不得存在违法分包、转包等情况，一经发现上述任意情况，采购人有权单方无条件终止合同，</w:t>
            </w:r>
            <w:bookmarkStart w:id="23" w:name="OLE_LINK3"/>
            <w:r>
              <w:rPr>
                <w:rFonts w:hint="eastAsia" w:ascii="宋体" w:hAnsi="宋体" w:cs="宋体"/>
                <w:color w:val="auto"/>
                <w:szCs w:val="21"/>
                <w:highlight w:val="none"/>
              </w:rPr>
              <w:t>没收履约</w:t>
            </w:r>
            <w:r>
              <w:rPr>
                <w:rFonts w:hint="eastAsia" w:ascii="宋体" w:hAnsi="宋体" w:cs="宋体"/>
                <w:color w:val="auto"/>
                <w:szCs w:val="21"/>
                <w:highlight w:val="none"/>
                <w:lang w:val="en-US" w:eastAsia="zh-CN"/>
              </w:rPr>
              <w:t>担</w:t>
            </w:r>
            <w:r>
              <w:rPr>
                <w:rFonts w:hint="eastAsia" w:ascii="宋体" w:hAnsi="宋体" w:cs="宋体"/>
                <w:color w:val="auto"/>
                <w:szCs w:val="21"/>
                <w:highlight w:val="none"/>
              </w:rPr>
              <w:t>保</w:t>
            </w:r>
            <w:bookmarkEnd w:id="23"/>
            <w:r>
              <w:rPr>
                <w:rFonts w:hint="eastAsia" w:ascii="宋体" w:hAnsi="宋体" w:cs="宋体"/>
                <w:color w:val="auto"/>
                <w:szCs w:val="21"/>
                <w:highlight w:val="none"/>
              </w:rPr>
              <w:t>，并将中标人纳入东实集团合作黑名单，期限为2年，时间以合同终止日起算，被列入黑名单的单位在规定期限内不得参与东实集团项目投标。</w:t>
            </w:r>
          </w:p>
        </w:tc>
      </w:tr>
      <w:tr w14:paraId="17849B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61" w:hRule="atLeast"/>
        </w:trPr>
        <w:tc>
          <w:tcPr>
            <w:tcW w:w="718" w:type="dxa"/>
            <w:vAlign w:val="center"/>
          </w:tcPr>
          <w:p w14:paraId="39F2822D">
            <w:pPr>
              <w:shd w:val="clear"/>
              <w:spacing w:after="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1085" w:type="dxa"/>
            <w:vAlign w:val="center"/>
          </w:tcPr>
          <w:p w14:paraId="2F1C05B8">
            <w:pPr>
              <w:shd w:val="clear"/>
              <w:spacing w:after="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其他要求</w:t>
            </w:r>
          </w:p>
        </w:tc>
        <w:tc>
          <w:tcPr>
            <w:tcW w:w="6882" w:type="dxa"/>
            <w:vAlign w:val="center"/>
          </w:tcPr>
          <w:p w14:paraId="1F92D9E1">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1、中标人必须服从采购人的监督、管理，配合采购人到货品配送点进行现场考察。</w:t>
            </w:r>
          </w:p>
          <w:p w14:paraId="1C5903B0">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 xml:space="preserve">2、食品供应链要求：所有食品的来源必须清晰可追溯和追责。 </w:t>
            </w:r>
          </w:p>
          <w:p w14:paraId="51A5B029">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3、如发现中标人泄露采购人的秘密，或有弄虚作假行为（如提供假证照、供应假冒伪劣产品等）,或以贿赂等不正当手段获取配送资格的，即时取消成交资格</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解除合同</w:t>
            </w:r>
            <w:r>
              <w:rPr>
                <w:rFonts w:hint="eastAsia" w:ascii="宋体" w:hAnsi="宋体" w:cs="宋体"/>
                <w:color w:val="auto"/>
                <w:szCs w:val="21"/>
                <w:highlight w:val="none"/>
              </w:rPr>
              <w:t xml:space="preserve">，情节严重的还将依法追究其经济责任和法律责任。 </w:t>
            </w:r>
          </w:p>
          <w:p w14:paraId="646DD1D0">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4、中标人存在违反采购文件和合同约定的行为，并且不予纠正的，将取消其成交资格</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解除合同</w:t>
            </w:r>
            <w:r>
              <w:rPr>
                <w:rFonts w:hint="eastAsia" w:ascii="宋体" w:hAnsi="宋体" w:cs="宋体"/>
                <w:color w:val="auto"/>
                <w:szCs w:val="21"/>
                <w:highlight w:val="none"/>
              </w:rPr>
              <w:t xml:space="preserve">。此项下违约行为包括但不限于下列各项： </w:t>
            </w:r>
          </w:p>
          <w:p w14:paraId="5461131C">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 xml:space="preserve">（1）中标人在收到采购人订货要求后，在承诺的供货时间内不能供货的。 </w:t>
            </w:r>
          </w:p>
          <w:p w14:paraId="1522553D">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（2）中标人未能提供承诺的服务的。</w:t>
            </w:r>
          </w:p>
          <w:p w14:paraId="25E1ED41">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 xml:space="preserve">（3）中标人不能在约定时间内提供合法票据进行结算的。 </w:t>
            </w:r>
          </w:p>
          <w:p w14:paraId="62577C0E">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（4）中标人送货人员在采购人单位活动但不遵守采购人单位各项规章制度或做出有损采购人形象和利益的事情的。</w:t>
            </w:r>
          </w:p>
        </w:tc>
      </w:tr>
      <w:tr w14:paraId="63701A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61" w:hRule="atLeast"/>
        </w:trPr>
        <w:tc>
          <w:tcPr>
            <w:tcW w:w="718" w:type="dxa"/>
            <w:vAlign w:val="center"/>
          </w:tcPr>
          <w:p w14:paraId="71156D10">
            <w:pPr>
              <w:shd w:val="clear"/>
              <w:spacing w:after="0"/>
              <w:jc w:val="center"/>
              <w:rPr>
                <w:rFonts w:hint="eastAsia"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9</w:t>
            </w:r>
          </w:p>
        </w:tc>
        <w:tc>
          <w:tcPr>
            <w:tcW w:w="1085" w:type="dxa"/>
            <w:vAlign w:val="center"/>
          </w:tcPr>
          <w:p w14:paraId="4947302D">
            <w:pPr>
              <w:shd w:val="clear"/>
              <w:spacing w:after="0"/>
              <w:jc w:val="center"/>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rPr>
              <w:t>★</w:t>
            </w:r>
            <w:r>
              <w:rPr>
                <w:rFonts w:hint="eastAsia" w:ascii="宋体" w:hAnsi="宋体" w:cs="宋体"/>
                <w:b/>
                <w:bCs/>
                <w:color w:val="auto"/>
                <w:sz w:val="21"/>
                <w:szCs w:val="21"/>
                <w:highlight w:val="none"/>
                <w:lang w:val="en-US" w:eastAsia="zh-CN"/>
              </w:rPr>
              <w:t>企业信誉</w:t>
            </w:r>
          </w:p>
        </w:tc>
        <w:tc>
          <w:tcPr>
            <w:tcW w:w="6882" w:type="dxa"/>
            <w:vAlign w:val="center"/>
          </w:tcPr>
          <w:p w14:paraId="2180EDE5">
            <w:pPr>
              <w:shd w:val="clear"/>
              <w:spacing w:after="0"/>
              <w:rPr>
                <w:rFonts w:hint="eastAsia" w:ascii="宋体" w:hAnsi="宋体" w:cs="宋体"/>
                <w:b/>
                <w:bCs/>
                <w:color w:val="auto"/>
                <w:szCs w:val="21"/>
                <w:highlight w:val="none"/>
              </w:rPr>
            </w:pPr>
            <w:r>
              <w:rPr>
                <w:rFonts w:hint="eastAsia" w:ascii="宋体" w:hAnsi="宋体" w:cs="宋体"/>
                <w:b/>
                <w:bCs/>
                <w:color w:val="auto"/>
                <w:szCs w:val="21"/>
                <w:highlight w:val="none"/>
              </w:rPr>
              <w:t>投标人</w:t>
            </w:r>
            <w:r>
              <w:rPr>
                <w:rFonts w:hint="eastAsia" w:ascii="宋体" w:hAnsi="宋体" w:cs="宋体"/>
                <w:b/>
                <w:bCs/>
                <w:color w:val="auto"/>
                <w:szCs w:val="21"/>
                <w:highlight w:val="none"/>
                <w:lang w:val="en-US" w:eastAsia="zh-CN"/>
              </w:rPr>
              <w:t>须承诺</w:t>
            </w:r>
            <w:r>
              <w:rPr>
                <w:rFonts w:hint="eastAsia" w:ascii="宋体" w:hAnsi="宋体" w:cs="宋体"/>
                <w:b/>
                <w:bCs/>
                <w:color w:val="auto"/>
                <w:szCs w:val="21"/>
                <w:highlight w:val="none"/>
              </w:rPr>
              <w:t>近三年内（按递交投标文件截止日算）未受到市场管理或食药监部门的行政处罚或整改要求。</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rPr>
              <w:t>提供承诺函</w:t>
            </w:r>
            <w:r>
              <w:rPr>
                <w:rFonts w:hint="eastAsia" w:ascii="宋体" w:hAnsi="宋体" w:cs="宋体"/>
                <w:b/>
                <w:bCs/>
                <w:color w:val="auto"/>
                <w:szCs w:val="21"/>
                <w:highlight w:val="none"/>
                <w:lang w:val="en-US" w:eastAsia="zh-CN"/>
              </w:rPr>
              <w:t>并</w:t>
            </w:r>
            <w:r>
              <w:rPr>
                <w:rFonts w:hint="eastAsia" w:ascii="宋体" w:hAnsi="宋体" w:cs="宋体"/>
                <w:b/>
                <w:bCs/>
                <w:color w:val="auto"/>
                <w:szCs w:val="21"/>
                <w:highlight w:val="none"/>
              </w:rPr>
              <w:t>加盖投标人公章</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lang w:val="en-US" w:eastAsia="zh-CN"/>
              </w:rPr>
              <w:t>格式自拟</w:t>
            </w:r>
            <w:r>
              <w:rPr>
                <w:rFonts w:hint="eastAsia" w:ascii="宋体" w:hAnsi="宋体" w:cs="宋体"/>
                <w:b/>
                <w:bCs/>
                <w:color w:val="auto"/>
                <w:szCs w:val="21"/>
                <w:highlight w:val="none"/>
              </w:rPr>
              <w:t>。</w:t>
            </w:r>
            <w:r>
              <w:rPr>
                <w:rFonts w:hint="eastAsia" w:ascii="宋体" w:hAnsi="宋体" w:cs="宋体"/>
                <w:b/>
                <w:bCs/>
                <w:color w:val="auto"/>
                <w:szCs w:val="21"/>
                <w:highlight w:val="none"/>
                <w:lang w:eastAsia="zh-CN"/>
              </w:rPr>
              <w:t>）</w:t>
            </w:r>
          </w:p>
        </w:tc>
      </w:tr>
      <w:tr w14:paraId="5CB33D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61" w:hRule="atLeast"/>
        </w:trPr>
        <w:tc>
          <w:tcPr>
            <w:tcW w:w="718" w:type="dxa"/>
            <w:vAlign w:val="center"/>
          </w:tcPr>
          <w:p w14:paraId="36C476E6">
            <w:pPr>
              <w:shd w:val="clear"/>
              <w:spacing w:after="0"/>
              <w:jc w:val="center"/>
              <w:rPr>
                <w:rFonts w:hint="default" w:ascii="宋体" w:hAnsi="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10</w:t>
            </w:r>
          </w:p>
        </w:tc>
        <w:tc>
          <w:tcPr>
            <w:tcW w:w="1085" w:type="dxa"/>
            <w:vAlign w:val="center"/>
          </w:tcPr>
          <w:p w14:paraId="6EAD315A">
            <w:pPr>
              <w:shd w:val="clear"/>
              <w:spacing w:after="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2"/>
                <w:szCs w:val="22"/>
                <w:highlight w:val="none"/>
                <w:lang w:val="pt-BR" w:eastAsia="zh-CN"/>
              </w:rPr>
              <w:t>食品安全责任险</w:t>
            </w:r>
          </w:p>
        </w:tc>
        <w:tc>
          <w:tcPr>
            <w:tcW w:w="6882" w:type="dxa"/>
            <w:vAlign w:val="center"/>
          </w:tcPr>
          <w:p w14:paraId="2A85E2C5">
            <w:pPr>
              <w:numPr>
                <w:ilvl w:val="0"/>
                <w:numId w:val="0"/>
              </w:numPr>
              <w:shd w:val="clear"/>
              <w:spacing w:after="0" w:line="440" w:lineRule="exact"/>
              <w:rPr>
                <w:rFonts w:hint="eastAsia" w:ascii="宋体" w:hAnsi="宋体" w:cs="宋体"/>
                <w:b/>
                <w:bCs/>
                <w:color w:val="auto"/>
                <w:szCs w:val="21"/>
                <w:highlight w:val="none"/>
              </w:rPr>
            </w:pPr>
            <w:r>
              <w:rPr>
                <w:rFonts w:hint="eastAsia" w:ascii="宋体" w:hAnsi="宋体" w:cs="宋体"/>
                <w:b/>
                <w:bCs/>
                <w:color w:val="auto"/>
                <w:sz w:val="22"/>
                <w:szCs w:val="22"/>
                <w:highlight w:val="none"/>
                <w:lang w:val="en-US" w:eastAsia="zh-CN"/>
              </w:rPr>
              <w:t>投标人须承诺</w:t>
            </w:r>
            <w:r>
              <w:rPr>
                <w:rFonts w:hint="eastAsia" w:ascii="宋体" w:hAnsi="宋体" w:eastAsia="宋体" w:cs="宋体"/>
                <w:b/>
                <w:bCs/>
                <w:color w:val="auto"/>
                <w:sz w:val="22"/>
                <w:szCs w:val="22"/>
                <w:highlight w:val="none"/>
                <w:lang w:val="pt-BR" w:eastAsia="zh-CN"/>
              </w:rPr>
              <w:t>中标后为采购人提供一份食品安全责任险</w:t>
            </w:r>
            <w:r>
              <w:rPr>
                <w:rFonts w:hint="eastAsia" w:ascii="宋体" w:hAnsi="宋体" w:cs="宋体"/>
                <w:b/>
                <w:bCs/>
                <w:color w:val="auto"/>
                <w:sz w:val="22"/>
                <w:szCs w:val="22"/>
                <w:highlight w:val="none"/>
                <w:lang w:val="pt-BR" w:eastAsia="zh-CN"/>
              </w:rPr>
              <w:t>，</w:t>
            </w:r>
            <w:r>
              <w:rPr>
                <w:rFonts w:hint="eastAsia" w:ascii="宋体" w:hAnsi="宋体" w:eastAsia="宋体" w:cs="宋体"/>
                <w:b/>
                <w:bCs/>
                <w:color w:val="auto"/>
                <w:sz w:val="22"/>
                <w:szCs w:val="22"/>
                <w:highlight w:val="none"/>
                <w:lang w:val="pt-BR" w:eastAsia="zh-CN"/>
              </w:rPr>
              <w:t>以采购人为受益人</w:t>
            </w:r>
            <w:r>
              <w:rPr>
                <w:rFonts w:hint="eastAsia" w:ascii="宋体" w:hAnsi="宋体" w:cs="宋体"/>
                <w:b/>
                <w:bCs/>
                <w:color w:val="auto"/>
                <w:sz w:val="22"/>
                <w:szCs w:val="22"/>
                <w:highlight w:val="none"/>
                <w:lang w:val="pt-BR" w:eastAsia="zh-CN"/>
              </w:rPr>
              <w:t>，</w:t>
            </w:r>
            <w:r>
              <w:rPr>
                <w:rFonts w:hint="eastAsia" w:ascii="宋体" w:hAnsi="宋体" w:cs="宋体"/>
                <w:b/>
                <w:bCs/>
                <w:color w:val="auto"/>
                <w:sz w:val="22"/>
                <w:szCs w:val="22"/>
                <w:highlight w:val="none"/>
                <w:lang w:val="en-US" w:eastAsia="zh-CN"/>
              </w:rPr>
              <w:t>保险期覆盖本项目合同有效期且</w:t>
            </w:r>
            <w:r>
              <w:rPr>
                <w:rFonts w:hint="eastAsia" w:ascii="宋体" w:hAnsi="宋体" w:eastAsia="宋体" w:cs="宋体"/>
                <w:b/>
                <w:bCs/>
                <w:color w:val="auto"/>
                <w:sz w:val="22"/>
                <w:szCs w:val="22"/>
                <w:highlight w:val="none"/>
                <w:lang w:val="pt-BR" w:eastAsia="zh-CN"/>
              </w:rPr>
              <w:t>食品安全责任险保险金额</w:t>
            </w:r>
            <w:r>
              <w:rPr>
                <w:rFonts w:hint="eastAsia" w:ascii="宋体" w:hAnsi="宋体" w:cs="宋体"/>
                <w:b/>
                <w:bCs/>
                <w:color w:val="auto"/>
                <w:sz w:val="22"/>
                <w:szCs w:val="22"/>
                <w:highlight w:val="none"/>
                <w:lang w:val="en-US" w:eastAsia="zh-CN"/>
              </w:rPr>
              <w:t>承诺不低于5</w:t>
            </w:r>
            <w:r>
              <w:rPr>
                <w:rFonts w:hint="eastAsia" w:ascii="宋体" w:hAnsi="宋体" w:eastAsia="宋体" w:cs="宋体"/>
                <w:b/>
                <w:bCs/>
                <w:color w:val="auto"/>
                <w:sz w:val="22"/>
                <w:szCs w:val="22"/>
                <w:highlight w:val="none"/>
                <w:lang w:val="pt-BR" w:eastAsia="zh-CN"/>
              </w:rPr>
              <w:t>00万元</w:t>
            </w:r>
            <w:r>
              <w:rPr>
                <w:rFonts w:hint="eastAsia" w:ascii="宋体" w:hAnsi="宋体" w:cs="宋体"/>
                <w:b/>
                <w:bCs/>
                <w:color w:val="auto"/>
                <w:sz w:val="22"/>
                <w:szCs w:val="22"/>
                <w:highlight w:val="none"/>
                <w:lang w:val="pt-BR" w:eastAsia="zh-CN"/>
              </w:rPr>
              <w:t>。</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rPr>
              <w:t>提供承诺函</w:t>
            </w:r>
            <w:r>
              <w:rPr>
                <w:rFonts w:hint="eastAsia" w:ascii="宋体" w:hAnsi="宋体" w:cs="宋体"/>
                <w:b/>
                <w:bCs/>
                <w:color w:val="auto"/>
                <w:szCs w:val="21"/>
                <w:highlight w:val="none"/>
                <w:lang w:val="en-US" w:eastAsia="zh-CN"/>
              </w:rPr>
              <w:t>并</w:t>
            </w:r>
            <w:r>
              <w:rPr>
                <w:rFonts w:hint="eastAsia" w:ascii="宋体" w:hAnsi="宋体" w:cs="宋体"/>
                <w:b/>
                <w:bCs/>
                <w:color w:val="auto"/>
                <w:szCs w:val="21"/>
                <w:highlight w:val="none"/>
              </w:rPr>
              <w:t>加盖投标人公章</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lang w:val="en-US" w:eastAsia="zh-CN"/>
              </w:rPr>
              <w:t>格式自拟</w:t>
            </w:r>
            <w:r>
              <w:rPr>
                <w:rFonts w:hint="eastAsia" w:ascii="宋体" w:hAnsi="宋体" w:cs="宋体"/>
                <w:b/>
                <w:bCs/>
                <w:color w:val="auto"/>
                <w:szCs w:val="21"/>
                <w:highlight w:val="none"/>
              </w:rPr>
              <w:t>。</w:t>
            </w:r>
            <w:r>
              <w:rPr>
                <w:rFonts w:hint="eastAsia" w:ascii="宋体" w:hAnsi="宋体" w:cs="宋体"/>
                <w:b/>
                <w:bCs/>
                <w:color w:val="auto"/>
                <w:szCs w:val="21"/>
                <w:highlight w:val="none"/>
                <w:lang w:eastAsia="zh-CN"/>
              </w:rPr>
              <w:t>）</w:t>
            </w:r>
          </w:p>
        </w:tc>
      </w:tr>
      <w:tr w14:paraId="7883A0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01" w:hRule="atLeast"/>
        </w:trPr>
        <w:tc>
          <w:tcPr>
            <w:tcW w:w="718" w:type="dxa"/>
            <w:vAlign w:val="center"/>
          </w:tcPr>
          <w:p w14:paraId="46E686AF">
            <w:pPr>
              <w:shd w:val="clear"/>
              <w:spacing w:after="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1085" w:type="dxa"/>
            <w:vAlign w:val="center"/>
          </w:tcPr>
          <w:p w14:paraId="00E67076">
            <w:pPr>
              <w:shd w:val="clear"/>
              <w:spacing w:after="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投标有效期</w:t>
            </w:r>
          </w:p>
        </w:tc>
        <w:tc>
          <w:tcPr>
            <w:tcW w:w="6882" w:type="dxa"/>
            <w:vAlign w:val="center"/>
          </w:tcPr>
          <w:p w14:paraId="68332F5D">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自开标之日起90天。</w:t>
            </w:r>
          </w:p>
        </w:tc>
      </w:tr>
      <w:tr w14:paraId="2908DA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01" w:hRule="atLeast"/>
        </w:trPr>
        <w:tc>
          <w:tcPr>
            <w:tcW w:w="718" w:type="dxa"/>
            <w:vAlign w:val="center"/>
          </w:tcPr>
          <w:p w14:paraId="0A54626E">
            <w:pPr>
              <w:shd w:val="clear"/>
              <w:spacing w:after="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p>
        </w:tc>
        <w:tc>
          <w:tcPr>
            <w:tcW w:w="1085" w:type="dxa"/>
            <w:vAlign w:val="center"/>
          </w:tcPr>
          <w:p w14:paraId="4DEE3EC0">
            <w:pPr>
              <w:shd w:val="clear"/>
              <w:spacing w:after="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合同条款</w:t>
            </w:r>
          </w:p>
        </w:tc>
        <w:tc>
          <w:tcPr>
            <w:tcW w:w="6882" w:type="dxa"/>
            <w:vAlign w:val="center"/>
          </w:tcPr>
          <w:p w14:paraId="139B1812">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投标人实质响应合同各条款。</w:t>
            </w:r>
          </w:p>
        </w:tc>
      </w:tr>
    </w:tbl>
    <w:p w14:paraId="1D76298E">
      <w:pPr>
        <w:shd w:val="clear"/>
        <w:rPr>
          <w:rFonts w:hint="eastAsia" w:ascii="宋体" w:hAnsi="宋体" w:cs="宋体"/>
          <w:color w:val="auto"/>
          <w:highlight w:val="none"/>
        </w:rPr>
      </w:pPr>
      <w:bookmarkStart w:id="24" w:name="_Toc19316"/>
      <w:r>
        <w:rPr>
          <w:rFonts w:hint="eastAsia" w:ascii="宋体" w:hAnsi="宋体" w:cs="宋体"/>
          <w:color w:val="auto"/>
          <w:highlight w:val="none"/>
        </w:rPr>
        <w:br w:type="page"/>
      </w:r>
    </w:p>
    <w:p w14:paraId="03A19F9D">
      <w:pPr>
        <w:pStyle w:val="5"/>
        <w:shd w:val="clear"/>
        <w:spacing w:before="0" w:after="0" w:line="360" w:lineRule="auto"/>
        <w:jc w:val="center"/>
        <w:rPr>
          <w:rFonts w:hint="eastAsia" w:ascii="宋体" w:hAnsi="宋体" w:eastAsia="宋体" w:cs="宋体"/>
          <w:color w:val="auto"/>
          <w:sz w:val="28"/>
          <w:szCs w:val="28"/>
          <w:highlight w:val="none"/>
          <w:lang w:eastAsia="zh-CN"/>
        </w:rPr>
      </w:pPr>
      <w:bookmarkStart w:id="25" w:name="_Toc19646"/>
      <w:r>
        <w:rPr>
          <w:rFonts w:hint="eastAsia" w:ascii="宋体" w:hAnsi="宋体" w:cs="宋体"/>
          <w:color w:val="auto"/>
          <w:sz w:val="28"/>
          <w:szCs w:val="28"/>
          <w:highlight w:val="none"/>
        </w:rPr>
        <w:t>第一章 商务需求书</w:t>
      </w:r>
      <w:r>
        <w:rPr>
          <w:rFonts w:hint="eastAsia" w:ascii="宋体" w:hAnsi="宋体" w:cs="宋体"/>
          <w:color w:val="auto"/>
          <w:sz w:val="28"/>
          <w:szCs w:val="28"/>
          <w:highlight w:val="none"/>
          <w:lang w:eastAsia="zh-CN"/>
        </w:rPr>
        <w:t>（</w:t>
      </w:r>
      <w:r>
        <w:rPr>
          <w:rFonts w:hint="eastAsia" w:ascii="宋体" w:hAnsi="宋体" w:cs="宋体"/>
          <w:color w:val="auto"/>
          <w:sz w:val="28"/>
          <w:szCs w:val="28"/>
          <w:highlight w:val="none"/>
          <w:lang w:val="en-US" w:eastAsia="zh-CN"/>
        </w:rPr>
        <w:t>包B</w:t>
      </w:r>
      <w:r>
        <w:rPr>
          <w:rFonts w:hint="eastAsia" w:ascii="宋体" w:hAnsi="宋体" w:cs="宋体"/>
          <w:color w:val="auto"/>
          <w:sz w:val="28"/>
          <w:szCs w:val="28"/>
          <w:highlight w:val="none"/>
          <w:lang w:eastAsia="zh-CN"/>
        </w:rPr>
        <w:t>）</w:t>
      </w:r>
      <w:bookmarkEnd w:id="25"/>
    </w:p>
    <w:tbl>
      <w:tblPr>
        <w:tblStyle w:val="32"/>
        <w:tblW w:w="8696"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18"/>
        <w:gridCol w:w="1175"/>
        <w:gridCol w:w="6803"/>
      </w:tblGrid>
      <w:tr w14:paraId="2CE6B8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718" w:type="dxa"/>
            <w:vAlign w:val="center"/>
          </w:tcPr>
          <w:p w14:paraId="3712AD0E">
            <w:pPr>
              <w:shd w:val="clear"/>
              <w:spacing w:after="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1175" w:type="dxa"/>
            <w:vAlign w:val="center"/>
          </w:tcPr>
          <w:p w14:paraId="0B3FA75A">
            <w:pPr>
              <w:shd w:val="clear"/>
              <w:spacing w:after="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条款名称</w:t>
            </w:r>
          </w:p>
        </w:tc>
        <w:tc>
          <w:tcPr>
            <w:tcW w:w="6803" w:type="dxa"/>
            <w:vAlign w:val="center"/>
          </w:tcPr>
          <w:p w14:paraId="66CA4B34">
            <w:pPr>
              <w:shd w:val="clear"/>
              <w:jc w:val="center"/>
              <w:rPr>
                <w:rFonts w:hint="eastAsia" w:ascii="宋体" w:hAnsi="宋体" w:cs="宋体"/>
                <w:color w:val="auto"/>
                <w:szCs w:val="21"/>
                <w:highlight w:val="none"/>
              </w:rPr>
            </w:pPr>
            <w:r>
              <w:rPr>
                <w:rFonts w:hint="eastAsia" w:ascii="宋体" w:hAnsi="宋体" w:cs="宋体"/>
                <w:color w:val="auto"/>
                <w:szCs w:val="21"/>
                <w:highlight w:val="none"/>
              </w:rPr>
              <w:t>说  明</w:t>
            </w:r>
          </w:p>
        </w:tc>
      </w:tr>
      <w:tr w14:paraId="2A0A3A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1" w:hRule="atLeast"/>
        </w:trPr>
        <w:tc>
          <w:tcPr>
            <w:tcW w:w="718" w:type="dxa"/>
            <w:vAlign w:val="center"/>
          </w:tcPr>
          <w:p w14:paraId="75BF9551">
            <w:pPr>
              <w:shd w:val="clear"/>
              <w:spacing w:after="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175" w:type="dxa"/>
            <w:vAlign w:val="center"/>
          </w:tcPr>
          <w:p w14:paraId="29237EC4">
            <w:pPr>
              <w:shd w:val="clear"/>
              <w:spacing w:after="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合格投标人</w:t>
            </w:r>
          </w:p>
        </w:tc>
        <w:tc>
          <w:tcPr>
            <w:tcW w:w="6803" w:type="dxa"/>
            <w:vAlign w:val="center"/>
          </w:tcPr>
          <w:p w14:paraId="1F8C0E12">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详见“第一部分 投标邀请”中“二、投标人资格要求”</w:t>
            </w:r>
          </w:p>
        </w:tc>
      </w:tr>
      <w:tr w14:paraId="03C980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1" w:hRule="atLeast"/>
        </w:trPr>
        <w:tc>
          <w:tcPr>
            <w:tcW w:w="718" w:type="dxa"/>
            <w:vAlign w:val="center"/>
          </w:tcPr>
          <w:p w14:paraId="46F062CE">
            <w:pPr>
              <w:shd w:val="clear"/>
              <w:spacing w:after="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w:t>
            </w:r>
          </w:p>
        </w:tc>
        <w:tc>
          <w:tcPr>
            <w:tcW w:w="1175" w:type="dxa"/>
            <w:vAlign w:val="center"/>
          </w:tcPr>
          <w:p w14:paraId="49ED140F">
            <w:pPr>
              <w:shd w:val="clear"/>
              <w:spacing w:after="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★服务期</w:t>
            </w:r>
          </w:p>
        </w:tc>
        <w:tc>
          <w:tcPr>
            <w:tcW w:w="6803" w:type="dxa"/>
            <w:vAlign w:val="center"/>
          </w:tcPr>
          <w:p w14:paraId="62B4E049">
            <w:pPr>
              <w:shd w:val="clear"/>
              <w:spacing w:after="0"/>
              <w:rPr>
                <w:rFonts w:hint="eastAsia" w:ascii="宋体" w:hAnsi="宋体" w:eastAsia="宋体" w:cs="宋体"/>
                <w:b/>
                <w:bCs/>
                <w:color w:val="auto"/>
                <w:szCs w:val="21"/>
                <w:highlight w:val="none"/>
                <w:lang w:eastAsia="zh-CN"/>
              </w:rPr>
            </w:pPr>
            <w:r>
              <w:rPr>
                <w:rFonts w:hint="eastAsia" w:ascii="宋体" w:hAnsi="宋体" w:cs="宋体"/>
                <w:b/>
                <w:bCs/>
                <w:color w:val="auto"/>
                <w:szCs w:val="21"/>
                <w:highlight w:val="none"/>
              </w:rPr>
              <w:t>服务期:</w:t>
            </w:r>
            <w:r>
              <w:rPr>
                <w:rFonts w:hint="eastAsia" w:ascii="宋体" w:hAnsi="宋体" w:cs="宋体"/>
                <w:b/>
                <w:bCs/>
                <w:color w:val="auto"/>
                <w:szCs w:val="21"/>
                <w:highlight w:val="none"/>
                <w:lang w:eastAsia="zh-CN"/>
              </w:rPr>
              <w:t>一年（期满后采购人结合中标人履约情况，经综合评定后可考虑续签合同，续签期限最长为一年，服务总期限最长不超过</w:t>
            </w:r>
            <w:r>
              <w:rPr>
                <w:rFonts w:hint="eastAsia" w:ascii="宋体" w:hAnsi="宋体" w:cs="宋体"/>
                <w:b/>
                <w:bCs/>
                <w:color w:val="auto"/>
                <w:szCs w:val="21"/>
                <w:highlight w:val="none"/>
                <w:lang w:val="en-US" w:eastAsia="zh-CN"/>
              </w:rPr>
              <w:t>两</w:t>
            </w:r>
            <w:r>
              <w:rPr>
                <w:rFonts w:hint="eastAsia" w:ascii="宋体" w:hAnsi="宋体" w:cs="宋体"/>
                <w:b/>
                <w:bCs/>
                <w:color w:val="auto"/>
                <w:szCs w:val="21"/>
                <w:highlight w:val="none"/>
                <w:lang w:eastAsia="zh-CN"/>
              </w:rPr>
              <w:t>年）</w:t>
            </w:r>
          </w:p>
        </w:tc>
      </w:tr>
      <w:tr w14:paraId="774161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18" w:hRule="atLeast"/>
        </w:trPr>
        <w:tc>
          <w:tcPr>
            <w:tcW w:w="718" w:type="dxa"/>
            <w:vAlign w:val="center"/>
          </w:tcPr>
          <w:p w14:paraId="4FC8B165">
            <w:pPr>
              <w:shd w:val="clear"/>
              <w:spacing w:after="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w:t>
            </w:r>
          </w:p>
        </w:tc>
        <w:tc>
          <w:tcPr>
            <w:tcW w:w="1175" w:type="dxa"/>
            <w:vAlign w:val="center"/>
          </w:tcPr>
          <w:p w14:paraId="4D690E4C">
            <w:pPr>
              <w:shd w:val="clear"/>
              <w:spacing w:after="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★付款方式</w:t>
            </w:r>
          </w:p>
        </w:tc>
        <w:tc>
          <w:tcPr>
            <w:tcW w:w="6803" w:type="dxa"/>
            <w:vAlign w:val="center"/>
          </w:tcPr>
          <w:p w14:paraId="40C95636">
            <w:pPr>
              <w:shd w:val="clear"/>
              <w:spacing w:after="0"/>
              <w:rPr>
                <w:rFonts w:hint="eastAsia" w:ascii="宋体" w:hAnsi="宋体" w:cs="宋体"/>
                <w:b/>
                <w:bCs/>
                <w:color w:val="auto"/>
                <w:szCs w:val="21"/>
                <w:highlight w:val="none"/>
              </w:rPr>
            </w:pPr>
            <w:r>
              <w:rPr>
                <w:rFonts w:hint="eastAsia" w:ascii="宋体" w:hAnsi="宋体" w:cs="宋体"/>
                <w:b/>
                <w:bCs/>
                <w:color w:val="auto"/>
                <w:szCs w:val="21"/>
                <w:highlight w:val="none"/>
              </w:rPr>
              <w:t>1、本合同的付款方式为：采取“先送货后结款”的方式，货款按月</w:t>
            </w:r>
            <w:r>
              <w:rPr>
                <w:rFonts w:hint="eastAsia" w:ascii="宋体" w:hAnsi="宋体" w:cs="宋体"/>
                <w:b/>
                <w:bCs/>
                <w:color w:val="auto"/>
                <w:szCs w:val="21"/>
                <w:highlight w:val="none"/>
                <w:lang w:val="en-US" w:eastAsia="zh-CN"/>
              </w:rPr>
              <w:t>结</w:t>
            </w:r>
            <w:r>
              <w:rPr>
                <w:rFonts w:hint="eastAsia" w:ascii="宋体" w:hAnsi="宋体" w:cs="宋体"/>
                <w:b/>
                <w:bCs/>
                <w:color w:val="auto"/>
                <w:szCs w:val="21"/>
                <w:highlight w:val="none"/>
              </w:rPr>
              <w:t>算，当月含税</w:t>
            </w:r>
            <w:r>
              <w:rPr>
                <w:rFonts w:hint="eastAsia" w:ascii="宋体" w:hAnsi="宋体" w:eastAsia="宋体" w:cs="宋体"/>
                <w:b/>
                <w:bCs/>
                <w:color w:val="auto"/>
                <w:sz w:val="21"/>
                <w:szCs w:val="21"/>
                <w:highlight w:val="none"/>
              </w:rPr>
              <w:t>结算</w:t>
            </w:r>
            <w:r>
              <w:rPr>
                <w:rFonts w:hint="eastAsia" w:ascii="宋体" w:hAnsi="宋体" w:cs="宋体"/>
                <w:b/>
                <w:bCs/>
                <w:color w:val="auto"/>
                <w:szCs w:val="21"/>
                <w:highlight w:val="none"/>
              </w:rPr>
              <w:t>总价 = 当月适用的不含税结算单价 × (1 + 增值税</w:t>
            </w:r>
            <w:r>
              <w:rPr>
                <w:rFonts w:hint="eastAsia" w:ascii="宋体" w:hAnsi="宋体" w:cs="宋体"/>
                <w:b/>
                <w:bCs/>
                <w:color w:val="auto"/>
                <w:szCs w:val="21"/>
                <w:highlight w:val="none"/>
                <w:lang w:val="en-US" w:eastAsia="zh-CN"/>
              </w:rPr>
              <w:t>专票</w:t>
            </w:r>
            <w:r>
              <w:rPr>
                <w:rFonts w:hint="eastAsia" w:ascii="宋体" w:hAnsi="宋体" w:cs="宋体"/>
                <w:b/>
                <w:bCs/>
                <w:color w:val="auto"/>
                <w:szCs w:val="21"/>
                <w:highlight w:val="none"/>
              </w:rPr>
              <w:t xml:space="preserve">税率) × 当月实际验收合格数量。 </w:t>
            </w:r>
          </w:p>
          <w:p w14:paraId="63CA4ECF">
            <w:pPr>
              <w:shd w:val="clear"/>
              <w:spacing w:after="0"/>
              <w:rPr>
                <w:rFonts w:hint="eastAsia" w:ascii="宋体" w:hAnsi="宋体" w:cs="宋体"/>
                <w:b/>
                <w:bCs/>
                <w:color w:val="auto"/>
                <w:szCs w:val="21"/>
                <w:highlight w:val="none"/>
              </w:rPr>
            </w:pPr>
            <w:r>
              <w:rPr>
                <w:rFonts w:hint="eastAsia" w:ascii="宋体" w:hAnsi="宋体" w:cs="宋体"/>
                <w:b/>
                <w:bCs/>
                <w:color w:val="auto"/>
                <w:szCs w:val="21"/>
                <w:highlight w:val="none"/>
              </w:rPr>
              <w:t>2、每月结束后，中标人在10日内根据上月的收货凭证与采购人对上月货款进行确认结算。中标人根据实际结算金额，开具符合法律规定和合同约定的增值税专用发票，并与其他请款资料一并提交给采购人，采购人收到并核对无误后，90日内以银行转账方式支付货款。</w:t>
            </w:r>
          </w:p>
          <w:p w14:paraId="5BFE1329">
            <w:pPr>
              <w:shd w:val="clear"/>
              <w:rPr>
                <w:rFonts w:hint="eastAsia" w:ascii="宋体" w:hAnsi="宋体" w:cs="宋体"/>
                <w:b/>
                <w:bCs/>
                <w:color w:val="auto"/>
                <w:szCs w:val="21"/>
                <w:highlight w:val="none"/>
              </w:rPr>
            </w:pPr>
            <w:r>
              <w:rPr>
                <w:rFonts w:hint="eastAsia" w:ascii="宋体" w:hAnsi="宋体" w:cs="宋体"/>
                <w:b/>
                <w:bCs/>
                <w:color w:val="auto"/>
                <w:szCs w:val="21"/>
                <w:highlight w:val="none"/>
              </w:rPr>
              <w:t>3、收款方、发票的销售方、合同乙方均必须与中标人名称一致。</w:t>
            </w:r>
          </w:p>
          <w:p w14:paraId="440841AD">
            <w:pPr>
              <w:shd w:val="clear"/>
              <w:spacing w:after="0"/>
              <w:rPr>
                <w:rFonts w:hint="eastAsia" w:ascii="宋体" w:hAnsi="宋体" w:cs="宋体"/>
                <w:b/>
                <w:bCs/>
                <w:color w:val="auto"/>
                <w:szCs w:val="21"/>
                <w:highlight w:val="none"/>
              </w:rPr>
            </w:pPr>
            <w:r>
              <w:rPr>
                <w:rFonts w:hint="eastAsia" w:ascii="宋体" w:hAnsi="宋体" w:cs="宋体"/>
                <w:b/>
                <w:bCs/>
                <w:color w:val="auto"/>
                <w:szCs w:val="21"/>
                <w:highlight w:val="none"/>
              </w:rPr>
              <w:t>4、按照现行税收政策规定，每次付款前，中标人必须提供合法有效、与本合同总价款条款中增值税</w:t>
            </w:r>
            <w:r>
              <w:rPr>
                <w:rFonts w:hint="eastAsia" w:ascii="宋体" w:hAnsi="宋体" w:cs="宋体"/>
                <w:b/>
                <w:bCs/>
                <w:color w:val="auto"/>
                <w:szCs w:val="21"/>
                <w:highlight w:val="none"/>
                <w:lang w:val="en-US" w:eastAsia="zh-CN"/>
              </w:rPr>
              <w:t>专票</w:t>
            </w:r>
            <w:r>
              <w:rPr>
                <w:rFonts w:hint="eastAsia" w:ascii="宋体" w:hAnsi="宋体" w:cs="宋体"/>
                <w:b/>
                <w:bCs/>
                <w:color w:val="auto"/>
                <w:szCs w:val="21"/>
                <w:highlight w:val="none"/>
              </w:rPr>
              <w:t>税率一致（税收政策变化导致税率发生变化的除外）的增值税</w:t>
            </w:r>
            <w:r>
              <w:rPr>
                <w:rFonts w:hint="eastAsia" w:ascii="宋体" w:hAnsi="宋体" w:cs="宋体"/>
                <w:b/>
                <w:bCs/>
                <w:color w:val="auto"/>
                <w:szCs w:val="21"/>
                <w:highlight w:val="none"/>
                <w:lang w:val="en-US" w:eastAsia="zh-CN"/>
              </w:rPr>
              <w:t>专用</w:t>
            </w:r>
            <w:r>
              <w:rPr>
                <w:rFonts w:hint="eastAsia" w:ascii="宋体" w:hAnsi="宋体" w:cs="宋体"/>
                <w:b/>
                <w:bCs/>
                <w:color w:val="auto"/>
                <w:szCs w:val="21"/>
                <w:highlight w:val="none"/>
              </w:rPr>
              <w:t>发票给采购人，否则采购人有权拒绝付款且不构成违约。</w:t>
            </w:r>
          </w:p>
          <w:p w14:paraId="3D8A100D">
            <w:pPr>
              <w:shd w:val="clear"/>
              <w:spacing w:after="0"/>
              <w:rPr>
                <w:rFonts w:hint="eastAsia" w:ascii="宋体" w:hAnsi="宋体" w:cs="宋体"/>
                <w:b/>
                <w:bCs/>
                <w:color w:val="auto"/>
                <w:szCs w:val="21"/>
                <w:highlight w:val="none"/>
              </w:rPr>
            </w:pPr>
            <w:r>
              <w:rPr>
                <w:rFonts w:hint="eastAsia" w:ascii="宋体" w:hAnsi="宋体" w:cs="宋体"/>
                <w:b/>
                <w:bCs/>
                <w:color w:val="auto"/>
                <w:szCs w:val="21"/>
                <w:highlight w:val="none"/>
              </w:rPr>
              <w:t>5、本项目东莞迎宾馆酒店</w:t>
            </w:r>
            <w:r>
              <w:rPr>
                <w:rFonts w:hint="eastAsia" w:ascii="宋体" w:hAnsi="宋体" w:eastAsia="宋体" w:cs="宋体"/>
                <w:b/>
                <w:bCs/>
                <w:color w:val="auto"/>
                <w:sz w:val="21"/>
                <w:szCs w:val="21"/>
                <w:highlight w:val="none"/>
              </w:rPr>
              <w:t>有限公司</w:t>
            </w:r>
            <w:r>
              <w:rPr>
                <w:rFonts w:hint="eastAsia" w:ascii="宋体" w:hAnsi="宋体" w:cs="宋体"/>
                <w:b/>
                <w:bCs/>
                <w:color w:val="auto"/>
                <w:szCs w:val="21"/>
                <w:highlight w:val="none"/>
              </w:rPr>
              <w:t>仅作为招标单位，中标</w:t>
            </w:r>
            <w:r>
              <w:rPr>
                <w:rFonts w:hint="eastAsia" w:ascii="宋体" w:hAnsi="宋体" w:cs="宋体"/>
                <w:b/>
                <w:bCs/>
                <w:color w:val="auto"/>
                <w:szCs w:val="21"/>
                <w:highlight w:val="none"/>
                <w:lang w:val="en-US" w:eastAsia="zh-CN"/>
              </w:rPr>
              <w:t>供应</w:t>
            </w:r>
            <w:r>
              <w:rPr>
                <w:rFonts w:hint="eastAsia" w:ascii="宋体" w:hAnsi="宋体" w:cs="宋体"/>
                <w:b/>
                <w:bCs/>
                <w:color w:val="auto"/>
                <w:szCs w:val="21"/>
                <w:highlight w:val="none"/>
              </w:rPr>
              <w:t>商须分别与东莞迎宾馆酒店有限公司、</w:t>
            </w:r>
            <w:r>
              <w:rPr>
                <w:rFonts w:ascii="宋体" w:hAnsi="宋体" w:cs="宋体"/>
                <w:b/>
                <w:bCs/>
                <w:color w:val="auto"/>
                <w:szCs w:val="21"/>
                <w:highlight w:val="none"/>
              </w:rPr>
              <w:t>东莞市迎宾馆酒店管理有限公司</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rPr>
              <w:t>东莞松湖迎宾里酒店有限公司及各公司的分公司按中标价具体签订供货合同并由对应的需求单位支付货款。</w:t>
            </w:r>
            <w:r>
              <w:rPr>
                <w:rFonts w:hint="eastAsia" w:ascii="宋体" w:hAnsi="宋体" w:cs="宋体"/>
                <w:b/>
                <w:bCs/>
                <w:color w:val="auto"/>
                <w:szCs w:val="21"/>
                <w:highlight w:val="none"/>
                <w:lang w:val="en-US" w:eastAsia="zh-CN"/>
              </w:rPr>
              <w:t>合同</w:t>
            </w:r>
            <w:r>
              <w:rPr>
                <w:rFonts w:hint="eastAsia" w:ascii="宋体" w:hAnsi="宋体" w:cs="宋体"/>
                <w:b/>
                <w:bCs/>
                <w:color w:val="auto"/>
                <w:szCs w:val="21"/>
                <w:highlight w:val="none"/>
              </w:rPr>
              <w:t>期内采购人有新项目配送需求的，中标单位承诺按按招采文件与相关主体签订供货合同并由对应的需求单位支付货款。</w:t>
            </w:r>
          </w:p>
        </w:tc>
      </w:tr>
      <w:tr w14:paraId="26F18A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1" w:hRule="atLeast"/>
        </w:trPr>
        <w:tc>
          <w:tcPr>
            <w:tcW w:w="718" w:type="dxa"/>
            <w:vAlign w:val="center"/>
          </w:tcPr>
          <w:p w14:paraId="3F8737A5">
            <w:pPr>
              <w:shd w:val="clear"/>
              <w:spacing w:after="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1175" w:type="dxa"/>
            <w:vAlign w:val="center"/>
          </w:tcPr>
          <w:p w14:paraId="133FF7DA">
            <w:pPr>
              <w:shd w:val="clear"/>
              <w:spacing w:after="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项目地点</w:t>
            </w:r>
          </w:p>
        </w:tc>
        <w:tc>
          <w:tcPr>
            <w:tcW w:w="6803" w:type="dxa"/>
            <w:vAlign w:val="center"/>
          </w:tcPr>
          <w:p w14:paraId="0CB705CF">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采购人指定地点分别为东莞迎宾馆（地址：东莞市南城区桃源路1号）；“莞萃园”中餐厅（地址：东莞市南城区簪花路与东莞大道交叉口睿派R&amp;APARK5栋三楼）；东莞松湖迎宾里酒店有限公司湾大分公司（东莞市松山湖大学路南大湾区大学（松山湖校区）-东门）</w:t>
            </w:r>
            <w:r>
              <w:rPr>
                <w:rFonts w:hint="eastAsia"/>
                <w:color w:val="auto"/>
                <w:highlight w:val="none"/>
              </w:rPr>
              <w:t>等。</w:t>
            </w:r>
          </w:p>
        </w:tc>
      </w:tr>
      <w:tr w14:paraId="00C777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6" w:hRule="atLeast"/>
        </w:trPr>
        <w:tc>
          <w:tcPr>
            <w:tcW w:w="718" w:type="dxa"/>
            <w:vAlign w:val="center"/>
          </w:tcPr>
          <w:p w14:paraId="1E630C57">
            <w:pPr>
              <w:shd w:val="clear"/>
              <w:spacing w:after="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5</w:t>
            </w:r>
          </w:p>
        </w:tc>
        <w:tc>
          <w:tcPr>
            <w:tcW w:w="1175" w:type="dxa"/>
            <w:vAlign w:val="center"/>
          </w:tcPr>
          <w:p w14:paraId="436FAC11">
            <w:pPr>
              <w:shd w:val="clear"/>
              <w:spacing w:after="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★供货价格要求</w:t>
            </w:r>
          </w:p>
        </w:tc>
        <w:tc>
          <w:tcPr>
            <w:tcW w:w="6803" w:type="dxa"/>
            <w:vAlign w:val="center"/>
          </w:tcPr>
          <w:p w14:paraId="0873F6E0">
            <w:pPr>
              <w:shd w:val="clear"/>
              <w:spacing w:after="0"/>
              <w:rPr>
                <w:rFonts w:hint="eastAsia" w:ascii="宋体" w:hAnsi="宋体" w:cs="宋体"/>
                <w:b/>
                <w:bCs/>
                <w:color w:val="auto"/>
                <w:szCs w:val="21"/>
                <w:highlight w:val="none"/>
              </w:rPr>
            </w:pPr>
            <w:r>
              <w:rPr>
                <w:rFonts w:hint="eastAsia" w:ascii="宋体" w:hAnsi="宋体" w:cs="宋体"/>
                <w:b/>
                <w:bCs/>
                <w:color w:val="auto"/>
                <w:szCs w:val="21"/>
                <w:highlight w:val="none"/>
              </w:rPr>
              <w:t>1、供货价格为采购人指定目的地交货价。包含：购货成本、包装配送运输、保险、装卸、退换、雇员费用、损耗费、样品费、包装费、检验检测费、质保期售后服务、全额含税发票、合同实施过程中的应预见和不可预见费用等。在项目的实施过程中，中标人必须充分考虑在本项目实施期间的一切可能产生的风险和相关费用，采购人将拒绝支付合同约定配送费之外的任何费用和补偿。</w:t>
            </w:r>
          </w:p>
          <w:p w14:paraId="01704B09">
            <w:pPr>
              <w:shd w:val="clear"/>
              <w:spacing w:after="0"/>
              <w:rPr>
                <w:rFonts w:hint="eastAsia" w:ascii="宋体" w:hAnsi="宋体" w:cs="宋体"/>
                <w:b/>
                <w:bCs/>
                <w:color w:val="auto"/>
                <w:szCs w:val="21"/>
                <w:highlight w:val="none"/>
              </w:rPr>
            </w:pPr>
            <w:r>
              <w:rPr>
                <w:rFonts w:hint="eastAsia" w:ascii="宋体" w:hAnsi="宋体" w:cs="宋体"/>
                <w:b/>
                <w:bCs/>
                <w:color w:val="auto"/>
                <w:szCs w:val="21"/>
                <w:highlight w:val="none"/>
              </w:rPr>
              <w:t>2、中标后，完善价格调整机制。</w:t>
            </w:r>
            <w:r>
              <w:rPr>
                <w:rFonts w:hint="eastAsia" w:ascii="宋体" w:hAnsi="宋体" w:cs="宋体"/>
                <w:b/>
                <w:bCs/>
                <w:color w:val="auto"/>
                <w:szCs w:val="21"/>
                <w:highlight w:val="none"/>
                <w:lang w:val="en-US" w:eastAsia="zh-CN"/>
              </w:rPr>
              <w:t>除采购文件另有约定外，冻品类</w:t>
            </w:r>
            <w:r>
              <w:rPr>
                <w:rFonts w:hint="eastAsia" w:ascii="宋体" w:hAnsi="宋体" w:cs="宋体"/>
                <w:b/>
                <w:bCs/>
                <w:color w:val="auto"/>
                <w:szCs w:val="21"/>
                <w:highlight w:val="none"/>
              </w:rPr>
              <w:t>签订合同后</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rPr>
              <w:t>前</w:t>
            </w:r>
            <w:r>
              <w:rPr>
                <w:rFonts w:hint="eastAsia" w:ascii="宋体" w:hAnsi="宋体" w:cs="宋体"/>
                <w:b/>
                <w:bCs/>
                <w:color w:val="auto"/>
                <w:szCs w:val="21"/>
                <w:highlight w:val="none"/>
                <w:lang w:val="en-US" w:eastAsia="zh-CN"/>
              </w:rPr>
              <w:t>6</w:t>
            </w:r>
            <w:r>
              <w:rPr>
                <w:rFonts w:hint="eastAsia" w:ascii="宋体" w:hAnsi="宋体" w:cs="宋体"/>
                <w:b/>
                <w:bCs/>
                <w:color w:val="auto"/>
                <w:szCs w:val="21"/>
                <w:highlight w:val="none"/>
              </w:rPr>
              <w:t>个月内定价不变，以中标人投标单价报价为准；</w:t>
            </w:r>
            <w:r>
              <w:rPr>
                <w:rFonts w:hint="eastAsia" w:ascii="宋体" w:hAnsi="宋体" w:cs="宋体"/>
                <w:b/>
                <w:bCs/>
                <w:color w:val="auto"/>
                <w:szCs w:val="21"/>
                <w:highlight w:val="none"/>
                <w:lang w:val="en-US" w:eastAsia="zh-CN"/>
              </w:rPr>
              <w:t>6</w:t>
            </w:r>
            <w:r>
              <w:rPr>
                <w:rFonts w:hint="eastAsia" w:ascii="宋体" w:hAnsi="宋体" w:cs="宋体"/>
                <w:b/>
                <w:bCs/>
                <w:color w:val="auto"/>
                <w:szCs w:val="21"/>
                <w:highlight w:val="none"/>
              </w:rPr>
              <w:t>个月后可重新定价一次</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lang w:val="en-US" w:eastAsia="zh-CN"/>
              </w:rPr>
              <w:t>每6个月定价一次</w:t>
            </w:r>
            <w:r>
              <w:rPr>
                <w:rFonts w:hint="eastAsia" w:ascii="宋体" w:hAnsi="宋体" w:cs="宋体"/>
                <w:b/>
                <w:bCs/>
                <w:color w:val="auto"/>
                <w:szCs w:val="21"/>
                <w:highlight w:val="none"/>
              </w:rPr>
              <w:t>。除出现市场上价格涨跌幅超过20%的情况外，原则上双方后续每个价格周期的结算价（不含税价）不得高于首个价格周期的结算单价（不含税价）。市场价抽样调查基准价=市场平均价=市场抽样价格之和/价格样本数，原则上价格样本数为3个</w:t>
            </w:r>
            <w:r>
              <w:rPr>
                <w:rFonts w:hint="eastAsia" w:ascii="宋体" w:hAnsi="宋体" w:cs="宋体"/>
                <w:b/>
                <w:bCs/>
                <w:color w:val="auto"/>
                <w:szCs w:val="21"/>
                <w:highlight w:val="none"/>
                <w:lang w:val="en-US" w:eastAsia="zh-CN"/>
              </w:rPr>
              <w:t>或以上</w:t>
            </w:r>
            <w:r>
              <w:rPr>
                <w:rFonts w:hint="eastAsia" w:ascii="宋体" w:hAnsi="宋体" w:cs="宋体"/>
                <w:b/>
                <w:bCs/>
                <w:color w:val="auto"/>
                <w:szCs w:val="21"/>
                <w:highlight w:val="none"/>
              </w:rPr>
              <w:t>，但市调时提供该商品的</w:t>
            </w:r>
            <w:r>
              <w:rPr>
                <w:rFonts w:hint="eastAsia" w:ascii="宋体" w:hAnsi="宋体" w:cs="宋体"/>
                <w:b/>
                <w:bCs/>
                <w:color w:val="auto"/>
                <w:szCs w:val="21"/>
                <w:highlight w:val="none"/>
                <w:lang w:val="en-US" w:eastAsia="zh-CN"/>
              </w:rPr>
              <w:t>市场商家</w:t>
            </w:r>
            <w:r>
              <w:rPr>
                <w:rFonts w:hint="eastAsia" w:ascii="宋体" w:hAnsi="宋体" w:cs="宋体"/>
                <w:b/>
                <w:bCs/>
                <w:color w:val="auto"/>
                <w:szCs w:val="21"/>
                <w:highlight w:val="none"/>
              </w:rPr>
              <w:t>不足3家除外。冻品类</w:t>
            </w:r>
            <w:r>
              <w:rPr>
                <w:rFonts w:hint="eastAsia" w:ascii="宋体" w:hAnsi="宋体" w:cs="宋体"/>
                <w:b/>
                <w:bCs/>
                <w:color w:val="auto"/>
                <w:highlight w:val="none"/>
              </w:rPr>
              <w:t>市场价抽样调查，可选择大型综合超市</w:t>
            </w:r>
            <w:r>
              <w:rPr>
                <w:rFonts w:hint="eastAsia" w:ascii="宋体" w:hAnsi="宋体" w:cs="宋体"/>
                <w:b/>
                <w:bCs/>
                <w:color w:val="auto"/>
                <w:highlight w:val="none"/>
                <w:lang w:eastAsia="zh-CN"/>
              </w:rPr>
              <w:t>（</w:t>
            </w:r>
            <w:r>
              <w:rPr>
                <w:rFonts w:hint="eastAsia" w:ascii="宋体" w:hAnsi="宋体" w:cs="宋体"/>
                <w:b/>
                <w:bCs/>
                <w:color w:val="auto"/>
                <w:highlight w:val="none"/>
                <w:lang w:val="en-US" w:eastAsia="zh-CN"/>
              </w:rPr>
              <w:t>例如麦德龙等</w:t>
            </w:r>
            <w:r>
              <w:rPr>
                <w:rFonts w:hint="eastAsia" w:ascii="宋体" w:hAnsi="宋体" w:cs="宋体"/>
                <w:b/>
                <w:bCs/>
                <w:color w:val="auto"/>
                <w:highlight w:val="none"/>
                <w:lang w:eastAsia="zh-CN"/>
              </w:rPr>
              <w:t>）</w:t>
            </w:r>
            <w:r>
              <w:rPr>
                <w:rFonts w:hint="eastAsia" w:ascii="宋体" w:hAnsi="宋体" w:cs="宋体"/>
                <w:b/>
                <w:bCs/>
                <w:color w:val="auto"/>
                <w:highlight w:val="none"/>
              </w:rPr>
              <w:t>或广州市黄沙市场</w:t>
            </w:r>
            <w:r>
              <w:rPr>
                <w:rFonts w:hint="eastAsia" w:ascii="宋体" w:hAnsi="宋体" w:cs="宋体"/>
                <w:b/>
                <w:bCs/>
                <w:color w:val="auto"/>
                <w:highlight w:val="none"/>
                <w:lang w:val="en-US" w:eastAsia="zh-CN"/>
              </w:rPr>
              <w:t>或省冷冻品交易市场</w:t>
            </w:r>
            <w:r>
              <w:rPr>
                <w:rFonts w:hint="eastAsia" w:ascii="宋体" w:hAnsi="宋体" w:cs="宋体"/>
                <w:b/>
                <w:bCs/>
                <w:color w:val="auto"/>
                <w:highlight w:val="none"/>
              </w:rPr>
              <w:t>等市场进行市场价抽样调查；核定相同货品的市场平均价格</w:t>
            </w:r>
            <w:r>
              <w:rPr>
                <w:rFonts w:hint="eastAsia" w:ascii="宋体" w:hAnsi="宋体" w:cs="宋体"/>
                <w:b/>
                <w:bCs/>
                <w:color w:val="auto"/>
                <w:szCs w:val="21"/>
                <w:highlight w:val="none"/>
              </w:rPr>
              <w:t>。新的不含税结算单价按以下公式核定:新的不含税结算单价=新的含税市场基准价/(1+增值税</w:t>
            </w:r>
            <w:r>
              <w:rPr>
                <w:rFonts w:hint="eastAsia" w:ascii="宋体" w:hAnsi="宋体" w:cs="宋体"/>
                <w:b/>
                <w:bCs/>
                <w:color w:val="auto"/>
                <w:szCs w:val="21"/>
                <w:highlight w:val="none"/>
                <w:lang w:val="en-US" w:eastAsia="zh-CN"/>
              </w:rPr>
              <w:t>专票</w:t>
            </w:r>
            <w:r>
              <w:rPr>
                <w:rFonts w:hint="eastAsia" w:ascii="宋体" w:hAnsi="宋体" w:cs="宋体"/>
                <w:b/>
                <w:bCs/>
                <w:color w:val="auto"/>
                <w:szCs w:val="21"/>
                <w:highlight w:val="none"/>
              </w:rPr>
              <w:t>税率)。</w:t>
            </w:r>
            <w:r>
              <w:rPr>
                <w:rFonts w:ascii="宋体" w:hAnsi="宋体" w:cs="宋体"/>
                <w:b/>
                <w:bCs/>
                <w:color w:val="auto"/>
                <w:szCs w:val="21"/>
                <w:highlight w:val="none"/>
              </w:rPr>
              <w:t>市场抽样调查的样本应当具有广泛的代表性，且抽样价格明显异常的（如偏离市场平均水平过大）应予剔除</w:t>
            </w:r>
            <w:r>
              <w:rPr>
                <w:rFonts w:hint="eastAsia" w:ascii="宋体" w:hAnsi="宋体" w:cs="宋体"/>
                <w:b/>
                <w:bCs/>
                <w:color w:val="auto"/>
                <w:szCs w:val="21"/>
                <w:highlight w:val="none"/>
              </w:rPr>
              <w:t>。</w:t>
            </w:r>
            <w:r>
              <w:rPr>
                <w:rFonts w:ascii="宋体" w:hAnsi="宋体" w:cs="宋体"/>
                <w:b/>
                <w:bCs/>
                <w:color w:val="auto"/>
                <w:szCs w:val="21"/>
                <w:highlight w:val="none"/>
              </w:rPr>
              <w:t>市场价抽样调查由采购人组织，中标人可派员参与见证。双方对抽样调查结果有争议的，应当在收到结果后2个工作日内提出复核，复核仍不成的，以</w:t>
            </w:r>
            <w:r>
              <w:rPr>
                <w:rFonts w:hint="eastAsia" w:ascii="宋体" w:hAnsi="宋体" w:cs="宋体"/>
                <w:b/>
                <w:bCs/>
                <w:color w:val="auto"/>
                <w:szCs w:val="21"/>
                <w:highlight w:val="none"/>
              </w:rPr>
              <w:t>采购人</w:t>
            </w:r>
            <w:r>
              <w:rPr>
                <w:rFonts w:ascii="宋体" w:hAnsi="宋体" w:cs="宋体"/>
                <w:b/>
                <w:bCs/>
                <w:color w:val="auto"/>
                <w:szCs w:val="21"/>
                <w:highlight w:val="none"/>
              </w:rPr>
              <w:t>最终核定的市场基准价为准执行，</w:t>
            </w:r>
            <w:r>
              <w:rPr>
                <w:rFonts w:hint="eastAsia" w:ascii="宋体" w:hAnsi="宋体" w:cs="宋体"/>
                <w:b/>
                <w:bCs/>
                <w:color w:val="auto"/>
                <w:szCs w:val="21"/>
                <w:highlight w:val="none"/>
              </w:rPr>
              <w:t>中标人</w:t>
            </w:r>
            <w:r>
              <w:rPr>
                <w:rFonts w:ascii="宋体" w:hAnsi="宋体" w:cs="宋体"/>
                <w:b/>
                <w:bCs/>
                <w:color w:val="auto"/>
                <w:szCs w:val="21"/>
                <w:highlight w:val="none"/>
              </w:rPr>
              <w:t>不得以此拒绝供货。</w:t>
            </w:r>
          </w:p>
          <w:p w14:paraId="0C193AB0">
            <w:pPr>
              <w:shd w:val="clear"/>
              <w:spacing w:after="0"/>
              <w:rPr>
                <w:rFonts w:hint="eastAsia" w:ascii="宋体" w:hAnsi="宋体" w:cs="宋体"/>
                <w:b/>
                <w:bCs/>
                <w:color w:val="auto"/>
                <w:szCs w:val="21"/>
                <w:highlight w:val="none"/>
              </w:rPr>
            </w:pPr>
            <w:r>
              <w:rPr>
                <w:rFonts w:hint="eastAsia" w:ascii="宋体" w:hAnsi="宋体" w:cs="宋体"/>
                <w:b/>
                <w:bCs/>
                <w:color w:val="auto"/>
                <w:szCs w:val="21"/>
                <w:highlight w:val="none"/>
              </w:rPr>
              <w:t>3、采购人临时需求货品不在核定的供货价格清单内的，中标人必须按采购人要求供货，供货价格由双方采用市场抽样调查的方式确定供货价格。</w:t>
            </w:r>
          </w:p>
          <w:p w14:paraId="06D6FF65">
            <w:pPr>
              <w:shd w:val="clear"/>
              <w:spacing w:after="0"/>
              <w:rPr>
                <w:rFonts w:hint="eastAsia" w:ascii="宋体" w:hAnsi="宋体" w:cs="宋体"/>
                <w:b/>
                <w:bCs/>
                <w:color w:val="auto"/>
                <w:szCs w:val="21"/>
                <w:highlight w:val="none"/>
              </w:rPr>
            </w:pPr>
            <w:r>
              <w:rPr>
                <w:rFonts w:hint="eastAsia" w:ascii="宋体" w:hAnsi="宋体" w:cs="宋体"/>
                <w:b/>
                <w:bCs/>
                <w:color w:val="auto"/>
                <w:szCs w:val="21"/>
                <w:highlight w:val="none"/>
              </w:rPr>
              <w:t>4、中标人不得擅自变更货物品种及产地、包装、规格和重量等，严格按采购人要求供应，否则采购人有权拒收。对不易购买或暂时短缺的品种，经采购人同意，可由中标人通过其它途径采购或使用指定替代品替换，价格按上述规定的</w:t>
            </w:r>
            <w:r>
              <w:rPr>
                <w:rFonts w:hint="eastAsia" w:ascii="宋体" w:hAnsi="宋体" w:cs="宋体"/>
                <w:b/>
                <w:bCs/>
                <w:color w:val="auto"/>
                <w:highlight w:val="none"/>
              </w:rPr>
              <w:t>市场价抽样调查平均价确定</w:t>
            </w:r>
            <w:r>
              <w:rPr>
                <w:rFonts w:hint="eastAsia" w:ascii="宋体" w:hAnsi="宋体" w:cs="宋体"/>
                <w:b/>
                <w:bCs/>
                <w:color w:val="auto"/>
                <w:szCs w:val="21"/>
                <w:highlight w:val="none"/>
              </w:rPr>
              <w:t>。</w:t>
            </w:r>
          </w:p>
          <w:p w14:paraId="5AFB6385">
            <w:pPr>
              <w:shd w:val="clear"/>
              <w:spacing w:after="0"/>
              <w:rPr>
                <w:rFonts w:hint="eastAsia" w:ascii="宋体" w:hAnsi="宋体" w:cs="宋体"/>
                <w:b/>
                <w:bCs/>
                <w:color w:val="auto"/>
                <w:szCs w:val="21"/>
                <w:highlight w:val="none"/>
              </w:rPr>
            </w:pPr>
            <w:r>
              <w:rPr>
                <w:rFonts w:hint="eastAsia" w:ascii="宋体" w:hAnsi="宋体" w:cs="宋体"/>
                <w:b/>
                <w:bCs/>
                <w:color w:val="auto"/>
                <w:szCs w:val="21"/>
                <w:highlight w:val="none"/>
              </w:rPr>
              <w:t>5、采购人根据自身的需求，有权终止某类中的某些商品的采购或变更某类商品的采购。</w:t>
            </w:r>
          </w:p>
          <w:p w14:paraId="2FDDA638">
            <w:pPr>
              <w:shd w:val="clear"/>
              <w:spacing w:after="0"/>
              <w:rPr>
                <w:rFonts w:hint="eastAsia" w:ascii="宋体" w:hAnsi="宋体" w:cs="宋体"/>
                <w:b/>
                <w:bCs/>
                <w:color w:val="auto"/>
                <w:szCs w:val="21"/>
                <w:highlight w:val="none"/>
              </w:rPr>
            </w:pPr>
            <w:r>
              <w:rPr>
                <w:rFonts w:hint="eastAsia" w:ascii="宋体" w:hAnsi="宋体" w:cs="宋体"/>
                <w:b/>
                <w:bCs/>
                <w:color w:val="auto"/>
                <w:szCs w:val="21"/>
                <w:highlight w:val="none"/>
              </w:rPr>
              <w:t>6、中标人</w:t>
            </w:r>
            <w:r>
              <w:rPr>
                <w:rFonts w:hint="eastAsia" w:ascii="宋体" w:hAnsi="宋体" w:cs="宋体"/>
                <w:b/>
                <w:bCs/>
                <w:color w:val="auto"/>
                <w:szCs w:val="21"/>
                <w:highlight w:val="none"/>
                <w:lang w:val="en-US" w:eastAsia="zh-CN"/>
              </w:rPr>
              <w:t>在</w:t>
            </w:r>
            <w:r>
              <w:rPr>
                <w:rFonts w:hint="eastAsia" w:ascii="宋体" w:hAnsi="宋体" w:cs="宋体"/>
                <w:b/>
                <w:bCs/>
                <w:color w:val="auto"/>
                <w:szCs w:val="21"/>
                <w:highlight w:val="none"/>
              </w:rPr>
              <w:t>每个价格周期前</w:t>
            </w:r>
            <w:r>
              <w:rPr>
                <w:rFonts w:hint="eastAsia" w:ascii="宋体" w:hAnsi="宋体" w:cs="宋体"/>
                <w:b/>
                <w:bCs/>
                <w:color w:val="auto"/>
                <w:szCs w:val="21"/>
                <w:highlight w:val="none"/>
                <w:lang w:val="en-US" w:eastAsia="zh-CN"/>
              </w:rPr>
              <w:t>10</w:t>
            </w:r>
            <w:r>
              <w:rPr>
                <w:rFonts w:hint="eastAsia" w:ascii="宋体" w:hAnsi="宋体" w:cs="宋体"/>
                <w:b/>
                <w:bCs/>
                <w:color w:val="auto"/>
                <w:szCs w:val="21"/>
                <w:highlight w:val="none"/>
              </w:rPr>
              <w:t>个工作日报价给采购人审核，采购人</w:t>
            </w:r>
            <w:r>
              <w:rPr>
                <w:rFonts w:hint="eastAsia" w:ascii="宋体" w:hAnsi="宋体" w:cs="宋体"/>
                <w:b/>
                <w:bCs/>
                <w:color w:val="auto"/>
                <w:szCs w:val="21"/>
                <w:highlight w:val="none"/>
                <w:lang w:val="en-US" w:eastAsia="zh-CN"/>
              </w:rPr>
              <w:t>结合</w:t>
            </w:r>
            <w:r>
              <w:rPr>
                <w:rFonts w:hint="eastAsia" w:ascii="宋体" w:hAnsi="宋体" w:cs="宋体"/>
                <w:b/>
                <w:bCs/>
                <w:color w:val="auto"/>
                <w:szCs w:val="21"/>
                <w:highlight w:val="none"/>
              </w:rPr>
              <w:t>市场价</w:t>
            </w:r>
            <w:r>
              <w:rPr>
                <w:rFonts w:hint="eastAsia" w:ascii="宋体" w:hAnsi="宋体" w:cs="宋体"/>
                <w:b/>
                <w:bCs/>
                <w:color w:val="auto"/>
                <w:szCs w:val="21"/>
                <w:highlight w:val="none"/>
                <w:lang w:val="en-US" w:eastAsia="zh-CN"/>
              </w:rPr>
              <w:t>格</w:t>
            </w:r>
            <w:r>
              <w:rPr>
                <w:rFonts w:hint="eastAsia" w:ascii="宋体" w:hAnsi="宋体" w:cs="宋体"/>
                <w:b/>
                <w:bCs/>
                <w:color w:val="auto"/>
                <w:szCs w:val="21"/>
                <w:highlight w:val="none"/>
              </w:rPr>
              <w:t>抽样调查结果审核同意</w:t>
            </w:r>
            <w:r>
              <w:rPr>
                <w:rFonts w:hint="eastAsia"/>
                <w:b/>
                <w:bCs/>
                <w:color w:val="auto"/>
                <w:highlight w:val="none"/>
                <w:lang w:val="en-US" w:eastAsia="zh-CN"/>
              </w:rPr>
              <w:t>并完成相关审批流程后生效</w:t>
            </w:r>
            <w:r>
              <w:rPr>
                <w:rFonts w:hint="eastAsia" w:ascii="宋体" w:hAnsi="宋体" w:cs="宋体"/>
                <w:b/>
                <w:bCs/>
                <w:color w:val="auto"/>
                <w:szCs w:val="21"/>
                <w:highlight w:val="none"/>
              </w:rPr>
              <w:t>。若通过市场调查确定基准价的，则由采购人按上述方式进行市场抽样调查并将调查价格报中标人确认。</w:t>
            </w:r>
          </w:p>
          <w:p w14:paraId="5C4E858C">
            <w:pPr>
              <w:shd w:val="clear"/>
              <w:spacing w:after="0"/>
              <w:rPr>
                <w:b/>
                <w:bCs/>
                <w:color w:val="auto"/>
                <w:highlight w:val="none"/>
              </w:rPr>
            </w:pPr>
            <w:r>
              <w:rPr>
                <w:rFonts w:hint="eastAsia" w:ascii="宋体" w:hAnsi="宋体" w:cs="宋体"/>
                <w:b/>
                <w:bCs/>
                <w:color w:val="auto"/>
                <w:szCs w:val="21"/>
                <w:highlight w:val="none"/>
              </w:rPr>
              <w:t>7、核定价格后，若供货期间市场商品价格涨跌幅度达到20%及以上的，双方任一方均有权以书面形式提出价格调整请求</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rPr>
              <w:t>未提出价格调整请求的物资，仍按原核定价格执行</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rPr>
              <w:t>。一方提出调价请求后，双方开展市场调查核实，按照定价原则</w:t>
            </w:r>
            <w:r>
              <w:rPr>
                <w:rFonts w:hint="eastAsia" w:ascii="宋体" w:hAnsi="宋体" w:cs="宋体"/>
                <w:b/>
                <w:bCs/>
                <w:color w:val="auto"/>
                <w:szCs w:val="21"/>
                <w:highlight w:val="none"/>
                <w:lang w:val="en-US" w:eastAsia="zh-CN"/>
              </w:rPr>
              <w:t>重新</w:t>
            </w:r>
            <w:r>
              <w:rPr>
                <w:rFonts w:hint="eastAsia" w:ascii="宋体" w:hAnsi="宋体" w:cs="宋体"/>
                <w:b/>
                <w:bCs/>
                <w:color w:val="auto"/>
                <w:szCs w:val="21"/>
                <w:highlight w:val="none"/>
              </w:rPr>
              <w:t>确定价格，并应于3 个工作日内予以书面函复。新价格经双方确认生效后执行，调价生效前已发生的供货仍按原核定价格执行。若收到调价请求一方在上述 3 个工作日期限内未予以书面函复的，</w:t>
            </w:r>
            <w:r>
              <w:rPr>
                <w:rFonts w:hint="eastAsia" w:ascii="宋体" w:hAnsi="宋体" w:cs="宋体"/>
                <w:b/>
                <w:bCs/>
                <w:color w:val="auto"/>
                <w:szCs w:val="21"/>
                <w:highlight w:val="none"/>
                <w:lang w:val="en-US" w:eastAsia="zh-CN"/>
              </w:rPr>
              <w:t>默认认可调价请求，</w:t>
            </w:r>
            <w:r>
              <w:rPr>
                <w:rFonts w:hint="eastAsia" w:ascii="宋体" w:hAnsi="宋体" w:cs="宋体"/>
                <w:b/>
                <w:bCs/>
                <w:color w:val="auto"/>
                <w:szCs w:val="21"/>
                <w:highlight w:val="none"/>
              </w:rPr>
              <w:t>双方按新价格执行。除前述情形外，</w:t>
            </w:r>
            <w:r>
              <w:rPr>
                <w:rFonts w:hint="eastAsia" w:ascii="宋体" w:hAnsi="宋体" w:cs="宋体"/>
                <w:b/>
                <w:bCs/>
                <w:color w:val="auto"/>
                <w:szCs w:val="21"/>
                <w:highlight w:val="none"/>
                <w:lang w:val="en-US" w:eastAsia="zh-CN"/>
              </w:rPr>
              <w:t>双方</w:t>
            </w:r>
            <w:r>
              <w:rPr>
                <w:rFonts w:hint="eastAsia" w:ascii="宋体" w:hAnsi="宋体" w:cs="宋体"/>
                <w:b/>
                <w:bCs/>
                <w:color w:val="auto"/>
                <w:szCs w:val="21"/>
                <w:highlight w:val="none"/>
              </w:rPr>
              <w:t>约定的供货物资价格在有效期内，任何一方不得随意变更。</w:t>
            </w:r>
          </w:p>
          <w:p w14:paraId="26A4AF01">
            <w:pPr>
              <w:shd w:val="clear"/>
              <w:spacing w:after="0"/>
              <w:rPr>
                <w:rFonts w:hint="eastAsia" w:ascii="宋体" w:hAnsi="宋体" w:cs="宋体"/>
                <w:b/>
                <w:bCs/>
                <w:color w:val="auto"/>
                <w:szCs w:val="21"/>
                <w:highlight w:val="none"/>
              </w:rPr>
            </w:pPr>
            <w:r>
              <w:rPr>
                <w:rFonts w:hint="eastAsia" w:ascii="宋体" w:hAnsi="宋体" w:eastAsia="宋体" w:cs="宋体"/>
                <w:b/>
                <w:bCs/>
                <w:color w:val="auto"/>
                <w:highlight w:val="none"/>
                <w:lang w:val="en-US" w:eastAsia="zh-CN"/>
              </w:rPr>
              <w:t>8、采购人发现中标人的供货价格高于市场价20%且未通知采购人进行价格调整的，采购人</w:t>
            </w:r>
            <w:r>
              <w:rPr>
                <w:rFonts w:hint="eastAsia" w:ascii="宋体" w:hAnsi="宋体" w:cs="宋体"/>
                <w:b/>
                <w:bCs/>
                <w:color w:val="auto"/>
                <w:highlight w:val="none"/>
                <w:lang w:val="en-US" w:eastAsia="zh-CN"/>
              </w:rPr>
              <w:t>有权要求从指定时间开始按市调价格结算</w:t>
            </w:r>
            <w:r>
              <w:rPr>
                <w:rFonts w:hint="eastAsia" w:ascii="宋体" w:hAnsi="宋体" w:eastAsia="宋体" w:cs="宋体"/>
                <w:b/>
                <w:bCs/>
                <w:color w:val="auto"/>
                <w:highlight w:val="none"/>
                <w:lang w:val="en-US" w:eastAsia="zh-CN"/>
              </w:rPr>
              <w:t>，如当月已结算的金额须在</w:t>
            </w:r>
            <w:r>
              <w:rPr>
                <w:rFonts w:hint="eastAsia" w:ascii="宋体" w:hAnsi="宋体" w:cs="宋体"/>
                <w:b/>
                <w:bCs/>
                <w:color w:val="auto"/>
                <w:highlight w:val="none"/>
                <w:lang w:val="en-US" w:eastAsia="zh-CN"/>
              </w:rPr>
              <w:t>后续</w:t>
            </w:r>
            <w:r>
              <w:rPr>
                <w:rFonts w:hint="eastAsia" w:ascii="宋体" w:hAnsi="宋体" w:eastAsia="宋体" w:cs="宋体"/>
                <w:b/>
                <w:bCs/>
                <w:color w:val="auto"/>
                <w:highlight w:val="none"/>
                <w:lang w:val="en-US" w:eastAsia="zh-CN"/>
              </w:rPr>
              <w:t>结算金额中扣除，并且每次处以违约金2000元。</w:t>
            </w:r>
          </w:p>
        </w:tc>
      </w:tr>
      <w:tr w14:paraId="22AAD4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01" w:hRule="atLeast"/>
        </w:trPr>
        <w:tc>
          <w:tcPr>
            <w:tcW w:w="718" w:type="dxa"/>
            <w:vAlign w:val="center"/>
          </w:tcPr>
          <w:p w14:paraId="542842DC">
            <w:pPr>
              <w:shd w:val="clear"/>
              <w:spacing w:after="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1175" w:type="dxa"/>
            <w:vAlign w:val="center"/>
          </w:tcPr>
          <w:p w14:paraId="32781839">
            <w:pPr>
              <w:shd w:val="clear"/>
              <w:spacing w:after="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验收标准</w:t>
            </w:r>
          </w:p>
        </w:tc>
        <w:tc>
          <w:tcPr>
            <w:tcW w:w="6803" w:type="dxa"/>
            <w:vAlign w:val="center"/>
          </w:tcPr>
          <w:p w14:paraId="66352A29">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1.项目验收依次序对照执行标准：</w:t>
            </w:r>
          </w:p>
          <w:p w14:paraId="078D248A">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1.1符合中华人民共和国国家和履约地相关安全质量标准、行业技术规范标准；</w:t>
            </w:r>
          </w:p>
          <w:p w14:paraId="0571388E">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1.2符合招标文件和响应承诺中各方共同认可的各项要求；</w:t>
            </w:r>
          </w:p>
          <w:p w14:paraId="68C46839">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1.3符合货物来源国官方颁布标准。</w:t>
            </w:r>
          </w:p>
          <w:p w14:paraId="44BCD724">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 xml:space="preserve">1.4上述各类标准与法规必须是有关官方机构最新发布的现行标准版本。 </w:t>
            </w:r>
          </w:p>
          <w:p w14:paraId="7F7E1571">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2.做好卸货前的检查：采购人和中标人双方的验收人员卸货前应对场地和验收设备做好准备，并对商品的外观质量进行初步了解。如发现食品有损坏情况等，应在相关单据上记录损坏情况，建议对损坏情况进行拍照存档。保证斤两的准确性，经采购人的验货数量为准，中标人每次随货送上一式两份的送货单，采购人验货后签订确认，采购人、中标人双方各持一份，作为收货、结算的凭证。</w:t>
            </w:r>
          </w:p>
          <w:p w14:paraId="2101E30B">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3.食品运输采用符合国家标准的外包装和运输工具：保持清洁和定期消毒，车厢内无不良气味、异味。冷藏、冷冻食品采用专用冷藏、冷冻载具运输，在运输过程中保持安全的冷藏、冷冻温度，冷冻食品没有曾经解冻痕迹或软化现象，包装呈干爽状态。食品应清洁，无损伤、腐烂现象，外包装完整，无寄生虫或已受虫害现象。</w:t>
            </w:r>
          </w:p>
          <w:p w14:paraId="192A5E91">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4.采取现场验收的方式：验收人员应认真检查物资的质量，按索票—验证—抽查—过磅—入库的程序完成验收，中标人可提供原件的留原件，原件只有一份而无法提供给采购人的查验原件后索取复印件留存。</w:t>
            </w:r>
          </w:p>
          <w:p w14:paraId="1BAA732D">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5.每批次每种货物均抽查验收。</w:t>
            </w:r>
          </w:p>
          <w:p w14:paraId="4EAA8855">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6.按项目需求的描述要求对货物质量进行抽查。</w:t>
            </w:r>
          </w:p>
          <w:p w14:paraId="176BF7B9">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7.抽查发现食品安全质量问题的处理：</w:t>
            </w:r>
          </w:p>
          <w:p w14:paraId="7D420159">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7.1对危及人身安全的食品质量问题采取零容忍措施，一经发现，当日所送同批次产品全部退货；</w:t>
            </w:r>
          </w:p>
          <w:p w14:paraId="796E896C">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7.2若抽查未发现问题，而在加工食用前发现部分产品质量问题</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品质不达标问题，</w:t>
            </w:r>
            <w:r>
              <w:rPr>
                <w:rFonts w:hint="eastAsia" w:ascii="宋体" w:hAnsi="宋体" w:cs="宋体"/>
                <w:color w:val="auto"/>
                <w:szCs w:val="21"/>
                <w:highlight w:val="none"/>
              </w:rPr>
              <w:t>应立即通知</w:t>
            </w:r>
            <w:r>
              <w:rPr>
                <w:rFonts w:hint="eastAsia"/>
                <w:color w:val="auto"/>
                <w:highlight w:val="none"/>
                <w:lang w:val="en-US" w:eastAsia="zh-CN"/>
              </w:rPr>
              <w:t>采购人需求部门、财务部（仓库）</w:t>
            </w:r>
            <w:r>
              <w:rPr>
                <w:rFonts w:hint="eastAsia" w:ascii="宋体" w:hAnsi="宋体" w:cs="宋体"/>
                <w:color w:val="auto"/>
                <w:szCs w:val="21"/>
                <w:highlight w:val="none"/>
              </w:rPr>
              <w:t>及中标人，将问题产品退货处理。</w:t>
            </w:r>
          </w:p>
          <w:p w14:paraId="7768FEFE">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7.3如有任何</w:t>
            </w:r>
            <w:r>
              <w:rPr>
                <w:rFonts w:hint="eastAsia" w:ascii="宋体" w:hAnsi="宋体" w:eastAsia="宋体" w:cs="宋体"/>
                <w:color w:val="auto"/>
                <w:szCs w:val="21"/>
                <w:highlight w:val="none"/>
              </w:rPr>
              <w:t>货品</w:t>
            </w:r>
            <w:r>
              <w:rPr>
                <w:rFonts w:hint="eastAsia" w:ascii="宋体" w:hAnsi="宋体" w:cs="宋体"/>
                <w:color w:val="auto"/>
                <w:szCs w:val="21"/>
                <w:highlight w:val="none"/>
              </w:rPr>
              <w:t>未能达标，中标人保证</w:t>
            </w:r>
            <w:r>
              <w:rPr>
                <w:rFonts w:hint="eastAsia" w:ascii="宋体" w:hAnsi="宋体" w:cs="宋体"/>
                <w:color w:val="auto"/>
                <w:szCs w:val="21"/>
                <w:highlight w:val="none"/>
                <w:lang w:val="en-US" w:eastAsia="zh-CN"/>
              </w:rPr>
              <w:t>收到通知后</w:t>
            </w:r>
            <w:r>
              <w:rPr>
                <w:rFonts w:hint="eastAsia" w:ascii="宋体" w:hAnsi="宋体" w:cs="宋体"/>
                <w:color w:val="auto"/>
                <w:szCs w:val="21"/>
                <w:highlight w:val="none"/>
              </w:rPr>
              <w:t>当天内，全数更换，并承担所有有关费用。如遇紧急情况，中标人应配合酒店及时退换货，如果未及时退换，致使酒店自行采购或者找其他供应商送货，由此产生的差价由</w:t>
            </w:r>
            <w:r>
              <w:rPr>
                <w:rFonts w:hint="eastAsia" w:ascii="宋体" w:hAnsi="宋体" w:eastAsia="宋体" w:cs="宋体"/>
                <w:color w:val="auto"/>
                <w:szCs w:val="21"/>
                <w:highlight w:val="none"/>
              </w:rPr>
              <w:t>中标人</w:t>
            </w:r>
            <w:r>
              <w:rPr>
                <w:rFonts w:hint="eastAsia" w:ascii="宋体" w:hAnsi="宋体" w:cs="宋体"/>
                <w:color w:val="auto"/>
                <w:szCs w:val="21"/>
                <w:highlight w:val="none"/>
              </w:rPr>
              <w:t>承担，如果因此影响酒店运营，造成的经济损失由中标人</w:t>
            </w:r>
            <w:r>
              <w:rPr>
                <w:rFonts w:hint="eastAsia" w:ascii="宋体" w:hAnsi="宋体" w:eastAsia="宋体" w:cs="宋体"/>
                <w:color w:val="auto"/>
                <w:szCs w:val="21"/>
                <w:highlight w:val="none"/>
              </w:rPr>
              <w:t>承担</w:t>
            </w:r>
            <w:r>
              <w:rPr>
                <w:rFonts w:hint="eastAsia" w:ascii="宋体" w:hAnsi="宋体" w:cs="宋体"/>
                <w:color w:val="auto"/>
                <w:szCs w:val="21"/>
                <w:highlight w:val="none"/>
              </w:rPr>
              <w:t>。</w:t>
            </w:r>
          </w:p>
          <w:p w14:paraId="41FA0F29">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8.抽查发现资质证照不全问题的处理：</w:t>
            </w:r>
          </w:p>
          <w:p w14:paraId="3EC8954C">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8.1整批产品无政府部门出具的产品合格证的全部退货；</w:t>
            </w:r>
          </w:p>
          <w:p w14:paraId="2A4A3CF2">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8.2抽查发现部分产品无政府部门出具的产品合格证，将无产品合格证的货物退货；再加抽15%，两次抽查数50%以上没有产品合格证的，全部退货；</w:t>
            </w:r>
          </w:p>
          <w:p w14:paraId="1E2B1C77">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8.3整批产品有省地市出具的产品合格证，随箱产品合格证不齐全的，将无产品合格证明的货物退货；再加抽15%，两次抽查数50%以上没有产品合格证的，全部退货。</w:t>
            </w:r>
          </w:p>
          <w:p w14:paraId="06D49071">
            <w:pPr>
              <w:shd w:val="clear"/>
              <w:spacing w:after="0"/>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采购人</w:t>
            </w:r>
            <w:r>
              <w:rPr>
                <w:rFonts w:hint="eastAsia" w:ascii="宋体" w:hAnsi="宋体" w:cs="宋体"/>
                <w:color w:val="auto"/>
                <w:szCs w:val="21"/>
                <w:highlight w:val="none"/>
              </w:rPr>
              <w:t>抽样送检发现不合格的处理</w:t>
            </w:r>
            <w:r>
              <w:rPr>
                <w:rFonts w:hint="eastAsia" w:ascii="宋体" w:hAnsi="宋体" w:cs="宋体"/>
                <w:color w:val="auto"/>
                <w:szCs w:val="21"/>
                <w:highlight w:val="none"/>
                <w:lang w:eastAsia="zh-CN"/>
              </w:rPr>
              <w:t>：</w:t>
            </w:r>
          </w:p>
          <w:p w14:paraId="52E22368">
            <w:pPr>
              <w:shd w:val="clear"/>
              <w:spacing w:after="0"/>
              <w:rPr>
                <w:rFonts w:hint="eastAsia" w:ascii="宋体" w:hAnsi="宋体" w:cs="宋体"/>
                <w:color w:val="auto"/>
                <w:szCs w:val="21"/>
                <w:highlight w:val="none"/>
              </w:rPr>
            </w:pP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 xml:space="preserve">.1 </w:t>
            </w:r>
            <w:r>
              <w:rPr>
                <w:rFonts w:hint="eastAsia" w:ascii="宋体" w:hAnsi="宋体" w:cs="宋体"/>
                <w:color w:val="auto"/>
                <w:szCs w:val="21"/>
                <w:highlight w:val="none"/>
                <w:lang w:val="en-US" w:eastAsia="zh-CN"/>
              </w:rPr>
              <w:t>采购人</w:t>
            </w:r>
            <w:r>
              <w:rPr>
                <w:rFonts w:hint="eastAsia" w:ascii="宋体" w:hAnsi="宋体" w:cs="宋体"/>
                <w:color w:val="auto"/>
                <w:szCs w:val="21"/>
                <w:highlight w:val="none"/>
              </w:rPr>
              <w:t>有权按照国家及行业相关标准，对</w:t>
            </w:r>
            <w:r>
              <w:rPr>
                <w:rFonts w:hint="eastAsia" w:ascii="宋体" w:hAnsi="宋体" w:cs="宋体"/>
                <w:color w:val="auto"/>
                <w:szCs w:val="21"/>
                <w:highlight w:val="none"/>
                <w:lang w:val="en-US" w:eastAsia="zh-CN"/>
              </w:rPr>
              <w:t>中标人</w:t>
            </w:r>
            <w:r>
              <w:rPr>
                <w:rFonts w:hint="eastAsia" w:ascii="宋体" w:hAnsi="宋体" w:cs="宋体"/>
                <w:color w:val="auto"/>
                <w:szCs w:val="21"/>
                <w:highlight w:val="none"/>
              </w:rPr>
              <w:t>供应的食材进行现场抽样</w:t>
            </w:r>
            <w:r>
              <w:rPr>
                <w:rFonts w:hint="eastAsia" w:ascii="宋体" w:hAnsi="宋体" w:cs="宋体"/>
                <w:color w:val="auto"/>
                <w:szCs w:val="21"/>
                <w:highlight w:val="none"/>
                <w:lang w:val="en-US" w:eastAsia="zh-CN"/>
              </w:rPr>
              <w:t>或</w:t>
            </w:r>
            <w:r>
              <w:rPr>
                <w:rFonts w:hint="eastAsia" w:ascii="宋体" w:hAnsi="宋体" w:cs="宋体"/>
                <w:color w:val="auto"/>
                <w:szCs w:val="21"/>
                <w:highlight w:val="none"/>
              </w:rPr>
              <w:t>送第三方机构检验，抽样检验工作由</w:t>
            </w:r>
            <w:r>
              <w:rPr>
                <w:rFonts w:hint="eastAsia" w:ascii="宋体" w:hAnsi="宋体" w:cs="宋体"/>
                <w:color w:val="auto"/>
                <w:szCs w:val="21"/>
                <w:highlight w:val="none"/>
                <w:lang w:val="en-US" w:eastAsia="zh-CN"/>
              </w:rPr>
              <w:t>采购人</w:t>
            </w:r>
            <w:r>
              <w:rPr>
                <w:rFonts w:hint="eastAsia" w:ascii="宋体" w:hAnsi="宋体" w:cs="宋体"/>
                <w:color w:val="auto"/>
                <w:szCs w:val="21"/>
                <w:highlight w:val="none"/>
              </w:rPr>
              <w:t>独立实施，</w:t>
            </w:r>
            <w:r>
              <w:rPr>
                <w:rFonts w:hint="eastAsia" w:ascii="宋体" w:hAnsi="宋体" w:cs="宋体"/>
                <w:color w:val="auto"/>
                <w:szCs w:val="21"/>
                <w:highlight w:val="none"/>
                <w:lang w:val="en-US" w:eastAsia="zh-CN"/>
              </w:rPr>
              <w:t>中标人</w:t>
            </w:r>
            <w:r>
              <w:rPr>
                <w:rFonts w:hint="eastAsia" w:ascii="宋体" w:hAnsi="宋体" w:cs="宋体"/>
                <w:color w:val="auto"/>
                <w:szCs w:val="21"/>
                <w:highlight w:val="none"/>
              </w:rPr>
              <w:t>应予配合，不得阻挠、干扰抽样过程。</w:t>
            </w:r>
          </w:p>
          <w:p w14:paraId="13995749">
            <w:pPr>
              <w:shd w:val="clear"/>
              <w:spacing w:after="0"/>
              <w:rPr>
                <w:rFonts w:hint="eastAsia" w:ascii="宋体" w:hAnsi="宋体" w:cs="宋体"/>
                <w:color w:val="auto"/>
                <w:szCs w:val="21"/>
                <w:highlight w:val="none"/>
              </w:rPr>
            </w:pP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 xml:space="preserve">.2 </w:t>
            </w:r>
            <w:r>
              <w:rPr>
                <w:rFonts w:hint="eastAsia" w:ascii="宋体" w:hAnsi="宋体" w:cs="宋体"/>
                <w:color w:val="auto"/>
                <w:szCs w:val="21"/>
                <w:highlight w:val="none"/>
                <w:lang w:val="en-US" w:eastAsia="zh-CN"/>
              </w:rPr>
              <w:t>采购人可自行对货物进行</w:t>
            </w:r>
            <w:r>
              <w:rPr>
                <w:rFonts w:hint="eastAsia" w:ascii="宋体" w:hAnsi="宋体" w:cs="宋体"/>
                <w:color w:val="auto"/>
                <w:szCs w:val="21"/>
                <w:highlight w:val="none"/>
              </w:rPr>
              <w:t>抽样送检，检测报告显示部分产品检测结果不合格的，</w:t>
            </w:r>
            <w:r>
              <w:rPr>
                <w:rFonts w:hint="eastAsia" w:ascii="宋体" w:hAnsi="宋体" w:cs="宋体"/>
                <w:color w:val="auto"/>
                <w:szCs w:val="21"/>
                <w:highlight w:val="none"/>
                <w:lang w:val="en-US" w:eastAsia="zh-CN"/>
              </w:rPr>
              <w:t>采购人</w:t>
            </w:r>
            <w:r>
              <w:rPr>
                <w:rFonts w:hint="eastAsia" w:ascii="宋体" w:hAnsi="宋体" w:cs="宋体"/>
                <w:color w:val="auto"/>
                <w:szCs w:val="21"/>
                <w:highlight w:val="none"/>
              </w:rPr>
              <w:t>有权对该部分不合格</w:t>
            </w:r>
            <w:r>
              <w:rPr>
                <w:rFonts w:hint="eastAsia" w:ascii="宋体" w:hAnsi="宋体" w:cs="宋体"/>
                <w:color w:val="auto"/>
                <w:szCs w:val="21"/>
                <w:highlight w:val="none"/>
                <w:lang w:val="en-US" w:eastAsia="zh-CN"/>
              </w:rPr>
              <w:t>产品</w:t>
            </w:r>
            <w:r>
              <w:rPr>
                <w:rFonts w:hint="eastAsia" w:ascii="宋体" w:hAnsi="宋体" w:cs="宋体"/>
                <w:color w:val="auto"/>
                <w:szCs w:val="21"/>
                <w:highlight w:val="none"/>
              </w:rPr>
              <w:t>作退货处理</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并</w:t>
            </w:r>
            <w:r>
              <w:rPr>
                <w:rFonts w:hint="eastAsia" w:ascii="宋体" w:hAnsi="宋体" w:cs="宋体"/>
                <w:color w:val="auto"/>
                <w:szCs w:val="21"/>
                <w:highlight w:val="none"/>
              </w:rPr>
              <w:t>对该批次</w:t>
            </w:r>
            <w:r>
              <w:rPr>
                <w:rFonts w:hint="eastAsia" w:ascii="宋体" w:hAnsi="宋体" w:cs="宋体"/>
                <w:color w:val="auto"/>
                <w:szCs w:val="21"/>
                <w:highlight w:val="none"/>
                <w:lang w:val="en-US" w:eastAsia="zh-CN"/>
              </w:rPr>
              <w:t>产品进行</w:t>
            </w:r>
            <w:r>
              <w:rPr>
                <w:rFonts w:hint="eastAsia" w:ascii="宋体" w:hAnsi="宋体" w:cs="宋体"/>
                <w:color w:val="auto"/>
                <w:szCs w:val="21"/>
                <w:highlight w:val="none"/>
              </w:rPr>
              <w:t>追加抽样复检</w:t>
            </w:r>
            <w:r>
              <w:rPr>
                <w:rFonts w:hint="eastAsia" w:ascii="宋体" w:hAnsi="宋体" w:cs="宋体"/>
                <w:color w:val="auto"/>
                <w:szCs w:val="21"/>
                <w:highlight w:val="none"/>
                <w:lang w:eastAsia="zh-CN"/>
              </w:rPr>
              <w:t>，</w:t>
            </w:r>
            <w:r>
              <w:rPr>
                <w:rFonts w:hint="eastAsia" w:ascii="宋体" w:hAnsi="宋体" w:cs="宋体"/>
                <w:color w:val="auto"/>
                <w:szCs w:val="21"/>
                <w:highlight w:val="none"/>
              </w:rPr>
              <w:t>若</w:t>
            </w:r>
            <w:r>
              <w:rPr>
                <w:rFonts w:hint="eastAsia" w:ascii="宋体" w:hAnsi="宋体" w:cs="宋体"/>
                <w:color w:val="auto"/>
                <w:szCs w:val="21"/>
                <w:highlight w:val="none"/>
                <w:lang w:val="en-US" w:eastAsia="zh-CN"/>
              </w:rPr>
              <w:t>第二次抽样</w:t>
            </w:r>
            <w:r>
              <w:rPr>
                <w:rFonts w:hint="eastAsia" w:ascii="宋体" w:hAnsi="宋体" w:cs="宋体"/>
                <w:color w:val="auto"/>
                <w:szCs w:val="21"/>
                <w:highlight w:val="none"/>
              </w:rPr>
              <w:t>的</w:t>
            </w:r>
            <w:r>
              <w:rPr>
                <w:rFonts w:hint="eastAsia" w:ascii="宋体" w:hAnsi="宋体" w:cs="宋体"/>
                <w:color w:val="auto"/>
                <w:szCs w:val="21"/>
                <w:highlight w:val="none"/>
                <w:lang w:val="en-US" w:eastAsia="zh-CN"/>
              </w:rPr>
              <w:t>产品检验结果仍有</w:t>
            </w:r>
            <w:r>
              <w:rPr>
                <w:rFonts w:hint="eastAsia" w:ascii="宋体" w:hAnsi="宋体" w:cs="宋体"/>
                <w:color w:val="auto"/>
                <w:szCs w:val="21"/>
                <w:highlight w:val="none"/>
              </w:rPr>
              <w:t>不合格，</w:t>
            </w:r>
            <w:r>
              <w:rPr>
                <w:rFonts w:hint="eastAsia" w:ascii="宋体" w:hAnsi="宋体" w:cs="宋体"/>
                <w:color w:val="auto"/>
                <w:szCs w:val="21"/>
                <w:highlight w:val="none"/>
                <w:lang w:val="en-US" w:eastAsia="zh-CN"/>
              </w:rPr>
              <w:t>采购人</w:t>
            </w:r>
            <w:r>
              <w:rPr>
                <w:rFonts w:hint="eastAsia" w:ascii="宋体" w:hAnsi="宋体" w:cs="宋体"/>
                <w:color w:val="auto"/>
                <w:szCs w:val="21"/>
                <w:highlight w:val="none"/>
              </w:rPr>
              <w:t>有权对整批产品全部退货</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中标人须</w:t>
            </w:r>
            <w:r>
              <w:rPr>
                <w:rFonts w:hint="eastAsia" w:ascii="宋体" w:hAnsi="宋体" w:cs="宋体"/>
                <w:color w:val="auto"/>
                <w:szCs w:val="21"/>
                <w:highlight w:val="none"/>
              </w:rPr>
              <w:t>承担由此产生的一切损失</w:t>
            </w:r>
            <w:r>
              <w:rPr>
                <w:rFonts w:hint="eastAsia" w:ascii="宋体" w:hAnsi="宋体" w:cs="宋体"/>
                <w:color w:val="auto"/>
                <w:szCs w:val="21"/>
                <w:highlight w:val="none"/>
                <w:lang w:eastAsia="zh-CN"/>
              </w:rPr>
              <w:t>。</w:t>
            </w:r>
          </w:p>
          <w:p w14:paraId="7A2F740D">
            <w:pPr>
              <w:shd w:val="clear"/>
              <w:spacing w:after="0"/>
              <w:rPr>
                <w:rFonts w:hint="eastAsia" w:ascii="宋体" w:hAnsi="宋体" w:cs="宋体"/>
                <w:color w:val="auto"/>
                <w:szCs w:val="21"/>
                <w:highlight w:val="none"/>
                <w:lang w:eastAsia="zh-CN"/>
              </w:rPr>
            </w:pP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.3 经检验，整批食材检验结果不合格的，甲方有权对该批次全部食材予以退货，</w:t>
            </w:r>
            <w:r>
              <w:rPr>
                <w:rFonts w:hint="eastAsia" w:ascii="宋体" w:hAnsi="宋体" w:cs="宋体"/>
                <w:color w:val="auto"/>
                <w:szCs w:val="21"/>
                <w:highlight w:val="none"/>
                <w:lang w:val="en-US" w:eastAsia="zh-CN"/>
              </w:rPr>
              <w:t>中标人须</w:t>
            </w:r>
            <w:r>
              <w:rPr>
                <w:rFonts w:hint="eastAsia" w:ascii="宋体" w:hAnsi="宋体" w:cs="宋体"/>
                <w:color w:val="auto"/>
                <w:szCs w:val="21"/>
                <w:highlight w:val="none"/>
              </w:rPr>
              <w:t>承担由此产生的一切损失</w:t>
            </w:r>
            <w:r>
              <w:rPr>
                <w:rFonts w:hint="eastAsia" w:ascii="宋体" w:hAnsi="宋体" w:cs="宋体"/>
                <w:color w:val="auto"/>
                <w:szCs w:val="21"/>
                <w:highlight w:val="none"/>
                <w:lang w:eastAsia="zh-CN"/>
              </w:rPr>
              <w:t>。</w:t>
            </w:r>
          </w:p>
          <w:p w14:paraId="18B10C75">
            <w:pPr>
              <w:shd w:val="clear"/>
              <w:spacing w:after="0"/>
              <w:rPr>
                <w:rFonts w:hint="eastAsia" w:ascii="宋体" w:hAnsi="宋体" w:cs="宋体"/>
                <w:color w:val="auto"/>
                <w:szCs w:val="21"/>
                <w:highlight w:val="none"/>
              </w:rPr>
            </w:pP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货物的质量问题争议及解决办法：因货物的质量问题发生争议，由东莞市市场监督管理局或国家法定的质量鉴定相关单位进行质量鉴定。货物符合质量标准的，鉴定费由采购人承担；货物不符合质量标准的，鉴定费由中标人承担，并且采购人有权追究中标人的相关责任。</w:t>
            </w:r>
          </w:p>
          <w:p w14:paraId="5F959EDB">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.若采购的为进口产品，中标人应保证所供产品可履行合法报通关手续进入中国关境内，且需向采购人提供进口食品的合法证明、</w:t>
            </w:r>
            <w:r>
              <w:rPr>
                <w:rFonts w:hint="eastAsia"/>
                <w:color w:val="auto"/>
                <w:highlight w:val="none"/>
              </w:rPr>
              <w:t>检验检疫证明、报关证明、出口国家出境证明等相关证明材料，缺少相关证明的产品，采购人有权拒收</w:t>
            </w:r>
            <w:r>
              <w:rPr>
                <w:rFonts w:hint="eastAsia" w:ascii="宋体" w:hAnsi="宋体" w:cs="宋体"/>
                <w:color w:val="auto"/>
                <w:szCs w:val="21"/>
                <w:highlight w:val="none"/>
              </w:rPr>
              <w:t>。</w:t>
            </w:r>
          </w:p>
        </w:tc>
      </w:tr>
      <w:tr w14:paraId="73887C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01" w:hRule="atLeast"/>
        </w:trPr>
        <w:tc>
          <w:tcPr>
            <w:tcW w:w="718" w:type="dxa"/>
            <w:vAlign w:val="center"/>
          </w:tcPr>
          <w:p w14:paraId="556A15F5">
            <w:pPr>
              <w:shd w:val="clear"/>
              <w:spacing w:after="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1175" w:type="dxa"/>
            <w:vAlign w:val="center"/>
          </w:tcPr>
          <w:p w14:paraId="0E162B88">
            <w:pPr>
              <w:shd w:val="clear"/>
              <w:spacing w:after="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违约处理</w:t>
            </w:r>
          </w:p>
        </w:tc>
        <w:tc>
          <w:tcPr>
            <w:tcW w:w="6803" w:type="dxa"/>
            <w:vAlign w:val="center"/>
          </w:tcPr>
          <w:p w14:paraId="576F5EFA">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针对中标人在</w:t>
            </w:r>
            <w:r>
              <w:rPr>
                <w:rFonts w:hint="eastAsia" w:ascii="宋体" w:hAnsi="宋体" w:cs="宋体"/>
                <w:color w:val="auto"/>
                <w:szCs w:val="21"/>
                <w:highlight w:val="none"/>
                <w:lang w:val="en-US" w:eastAsia="zh-CN"/>
              </w:rPr>
              <w:t>合同履行</w:t>
            </w:r>
            <w:r>
              <w:rPr>
                <w:rFonts w:hint="eastAsia" w:ascii="宋体" w:hAnsi="宋体" w:cs="宋体"/>
                <w:color w:val="auto"/>
                <w:szCs w:val="21"/>
                <w:highlight w:val="none"/>
              </w:rPr>
              <w:t xml:space="preserve">过程中出现的违反采购文件或合同约定的行为，采购人有权对中标人收取违约金，违约金从未结配送费中扣除。情节严重的,采购人有权单方终止合同,并依法追究中标人法律责任。 </w:t>
            </w:r>
          </w:p>
          <w:p w14:paraId="6BD4390B">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1、中标人没有使用专用冷藏、冷冻载具运输配送的，按当批货物货值的5%收取违约金，且采购人有权拒收该批次所有货品。</w:t>
            </w:r>
          </w:p>
          <w:p w14:paraId="55382F37">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2、中标人提供过期、变质货品的，问题产品同批次产品全部予以退货，按当批货物货值的</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%收取违约金，违约金不足以弥补采购人损失的，中标人还需补足。</w:t>
            </w:r>
            <w:r>
              <w:rPr>
                <w:rFonts w:hint="eastAsia" w:ascii="宋体" w:hAnsi="宋体" w:cs="宋体"/>
                <w:color w:val="auto"/>
                <w:szCs w:val="21"/>
                <w:highlight w:val="none"/>
                <w:lang w:val="en-US" w:eastAsia="zh-CN"/>
              </w:rPr>
              <w:t>中标人还须执行采购人的退、换货要求。</w:t>
            </w:r>
            <w:r>
              <w:rPr>
                <w:rFonts w:hint="eastAsia" w:ascii="宋体" w:hAnsi="宋体" w:cs="宋体"/>
                <w:color w:val="auto"/>
                <w:szCs w:val="21"/>
                <w:highlight w:val="none"/>
              </w:rPr>
              <w:t>造成食品安全问题的，中标人应依法承担责任，且采购人有权拒收该批次所有货品。</w:t>
            </w:r>
          </w:p>
          <w:p w14:paraId="655ED7EF">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 xml:space="preserve">3、中标人供货数量与采购人订单偏差超过±10%但没有事先说明的，每次提交违约金人民币500元。 </w:t>
            </w:r>
          </w:p>
          <w:p w14:paraId="18703F4B">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4、中标人接受了采购人的采购订单，但不能按要求提供配送服务，导致采购人供餐受影响的，每次按货值的</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 xml:space="preserve">%处以违约金。 </w:t>
            </w:r>
          </w:p>
          <w:p w14:paraId="4595D918">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5、已经定价的货品，中标人称没货，但采购人能通过常规途径在市场、超市等场所购买到所需数量的，每次按货值的</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 xml:space="preserve">%处以违约金。 </w:t>
            </w:r>
          </w:p>
          <w:p w14:paraId="6EF576E9">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 xml:space="preserve">6、中标人货品溯源制度不落实、进货查验记录不全的，每次按货值的3%处以违约金。 </w:t>
            </w:r>
          </w:p>
          <w:p w14:paraId="62E428E0">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7、中标人上述违约行为累计发生已达3次（含）以上的，再发生时每次提交违约金人民币1000元，且采购人有权单方终止合同。</w:t>
            </w:r>
          </w:p>
          <w:p w14:paraId="3572D909">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8、中标人无故中途退出，</w:t>
            </w:r>
            <w:r>
              <w:rPr>
                <w:rFonts w:hint="eastAsia" w:ascii="宋体" w:hAnsi="宋体" w:cs="宋体"/>
                <w:color w:val="auto"/>
                <w:szCs w:val="21"/>
                <w:highlight w:val="none"/>
                <w:lang w:val="en-US" w:eastAsia="zh-CN"/>
              </w:rPr>
              <w:t>采购人有权</w:t>
            </w:r>
            <w:r>
              <w:rPr>
                <w:rFonts w:hint="eastAsia" w:ascii="宋体" w:hAnsi="宋体" w:cs="宋体"/>
                <w:color w:val="auto"/>
                <w:szCs w:val="21"/>
                <w:highlight w:val="none"/>
              </w:rPr>
              <w:t>没收履约</w:t>
            </w:r>
            <w:r>
              <w:rPr>
                <w:rFonts w:hint="eastAsia" w:ascii="宋体" w:hAnsi="宋体" w:cs="宋体"/>
                <w:color w:val="auto"/>
                <w:szCs w:val="21"/>
                <w:highlight w:val="none"/>
                <w:lang w:val="en-US" w:eastAsia="zh-CN"/>
              </w:rPr>
              <w:t>担</w:t>
            </w:r>
            <w:r>
              <w:rPr>
                <w:rFonts w:hint="eastAsia" w:ascii="宋体" w:hAnsi="宋体" w:cs="宋体"/>
                <w:color w:val="auto"/>
                <w:szCs w:val="21"/>
                <w:highlight w:val="none"/>
              </w:rPr>
              <w:t>保。</w:t>
            </w:r>
          </w:p>
          <w:p w14:paraId="7632D728">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9、本项目服务期间，中标人必须独立经营，不得以挂靠形式经营，不得存在违法分包、转包等情况，一经发现上述任意情况，采购人有权单方无条件终止合同，没收履约</w:t>
            </w:r>
            <w:r>
              <w:rPr>
                <w:rFonts w:hint="eastAsia" w:ascii="宋体" w:hAnsi="宋体" w:cs="宋体"/>
                <w:color w:val="auto"/>
                <w:szCs w:val="21"/>
                <w:highlight w:val="none"/>
                <w:lang w:val="en-US" w:eastAsia="zh-CN"/>
              </w:rPr>
              <w:t>担</w:t>
            </w:r>
            <w:r>
              <w:rPr>
                <w:rFonts w:hint="eastAsia" w:ascii="宋体" w:hAnsi="宋体" w:cs="宋体"/>
                <w:color w:val="auto"/>
                <w:szCs w:val="21"/>
                <w:highlight w:val="none"/>
              </w:rPr>
              <w:t>保，并将中标人纳入东实集团合作黑名单，期限为2年，时间以合同终止日起算，被列入黑名单的单位在规定期限内不得参与东实集团项目投标。</w:t>
            </w:r>
          </w:p>
        </w:tc>
      </w:tr>
      <w:tr w14:paraId="2F78AE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01" w:hRule="atLeast"/>
        </w:trPr>
        <w:tc>
          <w:tcPr>
            <w:tcW w:w="718" w:type="dxa"/>
            <w:vAlign w:val="center"/>
          </w:tcPr>
          <w:p w14:paraId="5CF4E87E">
            <w:pPr>
              <w:shd w:val="clear"/>
              <w:spacing w:after="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1175" w:type="dxa"/>
            <w:vAlign w:val="center"/>
          </w:tcPr>
          <w:p w14:paraId="371FDBAF">
            <w:pPr>
              <w:shd w:val="clear"/>
              <w:spacing w:after="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其他要求</w:t>
            </w:r>
          </w:p>
        </w:tc>
        <w:tc>
          <w:tcPr>
            <w:tcW w:w="6803" w:type="dxa"/>
            <w:vAlign w:val="center"/>
          </w:tcPr>
          <w:p w14:paraId="53D0061D">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1、中标人必须服从采购人的监督、管理，配合采购人到货品配送点进行现场考察。</w:t>
            </w:r>
          </w:p>
          <w:p w14:paraId="694B14FF">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 xml:space="preserve">2、食品供应链要求：所有食品的来源必须清晰可追溯和追责。 </w:t>
            </w:r>
          </w:p>
          <w:p w14:paraId="60A4D1EA">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3、如发现中标人泄露采购人的秘密，或有弄虚作假行为（如提供假证照、供应假冒伪劣产品等）,或以贿赂等不正当手段获取配送资格的，即时取消成交资格</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解除合同</w:t>
            </w:r>
            <w:r>
              <w:rPr>
                <w:rFonts w:hint="eastAsia" w:ascii="宋体" w:hAnsi="宋体" w:cs="宋体"/>
                <w:color w:val="auto"/>
                <w:szCs w:val="21"/>
                <w:highlight w:val="none"/>
              </w:rPr>
              <w:t xml:space="preserve">，情节严重的还将依法追究其经济责任和法律责任。 </w:t>
            </w:r>
          </w:p>
          <w:p w14:paraId="096E7F9F">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4、中标人存在违反采购文件和合同约定的行为，并且不予纠正的，将取消其成交资格</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解除合同</w:t>
            </w:r>
            <w:r>
              <w:rPr>
                <w:rFonts w:hint="eastAsia" w:ascii="宋体" w:hAnsi="宋体" w:cs="宋体"/>
                <w:color w:val="auto"/>
                <w:szCs w:val="21"/>
                <w:highlight w:val="none"/>
              </w:rPr>
              <w:t xml:space="preserve">。此项下违约行为包括但不限于下列各项： </w:t>
            </w:r>
          </w:p>
          <w:p w14:paraId="6FA07C42">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 xml:space="preserve">（1）中标人在收到采购人订货要求后，在承诺的供货时间内不能供货的。 </w:t>
            </w:r>
          </w:p>
          <w:p w14:paraId="37850848">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（2）中标人未能提供承诺的服务的。</w:t>
            </w:r>
          </w:p>
          <w:p w14:paraId="08D688A8">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 xml:space="preserve">（3）中标人不能在约定时间内提供合法票据进行结算的。 </w:t>
            </w:r>
          </w:p>
          <w:p w14:paraId="6AA229B1">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（4）中标人送货人员在采购人单位活动但不遵守采购人单位各项规章制度或做出有损采购人形象和利益的事情的。</w:t>
            </w:r>
          </w:p>
        </w:tc>
      </w:tr>
      <w:tr w14:paraId="63F3A0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01" w:hRule="atLeast"/>
        </w:trPr>
        <w:tc>
          <w:tcPr>
            <w:tcW w:w="718" w:type="dxa"/>
            <w:shd w:val="clear" w:color="auto" w:fill="auto"/>
            <w:vAlign w:val="center"/>
          </w:tcPr>
          <w:p w14:paraId="0DD224DA">
            <w:pPr>
              <w:shd w:val="clear"/>
              <w:spacing w:after="0"/>
              <w:jc w:val="center"/>
              <w:rPr>
                <w:rFonts w:hint="eastAsia" w:ascii="宋体" w:hAnsi="宋体" w:eastAsia="宋体" w:cs="宋体"/>
                <w:b/>
                <w:bCs/>
                <w:color w:val="auto"/>
                <w:sz w:val="21"/>
                <w:szCs w:val="21"/>
                <w:highlight w:val="none"/>
                <w:lang w:val="en-US" w:eastAsia="zh-CN" w:bidi="ar-SA"/>
              </w:rPr>
            </w:pPr>
            <w:r>
              <w:rPr>
                <w:rFonts w:hint="eastAsia" w:ascii="宋体" w:hAnsi="宋体" w:cs="宋体"/>
                <w:b/>
                <w:bCs/>
                <w:color w:val="auto"/>
                <w:sz w:val="21"/>
                <w:szCs w:val="21"/>
                <w:highlight w:val="none"/>
                <w:lang w:val="en-US" w:eastAsia="zh-CN"/>
              </w:rPr>
              <w:t>9</w:t>
            </w:r>
          </w:p>
        </w:tc>
        <w:tc>
          <w:tcPr>
            <w:tcW w:w="1175" w:type="dxa"/>
            <w:shd w:val="clear" w:color="auto" w:fill="auto"/>
            <w:vAlign w:val="center"/>
          </w:tcPr>
          <w:p w14:paraId="6BAB79DB">
            <w:pPr>
              <w:shd w:val="clear"/>
              <w:spacing w:after="0"/>
              <w:jc w:val="center"/>
              <w:rPr>
                <w:rFonts w:hint="eastAsia" w:ascii="宋体" w:hAnsi="宋体" w:eastAsia="宋体" w:cs="宋体"/>
                <w:b/>
                <w:bCs/>
                <w:color w:val="auto"/>
                <w:sz w:val="21"/>
                <w:szCs w:val="21"/>
                <w:highlight w:val="none"/>
                <w:lang w:val="en-US" w:eastAsia="zh-CN" w:bidi="ar-SA"/>
              </w:rPr>
            </w:pPr>
            <w:r>
              <w:rPr>
                <w:rFonts w:hint="eastAsia" w:ascii="宋体" w:hAnsi="宋体" w:eastAsia="宋体" w:cs="宋体"/>
                <w:b/>
                <w:bCs/>
                <w:color w:val="auto"/>
                <w:sz w:val="21"/>
                <w:szCs w:val="21"/>
                <w:highlight w:val="none"/>
              </w:rPr>
              <w:t>★</w:t>
            </w:r>
            <w:r>
              <w:rPr>
                <w:rFonts w:hint="eastAsia" w:ascii="宋体" w:hAnsi="宋体" w:cs="宋体"/>
                <w:b/>
                <w:bCs/>
                <w:color w:val="auto"/>
                <w:sz w:val="21"/>
                <w:szCs w:val="21"/>
                <w:highlight w:val="none"/>
                <w:lang w:val="en-US" w:eastAsia="zh-CN"/>
              </w:rPr>
              <w:t>企业信誉</w:t>
            </w:r>
          </w:p>
        </w:tc>
        <w:tc>
          <w:tcPr>
            <w:tcW w:w="6803" w:type="dxa"/>
            <w:shd w:val="clear" w:color="auto" w:fill="auto"/>
            <w:vAlign w:val="center"/>
          </w:tcPr>
          <w:p w14:paraId="5B5565CC">
            <w:pPr>
              <w:shd w:val="clear"/>
              <w:spacing w:after="0"/>
              <w:rPr>
                <w:rFonts w:hint="eastAsia" w:ascii="宋体" w:hAnsi="宋体" w:eastAsia="宋体" w:cs="宋体"/>
                <w:b/>
                <w:bCs/>
                <w:color w:val="auto"/>
                <w:sz w:val="21"/>
                <w:szCs w:val="21"/>
                <w:highlight w:val="none"/>
                <w:lang w:val="en-US" w:eastAsia="zh-CN" w:bidi="ar-SA"/>
              </w:rPr>
            </w:pPr>
            <w:r>
              <w:rPr>
                <w:rFonts w:hint="eastAsia" w:ascii="宋体" w:hAnsi="宋体" w:cs="宋体"/>
                <w:b/>
                <w:bCs/>
                <w:color w:val="auto"/>
                <w:szCs w:val="21"/>
                <w:highlight w:val="none"/>
              </w:rPr>
              <w:t>投标人</w:t>
            </w:r>
            <w:r>
              <w:rPr>
                <w:rFonts w:hint="eastAsia" w:ascii="宋体" w:hAnsi="宋体" w:cs="宋体"/>
                <w:b/>
                <w:bCs/>
                <w:color w:val="auto"/>
                <w:szCs w:val="21"/>
                <w:highlight w:val="none"/>
                <w:lang w:val="en-US" w:eastAsia="zh-CN"/>
              </w:rPr>
              <w:t>须承诺</w:t>
            </w:r>
            <w:r>
              <w:rPr>
                <w:rFonts w:hint="eastAsia" w:ascii="宋体" w:hAnsi="宋体" w:cs="宋体"/>
                <w:b/>
                <w:bCs/>
                <w:color w:val="auto"/>
                <w:szCs w:val="21"/>
                <w:highlight w:val="none"/>
              </w:rPr>
              <w:t>近三年内（按递交投标文件截止日算）未受到市场管理或食药监部门的行政处罚或整改要求。</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rPr>
              <w:t>提供承诺函</w:t>
            </w:r>
            <w:r>
              <w:rPr>
                <w:rFonts w:hint="eastAsia" w:ascii="宋体" w:hAnsi="宋体" w:cs="宋体"/>
                <w:b/>
                <w:bCs/>
                <w:color w:val="auto"/>
                <w:szCs w:val="21"/>
                <w:highlight w:val="none"/>
                <w:lang w:val="en-US" w:eastAsia="zh-CN"/>
              </w:rPr>
              <w:t>并</w:t>
            </w:r>
            <w:r>
              <w:rPr>
                <w:rFonts w:hint="eastAsia" w:ascii="宋体" w:hAnsi="宋体" w:cs="宋体"/>
                <w:b/>
                <w:bCs/>
                <w:color w:val="auto"/>
                <w:szCs w:val="21"/>
                <w:highlight w:val="none"/>
              </w:rPr>
              <w:t>加盖投标人公章</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lang w:val="en-US" w:eastAsia="zh-CN"/>
              </w:rPr>
              <w:t>格式自拟</w:t>
            </w:r>
            <w:r>
              <w:rPr>
                <w:rFonts w:hint="eastAsia" w:ascii="宋体" w:hAnsi="宋体" w:cs="宋体"/>
                <w:b/>
                <w:bCs/>
                <w:color w:val="auto"/>
                <w:szCs w:val="21"/>
                <w:highlight w:val="none"/>
              </w:rPr>
              <w:t>。</w:t>
            </w:r>
            <w:r>
              <w:rPr>
                <w:rFonts w:hint="eastAsia" w:ascii="宋体" w:hAnsi="宋体" w:cs="宋体"/>
                <w:b/>
                <w:bCs/>
                <w:color w:val="auto"/>
                <w:szCs w:val="21"/>
                <w:highlight w:val="none"/>
                <w:lang w:eastAsia="zh-CN"/>
              </w:rPr>
              <w:t>）</w:t>
            </w:r>
          </w:p>
        </w:tc>
      </w:tr>
      <w:tr w14:paraId="052AA6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01" w:hRule="atLeast"/>
        </w:trPr>
        <w:tc>
          <w:tcPr>
            <w:tcW w:w="718" w:type="dxa"/>
            <w:shd w:val="clear" w:color="auto" w:fill="auto"/>
            <w:vAlign w:val="center"/>
          </w:tcPr>
          <w:p w14:paraId="31EE4CB3">
            <w:pPr>
              <w:shd w:val="clear"/>
              <w:spacing w:after="0"/>
              <w:jc w:val="center"/>
              <w:rPr>
                <w:rFonts w:hint="default" w:ascii="宋体" w:hAnsi="宋体" w:eastAsia="宋体" w:cs="宋体"/>
                <w:b/>
                <w:bCs/>
                <w:color w:val="auto"/>
                <w:sz w:val="21"/>
                <w:szCs w:val="21"/>
                <w:highlight w:val="none"/>
                <w:lang w:val="en-US" w:eastAsia="zh-CN" w:bidi="ar-SA"/>
              </w:rPr>
            </w:pPr>
            <w:r>
              <w:rPr>
                <w:rFonts w:hint="eastAsia" w:ascii="宋体" w:hAnsi="宋体" w:cs="宋体"/>
                <w:b/>
                <w:bCs/>
                <w:color w:val="auto"/>
                <w:sz w:val="21"/>
                <w:szCs w:val="21"/>
                <w:highlight w:val="none"/>
                <w:lang w:val="en-US" w:eastAsia="zh-CN"/>
              </w:rPr>
              <w:t>10</w:t>
            </w:r>
          </w:p>
        </w:tc>
        <w:tc>
          <w:tcPr>
            <w:tcW w:w="1175" w:type="dxa"/>
            <w:shd w:val="clear" w:color="auto" w:fill="auto"/>
            <w:vAlign w:val="center"/>
          </w:tcPr>
          <w:p w14:paraId="119B31FA">
            <w:pPr>
              <w:shd w:val="clear"/>
              <w:spacing w:after="0"/>
              <w:jc w:val="center"/>
              <w:rPr>
                <w:rFonts w:hint="eastAsia" w:ascii="宋体" w:hAnsi="宋体" w:eastAsia="宋体" w:cs="宋体"/>
                <w:b/>
                <w:bCs/>
                <w:color w:val="auto"/>
                <w:sz w:val="21"/>
                <w:szCs w:val="21"/>
                <w:highlight w:val="none"/>
                <w:lang w:val="en-US" w:eastAsia="zh-CN" w:bidi="ar-SA"/>
              </w:rPr>
            </w:pP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2"/>
                <w:szCs w:val="22"/>
                <w:highlight w:val="none"/>
                <w:lang w:val="pt-BR" w:eastAsia="zh-CN"/>
              </w:rPr>
              <w:t>食品安全责任险</w:t>
            </w:r>
          </w:p>
        </w:tc>
        <w:tc>
          <w:tcPr>
            <w:tcW w:w="6803" w:type="dxa"/>
            <w:shd w:val="clear" w:color="auto" w:fill="auto"/>
            <w:vAlign w:val="center"/>
          </w:tcPr>
          <w:p w14:paraId="78924733">
            <w:pPr>
              <w:numPr>
                <w:ilvl w:val="0"/>
                <w:numId w:val="0"/>
              </w:numPr>
              <w:shd w:val="clear"/>
              <w:spacing w:after="0" w:line="440" w:lineRule="exact"/>
              <w:ind w:left="0" w:leftChars="0" w:firstLine="0" w:firstLineChars="0"/>
              <w:rPr>
                <w:rFonts w:hint="eastAsia" w:ascii="宋体" w:hAnsi="宋体" w:eastAsia="宋体" w:cs="宋体"/>
                <w:b/>
                <w:bCs/>
                <w:color w:val="auto"/>
                <w:sz w:val="21"/>
                <w:szCs w:val="21"/>
                <w:highlight w:val="none"/>
                <w:lang w:val="en-US" w:eastAsia="zh-CN" w:bidi="ar-SA"/>
              </w:rPr>
            </w:pPr>
            <w:r>
              <w:rPr>
                <w:rFonts w:hint="eastAsia" w:ascii="宋体" w:hAnsi="宋体" w:cs="宋体"/>
                <w:b/>
                <w:bCs/>
                <w:color w:val="auto"/>
                <w:sz w:val="22"/>
                <w:szCs w:val="22"/>
                <w:highlight w:val="none"/>
                <w:lang w:val="en-US" w:eastAsia="zh-CN"/>
              </w:rPr>
              <w:t>投标人须承诺</w:t>
            </w:r>
            <w:r>
              <w:rPr>
                <w:rFonts w:hint="eastAsia" w:ascii="宋体" w:hAnsi="宋体" w:eastAsia="宋体" w:cs="宋体"/>
                <w:b/>
                <w:bCs/>
                <w:color w:val="auto"/>
                <w:sz w:val="22"/>
                <w:szCs w:val="22"/>
                <w:highlight w:val="none"/>
                <w:lang w:val="pt-BR" w:eastAsia="zh-CN"/>
              </w:rPr>
              <w:t>中标后为采购人提供一份食品安全责任险</w:t>
            </w:r>
            <w:r>
              <w:rPr>
                <w:rFonts w:hint="eastAsia" w:ascii="宋体" w:hAnsi="宋体" w:cs="宋体"/>
                <w:b/>
                <w:bCs/>
                <w:color w:val="auto"/>
                <w:sz w:val="22"/>
                <w:szCs w:val="22"/>
                <w:highlight w:val="none"/>
                <w:lang w:val="pt-BR" w:eastAsia="zh-CN"/>
              </w:rPr>
              <w:t>，</w:t>
            </w:r>
            <w:r>
              <w:rPr>
                <w:rFonts w:hint="eastAsia" w:ascii="宋体" w:hAnsi="宋体" w:eastAsia="宋体" w:cs="宋体"/>
                <w:b/>
                <w:bCs/>
                <w:color w:val="auto"/>
                <w:sz w:val="22"/>
                <w:szCs w:val="22"/>
                <w:highlight w:val="none"/>
                <w:lang w:val="pt-BR" w:eastAsia="zh-CN"/>
              </w:rPr>
              <w:t>以采购人为受益人</w:t>
            </w:r>
            <w:r>
              <w:rPr>
                <w:rFonts w:hint="eastAsia" w:ascii="宋体" w:hAnsi="宋体" w:cs="宋体"/>
                <w:b/>
                <w:bCs/>
                <w:color w:val="auto"/>
                <w:sz w:val="22"/>
                <w:szCs w:val="22"/>
                <w:highlight w:val="none"/>
                <w:lang w:val="pt-BR" w:eastAsia="zh-CN"/>
              </w:rPr>
              <w:t>，</w:t>
            </w:r>
            <w:r>
              <w:rPr>
                <w:rFonts w:hint="eastAsia" w:ascii="宋体" w:hAnsi="宋体" w:cs="宋体"/>
                <w:b/>
                <w:bCs/>
                <w:color w:val="auto"/>
                <w:sz w:val="22"/>
                <w:szCs w:val="22"/>
                <w:highlight w:val="none"/>
                <w:lang w:val="en-US" w:eastAsia="zh-CN"/>
              </w:rPr>
              <w:t>保险期覆盖本项目合同有效期且</w:t>
            </w:r>
            <w:r>
              <w:rPr>
                <w:rFonts w:hint="eastAsia" w:ascii="宋体" w:hAnsi="宋体" w:eastAsia="宋体" w:cs="宋体"/>
                <w:b/>
                <w:bCs/>
                <w:color w:val="auto"/>
                <w:sz w:val="22"/>
                <w:szCs w:val="22"/>
                <w:highlight w:val="none"/>
                <w:lang w:val="pt-BR" w:eastAsia="zh-CN"/>
              </w:rPr>
              <w:t>食品安全责任险保险金额</w:t>
            </w:r>
            <w:r>
              <w:rPr>
                <w:rFonts w:hint="eastAsia" w:ascii="宋体" w:hAnsi="宋体" w:cs="宋体"/>
                <w:b/>
                <w:bCs/>
                <w:color w:val="auto"/>
                <w:sz w:val="22"/>
                <w:szCs w:val="22"/>
                <w:highlight w:val="none"/>
                <w:lang w:val="en-US" w:eastAsia="zh-CN"/>
              </w:rPr>
              <w:t>承诺不低于5</w:t>
            </w:r>
            <w:r>
              <w:rPr>
                <w:rFonts w:hint="eastAsia" w:ascii="宋体" w:hAnsi="宋体" w:eastAsia="宋体" w:cs="宋体"/>
                <w:b/>
                <w:bCs/>
                <w:color w:val="auto"/>
                <w:sz w:val="22"/>
                <w:szCs w:val="22"/>
                <w:highlight w:val="none"/>
                <w:lang w:val="pt-BR" w:eastAsia="zh-CN"/>
              </w:rPr>
              <w:t>00万元</w:t>
            </w:r>
            <w:r>
              <w:rPr>
                <w:rFonts w:hint="eastAsia" w:ascii="宋体" w:hAnsi="宋体" w:cs="宋体"/>
                <w:b/>
                <w:bCs/>
                <w:color w:val="auto"/>
                <w:sz w:val="22"/>
                <w:szCs w:val="22"/>
                <w:highlight w:val="none"/>
                <w:lang w:val="pt-BR" w:eastAsia="zh-CN"/>
              </w:rPr>
              <w:t>。</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rPr>
              <w:t>提供承诺函</w:t>
            </w:r>
            <w:r>
              <w:rPr>
                <w:rFonts w:hint="eastAsia" w:ascii="宋体" w:hAnsi="宋体" w:cs="宋体"/>
                <w:b/>
                <w:bCs/>
                <w:color w:val="auto"/>
                <w:szCs w:val="21"/>
                <w:highlight w:val="none"/>
                <w:lang w:val="en-US" w:eastAsia="zh-CN"/>
              </w:rPr>
              <w:t>并</w:t>
            </w:r>
            <w:r>
              <w:rPr>
                <w:rFonts w:hint="eastAsia" w:ascii="宋体" w:hAnsi="宋体" w:cs="宋体"/>
                <w:b/>
                <w:bCs/>
                <w:color w:val="auto"/>
                <w:szCs w:val="21"/>
                <w:highlight w:val="none"/>
              </w:rPr>
              <w:t>加盖投标人公章</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lang w:val="en-US" w:eastAsia="zh-CN"/>
              </w:rPr>
              <w:t>格式自拟</w:t>
            </w:r>
            <w:r>
              <w:rPr>
                <w:rFonts w:hint="eastAsia" w:ascii="宋体" w:hAnsi="宋体" w:cs="宋体"/>
                <w:b/>
                <w:bCs/>
                <w:color w:val="auto"/>
                <w:szCs w:val="21"/>
                <w:highlight w:val="none"/>
              </w:rPr>
              <w:t>。</w:t>
            </w:r>
            <w:r>
              <w:rPr>
                <w:rFonts w:hint="eastAsia" w:ascii="宋体" w:hAnsi="宋体" w:cs="宋体"/>
                <w:b/>
                <w:bCs/>
                <w:color w:val="auto"/>
                <w:szCs w:val="21"/>
                <w:highlight w:val="none"/>
                <w:lang w:eastAsia="zh-CN"/>
              </w:rPr>
              <w:t>）</w:t>
            </w:r>
          </w:p>
        </w:tc>
      </w:tr>
      <w:tr w14:paraId="66AAD8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01" w:hRule="atLeast"/>
        </w:trPr>
        <w:tc>
          <w:tcPr>
            <w:tcW w:w="718" w:type="dxa"/>
            <w:vAlign w:val="center"/>
          </w:tcPr>
          <w:p w14:paraId="657F9327">
            <w:pPr>
              <w:shd w:val="clear"/>
              <w:spacing w:after="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1175" w:type="dxa"/>
            <w:vAlign w:val="center"/>
          </w:tcPr>
          <w:p w14:paraId="29AE3849">
            <w:pPr>
              <w:shd w:val="clear"/>
              <w:spacing w:after="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投标有效期</w:t>
            </w:r>
          </w:p>
        </w:tc>
        <w:tc>
          <w:tcPr>
            <w:tcW w:w="6803" w:type="dxa"/>
            <w:vAlign w:val="center"/>
          </w:tcPr>
          <w:p w14:paraId="3809F360">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自开标之日起90天。</w:t>
            </w:r>
          </w:p>
        </w:tc>
      </w:tr>
      <w:tr w14:paraId="1CDCF2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01" w:hRule="atLeast"/>
        </w:trPr>
        <w:tc>
          <w:tcPr>
            <w:tcW w:w="718" w:type="dxa"/>
            <w:vAlign w:val="center"/>
          </w:tcPr>
          <w:p w14:paraId="2843B36A">
            <w:pPr>
              <w:shd w:val="clear"/>
              <w:spacing w:after="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p>
        </w:tc>
        <w:tc>
          <w:tcPr>
            <w:tcW w:w="1175" w:type="dxa"/>
            <w:vAlign w:val="center"/>
          </w:tcPr>
          <w:p w14:paraId="6D45F44D">
            <w:pPr>
              <w:shd w:val="clear"/>
              <w:spacing w:after="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合同条款</w:t>
            </w:r>
          </w:p>
        </w:tc>
        <w:tc>
          <w:tcPr>
            <w:tcW w:w="6803" w:type="dxa"/>
            <w:vAlign w:val="center"/>
          </w:tcPr>
          <w:p w14:paraId="1954CA36">
            <w:pPr>
              <w:shd w:val="clear"/>
              <w:spacing w:after="0"/>
              <w:rPr>
                <w:rFonts w:hint="eastAsia" w:ascii="宋体" w:hAnsi="宋体" w:cs="宋体"/>
                <w:color w:val="auto"/>
                <w:szCs w:val="21"/>
                <w:highlight w:val="none"/>
              </w:rPr>
            </w:pPr>
            <w:r>
              <w:rPr>
                <w:rFonts w:hint="eastAsia" w:ascii="宋体" w:hAnsi="宋体" w:cs="宋体"/>
                <w:color w:val="auto"/>
                <w:szCs w:val="21"/>
                <w:highlight w:val="none"/>
              </w:rPr>
              <w:t>投标人实质响应合同各条款。</w:t>
            </w:r>
          </w:p>
        </w:tc>
      </w:tr>
    </w:tbl>
    <w:p w14:paraId="2F61F3CE">
      <w:pPr>
        <w:shd w:val="clear"/>
        <w:rPr>
          <w:rFonts w:hint="eastAsia" w:ascii="宋体" w:hAnsi="宋体" w:cs="宋体"/>
          <w:color w:val="auto"/>
          <w:highlight w:val="none"/>
        </w:rPr>
      </w:pPr>
      <w:r>
        <w:rPr>
          <w:rFonts w:hint="eastAsia" w:ascii="宋体" w:hAnsi="宋体" w:cs="宋体"/>
          <w:color w:val="auto"/>
          <w:highlight w:val="none"/>
        </w:rPr>
        <w:br w:type="page"/>
      </w:r>
    </w:p>
    <w:p w14:paraId="2168B541">
      <w:pPr>
        <w:pStyle w:val="5"/>
        <w:shd w:val="clear"/>
        <w:spacing w:before="0" w:after="0" w:line="360" w:lineRule="auto"/>
        <w:jc w:val="center"/>
        <w:rPr>
          <w:rFonts w:hint="eastAsia" w:ascii="宋体" w:hAnsi="宋体" w:cs="宋体"/>
          <w:color w:val="auto"/>
          <w:highlight w:val="none"/>
        </w:rPr>
      </w:pPr>
      <w:bookmarkStart w:id="26" w:name="_Toc10762"/>
      <w:bookmarkStart w:id="27" w:name="_Toc19776"/>
      <w:bookmarkStart w:id="28" w:name="OLE_LINK4"/>
      <w:r>
        <w:rPr>
          <w:rFonts w:hint="eastAsia" w:ascii="宋体" w:hAnsi="宋体" w:cs="宋体"/>
          <w:color w:val="auto"/>
          <w:highlight w:val="none"/>
        </w:rPr>
        <w:t>第二章 技术需求书</w:t>
      </w:r>
      <w:bookmarkEnd w:id="24"/>
      <w:r>
        <w:rPr>
          <w:rFonts w:hint="eastAsia" w:ascii="宋体" w:hAnsi="宋体" w:cs="宋体"/>
          <w:color w:val="auto"/>
          <w:highlight w:val="none"/>
        </w:rPr>
        <w:t>（包A）</w:t>
      </w:r>
      <w:bookmarkEnd w:id="26"/>
      <w:bookmarkEnd w:id="27"/>
    </w:p>
    <w:bookmarkEnd w:id="17"/>
    <w:bookmarkEnd w:id="28"/>
    <w:p w14:paraId="77437120">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2" w:firstLineChars="200"/>
        <w:textAlignment w:val="auto"/>
        <w:rPr>
          <w:rFonts w:hint="eastAsia" w:ascii="宋体" w:hAnsi="宋体" w:cs="宋体"/>
          <w:b/>
          <w:bCs/>
          <w:color w:val="auto"/>
          <w:highlight w:val="none"/>
        </w:rPr>
      </w:pPr>
      <w:r>
        <w:rPr>
          <w:rFonts w:hint="eastAsia" w:ascii="宋体" w:hAnsi="宋体" w:cs="宋体"/>
          <w:b/>
          <w:bCs/>
          <w:color w:val="auto"/>
          <w:highlight w:val="none"/>
        </w:rPr>
        <w:t>一、采购项目概述</w:t>
      </w:r>
    </w:p>
    <w:p w14:paraId="52AD30B7">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本包组服务内容为</w:t>
      </w:r>
      <w:r>
        <w:rPr>
          <w:rFonts w:hint="eastAsia" w:ascii="宋体" w:hAnsi="宋体" w:cs="宋体"/>
          <w:color w:val="auto"/>
          <w:szCs w:val="21"/>
          <w:highlight w:val="none"/>
        </w:rPr>
        <w:t>东莞迎宾馆</w:t>
      </w:r>
      <w:r>
        <w:rPr>
          <w:rFonts w:hint="eastAsia" w:ascii="宋体" w:hAnsi="宋体" w:cs="宋体"/>
          <w:color w:val="auto"/>
          <w:szCs w:val="21"/>
          <w:highlight w:val="none"/>
          <w:lang w:eastAsia="zh-CN"/>
        </w:rPr>
        <w:t>海鲜水产类</w:t>
      </w:r>
      <w:r>
        <w:rPr>
          <w:rFonts w:hint="eastAsia" w:ascii="宋体" w:hAnsi="宋体" w:cs="宋体"/>
          <w:color w:val="auto"/>
          <w:szCs w:val="21"/>
          <w:highlight w:val="none"/>
        </w:rPr>
        <w:t>客用食材协议供应采购项目</w:t>
      </w:r>
      <w:r>
        <w:rPr>
          <w:rFonts w:hint="eastAsia" w:ascii="宋体" w:hAnsi="宋体" w:cs="宋体"/>
          <w:color w:val="auto"/>
          <w:highlight w:val="none"/>
        </w:rPr>
        <w:t>。中标人为采购人供应</w:t>
      </w:r>
      <w:r>
        <w:rPr>
          <w:rFonts w:hint="eastAsia" w:ascii="宋体" w:hAnsi="宋体" w:cs="宋体"/>
          <w:color w:val="auto"/>
          <w:highlight w:val="none"/>
          <w:lang w:eastAsia="zh-CN"/>
        </w:rPr>
        <w:t>海鲜水产类</w:t>
      </w:r>
      <w:r>
        <w:rPr>
          <w:rFonts w:hint="eastAsia" w:ascii="宋体" w:hAnsi="宋体" w:cs="宋体"/>
          <w:color w:val="auto"/>
          <w:highlight w:val="none"/>
        </w:rPr>
        <w:t>食材或货物。采购数量视乎采购人的需求而定。中标人按照采购人提出的物品订货清单，不论数量多少，必须保证在规定的时间送达，具体数量和食材以实际下单为准。</w:t>
      </w:r>
    </w:p>
    <w:p w14:paraId="5FB6D0A9">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2" w:firstLineChars="200"/>
        <w:textAlignment w:val="auto"/>
        <w:rPr>
          <w:rFonts w:hint="eastAsia" w:ascii="宋体" w:hAnsi="宋体" w:cs="宋体"/>
          <w:b/>
          <w:bCs/>
          <w:color w:val="auto"/>
          <w:highlight w:val="none"/>
        </w:rPr>
      </w:pPr>
      <w:r>
        <w:rPr>
          <w:rFonts w:hint="eastAsia" w:ascii="宋体" w:hAnsi="宋体" w:cs="宋体"/>
          <w:b/>
          <w:bCs/>
          <w:color w:val="auto"/>
          <w:highlight w:val="none"/>
          <w:lang w:eastAsia="zh-CN"/>
        </w:rPr>
        <w:t>海鲜水产类</w:t>
      </w:r>
      <w:r>
        <w:rPr>
          <w:rFonts w:hint="eastAsia" w:ascii="宋体" w:hAnsi="宋体" w:cs="宋体"/>
          <w:b/>
          <w:bCs/>
          <w:color w:val="auto"/>
          <w:highlight w:val="none"/>
        </w:rPr>
        <w:t>各营业点采购比例：</w:t>
      </w:r>
    </w:p>
    <w:tbl>
      <w:tblPr>
        <w:tblStyle w:val="3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0"/>
        <w:gridCol w:w="2124"/>
        <w:gridCol w:w="3137"/>
        <w:gridCol w:w="1573"/>
        <w:gridCol w:w="1158"/>
      </w:tblGrid>
      <w:tr w14:paraId="74593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530" w:type="dxa"/>
            <w:vAlign w:val="center"/>
          </w:tcPr>
          <w:p w14:paraId="7C5EE4C8">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s="宋体"/>
                <w:b/>
                <w:bCs/>
                <w:color w:val="auto"/>
                <w:highlight w:val="none"/>
              </w:rPr>
            </w:pPr>
            <w:r>
              <w:rPr>
                <w:rFonts w:hint="eastAsia" w:ascii="宋体" w:hAnsi="宋体" w:cs="宋体"/>
                <w:b/>
                <w:bCs/>
                <w:color w:val="auto"/>
                <w:highlight w:val="none"/>
              </w:rPr>
              <w:t>序号</w:t>
            </w:r>
          </w:p>
        </w:tc>
        <w:tc>
          <w:tcPr>
            <w:tcW w:w="2124" w:type="dxa"/>
            <w:vAlign w:val="center"/>
          </w:tcPr>
          <w:p w14:paraId="522698D1">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s="宋体"/>
                <w:b/>
                <w:bCs/>
                <w:color w:val="auto"/>
                <w:highlight w:val="none"/>
              </w:rPr>
            </w:pPr>
            <w:r>
              <w:rPr>
                <w:rFonts w:hint="eastAsia" w:ascii="宋体" w:hAnsi="宋体" w:cs="宋体"/>
                <w:b/>
                <w:bCs/>
                <w:color w:val="auto"/>
                <w:highlight w:val="none"/>
              </w:rPr>
              <w:t>单位</w:t>
            </w:r>
          </w:p>
        </w:tc>
        <w:tc>
          <w:tcPr>
            <w:tcW w:w="3137" w:type="dxa"/>
            <w:vAlign w:val="center"/>
          </w:tcPr>
          <w:p w14:paraId="41B782C2">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s="宋体"/>
                <w:b/>
                <w:bCs/>
                <w:color w:val="auto"/>
                <w:highlight w:val="none"/>
              </w:rPr>
            </w:pPr>
            <w:r>
              <w:rPr>
                <w:rFonts w:hint="eastAsia" w:ascii="宋体" w:hAnsi="宋体" w:cs="宋体"/>
                <w:b/>
                <w:bCs/>
                <w:color w:val="auto"/>
                <w:highlight w:val="none"/>
              </w:rPr>
              <w:t>地址</w:t>
            </w:r>
          </w:p>
        </w:tc>
        <w:tc>
          <w:tcPr>
            <w:tcW w:w="1573" w:type="dxa"/>
            <w:vAlign w:val="center"/>
          </w:tcPr>
          <w:p w14:paraId="09CC816D">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s="宋体"/>
                <w:b/>
                <w:bCs/>
                <w:color w:val="auto"/>
                <w:highlight w:val="none"/>
              </w:rPr>
            </w:pPr>
            <w:r>
              <w:rPr>
                <w:rFonts w:hint="eastAsia" w:ascii="宋体" w:hAnsi="宋体" w:cs="宋体"/>
                <w:b/>
                <w:bCs/>
                <w:color w:val="auto"/>
                <w:highlight w:val="none"/>
              </w:rPr>
              <w:t>到货验收时间</w:t>
            </w:r>
          </w:p>
        </w:tc>
        <w:tc>
          <w:tcPr>
            <w:tcW w:w="1158" w:type="dxa"/>
            <w:vAlign w:val="center"/>
          </w:tcPr>
          <w:p w14:paraId="4B57F442">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s="宋体"/>
                <w:b/>
                <w:bCs/>
                <w:color w:val="auto"/>
                <w:highlight w:val="none"/>
              </w:rPr>
            </w:pPr>
            <w:r>
              <w:rPr>
                <w:rFonts w:hint="eastAsia" w:ascii="宋体" w:hAnsi="宋体" w:cs="宋体"/>
                <w:b/>
                <w:bCs/>
                <w:color w:val="auto"/>
                <w:highlight w:val="none"/>
                <w:lang w:val="en-US" w:eastAsia="zh-CN"/>
              </w:rPr>
              <w:t>预估</w:t>
            </w:r>
            <w:r>
              <w:rPr>
                <w:rFonts w:hint="eastAsia" w:ascii="宋体" w:hAnsi="宋体" w:cs="宋体"/>
                <w:b/>
                <w:bCs/>
                <w:color w:val="auto"/>
                <w:highlight w:val="none"/>
              </w:rPr>
              <w:t>采购比例</w:t>
            </w:r>
          </w:p>
        </w:tc>
      </w:tr>
      <w:tr w14:paraId="135AB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6" w:hRule="atLeast"/>
        </w:trPr>
        <w:tc>
          <w:tcPr>
            <w:tcW w:w="530" w:type="dxa"/>
            <w:vAlign w:val="center"/>
          </w:tcPr>
          <w:p w14:paraId="2DABDBED">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s="宋体"/>
                <w:b w:val="0"/>
                <w:bCs w:val="0"/>
                <w:color w:val="auto"/>
                <w:highlight w:val="none"/>
              </w:rPr>
            </w:pPr>
            <w:r>
              <w:rPr>
                <w:rFonts w:hint="eastAsia" w:ascii="宋体" w:hAnsi="宋体" w:cs="宋体"/>
                <w:b w:val="0"/>
                <w:bCs w:val="0"/>
                <w:color w:val="auto"/>
                <w:highlight w:val="none"/>
              </w:rPr>
              <w:t>1</w:t>
            </w:r>
          </w:p>
        </w:tc>
        <w:tc>
          <w:tcPr>
            <w:tcW w:w="2124" w:type="dxa"/>
            <w:vAlign w:val="center"/>
          </w:tcPr>
          <w:p w14:paraId="5C404165">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s="宋体"/>
                <w:color w:val="auto"/>
                <w:highlight w:val="none"/>
              </w:rPr>
            </w:pPr>
            <w:r>
              <w:rPr>
                <w:rFonts w:hint="eastAsia" w:ascii="宋体" w:hAnsi="宋体" w:cs="宋体"/>
                <w:color w:val="auto"/>
                <w:szCs w:val="21"/>
                <w:highlight w:val="none"/>
              </w:rPr>
              <w:t>莞萃园</w:t>
            </w:r>
            <w:r>
              <w:rPr>
                <w:rFonts w:hint="eastAsia" w:ascii="宋体" w:hAnsi="宋体" w:cs="宋体"/>
                <w:b w:val="0"/>
                <w:bCs w:val="0"/>
                <w:color w:val="auto"/>
                <w:szCs w:val="21"/>
                <w:highlight w:val="none"/>
                <w:lang w:val="en-US" w:eastAsia="zh-CN"/>
              </w:rPr>
              <w:t>餐厅</w:t>
            </w:r>
          </w:p>
        </w:tc>
        <w:tc>
          <w:tcPr>
            <w:tcW w:w="3137" w:type="dxa"/>
            <w:vAlign w:val="center"/>
          </w:tcPr>
          <w:p w14:paraId="2AEC88BC">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s="宋体"/>
                <w:color w:val="auto"/>
                <w:highlight w:val="none"/>
              </w:rPr>
            </w:pPr>
            <w:r>
              <w:rPr>
                <w:rFonts w:hint="eastAsia" w:ascii="宋体" w:hAnsi="宋体" w:cs="宋体"/>
                <w:color w:val="auto"/>
                <w:szCs w:val="21"/>
                <w:highlight w:val="none"/>
              </w:rPr>
              <w:t>东莞市南城区簪花路与东莞大道交叉口睿派R&amp;APARK5栋三</w:t>
            </w:r>
          </w:p>
        </w:tc>
        <w:tc>
          <w:tcPr>
            <w:tcW w:w="1573" w:type="dxa"/>
            <w:vAlign w:val="center"/>
          </w:tcPr>
          <w:p w14:paraId="5680F03E">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s="宋体"/>
                <w:color w:val="auto"/>
                <w:highlight w:val="none"/>
              </w:rPr>
            </w:pPr>
            <w:r>
              <w:rPr>
                <w:rFonts w:hint="eastAsia" w:ascii="宋体" w:hAnsi="宋体" w:cs="宋体"/>
                <w:color w:val="auto"/>
                <w:highlight w:val="none"/>
              </w:rPr>
              <w:t>每天早上8:30-9:00</w:t>
            </w:r>
          </w:p>
        </w:tc>
        <w:tc>
          <w:tcPr>
            <w:tcW w:w="1158" w:type="dxa"/>
            <w:vAlign w:val="center"/>
          </w:tcPr>
          <w:p w14:paraId="25EE9FDD">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s="宋体"/>
                <w:color w:val="auto"/>
                <w:highlight w:val="none"/>
              </w:rPr>
            </w:pPr>
            <w:r>
              <w:rPr>
                <w:rFonts w:hint="eastAsia" w:ascii="宋体" w:hAnsi="宋体" w:cs="宋体"/>
                <w:color w:val="auto"/>
                <w:highlight w:val="none"/>
                <w:lang w:val="en-US" w:eastAsia="zh-CN"/>
              </w:rPr>
              <w:t>6.45</w:t>
            </w:r>
            <w:r>
              <w:rPr>
                <w:rFonts w:hint="eastAsia" w:ascii="宋体" w:hAnsi="宋体" w:cs="宋体"/>
                <w:color w:val="auto"/>
                <w:highlight w:val="none"/>
              </w:rPr>
              <w:t>%</w:t>
            </w:r>
          </w:p>
        </w:tc>
      </w:tr>
      <w:tr w14:paraId="348B0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trPr>
        <w:tc>
          <w:tcPr>
            <w:tcW w:w="530" w:type="dxa"/>
            <w:vAlign w:val="center"/>
          </w:tcPr>
          <w:p w14:paraId="41909851">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s="宋体"/>
                <w:b w:val="0"/>
                <w:bCs w:val="0"/>
                <w:color w:val="auto"/>
                <w:highlight w:val="none"/>
              </w:rPr>
            </w:pPr>
            <w:r>
              <w:rPr>
                <w:rFonts w:hint="eastAsia" w:ascii="宋体" w:hAnsi="宋体" w:cs="宋体"/>
                <w:b w:val="0"/>
                <w:bCs w:val="0"/>
                <w:color w:val="auto"/>
                <w:highlight w:val="none"/>
              </w:rPr>
              <w:t>2</w:t>
            </w:r>
          </w:p>
        </w:tc>
        <w:tc>
          <w:tcPr>
            <w:tcW w:w="2124" w:type="dxa"/>
            <w:vAlign w:val="center"/>
          </w:tcPr>
          <w:p w14:paraId="7DC0A569">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s="宋体"/>
                <w:color w:val="auto"/>
                <w:highlight w:val="none"/>
              </w:rPr>
            </w:pPr>
            <w:r>
              <w:rPr>
                <w:rFonts w:hint="eastAsia" w:ascii="宋体" w:hAnsi="宋体" w:cs="宋体"/>
                <w:color w:val="auto"/>
                <w:szCs w:val="21"/>
                <w:highlight w:val="none"/>
                <w:lang w:eastAsia="zh-CN"/>
              </w:rPr>
              <w:t>东莞松湖迎宾里酒店有限公司湾大分公司</w:t>
            </w:r>
          </w:p>
        </w:tc>
        <w:tc>
          <w:tcPr>
            <w:tcW w:w="3137" w:type="dxa"/>
            <w:vAlign w:val="center"/>
          </w:tcPr>
          <w:p w14:paraId="7286FA71">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s="宋体"/>
                <w:color w:val="auto"/>
                <w:highlight w:val="none"/>
              </w:rPr>
            </w:pPr>
            <w:r>
              <w:rPr>
                <w:rFonts w:hint="eastAsia" w:ascii="宋体" w:hAnsi="宋体" w:cs="宋体"/>
                <w:color w:val="auto"/>
                <w:szCs w:val="21"/>
                <w:highlight w:val="none"/>
              </w:rPr>
              <w:t>东莞市松山湖大学路南大湾区大学（松山湖校区）-东门</w:t>
            </w:r>
          </w:p>
        </w:tc>
        <w:tc>
          <w:tcPr>
            <w:tcW w:w="1573" w:type="dxa"/>
            <w:vAlign w:val="center"/>
          </w:tcPr>
          <w:p w14:paraId="030FD0EB">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s="宋体"/>
                <w:color w:val="auto"/>
                <w:highlight w:val="none"/>
              </w:rPr>
            </w:pPr>
            <w:r>
              <w:rPr>
                <w:rFonts w:hint="eastAsia" w:ascii="宋体" w:hAnsi="宋体" w:cs="宋体"/>
                <w:color w:val="auto"/>
                <w:highlight w:val="none"/>
              </w:rPr>
              <w:t>每天早上8:30-9:00</w:t>
            </w:r>
          </w:p>
        </w:tc>
        <w:tc>
          <w:tcPr>
            <w:tcW w:w="1158" w:type="dxa"/>
            <w:vAlign w:val="center"/>
          </w:tcPr>
          <w:p w14:paraId="192D7DD1">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s="宋体"/>
                <w:color w:val="auto"/>
                <w:highlight w:val="none"/>
              </w:rPr>
            </w:pPr>
            <w:r>
              <w:rPr>
                <w:rFonts w:hint="eastAsia" w:ascii="宋体" w:hAnsi="宋体" w:cs="宋体"/>
                <w:color w:val="auto"/>
                <w:highlight w:val="none"/>
                <w:lang w:val="en-US" w:eastAsia="zh-CN"/>
              </w:rPr>
              <w:t>3.69</w:t>
            </w:r>
            <w:r>
              <w:rPr>
                <w:rFonts w:hint="eastAsia" w:ascii="宋体" w:hAnsi="宋体" w:cs="宋体"/>
                <w:color w:val="auto"/>
                <w:highlight w:val="none"/>
              </w:rPr>
              <w:t>%</w:t>
            </w:r>
          </w:p>
        </w:tc>
      </w:tr>
      <w:tr w14:paraId="148BF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trPr>
        <w:tc>
          <w:tcPr>
            <w:tcW w:w="530" w:type="dxa"/>
            <w:vAlign w:val="center"/>
          </w:tcPr>
          <w:p w14:paraId="20732694">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s="宋体"/>
                <w:b w:val="0"/>
                <w:bCs w:val="0"/>
                <w:color w:val="auto"/>
                <w:highlight w:val="none"/>
              </w:rPr>
            </w:pPr>
            <w:r>
              <w:rPr>
                <w:rFonts w:hint="eastAsia" w:ascii="宋体" w:hAnsi="宋体" w:cs="宋体"/>
                <w:b w:val="0"/>
                <w:bCs w:val="0"/>
                <w:color w:val="auto"/>
                <w:highlight w:val="none"/>
              </w:rPr>
              <w:t>3</w:t>
            </w:r>
          </w:p>
        </w:tc>
        <w:tc>
          <w:tcPr>
            <w:tcW w:w="2124" w:type="dxa"/>
            <w:vAlign w:val="center"/>
          </w:tcPr>
          <w:p w14:paraId="6CBD1895">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s="宋体"/>
                <w:b/>
                <w:bCs/>
                <w:color w:val="auto"/>
                <w:highlight w:val="none"/>
              </w:rPr>
            </w:pPr>
            <w:r>
              <w:rPr>
                <w:rFonts w:hint="eastAsia" w:ascii="宋体" w:hAnsi="宋体" w:cs="宋体"/>
                <w:color w:val="auto"/>
                <w:szCs w:val="21"/>
                <w:highlight w:val="none"/>
                <w:lang w:val="en-US" w:eastAsia="zh-CN"/>
              </w:rPr>
              <w:t>东莞</w:t>
            </w:r>
            <w:r>
              <w:rPr>
                <w:rFonts w:hint="eastAsia" w:ascii="宋体" w:hAnsi="宋体" w:cs="宋体"/>
                <w:color w:val="auto"/>
                <w:szCs w:val="21"/>
                <w:highlight w:val="none"/>
              </w:rPr>
              <w:t>迎宾馆</w:t>
            </w:r>
          </w:p>
        </w:tc>
        <w:tc>
          <w:tcPr>
            <w:tcW w:w="3137" w:type="dxa"/>
            <w:vAlign w:val="center"/>
          </w:tcPr>
          <w:p w14:paraId="020AEFAA">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s="宋体"/>
                <w:b/>
                <w:bCs/>
                <w:color w:val="auto"/>
                <w:highlight w:val="none"/>
              </w:rPr>
            </w:pPr>
            <w:r>
              <w:rPr>
                <w:rFonts w:hint="eastAsia" w:ascii="宋体" w:hAnsi="宋体" w:cs="宋体"/>
                <w:color w:val="auto"/>
                <w:szCs w:val="21"/>
                <w:highlight w:val="none"/>
              </w:rPr>
              <w:t>东莞市南城区桃源路1号</w:t>
            </w:r>
          </w:p>
        </w:tc>
        <w:tc>
          <w:tcPr>
            <w:tcW w:w="1573" w:type="dxa"/>
            <w:vAlign w:val="center"/>
          </w:tcPr>
          <w:p w14:paraId="6E1DC001">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s="宋体"/>
                <w:b/>
                <w:bCs/>
                <w:color w:val="auto"/>
                <w:highlight w:val="none"/>
              </w:rPr>
            </w:pPr>
            <w:r>
              <w:rPr>
                <w:rFonts w:hint="eastAsia" w:ascii="宋体" w:hAnsi="宋体" w:cs="宋体"/>
                <w:color w:val="auto"/>
                <w:highlight w:val="none"/>
              </w:rPr>
              <w:t>每天早上8:30-9:00</w:t>
            </w:r>
          </w:p>
        </w:tc>
        <w:tc>
          <w:tcPr>
            <w:tcW w:w="1158" w:type="dxa"/>
            <w:vAlign w:val="center"/>
          </w:tcPr>
          <w:p w14:paraId="68A5316B">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s="宋体"/>
                <w:color w:val="auto"/>
                <w:highlight w:val="none"/>
              </w:rPr>
            </w:pPr>
            <w:r>
              <w:rPr>
                <w:rFonts w:hint="eastAsia" w:ascii="宋体" w:hAnsi="宋体" w:cs="宋体"/>
                <w:color w:val="auto"/>
                <w:highlight w:val="none"/>
                <w:lang w:val="en-US" w:eastAsia="zh-CN"/>
              </w:rPr>
              <w:t>89.86</w:t>
            </w:r>
            <w:r>
              <w:rPr>
                <w:rFonts w:hint="eastAsia" w:ascii="宋体" w:hAnsi="宋体" w:cs="宋体"/>
                <w:color w:val="auto"/>
                <w:highlight w:val="none"/>
              </w:rPr>
              <w:t>%</w:t>
            </w:r>
          </w:p>
        </w:tc>
      </w:tr>
    </w:tbl>
    <w:p w14:paraId="1FB28405">
      <w:pPr>
        <w:keepNext w:val="0"/>
        <w:keepLines w:val="0"/>
        <w:pageBreakBefore w:val="0"/>
        <w:widowControl/>
        <w:shd w:val="clear"/>
        <w:kinsoku/>
        <w:wordWrap/>
        <w:overflowPunct/>
        <w:topLinePunct w:val="0"/>
        <w:autoSpaceDE/>
        <w:autoSpaceDN/>
        <w:bidi w:val="0"/>
        <w:adjustRightInd w:val="0"/>
        <w:snapToGrid w:val="0"/>
        <w:spacing w:after="0" w:line="360" w:lineRule="auto"/>
        <w:textAlignment w:val="auto"/>
        <w:rPr>
          <w:rFonts w:hint="eastAsia" w:ascii="宋体" w:hAnsi="宋体" w:cs="宋体"/>
          <w:b/>
          <w:bCs/>
          <w:color w:val="auto"/>
          <w:highlight w:val="none"/>
        </w:rPr>
      </w:pPr>
    </w:p>
    <w:p w14:paraId="75327300">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2" w:firstLineChars="200"/>
        <w:textAlignment w:val="auto"/>
        <w:rPr>
          <w:rFonts w:hint="eastAsia" w:ascii="宋体" w:hAnsi="宋体" w:cs="宋体"/>
          <w:b/>
          <w:bCs/>
          <w:color w:val="auto"/>
          <w:highlight w:val="none"/>
        </w:rPr>
      </w:pPr>
      <w:r>
        <w:rPr>
          <w:rFonts w:hint="eastAsia" w:ascii="宋体" w:hAnsi="宋体" w:cs="宋体"/>
          <w:b/>
          <w:bCs/>
          <w:color w:val="auto"/>
          <w:highlight w:val="none"/>
        </w:rPr>
        <w:t>二、采购项目服务要求</w:t>
      </w:r>
    </w:p>
    <w:p w14:paraId="65683FAE">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1、项目总体要求</w:t>
      </w:r>
    </w:p>
    <w:p w14:paraId="5920F06A">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1.1中标人不得将成交项目转让或分包给他人，否则采购人有权单方终止合同,由此产生的一切经济损失由中标人自行承担。</w:t>
      </w:r>
    </w:p>
    <w:p w14:paraId="660DD09E">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1.2中标人在合同履行期间保证对采购人的服务供应，中标后不得拒绝采购人分配的任务。中标人在服务期内没能达到投标文件承诺的服务要求或中标人未按要求履行合同义务或中标人的资质在服务期内发生变化不再符合要求，采购人均有权单方终止协议，由此产生的一切经济损失由中标人自行承担。</w:t>
      </w:r>
    </w:p>
    <w:p w14:paraId="38ECCEAA">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1.3在合同履行期间，采购人有权结合自身的特点和需要制定具体配送管理方式。中标人在拟实施新增设备设施和人力资源等投入前，须充分考虑评估潜在的投资经营风险并制定应对措施。</w:t>
      </w:r>
    </w:p>
    <w:p w14:paraId="03D8FA1A">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1.4中标人需服从采购人和食品监督部门的监督管理，配合采购人及时更新所提供的符合卫监部门的有效证明材料。如有效的营业执照、产品合格证或食品生产经营许可证等。</w:t>
      </w:r>
    </w:p>
    <w:p w14:paraId="70383765">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2、食材配送要求</w:t>
      </w:r>
    </w:p>
    <w:p w14:paraId="3F5388FF">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2.1中标人按照采购人提出的食材订货清单，不论数量多少(例如：500克以下),必须保证在规定的时间(正常配送采购人一般提前一天通知中标人，应急配送则以采购人实 际通知为准)、地点送货。</w:t>
      </w:r>
    </w:p>
    <w:p w14:paraId="15702371">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2.2货品正常情况每天均需送货一次，中标人每天</w:t>
      </w:r>
      <w:r>
        <w:rPr>
          <w:rFonts w:hint="eastAsia" w:ascii="宋体" w:hAnsi="宋体" w:cs="宋体"/>
          <w:color w:val="auto"/>
          <w:highlight w:val="none"/>
          <w:lang w:val="en-US" w:eastAsia="zh-CN"/>
        </w:rPr>
        <w:t>8</w:t>
      </w:r>
      <w:r>
        <w:rPr>
          <w:rFonts w:hint="eastAsia" w:ascii="宋体" w:hAnsi="宋体" w:cs="宋体"/>
          <w:color w:val="auto"/>
          <w:highlight w:val="none"/>
        </w:rPr>
        <w:t>:30前将所订购的货物送到采购人 指定地点，送货验收时间段为</w:t>
      </w:r>
      <w:r>
        <w:rPr>
          <w:rFonts w:hint="eastAsia" w:ascii="宋体" w:hAnsi="宋体" w:cs="宋体"/>
          <w:color w:val="auto"/>
          <w:highlight w:val="none"/>
          <w:lang w:val="en-US" w:eastAsia="zh-CN"/>
        </w:rPr>
        <w:t>8</w:t>
      </w:r>
      <w:r>
        <w:rPr>
          <w:rFonts w:hint="eastAsia" w:ascii="宋体" w:hAnsi="宋体" w:cs="宋体"/>
          <w:color w:val="auto"/>
          <w:highlight w:val="none"/>
        </w:rPr>
        <w:t>:30-</w:t>
      </w:r>
      <w:r>
        <w:rPr>
          <w:rFonts w:hint="eastAsia" w:ascii="宋体" w:hAnsi="宋体" w:cs="宋体"/>
          <w:color w:val="auto"/>
          <w:highlight w:val="none"/>
          <w:lang w:val="en-US" w:eastAsia="zh-CN"/>
        </w:rPr>
        <w:t>9</w:t>
      </w:r>
      <w:r>
        <w:rPr>
          <w:rFonts w:hint="eastAsia" w:ascii="宋体" w:hAnsi="宋体" w:cs="宋体"/>
          <w:color w:val="auto"/>
          <w:highlight w:val="none"/>
        </w:rPr>
        <w:t>:</w:t>
      </w:r>
      <w:r>
        <w:rPr>
          <w:rFonts w:hint="eastAsia" w:ascii="宋体" w:hAnsi="宋体" w:cs="宋体"/>
          <w:color w:val="auto"/>
          <w:highlight w:val="none"/>
          <w:lang w:val="en-US" w:eastAsia="zh-CN"/>
        </w:rPr>
        <w:t>0</w:t>
      </w:r>
      <w:r>
        <w:rPr>
          <w:rFonts w:hint="eastAsia" w:ascii="宋体" w:hAnsi="宋体" w:cs="宋体"/>
          <w:color w:val="auto"/>
          <w:highlight w:val="none"/>
        </w:rPr>
        <w:t>0,具体以双方协商为准。应急配送则按采购人实际 要求为准。临时采购食材的，中标人应在收到采购人</w:t>
      </w:r>
      <w:r>
        <w:rPr>
          <w:rFonts w:ascii="宋体" w:hAnsi="宋体" w:cs="宋体"/>
          <w:color w:val="auto"/>
          <w:highlight w:val="none"/>
        </w:rPr>
        <w:t>书面或电话</w:t>
      </w:r>
      <w:r>
        <w:rPr>
          <w:rFonts w:hint="eastAsia" w:ascii="宋体" w:hAnsi="宋体" w:cs="宋体"/>
          <w:color w:val="auto"/>
          <w:highlight w:val="none"/>
        </w:rPr>
        <w:t>订单后45分钟内响应，2小时内将食材送到采购人指定地点。如遇放假等不需要食材供应的特殊情况，采购人应提前通知中标供应商，以免造成食材浪费。</w:t>
      </w:r>
    </w:p>
    <w:p w14:paraId="650E7460">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2.3中标人对采购人提出的所有送货需求均应按采购人要求按时、按质、按量将食材送到指定地点。</w:t>
      </w:r>
    </w:p>
    <w:p w14:paraId="194E3548">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2.4中标人提供的食材必须符合国家食品卫生法规相关标准，保质、保量，不合格的食材，中标人必须包退包换。</w:t>
      </w:r>
    </w:p>
    <w:p w14:paraId="6DC4DF97">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2.5中标人必须就所供应的食材出示真实有效的检验合格报告：凡国家有明文规定的必 须提供产品检验报告交采购人存档，符合国家溯源制度规定。</w:t>
      </w:r>
    </w:p>
    <w:p w14:paraId="486DB574">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2.6中标人每次送货应有相应的送货清单(盖有中标人的有效公章),且必须提供合法的进货单据。</w:t>
      </w:r>
    </w:p>
    <w:p w14:paraId="74EBDCAE">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2.7中标人提供的食材导致采购人有任何食物安全事件出现，由中标人承担全部责任及赔偿采购人一切损失，采购人保留法律追究的权利。中标人每次送货应有相应的送货清单(盖有中标人的有效公章),且必须提供合法的进货单据。中标人的送货单必须详细注明商品的品牌、品种、单价、数量，送货单原则上不得涂改，如因特殊情况发生涂改，所有单据以甲方为准。标记不清的，甲方将拒绝签收。结算期末中标人还应提供送货清单供甲方结 算。</w:t>
      </w:r>
    </w:p>
    <w:p w14:paraId="62CF11CD">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2.8中标人应在采购人指定时间内对下月供货价格进行签字确认。</w:t>
      </w:r>
    </w:p>
    <w:p w14:paraId="14850E76">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2.9中标人的供货价应包含食材交付给采购人之前的一切费用，包括税费、运输费、储存费等，并承担送货途中的一切风险。</w:t>
      </w:r>
    </w:p>
    <w:p w14:paraId="1976C355">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2.10如采购人需要采购的食材未列入食材目录内，其单价由双方以约定的定价原则确定供货价格。</w:t>
      </w:r>
    </w:p>
    <w:p w14:paraId="6DE7548C">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2.11中标人进入采购人范围内必须遵守采购人有关规定，不得影响采购人的正常工作， 由于中标人的过失造成采购人直接经济损失的，由中标人承担全部责任及赔偿采购人  一切损失。</w:t>
      </w:r>
    </w:p>
    <w:p w14:paraId="7C01E139">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2.12中标人须按采购人要求提供以往交易记录。</w:t>
      </w:r>
    </w:p>
    <w:p w14:paraId="4DA58F0B">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2.1</w:t>
      </w:r>
      <w:r>
        <w:rPr>
          <w:rFonts w:hint="eastAsia" w:ascii="宋体" w:hAnsi="宋体" w:cs="宋体"/>
          <w:color w:val="auto"/>
          <w:highlight w:val="none"/>
          <w:lang w:val="en-US" w:eastAsia="zh-CN"/>
        </w:rPr>
        <w:t>3</w:t>
      </w:r>
      <w:r>
        <w:rPr>
          <w:rFonts w:hint="eastAsia" w:ascii="宋体" w:hAnsi="宋体" w:cs="宋体"/>
          <w:color w:val="auto"/>
          <w:highlight w:val="none"/>
        </w:rPr>
        <w:t>拟投入本项目人员</w:t>
      </w:r>
    </w:p>
    <w:p w14:paraId="467AED8C">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(1)拟投入本项目人员不少于</w:t>
      </w:r>
      <w:r>
        <w:rPr>
          <w:rFonts w:hint="eastAsia" w:ascii="宋体" w:hAnsi="宋体" w:cs="宋体"/>
          <w:color w:val="auto"/>
          <w:highlight w:val="none"/>
          <w:lang w:val="en-US" w:eastAsia="zh-CN"/>
        </w:rPr>
        <w:t>8</w:t>
      </w:r>
      <w:r>
        <w:rPr>
          <w:rFonts w:hint="eastAsia" w:ascii="宋体" w:hAnsi="宋体" w:cs="宋体"/>
          <w:color w:val="auto"/>
          <w:highlight w:val="none"/>
        </w:rPr>
        <w:t>人，包括1名项目负责人，1名业务员，3名配送人员(含司机)及3名驻场人员。</w:t>
      </w:r>
      <w:r>
        <w:rPr>
          <w:rFonts w:hint="eastAsia"/>
          <w:color w:val="auto"/>
          <w:highlight w:val="none"/>
        </w:rPr>
        <w:t>中标人投标时响应的条件优于本条规定的，以较高要求为准。</w:t>
      </w:r>
    </w:p>
    <w:p w14:paraId="0ECB3016">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(2)中标人法定代表人或负责人是食品安全的第一责任人，对本企业的食品安全负全责。</w:t>
      </w:r>
    </w:p>
    <w:p w14:paraId="4F2F0BDC">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(3)食品从业人员必须每年进行健康检查，取得相应医疗卫生机构出具的餐饮健康证明后， 方可从事相关工作，并对从业人员餐饮健康证明予以明示。没有餐饮健康证明的，不得从事相 关工作。建立食品从业人员健康档案，记录食品从业人员健康检查情况。</w:t>
      </w:r>
    </w:p>
    <w:p w14:paraId="372ABFEE">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2" w:firstLineChars="200"/>
        <w:textAlignment w:val="auto"/>
        <w:rPr>
          <w:rFonts w:hint="eastAsia" w:ascii="宋体" w:hAnsi="宋体" w:eastAsia="宋体" w:cs="宋体"/>
          <w:b/>
          <w:bCs/>
          <w:color w:val="auto"/>
          <w:highlight w:val="none"/>
          <w:lang w:eastAsia="zh-CN"/>
        </w:rPr>
      </w:pPr>
      <w:r>
        <w:rPr>
          <w:rFonts w:hint="eastAsia" w:ascii="宋体" w:hAnsi="宋体" w:eastAsia="宋体" w:cs="宋体"/>
          <w:b/>
          <w:bCs/>
          <w:color w:val="auto"/>
          <w:sz w:val="21"/>
          <w:szCs w:val="21"/>
          <w:highlight w:val="none"/>
        </w:rPr>
        <w:t>★</w:t>
      </w:r>
      <w:r>
        <w:rPr>
          <w:rFonts w:hint="eastAsia" w:ascii="宋体" w:hAnsi="宋体" w:cs="宋体"/>
          <w:b/>
          <w:bCs/>
          <w:color w:val="auto"/>
          <w:highlight w:val="none"/>
        </w:rPr>
        <w:t>（4）本项目须提供3名驻场人员驻场</w:t>
      </w:r>
      <w:r>
        <w:rPr>
          <w:rFonts w:hint="eastAsia" w:ascii="宋体" w:hAnsi="宋体" w:cs="宋体"/>
          <w:b/>
          <w:bCs/>
          <w:color w:val="auto"/>
          <w:szCs w:val="21"/>
          <w:highlight w:val="none"/>
        </w:rPr>
        <w:t>东莞迎宾馆</w:t>
      </w:r>
      <w:r>
        <w:rPr>
          <w:rFonts w:hint="eastAsia" w:ascii="宋体" w:hAnsi="宋体" w:cs="宋体"/>
          <w:b/>
          <w:bCs/>
          <w:color w:val="auto"/>
          <w:highlight w:val="none"/>
        </w:rPr>
        <w:t>。按采购人的营业需求负责海鲜养殖及粗加工。中标人</w:t>
      </w:r>
      <w:r>
        <w:rPr>
          <w:rFonts w:ascii="宋体" w:hAnsi="宋体" w:cs="宋体"/>
          <w:b/>
          <w:bCs/>
          <w:color w:val="auto"/>
          <w:highlight w:val="none"/>
        </w:rPr>
        <w:t>派驻人员的日常考勤、工作安排、绩效考核等管理职责全部由</w:t>
      </w:r>
      <w:r>
        <w:rPr>
          <w:rFonts w:hint="eastAsia" w:ascii="宋体" w:hAnsi="宋体" w:cs="宋体"/>
          <w:b/>
          <w:bCs/>
          <w:color w:val="auto"/>
          <w:highlight w:val="none"/>
        </w:rPr>
        <w:t>中标人</w:t>
      </w:r>
      <w:r>
        <w:rPr>
          <w:rFonts w:ascii="宋体" w:hAnsi="宋体" w:cs="宋体"/>
          <w:b/>
          <w:bCs/>
          <w:color w:val="auto"/>
          <w:highlight w:val="none"/>
        </w:rPr>
        <w:t>委派的项目负责人直接进行，</w:t>
      </w:r>
      <w:r>
        <w:rPr>
          <w:rFonts w:hint="eastAsia" w:ascii="宋体" w:hAnsi="宋体" w:cs="宋体"/>
          <w:b/>
          <w:bCs/>
          <w:color w:val="auto"/>
          <w:highlight w:val="none"/>
        </w:rPr>
        <w:t>采购人</w:t>
      </w:r>
      <w:r>
        <w:rPr>
          <w:rFonts w:ascii="宋体" w:hAnsi="宋体" w:cs="宋体"/>
          <w:b/>
          <w:bCs/>
          <w:color w:val="auto"/>
          <w:highlight w:val="none"/>
        </w:rPr>
        <w:t>仅对其工作成果和服务质量进行验收。</w:t>
      </w:r>
      <w:r>
        <w:rPr>
          <w:rFonts w:hint="eastAsia" w:ascii="宋体" w:hAnsi="宋体" w:cs="宋体"/>
          <w:b/>
          <w:bCs/>
          <w:color w:val="auto"/>
          <w:highlight w:val="none"/>
        </w:rPr>
        <w:t>中标人</w:t>
      </w:r>
      <w:r>
        <w:rPr>
          <w:rFonts w:ascii="宋体" w:hAnsi="宋体" w:cs="宋体"/>
          <w:b/>
          <w:bCs/>
          <w:color w:val="auto"/>
          <w:highlight w:val="none"/>
        </w:rPr>
        <w:t>应确保其派驻人员严格遵守</w:t>
      </w:r>
      <w:r>
        <w:rPr>
          <w:rFonts w:hint="eastAsia" w:ascii="宋体" w:hAnsi="宋体" w:cs="宋体"/>
          <w:b/>
          <w:bCs/>
          <w:color w:val="auto"/>
          <w:highlight w:val="none"/>
        </w:rPr>
        <w:t>采购人</w:t>
      </w:r>
      <w:r>
        <w:rPr>
          <w:rFonts w:ascii="宋体" w:hAnsi="宋体" w:cs="宋体"/>
          <w:b/>
          <w:bCs/>
          <w:color w:val="auto"/>
          <w:highlight w:val="none"/>
        </w:rPr>
        <w:t>的场所安全与卫生管理规定</w:t>
      </w:r>
      <w:r>
        <w:rPr>
          <w:rFonts w:hint="eastAsia" w:ascii="宋体" w:hAnsi="宋体" w:cs="宋体"/>
          <w:b/>
          <w:bCs/>
          <w:color w:val="auto"/>
          <w:highlight w:val="none"/>
          <w:lang w:eastAsia="zh-CN"/>
        </w:rPr>
        <w:t>。</w:t>
      </w:r>
    </w:p>
    <w:p w14:paraId="3C03CBE7">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（5）</w:t>
      </w:r>
      <w:r>
        <w:rPr>
          <w:rFonts w:ascii="宋体" w:hAnsi="宋体" w:cs="宋体"/>
          <w:color w:val="auto"/>
          <w:highlight w:val="none"/>
        </w:rPr>
        <w:t>驻场人员与中标人之间存在唯一的劳动/劳务关系，与采购人无关。驻场人员在采购人工作期间发生的</w:t>
      </w:r>
      <w:r>
        <w:rPr>
          <w:rFonts w:ascii="宋体" w:hAnsi="宋体" w:cs="宋体"/>
          <w:b w:val="0"/>
          <w:bCs w:val="0"/>
          <w:color w:val="auto"/>
          <w:highlight w:val="none"/>
        </w:rPr>
        <w:t>工资</w:t>
      </w:r>
      <w:r>
        <w:rPr>
          <w:rFonts w:hint="eastAsia" w:ascii="宋体" w:hAnsi="宋体" w:cs="宋体"/>
          <w:b w:val="0"/>
          <w:bCs w:val="0"/>
          <w:color w:val="auto"/>
          <w:highlight w:val="none"/>
        </w:rPr>
        <w:t>或劳务费</w:t>
      </w:r>
      <w:r>
        <w:rPr>
          <w:rFonts w:ascii="宋体" w:hAnsi="宋体" w:cs="宋体"/>
          <w:b w:val="0"/>
          <w:bCs w:val="0"/>
          <w:color w:val="auto"/>
          <w:highlight w:val="none"/>
        </w:rPr>
        <w:t>、社会保险</w:t>
      </w:r>
      <w:r>
        <w:rPr>
          <w:rFonts w:ascii="宋体" w:hAnsi="宋体" w:cs="宋体"/>
          <w:b/>
          <w:bCs/>
          <w:color w:val="auto"/>
          <w:highlight w:val="none"/>
        </w:rPr>
        <w:t>、</w:t>
      </w:r>
      <w:r>
        <w:rPr>
          <w:rFonts w:ascii="宋体" w:hAnsi="宋体" w:cs="宋体"/>
          <w:color w:val="auto"/>
          <w:highlight w:val="none"/>
        </w:rPr>
        <w:t>工伤、安全事故</w:t>
      </w:r>
      <w:r>
        <w:rPr>
          <w:rFonts w:hint="eastAsia" w:ascii="宋体" w:hAnsi="宋体" w:cs="宋体"/>
          <w:color w:val="auto"/>
          <w:highlight w:val="none"/>
        </w:rPr>
        <w:t>等一切劳动争议或</w:t>
      </w:r>
      <w:r>
        <w:rPr>
          <w:rFonts w:ascii="宋体" w:hAnsi="宋体" w:cs="宋体"/>
          <w:color w:val="auto"/>
          <w:highlight w:val="none"/>
        </w:rPr>
        <w:t>劳务纠纷，均由中标人承担全部法律责任和经济赔偿责任，与采购人无关。</w:t>
      </w:r>
    </w:p>
    <w:p w14:paraId="1D8BBDAA">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2.1</w:t>
      </w:r>
      <w:r>
        <w:rPr>
          <w:rFonts w:hint="eastAsia" w:ascii="宋体" w:hAnsi="宋体" w:cs="宋体"/>
          <w:color w:val="auto"/>
          <w:highlight w:val="none"/>
          <w:lang w:val="en-US" w:eastAsia="zh-CN"/>
        </w:rPr>
        <w:t>4</w:t>
      </w:r>
      <w:r>
        <w:rPr>
          <w:rFonts w:hint="eastAsia" w:ascii="宋体" w:hAnsi="宋体" w:cs="宋体"/>
          <w:color w:val="auto"/>
          <w:highlight w:val="none"/>
        </w:rPr>
        <w:t>运输车辆</w:t>
      </w:r>
    </w:p>
    <w:p w14:paraId="67D650AD">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(1)拟投入本项目厢式运输车辆不少于3辆，具有车辆营运证、车辆行驶证</w:t>
      </w:r>
      <w:r>
        <w:rPr>
          <w:rFonts w:hint="eastAsia"/>
          <w:color w:val="auto"/>
          <w:highlight w:val="none"/>
        </w:rPr>
        <w:t>。中标人投标时响应的条件优于本条规定的，以较高要求为准。</w:t>
      </w:r>
    </w:p>
    <w:p w14:paraId="4C6137A2">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(2)食品运输必须采用符合卫生标准的外包装和运载工具，并且要保持清洁和定期消毒。 运输车厢的内仓，包括地面、墙面和顶，应使用抗腐蚀、防潮，易清洁消毒的材料。车厢内无不良气味、异味。食品应该具备符合安全卫生和运输要求的外包装，装车后应有严格全面的覆盖，避免风吹雨淋和阳光直晒；运输过程中不得和其它对食品安全和卫生有影响的货物混载。直接食用的产品必须采用定型包装或符合卫生要求的专用密闭容器包装，并采用专用车辆运输，严格禁止和其它商品、人员混载。</w:t>
      </w:r>
    </w:p>
    <w:p w14:paraId="61A7D928">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2.1</w:t>
      </w:r>
      <w:r>
        <w:rPr>
          <w:rFonts w:hint="eastAsia" w:ascii="宋体" w:hAnsi="宋体" w:cs="宋体"/>
          <w:color w:val="auto"/>
          <w:highlight w:val="none"/>
          <w:lang w:val="en-US" w:eastAsia="zh-CN"/>
        </w:rPr>
        <w:t>5</w:t>
      </w:r>
      <w:r>
        <w:rPr>
          <w:rFonts w:hint="eastAsia" w:ascii="宋体" w:hAnsi="宋体" w:cs="宋体"/>
          <w:color w:val="auto"/>
          <w:highlight w:val="none"/>
        </w:rPr>
        <w:t>检测能力</w:t>
      </w:r>
      <w:r>
        <w:rPr>
          <w:rFonts w:hint="eastAsia"/>
          <w:color w:val="auto"/>
          <w:highlight w:val="none"/>
        </w:rPr>
        <w:t>（供货时提供相应的检测报告）</w:t>
      </w:r>
    </w:p>
    <w:p w14:paraId="1DACAD53">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(1)兽药残留检测：兽药残留测试服务内容有：喹诺酮类、磺胺类、硝基呋喃类、 四环素类、氯霉素、孔雀石绿、雌激素类等检测。</w:t>
      </w:r>
    </w:p>
    <w:p w14:paraId="763A74CF">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(2)重金属检测： Pb 、Hg 、Cd 、As 、Cr等检测。</w:t>
      </w:r>
    </w:p>
    <w:p w14:paraId="2249017B">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(3)污染物检测：亚硝酸盐、硝酸盐、二氧化硫等检测。</w:t>
      </w:r>
    </w:p>
    <w:p w14:paraId="4B42C80A">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(4)卫生学指标(微生物)检测：菌落总数、总大肠菌群、耐热大肠菌群、大肠埃希氏菌、 沙门氏菌、志贺氏菌、金黄色葡萄球菌等检测。</w:t>
      </w:r>
    </w:p>
    <w:p w14:paraId="55806905">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2.1</w:t>
      </w:r>
      <w:r>
        <w:rPr>
          <w:rFonts w:hint="eastAsia" w:ascii="宋体" w:hAnsi="宋体" w:cs="宋体"/>
          <w:color w:val="auto"/>
          <w:highlight w:val="none"/>
          <w:lang w:val="en-US" w:eastAsia="zh-CN"/>
        </w:rPr>
        <w:t>6</w:t>
      </w:r>
      <w:r>
        <w:rPr>
          <w:rFonts w:hint="eastAsia" w:ascii="宋体" w:hAnsi="宋体" w:cs="宋体"/>
          <w:color w:val="auto"/>
          <w:highlight w:val="none"/>
        </w:rPr>
        <w:t>食品安全责任：中标人提供的货品导致甲方有任何食物安全事件出现，由中标人承担全部责任及赔偿采购人一切损失，采购人保留法律追究权利。</w:t>
      </w:r>
    </w:p>
    <w:p w14:paraId="496B0F90">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 xml:space="preserve">(三)食材验收标准 </w:t>
      </w:r>
    </w:p>
    <w:p w14:paraId="3DE4FA6D">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eastAsia="宋体" w:cs="宋体"/>
          <w:color w:val="auto"/>
          <w:highlight w:val="none"/>
          <w:lang w:eastAsia="zh-CN"/>
        </w:rPr>
      </w:pPr>
      <w:r>
        <w:rPr>
          <w:rFonts w:hint="eastAsia" w:ascii="宋体" w:hAnsi="宋体" w:cs="宋体"/>
          <w:color w:val="auto"/>
          <w:highlight w:val="none"/>
          <w:lang w:eastAsia="zh-CN"/>
        </w:rPr>
        <w:t>海鲜水产类</w:t>
      </w:r>
    </w:p>
    <w:p w14:paraId="7593954B">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(1)具有水产养殖基地发放的证明；</w:t>
      </w:r>
      <w:r>
        <w:rPr>
          <w:rFonts w:hint="eastAsia" w:ascii="宋体" w:hAnsi="宋体" w:cs="宋体"/>
          <w:color w:val="auto"/>
          <w:szCs w:val="21"/>
          <w:highlight w:val="none"/>
        </w:rPr>
        <w:t>若采购的为进口产品，需向采购人提供进口食品的合法证明、</w:t>
      </w:r>
      <w:r>
        <w:rPr>
          <w:rFonts w:hint="eastAsia"/>
          <w:color w:val="auto"/>
          <w:highlight w:val="none"/>
        </w:rPr>
        <w:t>检验检疫证明、报关证明、出口国家出境证明等相关证明材料</w:t>
      </w:r>
      <w:r>
        <w:rPr>
          <w:rFonts w:hint="eastAsia" w:ascii="宋体" w:hAnsi="宋体" w:cs="宋体"/>
          <w:color w:val="auto"/>
          <w:highlight w:val="none"/>
        </w:rPr>
        <w:t>。</w:t>
      </w:r>
    </w:p>
    <w:p w14:paraId="09653204">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(2)鱼、海鲜类眼球饱满突出，角膜透明清亮，有弹性。鳃丝清晰呈鲜红色，有透明的粘液，鳞片有光泽且与鱼体贴附紧密，肉质新鲜紧实有弹性，指压后凹陷立即消失，无异味，肌肉切面有光泽。腹部正常、不膨胀，肛孔白色，凹陷。无重金属污染，无兽药残留；虾类个体鲜活，大小符合用户需求，体色正常，体态完整。鱼虾生猛，捞离水后，挣扎、蹦跳有力；贝类外观完美，有光泽，无寄生物。所有品种均要求符合国家食品安全标准。</w:t>
      </w:r>
    </w:p>
    <w:p w14:paraId="3C275719">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(3)来源可靠放心，无毒、无害、无污染。</w:t>
      </w:r>
    </w:p>
    <w:p w14:paraId="1A45AC25">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注：采购人需求品种包含但不限于明细表中所列的品种；未列入物资明细表内又需要购买的货品，其单价由采购人及中标人双方以定价原则确定供货价格。</w:t>
      </w:r>
    </w:p>
    <w:p w14:paraId="3B6BECE2">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2" w:firstLineChars="200"/>
        <w:textAlignment w:val="auto"/>
        <w:rPr>
          <w:rFonts w:hint="default" w:ascii="宋体" w:hAnsi="宋体" w:eastAsia="宋体" w:cs="宋体"/>
          <w:b/>
          <w:bCs/>
          <w:color w:val="auto"/>
          <w:highlight w:val="none"/>
          <w:lang w:val="en-US" w:eastAsia="zh-CN"/>
        </w:rPr>
      </w:pPr>
      <w:r>
        <w:rPr>
          <w:rFonts w:hint="eastAsia" w:ascii="宋体" w:hAnsi="宋体" w:cs="宋体"/>
          <w:b/>
          <w:bCs/>
          <w:color w:val="auto"/>
          <w:highlight w:val="none"/>
          <w:lang w:eastAsia="zh-CN"/>
        </w:rPr>
        <w:t>★（</w:t>
      </w:r>
      <w:r>
        <w:rPr>
          <w:rFonts w:hint="eastAsia" w:ascii="宋体" w:hAnsi="宋体" w:cs="宋体"/>
          <w:b/>
          <w:bCs/>
          <w:color w:val="auto"/>
          <w:highlight w:val="none"/>
          <w:lang w:val="en-US" w:eastAsia="zh-CN"/>
        </w:rPr>
        <w:t>四</w:t>
      </w:r>
      <w:r>
        <w:rPr>
          <w:rFonts w:hint="eastAsia" w:ascii="宋体" w:hAnsi="宋体" w:cs="宋体"/>
          <w:b/>
          <w:bCs/>
          <w:color w:val="auto"/>
          <w:highlight w:val="none"/>
          <w:lang w:eastAsia="zh-CN"/>
        </w:rPr>
        <w:t>）</w:t>
      </w:r>
      <w:r>
        <w:rPr>
          <w:rFonts w:hint="eastAsia" w:ascii="宋体" w:hAnsi="宋体" w:cs="宋体"/>
          <w:b/>
          <w:bCs/>
          <w:color w:val="auto"/>
          <w:highlight w:val="none"/>
          <w:lang w:val="en-US" w:eastAsia="zh-CN"/>
        </w:rPr>
        <w:t>海鲜池管理要求</w:t>
      </w:r>
    </w:p>
    <w:p w14:paraId="7E6FED98">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2" w:firstLineChars="200"/>
        <w:textAlignment w:val="auto"/>
        <w:rPr>
          <w:rFonts w:hint="eastAsia" w:ascii="宋体" w:hAnsi="宋体" w:cs="宋体"/>
          <w:b/>
          <w:bCs/>
          <w:color w:val="auto"/>
          <w:highlight w:val="none"/>
        </w:rPr>
      </w:pPr>
      <w:r>
        <w:rPr>
          <w:rFonts w:hint="eastAsia" w:ascii="宋体" w:hAnsi="宋体" w:cs="宋体"/>
          <w:b/>
          <w:bCs/>
          <w:color w:val="auto"/>
          <w:highlight w:val="none"/>
        </w:rPr>
        <w:t>(1)</w:t>
      </w:r>
      <w:r>
        <w:rPr>
          <w:rFonts w:hint="eastAsia" w:ascii="宋体" w:hAnsi="宋体" w:cs="宋体"/>
          <w:b/>
          <w:bCs/>
          <w:color w:val="auto"/>
          <w:highlight w:val="none"/>
          <w:lang w:val="en-US" w:eastAsia="zh-CN"/>
        </w:rPr>
        <w:t>采购人</w:t>
      </w:r>
      <w:r>
        <w:rPr>
          <w:rFonts w:hint="eastAsia" w:ascii="宋体" w:hAnsi="宋体" w:cs="宋体"/>
          <w:b/>
          <w:bCs/>
          <w:color w:val="auto"/>
          <w:highlight w:val="none"/>
        </w:rPr>
        <w:t>海鲜池</w:t>
      </w:r>
      <w:r>
        <w:rPr>
          <w:rFonts w:hint="eastAsia" w:ascii="宋体" w:hAnsi="宋体" w:cs="宋体"/>
          <w:b/>
          <w:bCs/>
          <w:color w:val="auto"/>
          <w:highlight w:val="none"/>
          <w:lang w:val="en-US" w:eastAsia="zh-CN"/>
        </w:rPr>
        <w:t>内的海鲜均由中标人负责提供，</w:t>
      </w:r>
      <w:r>
        <w:rPr>
          <w:rFonts w:hint="eastAsia" w:ascii="宋体" w:hAnsi="宋体" w:cs="宋体"/>
          <w:b/>
          <w:bCs/>
          <w:color w:val="auto"/>
          <w:highlight w:val="none"/>
        </w:rPr>
        <w:t>海鲜池</w:t>
      </w:r>
      <w:r>
        <w:rPr>
          <w:rFonts w:hint="eastAsia" w:ascii="宋体" w:hAnsi="宋体" w:cs="宋体"/>
          <w:b/>
          <w:bCs/>
          <w:color w:val="auto"/>
          <w:highlight w:val="none"/>
          <w:lang w:val="en-US" w:eastAsia="zh-CN"/>
        </w:rPr>
        <w:t>内的海鲜按使用部门实际下单和验收来结算；海鲜池的</w:t>
      </w:r>
      <w:r>
        <w:rPr>
          <w:rFonts w:hint="eastAsia" w:ascii="宋体" w:hAnsi="宋体" w:cs="宋体"/>
          <w:b/>
          <w:bCs/>
          <w:color w:val="auto"/>
          <w:highlight w:val="none"/>
        </w:rPr>
        <w:t>水质、盐度、温度、溶氧等参数由</w:t>
      </w:r>
      <w:r>
        <w:rPr>
          <w:rFonts w:hint="eastAsia" w:ascii="宋体" w:hAnsi="宋体" w:cs="宋体"/>
          <w:b/>
          <w:bCs/>
          <w:color w:val="auto"/>
          <w:highlight w:val="none"/>
          <w:lang w:eastAsia="zh-CN"/>
        </w:rPr>
        <w:t>中标人</w:t>
      </w:r>
      <w:r>
        <w:rPr>
          <w:rFonts w:hint="eastAsia" w:ascii="宋体" w:hAnsi="宋体" w:cs="宋体"/>
          <w:b/>
          <w:bCs/>
          <w:color w:val="auto"/>
          <w:highlight w:val="none"/>
        </w:rPr>
        <w:t>驻场人员</w:t>
      </w:r>
      <w:r>
        <w:rPr>
          <w:rFonts w:hint="eastAsia" w:ascii="宋体" w:hAnsi="宋体" w:cs="宋体"/>
          <w:b/>
          <w:bCs/>
          <w:color w:val="auto"/>
          <w:highlight w:val="none"/>
          <w:lang w:val="en-US" w:eastAsia="zh-CN"/>
        </w:rPr>
        <w:t>自行</w:t>
      </w:r>
      <w:r>
        <w:rPr>
          <w:rFonts w:hint="eastAsia" w:ascii="宋体" w:hAnsi="宋体" w:cs="宋体"/>
          <w:b/>
          <w:bCs/>
          <w:color w:val="auto"/>
          <w:highlight w:val="none"/>
        </w:rPr>
        <w:t>管控，</w:t>
      </w:r>
      <w:r>
        <w:rPr>
          <w:rFonts w:hint="eastAsia" w:ascii="宋体" w:hAnsi="宋体" w:cs="宋体"/>
          <w:b/>
          <w:bCs/>
          <w:color w:val="auto"/>
          <w:highlight w:val="none"/>
          <w:lang w:val="en-US" w:eastAsia="zh-CN"/>
        </w:rPr>
        <w:t>海鲜池内的海鲜如有死亡</w:t>
      </w:r>
      <w:r>
        <w:rPr>
          <w:rFonts w:hint="eastAsia" w:ascii="宋体" w:hAnsi="宋体" w:cs="宋体"/>
          <w:b/>
          <w:bCs/>
          <w:color w:val="auto"/>
          <w:highlight w:val="none"/>
        </w:rPr>
        <w:t>，</w:t>
      </w:r>
      <w:r>
        <w:rPr>
          <w:rFonts w:hint="eastAsia" w:ascii="宋体" w:hAnsi="宋体" w:cs="宋体"/>
          <w:b/>
          <w:bCs/>
          <w:color w:val="auto"/>
          <w:highlight w:val="none"/>
          <w:lang w:val="en-US" w:eastAsia="zh-CN"/>
        </w:rPr>
        <w:t>采购人有权要求中标人进行退换货，由此产生的损失均</w:t>
      </w:r>
      <w:r>
        <w:rPr>
          <w:rFonts w:hint="eastAsia" w:ascii="宋体" w:hAnsi="宋体" w:cs="宋体"/>
          <w:b/>
          <w:bCs/>
          <w:color w:val="auto"/>
          <w:highlight w:val="none"/>
        </w:rPr>
        <w:t>由</w:t>
      </w:r>
      <w:r>
        <w:rPr>
          <w:rFonts w:hint="eastAsia" w:ascii="宋体" w:hAnsi="宋体" w:cs="宋体"/>
          <w:b/>
          <w:bCs/>
          <w:color w:val="auto"/>
          <w:highlight w:val="none"/>
          <w:lang w:eastAsia="zh-CN"/>
        </w:rPr>
        <w:t>中标人</w:t>
      </w:r>
      <w:r>
        <w:rPr>
          <w:rFonts w:hint="eastAsia" w:ascii="宋体" w:hAnsi="宋体" w:cs="宋体"/>
          <w:b/>
          <w:bCs/>
          <w:color w:val="auto"/>
          <w:highlight w:val="none"/>
        </w:rPr>
        <w:t>承担。</w:t>
      </w:r>
    </w:p>
    <w:p w14:paraId="5C6D10A0">
      <w:pPr>
        <w:shd w:val="clear"/>
        <w:spacing w:after="0"/>
        <w:ind w:firstLine="422" w:firstLineChars="200"/>
        <w:rPr>
          <w:rFonts w:hint="eastAsia" w:ascii="宋体" w:hAnsi="宋体" w:cs="宋体"/>
          <w:b/>
          <w:bCs/>
          <w:color w:val="auto"/>
          <w:highlight w:val="none"/>
        </w:rPr>
      </w:pPr>
      <w:r>
        <w:rPr>
          <w:rFonts w:hint="eastAsia" w:ascii="宋体" w:hAnsi="宋体" w:cs="宋体"/>
          <w:b/>
          <w:bCs/>
          <w:color w:val="auto"/>
          <w:highlight w:val="none"/>
        </w:rPr>
        <w:t>(2)</w:t>
      </w:r>
      <w:r>
        <w:rPr>
          <w:rFonts w:hint="eastAsia" w:ascii="宋体" w:hAnsi="宋体" w:cs="宋体"/>
          <w:b/>
          <w:bCs/>
          <w:color w:val="auto"/>
          <w:highlight w:val="none"/>
          <w:lang w:val="en-US" w:eastAsia="zh-CN"/>
        </w:rPr>
        <w:t>中标人</w:t>
      </w:r>
      <w:r>
        <w:rPr>
          <w:rFonts w:hint="eastAsia" w:ascii="宋体" w:hAnsi="宋体" w:cs="宋体"/>
          <w:b/>
          <w:bCs/>
          <w:color w:val="auto"/>
          <w:highlight w:val="none"/>
        </w:rPr>
        <w:t>驻场人员负责海鲜池 24 小时状态管控，做好日常清洁、换水、盐度温度监测、设备巡检；海鲜池重大设备故障，</w:t>
      </w:r>
      <w:r>
        <w:rPr>
          <w:rFonts w:hint="eastAsia" w:ascii="宋体" w:hAnsi="宋体" w:cs="宋体"/>
          <w:b/>
          <w:bCs/>
          <w:color w:val="auto"/>
          <w:highlight w:val="none"/>
          <w:lang w:val="en-US" w:eastAsia="zh-CN"/>
        </w:rPr>
        <w:t>中标人应</w:t>
      </w:r>
      <w:r>
        <w:rPr>
          <w:rFonts w:hint="eastAsia" w:ascii="宋体" w:hAnsi="宋体" w:cs="宋体"/>
          <w:b/>
          <w:bCs/>
          <w:color w:val="auto"/>
          <w:highlight w:val="none"/>
        </w:rPr>
        <w:t>第一时间通知</w:t>
      </w:r>
      <w:r>
        <w:rPr>
          <w:rFonts w:hint="eastAsia" w:ascii="宋体" w:hAnsi="宋体" w:cs="宋体"/>
          <w:b/>
          <w:bCs/>
          <w:color w:val="auto"/>
          <w:highlight w:val="none"/>
          <w:lang w:val="en-US" w:eastAsia="zh-CN"/>
        </w:rPr>
        <w:t>采购人</w:t>
      </w:r>
      <w:r>
        <w:rPr>
          <w:rFonts w:hint="eastAsia" w:ascii="宋体" w:hAnsi="宋体" w:cs="宋体"/>
          <w:b/>
          <w:bCs/>
          <w:color w:val="auto"/>
          <w:highlight w:val="none"/>
        </w:rPr>
        <w:t>并协调维修。驻场人员须遵守酒店管理制度，服从</w:t>
      </w:r>
      <w:r>
        <w:rPr>
          <w:rFonts w:hint="eastAsia" w:ascii="宋体" w:hAnsi="宋体" w:cs="宋体"/>
          <w:b/>
          <w:bCs/>
          <w:color w:val="auto"/>
          <w:highlight w:val="none"/>
          <w:lang w:val="en-US" w:eastAsia="zh-CN"/>
        </w:rPr>
        <w:t>采购人的</w:t>
      </w:r>
      <w:r>
        <w:rPr>
          <w:rFonts w:hint="eastAsia" w:ascii="宋体" w:hAnsi="宋体" w:cs="宋体"/>
          <w:b/>
          <w:bCs/>
          <w:color w:val="auto"/>
          <w:highlight w:val="none"/>
        </w:rPr>
        <w:t>现场管理。</w:t>
      </w:r>
    </w:p>
    <w:p w14:paraId="1D7A05D4">
      <w:pPr>
        <w:shd w:val="clear"/>
        <w:spacing w:after="0"/>
        <w:ind w:firstLine="422" w:firstLineChars="200"/>
        <w:rPr>
          <w:rFonts w:hint="eastAsia" w:ascii="宋体" w:hAnsi="宋体" w:cs="宋体"/>
          <w:b/>
          <w:bCs/>
          <w:color w:val="auto"/>
          <w:highlight w:val="none"/>
        </w:rPr>
      </w:pPr>
      <w:r>
        <w:rPr>
          <w:rFonts w:hint="eastAsia" w:ascii="宋体" w:hAnsi="宋体" w:cs="宋体"/>
          <w:b/>
          <w:bCs/>
          <w:color w:val="auto"/>
          <w:highlight w:val="none"/>
        </w:rPr>
        <w:t>(3)海鲜池区域卫生、水产废弃物、宰杀垃圾由</w:t>
      </w:r>
      <w:r>
        <w:rPr>
          <w:rFonts w:hint="eastAsia" w:ascii="宋体" w:hAnsi="宋体" w:cs="宋体"/>
          <w:b/>
          <w:bCs/>
          <w:color w:val="auto"/>
          <w:highlight w:val="none"/>
          <w:lang w:val="en-US" w:eastAsia="zh-CN"/>
        </w:rPr>
        <w:t>中标人</w:t>
      </w:r>
      <w:r>
        <w:rPr>
          <w:rFonts w:hint="eastAsia" w:ascii="宋体" w:hAnsi="宋体" w:cs="宋体"/>
          <w:b/>
          <w:bCs/>
          <w:color w:val="auto"/>
          <w:highlight w:val="none"/>
        </w:rPr>
        <w:t>驻场人员负责及时清</w:t>
      </w:r>
      <w:r>
        <w:rPr>
          <w:rFonts w:hint="eastAsia" w:ascii="宋体" w:hAnsi="宋体" w:cs="宋体"/>
          <w:b/>
          <w:bCs/>
          <w:color w:val="auto"/>
          <w:highlight w:val="none"/>
          <w:lang w:val="en-US" w:eastAsia="zh-CN"/>
        </w:rPr>
        <w:t>理</w:t>
      </w:r>
      <w:r>
        <w:rPr>
          <w:rFonts w:hint="eastAsia" w:ascii="宋体" w:hAnsi="宋体" w:cs="宋体"/>
          <w:b/>
          <w:bCs/>
          <w:color w:val="auto"/>
          <w:highlight w:val="none"/>
        </w:rPr>
        <w:t>，保持现场符合食品安全卫生要求。</w:t>
      </w:r>
    </w:p>
    <w:p w14:paraId="64B113D0">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三、考核标准</w:t>
      </w:r>
    </w:p>
    <w:p w14:paraId="2C7275D7">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采购人对食材配送供应商实行考核制度，考核指标包括食品安全、供货质量、供货数量准确性、供货价格、服务质量等，每半年进行一次考核。中标人在服务期限内须接受采购人的考核。考核具体内容详见附件1。</w:t>
      </w:r>
    </w:p>
    <w:p w14:paraId="6544D2E8">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8.1考核结果分为优秀、合格和不合格3个等次：</w:t>
      </w:r>
    </w:p>
    <w:p w14:paraId="4F449694">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①分数≥80分，结论:优秀，继续合作。</w:t>
      </w:r>
    </w:p>
    <w:p w14:paraId="5878CFBB">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②80分&gt;分数≥60分，结论:合格，继续合作，问题点限时整改。</w:t>
      </w:r>
    </w:p>
    <w:p w14:paraId="58C9EEE8">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③60分&gt;分数，或出现重大质量问题，结论:不合格，停止合作。</w:t>
      </w:r>
    </w:p>
    <w:p w14:paraId="4F7C92CB">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四、其他类要求</w:t>
      </w:r>
    </w:p>
    <w:p w14:paraId="31A8659B">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对于采购人需求供货物资或品种不在上述类别内的，中标人须按采购人要求供货。同时须遵守国家规定的《食品安全法》、《农产品质量安全法》等法律和行政法规的规定，提供的货品须符合国家有关卫生标准，保质、保量、保鲜，严禁配送假冒、变质、过期的货品。不合格的货品，中标人须无条件包退包换。</w:t>
      </w:r>
    </w:p>
    <w:p w14:paraId="516C52F8">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五、项目要求</w:t>
      </w:r>
    </w:p>
    <w:p w14:paraId="0F3765FE">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(一)溯源信息管理</w:t>
      </w:r>
    </w:p>
    <w:p w14:paraId="3055004A">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① 投标人应确保合作方建立与投标人溯源系统对接或兼容的产品追溯体系。</w:t>
      </w:r>
    </w:p>
    <w:p w14:paraId="26401B1D">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② 每批次产品必须附有可追溯的标识信息（如批次号、产地、采收/出栏日期等），并能通过该标识查询到生产过程中的关键记录（如用药、疫病防治等）。</w:t>
      </w:r>
    </w:p>
    <w:p w14:paraId="132B9860">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③ 投标人须能够提供从生产到配送至采购方的完整溯源信息链。</w:t>
      </w:r>
    </w:p>
    <w:p w14:paraId="6D358709">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(二)动态管理与退出机制</w:t>
      </w:r>
    </w:p>
    <w:p w14:paraId="340480ED">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① 投标人应建立合作方绩效评价机制，定期（如每半年）从质量、安全、交货、合规等方面进行综合评价。</w:t>
      </w:r>
    </w:p>
    <w:p w14:paraId="5999F018">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② 对于在巡检、检测或评价中发现严重不符合项的合作基地，应立即暂停采购，要求其限期整改。整改后仍不达标或出现重大质量安全问题的，应终止合作并从合格合作方名录中除名。</w:t>
      </w:r>
    </w:p>
    <w:p w14:paraId="2E7BCB9D">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③ 应保持合格合作方名录的更新，并确保在任何时候都有备选合作资源以保障供应稳定。</w:t>
      </w:r>
    </w:p>
    <w:p w14:paraId="79376B3D">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(三)质量管理</w:t>
      </w:r>
    </w:p>
    <w:p w14:paraId="1B321D86">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1.中标人进入采购人范围内必须遵守有关规定，不得影响采购人的正常工作，由于中标人的过失造成采购人直接经济损失则要负全部责任及赔偿一切损失。</w:t>
      </w:r>
    </w:p>
    <w:p w14:paraId="3F20EE31">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2.中标人不得泄露采购人的商业秘密。泄密造成采购人损失的，中标人将承担由此产生的一切损失和法律责任。</w:t>
      </w:r>
    </w:p>
    <w:p w14:paraId="2EAFC4B5">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3.中标人应充分理解并认真遵循本招标文件的要求，所提供的货物必须满足采购人要求。</w:t>
      </w:r>
    </w:p>
    <w:p w14:paraId="5E7EFA5E">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4.中标人必须遵守国家规定的《食品安全法》、《农产品质量安全法》等法律和行政法规的规定，提供的货品必须符合国家有关卫生标准，保质、保量、保鲜，严禁配送假冒、变质、过期的农副产品。不合格的货品，中标人必须无条件包退包换。</w:t>
      </w:r>
    </w:p>
    <w:p w14:paraId="3F7E68D2">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5.保证供应的货品均为正规生产的，新鲜、检验合格、无毒、无辐射、无侵权货品，符合国家有关卫生、质量、包装和保质标准，要使用有效期的货品，其剩余有效期不得少于标注有效期的2/3。</w:t>
      </w:r>
    </w:p>
    <w:p w14:paraId="6D3CC4D5">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6.中标人提供的海鲜保证每日新鲜,所有产品并可追索。</w:t>
      </w:r>
    </w:p>
    <w:p w14:paraId="175B3EFE">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7.中标人保证所提供的海鲜种类的多样性和季节性，以保证新鲜感。</w:t>
      </w:r>
    </w:p>
    <w:p w14:paraId="5C30D092">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8.货物有包装的，货物的包装必须完整清洁(无损、无污、无皱),甲方有权拒收包装不 整齐、已拆封的商品。</w:t>
      </w:r>
    </w:p>
    <w:p w14:paraId="1D79C98B">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9.定期检查库存和待售食品，发现食品已经变质或者超过保质期的，应当立即下架，停止销售，及时销毁，并建立销毁记录台账。不得采取更改生产日期或者保质期、重新加工、更换包装等措施后重新销售。</w:t>
      </w:r>
    </w:p>
    <w:p w14:paraId="4AFB125C">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10.对采购的食品应当按照法律、法规和食品安全标准履行检查义务，检查食品质量和标签；查验供货者的许可证、营业执照和食品合格的证明文件。并通过记录、存档、复印等多种方式，记载查验情况。供应商提供的相关资质文件(审核加盖供应商公章的有效资信材料(复印件): 如商品进入该地区销售的许可证、商品检验报告、动物防疫合格证等。并通过记录、存档、复印等多种方式，记载查验情况。进口食品还需查验进口食品的合法证明，做到一旦发现问题，可以迅速追溯到生产源头。</w:t>
      </w:r>
    </w:p>
    <w:p w14:paraId="7B1266CB">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11.应当建立食品进货查验记录制度，如实记录食品的名称、规格、数量、生产批号(生产日期)、保质期、供货者名称及联系方式、进货日期等内容。进货查验记录应当真实，不得伪造，保存期限不得少于半年。做到一旦发现问题，可以迅速追溯到生产源头。</w:t>
      </w:r>
    </w:p>
    <w:p w14:paraId="29C644C0">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12.对于变质、超过保质期及其他不符合食品安全要求或标准但又需自行销毁处理的食品，应当在不违反法律法规规定的情况下采取无害化处理。</w:t>
      </w:r>
    </w:p>
    <w:p w14:paraId="7E290C4F">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13.</w:t>
      </w:r>
      <w:r>
        <w:rPr>
          <w:rFonts w:ascii="宋体" w:hAnsi="宋体" w:cs="宋体"/>
          <w:color w:val="auto"/>
          <w:szCs w:val="21"/>
          <w:highlight w:val="none"/>
        </w:rPr>
        <w:t>中标人应</w:t>
      </w:r>
      <w:r>
        <w:rPr>
          <w:rFonts w:hint="eastAsia" w:ascii="宋体" w:hAnsi="宋体" w:cs="宋体"/>
          <w:color w:val="auto"/>
          <w:szCs w:val="21"/>
          <w:highlight w:val="none"/>
          <w:lang w:val="en-US" w:eastAsia="zh-CN"/>
        </w:rPr>
        <w:t>在投标文件中提供针对本项目</w:t>
      </w:r>
      <w:r>
        <w:rPr>
          <w:rFonts w:ascii="宋体" w:hAnsi="宋体" w:cs="宋体"/>
          <w:color w:val="auto"/>
          <w:szCs w:val="21"/>
          <w:highlight w:val="none"/>
        </w:rPr>
        <w:t>的食品安全事故应急预案，明确食品安全事故的分级、报告程序、处置流程、人员分工等内容，并定期组织演练。</w:t>
      </w:r>
      <w:r>
        <w:rPr>
          <w:rFonts w:hint="eastAsia" w:ascii="宋体" w:hAnsi="宋体" w:cs="宋体"/>
          <w:color w:val="auto"/>
          <w:szCs w:val="21"/>
          <w:highlight w:val="none"/>
        </w:rPr>
        <w:t>中标人应当定期检查各项食品安全防范措施的落实情况，及时消除事故隐患。有发生食品事故潜在风险的，应当立即停止经营活动，并向采购人报告。</w:t>
      </w:r>
    </w:p>
    <w:p w14:paraId="6B3C6674">
      <w:pPr>
        <w:shd w:val="clear"/>
        <w:rPr>
          <w:rFonts w:hint="eastAsia" w:ascii="宋体" w:hAnsi="宋体" w:cs="宋体"/>
          <w:color w:val="auto"/>
          <w:szCs w:val="21"/>
          <w:highlight w:val="none"/>
        </w:rPr>
      </w:pPr>
      <w:r>
        <w:rPr>
          <w:rFonts w:hint="eastAsia" w:ascii="宋体" w:hAnsi="宋体" w:cs="宋体"/>
          <w:color w:val="auto"/>
          <w:szCs w:val="21"/>
          <w:highlight w:val="none"/>
        </w:rPr>
        <w:br w:type="page"/>
      </w:r>
    </w:p>
    <w:p w14:paraId="6C9744AC">
      <w:pPr>
        <w:pStyle w:val="10"/>
        <w:shd w:val="clear"/>
        <w:spacing w:line="240" w:lineRule="auto"/>
        <w:rPr>
          <w:rFonts w:hint="eastAsia"/>
          <w:b/>
          <w:color w:val="auto"/>
          <w:sz w:val="21"/>
          <w:szCs w:val="21"/>
          <w:highlight w:val="none"/>
        </w:rPr>
      </w:pPr>
      <w:r>
        <w:rPr>
          <w:rFonts w:hint="eastAsia"/>
          <w:b/>
          <w:color w:val="auto"/>
          <w:sz w:val="21"/>
          <w:szCs w:val="21"/>
          <w:highlight w:val="none"/>
        </w:rPr>
        <w:t>附件1：</w:t>
      </w:r>
      <w:r>
        <w:rPr>
          <w:rFonts w:hint="eastAsia"/>
          <w:b/>
          <w:color w:val="auto"/>
          <w:sz w:val="21"/>
          <w:szCs w:val="21"/>
          <w:highlight w:val="none"/>
          <w:lang w:val="en-US"/>
        </w:rPr>
        <w:t>供应商</w:t>
      </w:r>
      <w:r>
        <w:rPr>
          <w:rFonts w:hint="eastAsia"/>
          <w:b/>
          <w:color w:val="auto"/>
          <w:sz w:val="21"/>
          <w:szCs w:val="21"/>
          <w:highlight w:val="none"/>
        </w:rPr>
        <w:t>评价表</w:t>
      </w:r>
    </w:p>
    <w:bookmarkEnd w:id="18"/>
    <w:bookmarkEnd w:id="19"/>
    <w:bookmarkEnd w:id="20"/>
    <w:bookmarkEnd w:id="21"/>
    <w:tbl>
      <w:tblPr>
        <w:tblStyle w:val="32"/>
        <w:tblW w:w="8522" w:type="dxa"/>
        <w:tblInd w:w="0" w:type="dxa"/>
        <w:tblLayout w:type="fixed"/>
        <w:tblCellMar>
          <w:top w:w="0" w:type="dxa"/>
          <w:left w:w="108" w:type="dxa"/>
          <w:bottom w:w="0" w:type="dxa"/>
          <w:right w:w="108" w:type="dxa"/>
        </w:tblCellMar>
      </w:tblPr>
      <w:tblGrid>
        <w:gridCol w:w="993"/>
        <w:gridCol w:w="3672"/>
        <w:gridCol w:w="857"/>
        <w:gridCol w:w="946"/>
        <w:gridCol w:w="946"/>
        <w:gridCol w:w="1108"/>
      </w:tblGrid>
      <w:tr w14:paraId="466BEEEE">
        <w:tblPrEx>
          <w:tblCellMar>
            <w:top w:w="0" w:type="dxa"/>
            <w:left w:w="108" w:type="dxa"/>
            <w:bottom w:w="0" w:type="dxa"/>
            <w:right w:w="108" w:type="dxa"/>
          </w:tblCellMar>
        </w:tblPrEx>
        <w:trPr>
          <w:trHeight w:val="606" w:hRule="atLeast"/>
        </w:trPr>
        <w:tc>
          <w:tcPr>
            <w:tcW w:w="8522" w:type="dxa"/>
            <w:gridSpan w:val="6"/>
            <w:tcBorders>
              <w:top w:val="single" w:color="000000" w:sz="4" w:space="0"/>
              <w:left w:val="single" w:color="000000" w:sz="4" w:space="0"/>
              <w:bottom w:val="single" w:color="000000" w:sz="4" w:space="0"/>
              <w:right w:val="single" w:color="000000" w:sz="4" w:space="0"/>
            </w:tcBorders>
            <w:vAlign w:val="center"/>
          </w:tcPr>
          <w:p w14:paraId="3F85AE36">
            <w:pPr>
              <w:shd w:val="clear"/>
              <w:spacing w:line="360" w:lineRule="auto"/>
              <w:jc w:val="center"/>
              <w:textAlignment w:val="center"/>
              <w:rPr>
                <w:rFonts w:hint="eastAsia" w:ascii="宋体" w:hAnsi="宋体" w:cs="宋体"/>
                <w:b/>
                <w:bCs/>
                <w:color w:val="auto"/>
                <w:sz w:val="32"/>
                <w:szCs w:val="32"/>
                <w:highlight w:val="none"/>
              </w:rPr>
            </w:pPr>
            <w:r>
              <w:rPr>
                <w:rFonts w:hint="eastAsia" w:ascii="宋体" w:hAnsi="宋体" w:cs="宋体"/>
                <w:b/>
                <w:bCs/>
                <w:color w:val="auto"/>
                <w:sz w:val="32"/>
                <w:szCs w:val="32"/>
                <w:highlight w:val="none"/>
                <w:u w:val="single"/>
                <w:lang w:bidi="ar"/>
              </w:rPr>
              <w:t xml:space="preserve">               酒店有限公司</w:t>
            </w:r>
          </w:p>
        </w:tc>
      </w:tr>
      <w:tr w14:paraId="711BF9C8">
        <w:tblPrEx>
          <w:tblCellMar>
            <w:top w:w="0" w:type="dxa"/>
            <w:left w:w="108" w:type="dxa"/>
            <w:bottom w:w="0" w:type="dxa"/>
            <w:right w:w="108" w:type="dxa"/>
          </w:tblCellMar>
        </w:tblPrEx>
        <w:trPr>
          <w:trHeight w:val="606" w:hRule="atLeast"/>
        </w:trPr>
        <w:tc>
          <w:tcPr>
            <w:tcW w:w="8522" w:type="dxa"/>
            <w:gridSpan w:val="6"/>
            <w:tcBorders>
              <w:top w:val="single" w:color="000000" w:sz="4" w:space="0"/>
              <w:left w:val="single" w:color="000000" w:sz="4" w:space="0"/>
              <w:bottom w:val="single" w:color="000000" w:sz="4" w:space="0"/>
              <w:right w:val="single" w:color="000000" w:sz="4" w:space="0"/>
            </w:tcBorders>
            <w:vAlign w:val="center"/>
          </w:tcPr>
          <w:p w14:paraId="7A49C64B">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供应商评价表</w:t>
            </w:r>
          </w:p>
        </w:tc>
      </w:tr>
      <w:tr w14:paraId="6B32FD91">
        <w:tblPrEx>
          <w:tblCellMar>
            <w:top w:w="0" w:type="dxa"/>
            <w:left w:w="108" w:type="dxa"/>
            <w:bottom w:w="0" w:type="dxa"/>
            <w:right w:w="108" w:type="dxa"/>
          </w:tblCellMar>
        </w:tblPrEx>
        <w:trPr>
          <w:trHeight w:val="427" w:hRule="atLeast"/>
        </w:trPr>
        <w:tc>
          <w:tcPr>
            <w:tcW w:w="993" w:type="dxa"/>
            <w:tcBorders>
              <w:top w:val="single" w:color="000000" w:sz="4" w:space="0"/>
              <w:left w:val="single" w:color="000000" w:sz="4" w:space="0"/>
              <w:bottom w:val="single" w:color="000000" w:sz="4" w:space="0"/>
              <w:right w:val="single" w:color="000000" w:sz="4" w:space="0"/>
            </w:tcBorders>
            <w:vAlign w:val="center"/>
          </w:tcPr>
          <w:p w14:paraId="2B551EFB">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供应商名称：</w:t>
            </w:r>
          </w:p>
        </w:tc>
        <w:tc>
          <w:tcPr>
            <w:tcW w:w="3672" w:type="dxa"/>
            <w:tcBorders>
              <w:top w:val="single" w:color="000000" w:sz="4" w:space="0"/>
              <w:left w:val="single" w:color="000000" w:sz="4" w:space="0"/>
              <w:bottom w:val="single" w:color="000000" w:sz="4" w:space="0"/>
              <w:right w:val="single" w:color="000000" w:sz="4" w:space="0"/>
            </w:tcBorders>
            <w:vAlign w:val="center"/>
          </w:tcPr>
          <w:p w14:paraId="5F2D3CFF">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b/>
                <w:bCs/>
                <w:color w:val="auto"/>
                <w:sz w:val="24"/>
                <w:szCs w:val="24"/>
                <w:highlight w:val="none"/>
                <w:lang w:val="en-US" w:eastAsia="zh-CN"/>
              </w:rPr>
            </w:pPr>
          </w:p>
        </w:tc>
        <w:tc>
          <w:tcPr>
            <w:tcW w:w="857" w:type="dxa"/>
            <w:tcBorders>
              <w:top w:val="single" w:color="000000" w:sz="4" w:space="0"/>
              <w:left w:val="single" w:color="000000" w:sz="4" w:space="0"/>
              <w:bottom w:val="single" w:color="000000" w:sz="4" w:space="0"/>
              <w:right w:val="single" w:color="000000" w:sz="4" w:space="0"/>
            </w:tcBorders>
            <w:vAlign w:val="center"/>
          </w:tcPr>
          <w:p w14:paraId="76CE8B70">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评价时间：</w:t>
            </w:r>
          </w:p>
        </w:tc>
        <w:tc>
          <w:tcPr>
            <w:tcW w:w="3000" w:type="dxa"/>
            <w:gridSpan w:val="3"/>
            <w:tcBorders>
              <w:top w:val="single" w:color="000000" w:sz="4" w:space="0"/>
              <w:left w:val="single" w:color="000000" w:sz="4" w:space="0"/>
              <w:bottom w:val="single" w:color="000000" w:sz="4" w:space="0"/>
              <w:right w:val="single" w:color="000000" w:sz="4" w:space="0"/>
            </w:tcBorders>
            <w:vAlign w:val="center"/>
          </w:tcPr>
          <w:p w14:paraId="2758284B">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年   月   日</w:t>
            </w:r>
          </w:p>
        </w:tc>
      </w:tr>
      <w:tr w14:paraId="0FA7A82A">
        <w:tblPrEx>
          <w:tblCellMar>
            <w:top w:w="0" w:type="dxa"/>
            <w:left w:w="108" w:type="dxa"/>
            <w:bottom w:w="0" w:type="dxa"/>
            <w:right w:w="108" w:type="dxa"/>
          </w:tblCellMar>
        </w:tblPrEx>
        <w:trPr>
          <w:trHeight w:val="427" w:hRule="atLeast"/>
        </w:trPr>
        <w:tc>
          <w:tcPr>
            <w:tcW w:w="993" w:type="dxa"/>
            <w:tcBorders>
              <w:top w:val="single" w:color="000000" w:sz="4" w:space="0"/>
              <w:left w:val="single" w:color="000000" w:sz="4" w:space="0"/>
              <w:bottom w:val="single" w:color="000000" w:sz="4" w:space="0"/>
              <w:right w:val="single" w:color="000000" w:sz="4" w:space="0"/>
            </w:tcBorders>
            <w:vAlign w:val="center"/>
          </w:tcPr>
          <w:p w14:paraId="744401B2">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供货品类：</w:t>
            </w:r>
          </w:p>
        </w:tc>
        <w:tc>
          <w:tcPr>
            <w:tcW w:w="3672" w:type="dxa"/>
            <w:tcBorders>
              <w:top w:val="single" w:color="000000" w:sz="4" w:space="0"/>
              <w:left w:val="single" w:color="000000" w:sz="4" w:space="0"/>
              <w:bottom w:val="single" w:color="000000" w:sz="4" w:space="0"/>
              <w:right w:val="single" w:color="000000" w:sz="4" w:space="0"/>
            </w:tcBorders>
            <w:vAlign w:val="center"/>
          </w:tcPr>
          <w:p w14:paraId="7297E9B3">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食品类</w:t>
            </w:r>
          </w:p>
        </w:tc>
        <w:tc>
          <w:tcPr>
            <w:tcW w:w="857" w:type="dxa"/>
            <w:tcBorders>
              <w:top w:val="single" w:color="000000" w:sz="4" w:space="0"/>
              <w:left w:val="single" w:color="000000" w:sz="4" w:space="0"/>
              <w:bottom w:val="single" w:color="000000" w:sz="4" w:space="0"/>
              <w:right w:val="single" w:color="000000" w:sz="4" w:space="0"/>
            </w:tcBorders>
            <w:vAlign w:val="center"/>
          </w:tcPr>
          <w:p w14:paraId="0C88EBAC">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b/>
                <w:bCs/>
                <w:color w:val="auto"/>
                <w:sz w:val="24"/>
                <w:szCs w:val="24"/>
                <w:highlight w:val="none"/>
                <w:lang w:val="en-US" w:eastAsia="zh-CN"/>
              </w:rPr>
            </w:pPr>
          </w:p>
        </w:tc>
        <w:tc>
          <w:tcPr>
            <w:tcW w:w="3000" w:type="dxa"/>
            <w:gridSpan w:val="3"/>
            <w:tcBorders>
              <w:top w:val="single" w:color="000000" w:sz="4" w:space="0"/>
              <w:left w:val="single" w:color="000000" w:sz="4" w:space="0"/>
              <w:bottom w:val="single" w:color="000000" w:sz="4" w:space="0"/>
              <w:right w:val="single" w:color="000000" w:sz="4" w:space="0"/>
            </w:tcBorders>
            <w:vAlign w:val="center"/>
          </w:tcPr>
          <w:p w14:paraId="32745C31">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评分部门</w:t>
            </w:r>
          </w:p>
        </w:tc>
      </w:tr>
      <w:tr w14:paraId="5FD1C6F9">
        <w:tblPrEx>
          <w:tblCellMar>
            <w:top w:w="0" w:type="dxa"/>
            <w:left w:w="108" w:type="dxa"/>
            <w:bottom w:w="0" w:type="dxa"/>
            <w:right w:w="108" w:type="dxa"/>
          </w:tblCellMar>
        </w:tblPrEx>
        <w:trPr>
          <w:trHeight w:val="484" w:hRule="atLeast"/>
        </w:trPr>
        <w:tc>
          <w:tcPr>
            <w:tcW w:w="993" w:type="dxa"/>
            <w:tcBorders>
              <w:top w:val="single" w:color="000000" w:sz="4" w:space="0"/>
              <w:left w:val="single" w:color="000000" w:sz="4" w:space="0"/>
              <w:bottom w:val="single" w:color="000000" w:sz="4" w:space="0"/>
              <w:right w:val="single" w:color="000000" w:sz="4" w:space="0"/>
            </w:tcBorders>
            <w:vAlign w:val="center"/>
          </w:tcPr>
          <w:p w14:paraId="68B5EB5B">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3672" w:type="dxa"/>
            <w:tcBorders>
              <w:top w:val="single" w:color="000000" w:sz="4" w:space="0"/>
              <w:left w:val="single" w:color="000000" w:sz="4" w:space="0"/>
              <w:bottom w:val="single" w:color="000000" w:sz="4" w:space="0"/>
              <w:right w:val="single" w:color="000000" w:sz="4" w:space="0"/>
            </w:tcBorders>
            <w:vAlign w:val="center"/>
          </w:tcPr>
          <w:p w14:paraId="60EBD230">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依据描述</w:t>
            </w:r>
          </w:p>
        </w:tc>
        <w:tc>
          <w:tcPr>
            <w:tcW w:w="857" w:type="dxa"/>
            <w:tcBorders>
              <w:top w:val="single" w:color="000000" w:sz="4" w:space="0"/>
              <w:left w:val="single" w:color="000000" w:sz="4" w:space="0"/>
              <w:bottom w:val="single" w:color="000000" w:sz="4" w:space="0"/>
              <w:right w:val="single" w:color="000000" w:sz="4" w:space="0"/>
            </w:tcBorders>
            <w:vAlign w:val="center"/>
          </w:tcPr>
          <w:p w14:paraId="1B429875">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得分范围</w:t>
            </w:r>
          </w:p>
        </w:tc>
        <w:tc>
          <w:tcPr>
            <w:tcW w:w="946" w:type="dxa"/>
            <w:tcBorders>
              <w:top w:val="single" w:color="000000" w:sz="4" w:space="0"/>
              <w:left w:val="single" w:color="000000" w:sz="4" w:space="0"/>
              <w:bottom w:val="single" w:color="000000" w:sz="4" w:space="0"/>
              <w:right w:val="single" w:color="000000" w:sz="4" w:space="0"/>
            </w:tcBorders>
            <w:vAlign w:val="center"/>
          </w:tcPr>
          <w:p w14:paraId="61214A75">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使用部门</w:t>
            </w:r>
          </w:p>
        </w:tc>
        <w:tc>
          <w:tcPr>
            <w:tcW w:w="946" w:type="dxa"/>
            <w:tcBorders>
              <w:top w:val="single" w:color="000000" w:sz="4" w:space="0"/>
              <w:left w:val="single" w:color="000000" w:sz="4" w:space="0"/>
              <w:bottom w:val="single" w:color="000000" w:sz="4" w:space="0"/>
              <w:right w:val="single" w:color="000000" w:sz="4" w:space="0"/>
            </w:tcBorders>
            <w:vAlign w:val="center"/>
          </w:tcPr>
          <w:p w14:paraId="46C3424E">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财务部</w:t>
            </w:r>
          </w:p>
        </w:tc>
        <w:tc>
          <w:tcPr>
            <w:tcW w:w="1108" w:type="dxa"/>
            <w:tcBorders>
              <w:top w:val="single" w:color="000000" w:sz="4" w:space="0"/>
              <w:left w:val="single" w:color="000000" w:sz="4" w:space="0"/>
              <w:bottom w:val="single" w:color="000000" w:sz="4" w:space="0"/>
              <w:right w:val="single" w:color="000000" w:sz="4" w:space="0"/>
            </w:tcBorders>
            <w:vAlign w:val="center"/>
          </w:tcPr>
          <w:p w14:paraId="6CD17AD6">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行政综合部</w:t>
            </w:r>
          </w:p>
        </w:tc>
      </w:tr>
      <w:tr w14:paraId="4580514F">
        <w:tblPrEx>
          <w:tblCellMar>
            <w:top w:w="0" w:type="dxa"/>
            <w:left w:w="108" w:type="dxa"/>
            <w:bottom w:w="0" w:type="dxa"/>
            <w:right w:w="108" w:type="dxa"/>
          </w:tblCellMar>
        </w:tblPrEx>
        <w:trPr>
          <w:trHeight w:val="484" w:hRule="atLeast"/>
        </w:trPr>
        <w:tc>
          <w:tcPr>
            <w:tcW w:w="993" w:type="dxa"/>
            <w:vMerge w:val="restart"/>
            <w:tcBorders>
              <w:top w:val="single" w:color="000000" w:sz="4" w:space="0"/>
              <w:left w:val="single" w:color="000000" w:sz="4" w:space="0"/>
              <w:bottom w:val="single" w:color="000000" w:sz="4" w:space="0"/>
              <w:right w:val="single" w:color="000000" w:sz="4" w:space="0"/>
            </w:tcBorders>
            <w:vAlign w:val="center"/>
          </w:tcPr>
          <w:p w14:paraId="798AB303">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1、供货及时性（20分）</w:t>
            </w:r>
          </w:p>
        </w:tc>
        <w:tc>
          <w:tcPr>
            <w:tcW w:w="3672" w:type="dxa"/>
            <w:tcBorders>
              <w:top w:val="single" w:color="000000" w:sz="4" w:space="0"/>
              <w:left w:val="single" w:color="000000" w:sz="4" w:space="0"/>
              <w:bottom w:val="single" w:color="000000" w:sz="4" w:space="0"/>
              <w:right w:val="single" w:color="000000" w:sz="4" w:space="0"/>
            </w:tcBorders>
            <w:vAlign w:val="center"/>
          </w:tcPr>
          <w:p w14:paraId="73E12D33">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(1)每次均能及时到货，并提供完整检测报告。</w:t>
            </w:r>
          </w:p>
        </w:tc>
        <w:tc>
          <w:tcPr>
            <w:tcW w:w="857" w:type="dxa"/>
            <w:tcBorders>
              <w:top w:val="single" w:color="000000" w:sz="4" w:space="0"/>
              <w:left w:val="single" w:color="000000" w:sz="4" w:space="0"/>
              <w:bottom w:val="single" w:color="000000" w:sz="4" w:space="0"/>
              <w:right w:val="single" w:color="000000" w:sz="4" w:space="0"/>
            </w:tcBorders>
            <w:vAlign w:val="center"/>
          </w:tcPr>
          <w:p w14:paraId="1D912D7E">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14-20分</w:t>
            </w:r>
          </w:p>
        </w:tc>
        <w:tc>
          <w:tcPr>
            <w:tcW w:w="946" w:type="dxa"/>
            <w:vMerge w:val="restart"/>
            <w:tcBorders>
              <w:top w:val="single" w:color="000000" w:sz="4" w:space="0"/>
              <w:left w:val="single" w:color="000000" w:sz="4" w:space="0"/>
              <w:bottom w:val="single" w:color="000000" w:sz="4" w:space="0"/>
              <w:right w:val="single" w:color="000000" w:sz="4" w:space="0"/>
            </w:tcBorders>
            <w:vAlign w:val="center"/>
          </w:tcPr>
          <w:p w14:paraId="53FB3484">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946" w:type="dxa"/>
            <w:vMerge w:val="restart"/>
            <w:tcBorders>
              <w:top w:val="single" w:color="000000" w:sz="4" w:space="0"/>
              <w:left w:val="single" w:color="000000" w:sz="4" w:space="0"/>
              <w:bottom w:val="single" w:color="000000" w:sz="4" w:space="0"/>
              <w:right w:val="single" w:color="000000" w:sz="4" w:space="0"/>
            </w:tcBorders>
            <w:vAlign w:val="center"/>
          </w:tcPr>
          <w:p w14:paraId="67972EC0">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1108" w:type="dxa"/>
            <w:vMerge w:val="restart"/>
            <w:tcBorders>
              <w:top w:val="single" w:color="000000" w:sz="4" w:space="0"/>
              <w:left w:val="single" w:color="000000" w:sz="4" w:space="0"/>
              <w:bottom w:val="single" w:color="000000" w:sz="4" w:space="0"/>
              <w:right w:val="single" w:color="000000" w:sz="4" w:space="0"/>
            </w:tcBorders>
            <w:vAlign w:val="center"/>
          </w:tcPr>
          <w:p w14:paraId="2CC5F02E">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r>
      <w:tr w14:paraId="13D76BBB">
        <w:tblPrEx>
          <w:tblCellMar>
            <w:top w:w="0" w:type="dxa"/>
            <w:left w:w="108" w:type="dxa"/>
            <w:bottom w:w="0" w:type="dxa"/>
            <w:right w:w="108" w:type="dxa"/>
          </w:tblCellMar>
        </w:tblPrEx>
        <w:trPr>
          <w:trHeight w:val="484" w:hRule="atLeast"/>
        </w:trPr>
        <w:tc>
          <w:tcPr>
            <w:tcW w:w="993" w:type="dxa"/>
            <w:vMerge w:val="continue"/>
            <w:tcBorders>
              <w:top w:val="single" w:color="000000" w:sz="4" w:space="0"/>
              <w:left w:val="single" w:color="000000" w:sz="4" w:space="0"/>
              <w:bottom w:val="single" w:color="000000" w:sz="4" w:space="0"/>
              <w:right w:val="single" w:color="000000" w:sz="4" w:space="0"/>
            </w:tcBorders>
            <w:vAlign w:val="center"/>
          </w:tcPr>
          <w:p w14:paraId="6D71B042">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3672" w:type="dxa"/>
            <w:tcBorders>
              <w:top w:val="single" w:color="000000" w:sz="4" w:space="0"/>
              <w:left w:val="single" w:color="000000" w:sz="4" w:space="0"/>
              <w:bottom w:val="single" w:color="000000" w:sz="4" w:space="0"/>
              <w:right w:val="single" w:color="000000" w:sz="4" w:space="0"/>
            </w:tcBorders>
            <w:vAlign w:val="center"/>
          </w:tcPr>
          <w:p w14:paraId="241336AF">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(2)偶尔供货及提供检测报告不及时，但对出品造成较小影响。</w:t>
            </w:r>
          </w:p>
        </w:tc>
        <w:tc>
          <w:tcPr>
            <w:tcW w:w="857" w:type="dxa"/>
            <w:tcBorders>
              <w:top w:val="single" w:color="000000" w:sz="4" w:space="0"/>
              <w:left w:val="single" w:color="000000" w:sz="4" w:space="0"/>
              <w:bottom w:val="single" w:color="000000" w:sz="4" w:space="0"/>
              <w:right w:val="single" w:color="000000" w:sz="4" w:space="0"/>
            </w:tcBorders>
            <w:vAlign w:val="center"/>
          </w:tcPr>
          <w:p w14:paraId="443B3C46">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7-13分</w:t>
            </w:r>
          </w:p>
        </w:tc>
        <w:tc>
          <w:tcPr>
            <w:tcW w:w="946" w:type="dxa"/>
            <w:vMerge w:val="continue"/>
            <w:tcBorders>
              <w:top w:val="single" w:color="000000" w:sz="4" w:space="0"/>
              <w:left w:val="single" w:color="000000" w:sz="4" w:space="0"/>
              <w:bottom w:val="single" w:color="000000" w:sz="4" w:space="0"/>
              <w:right w:val="single" w:color="000000" w:sz="4" w:space="0"/>
            </w:tcBorders>
            <w:vAlign w:val="center"/>
          </w:tcPr>
          <w:p w14:paraId="0B11B948">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946" w:type="dxa"/>
            <w:vMerge w:val="continue"/>
            <w:tcBorders>
              <w:top w:val="single" w:color="000000" w:sz="4" w:space="0"/>
              <w:left w:val="single" w:color="000000" w:sz="4" w:space="0"/>
              <w:bottom w:val="single" w:color="000000" w:sz="4" w:space="0"/>
              <w:right w:val="single" w:color="000000" w:sz="4" w:space="0"/>
            </w:tcBorders>
            <w:vAlign w:val="center"/>
          </w:tcPr>
          <w:p w14:paraId="4ABD3C62">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1108" w:type="dxa"/>
            <w:vMerge w:val="continue"/>
            <w:tcBorders>
              <w:top w:val="single" w:color="000000" w:sz="4" w:space="0"/>
              <w:left w:val="single" w:color="000000" w:sz="4" w:space="0"/>
              <w:bottom w:val="single" w:color="000000" w:sz="4" w:space="0"/>
              <w:right w:val="single" w:color="000000" w:sz="4" w:space="0"/>
            </w:tcBorders>
            <w:vAlign w:val="center"/>
          </w:tcPr>
          <w:p w14:paraId="64EE161F">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r>
      <w:tr w14:paraId="6587BC61">
        <w:tblPrEx>
          <w:tblCellMar>
            <w:top w:w="0" w:type="dxa"/>
            <w:left w:w="108" w:type="dxa"/>
            <w:bottom w:w="0" w:type="dxa"/>
            <w:right w:w="108" w:type="dxa"/>
          </w:tblCellMar>
        </w:tblPrEx>
        <w:trPr>
          <w:trHeight w:val="484" w:hRule="atLeast"/>
        </w:trPr>
        <w:tc>
          <w:tcPr>
            <w:tcW w:w="993" w:type="dxa"/>
            <w:vMerge w:val="continue"/>
            <w:tcBorders>
              <w:top w:val="single" w:color="000000" w:sz="4" w:space="0"/>
              <w:left w:val="single" w:color="000000" w:sz="4" w:space="0"/>
              <w:bottom w:val="single" w:color="000000" w:sz="4" w:space="0"/>
              <w:right w:val="single" w:color="000000" w:sz="4" w:space="0"/>
            </w:tcBorders>
            <w:vAlign w:val="center"/>
          </w:tcPr>
          <w:p w14:paraId="4B4C3932">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3672" w:type="dxa"/>
            <w:tcBorders>
              <w:top w:val="single" w:color="000000" w:sz="4" w:space="0"/>
              <w:left w:val="single" w:color="000000" w:sz="4" w:space="0"/>
              <w:bottom w:val="single" w:color="000000" w:sz="4" w:space="0"/>
              <w:right w:val="single" w:color="000000" w:sz="4" w:space="0"/>
            </w:tcBorders>
            <w:vAlign w:val="center"/>
          </w:tcPr>
          <w:p w14:paraId="03AFE375">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(3)供货及提供检测报告不及时次数过多，且对出品造成较大影响。</w:t>
            </w:r>
          </w:p>
        </w:tc>
        <w:tc>
          <w:tcPr>
            <w:tcW w:w="857" w:type="dxa"/>
            <w:tcBorders>
              <w:top w:val="single" w:color="000000" w:sz="4" w:space="0"/>
              <w:left w:val="single" w:color="000000" w:sz="4" w:space="0"/>
              <w:bottom w:val="single" w:color="000000" w:sz="4" w:space="0"/>
              <w:right w:val="single" w:color="000000" w:sz="4" w:space="0"/>
            </w:tcBorders>
            <w:vAlign w:val="center"/>
          </w:tcPr>
          <w:p w14:paraId="516598A2">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0-6分</w:t>
            </w:r>
          </w:p>
        </w:tc>
        <w:tc>
          <w:tcPr>
            <w:tcW w:w="946" w:type="dxa"/>
            <w:vMerge w:val="continue"/>
            <w:tcBorders>
              <w:top w:val="single" w:color="000000" w:sz="4" w:space="0"/>
              <w:left w:val="single" w:color="000000" w:sz="4" w:space="0"/>
              <w:bottom w:val="single" w:color="000000" w:sz="4" w:space="0"/>
              <w:right w:val="single" w:color="000000" w:sz="4" w:space="0"/>
            </w:tcBorders>
            <w:vAlign w:val="center"/>
          </w:tcPr>
          <w:p w14:paraId="01147DD3">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946" w:type="dxa"/>
            <w:vMerge w:val="continue"/>
            <w:tcBorders>
              <w:top w:val="single" w:color="000000" w:sz="4" w:space="0"/>
              <w:left w:val="single" w:color="000000" w:sz="4" w:space="0"/>
              <w:bottom w:val="single" w:color="000000" w:sz="4" w:space="0"/>
              <w:right w:val="single" w:color="000000" w:sz="4" w:space="0"/>
            </w:tcBorders>
            <w:vAlign w:val="center"/>
          </w:tcPr>
          <w:p w14:paraId="2E1AF84C">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1108" w:type="dxa"/>
            <w:vMerge w:val="continue"/>
            <w:tcBorders>
              <w:top w:val="single" w:color="000000" w:sz="4" w:space="0"/>
              <w:left w:val="single" w:color="000000" w:sz="4" w:space="0"/>
              <w:bottom w:val="single" w:color="000000" w:sz="4" w:space="0"/>
              <w:right w:val="single" w:color="000000" w:sz="4" w:space="0"/>
            </w:tcBorders>
            <w:vAlign w:val="center"/>
          </w:tcPr>
          <w:p w14:paraId="5656F259">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r>
      <w:tr w14:paraId="629AD83B">
        <w:tblPrEx>
          <w:tblCellMar>
            <w:top w:w="0" w:type="dxa"/>
            <w:left w:w="108" w:type="dxa"/>
            <w:bottom w:w="0" w:type="dxa"/>
            <w:right w:w="108" w:type="dxa"/>
          </w:tblCellMar>
        </w:tblPrEx>
        <w:trPr>
          <w:trHeight w:val="484" w:hRule="atLeast"/>
        </w:trPr>
        <w:tc>
          <w:tcPr>
            <w:tcW w:w="993" w:type="dxa"/>
            <w:vMerge w:val="restart"/>
            <w:tcBorders>
              <w:top w:val="single" w:color="000000" w:sz="4" w:space="0"/>
              <w:left w:val="single" w:color="000000" w:sz="4" w:space="0"/>
              <w:bottom w:val="single" w:color="000000" w:sz="4" w:space="0"/>
              <w:right w:val="single" w:color="000000" w:sz="4" w:space="0"/>
            </w:tcBorders>
            <w:vAlign w:val="center"/>
          </w:tcPr>
          <w:p w14:paraId="19793339">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2、品类齐全度（20分）</w:t>
            </w:r>
          </w:p>
        </w:tc>
        <w:tc>
          <w:tcPr>
            <w:tcW w:w="3672" w:type="dxa"/>
            <w:tcBorders>
              <w:top w:val="single" w:color="000000" w:sz="4" w:space="0"/>
              <w:left w:val="single" w:color="000000" w:sz="4" w:space="0"/>
              <w:bottom w:val="single" w:color="000000" w:sz="4" w:space="0"/>
              <w:right w:val="single" w:color="000000" w:sz="4" w:space="0"/>
            </w:tcBorders>
            <w:vAlign w:val="center"/>
          </w:tcPr>
          <w:p w14:paraId="725DAC43">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(1)品类齐全，能充分满足使用要求。</w:t>
            </w:r>
          </w:p>
        </w:tc>
        <w:tc>
          <w:tcPr>
            <w:tcW w:w="857" w:type="dxa"/>
            <w:tcBorders>
              <w:top w:val="single" w:color="000000" w:sz="4" w:space="0"/>
              <w:left w:val="single" w:color="000000" w:sz="4" w:space="0"/>
              <w:bottom w:val="single" w:color="000000" w:sz="4" w:space="0"/>
              <w:right w:val="single" w:color="000000" w:sz="4" w:space="0"/>
            </w:tcBorders>
            <w:vAlign w:val="center"/>
          </w:tcPr>
          <w:p w14:paraId="0B27A2A1">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14-20分</w:t>
            </w:r>
          </w:p>
        </w:tc>
        <w:tc>
          <w:tcPr>
            <w:tcW w:w="946" w:type="dxa"/>
            <w:vMerge w:val="restart"/>
            <w:tcBorders>
              <w:top w:val="single" w:color="000000" w:sz="4" w:space="0"/>
              <w:left w:val="single" w:color="000000" w:sz="4" w:space="0"/>
              <w:bottom w:val="single" w:color="000000" w:sz="4" w:space="0"/>
              <w:right w:val="single" w:color="000000" w:sz="4" w:space="0"/>
            </w:tcBorders>
            <w:vAlign w:val="center"/>
          </w:tcPr>
          <w:p w14:paraId="59400B12">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946" w:type="dxa"/>
            <w:vMerge w:val="restart"/>
            <w:tcBorders>
              <w:top w:val="single" w:color="000000" w:sz="4" w:space="0"/>
              <w:left w:val="single" w:color="000000" w:sz="4" w:space="0"/>
              <w:bottom w:val="single" w:color="000000" w:sz="4" w:space="0"/>
              <w:right w:val="single" w:color="000000" w:sz="4" w:space="0"/>
            </w:tcBorders>
            <w:vAlign w:val="center"/>
          </w:tcPr>
          <w:p w14:paraId="42E23F2A">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1108" w:type="dxa"/>
            <w:vMerge w:val="restart"/>
            <w:tcBorders>
              <w:top w:val="single" w:color="000000" w:sz="4" w:space="0"/>
              <w:left w:val="single" w:color="000000" w:sz="4" w:space="0"/>
              <w:bottom w:val="single" w:color="000000" w:sz="4" w:space="0"/>
              <w:right w:val="single" w:color="000000" w:sz="4" w:space="0"/>
            </w:tcBorders>
            <w:vAlign w:val="center"/>
          </w:tcPr>
          <w:p w14:paraId="50892A85">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r>
      <w:tr w14:paraId="44775BC4">
        <w:tblPrEx>
          <w:tblCellMar>
            <w:top w:w="0" w:type="dxa"/>
            <w:left w:w="108" w:type="dxa"/>
            <w:bottom w:w="0" w:type="dxa"/>
            <w:right w:w="108" w:type="dxa"/>
          </w:tblCellMar>
        </w:tblPrEx>
        <w:trPr>
          <w:trHeight w:val="484" w:hRule="atLeast"/>
        </w:trPr>
        <w:tc>
          <w:tcPr>
            <w:tcW w:w="993" w:type="dxa"/>
            <w:vMerge w:val="continue"/>
            <w:tcBorders>
              <w:top w:val="single" w:color="000000" w:sz="4" w:space="0"/>
              <w:left w:val="single" w:color="000000" w:sz="4" w:space="0"/>
              <w:bottom w:val="single" w:color="000000" w:sz="4" w:space="0"/>
              <w:right w:val="single" w:color="000000" w:sz="4" w:space="0"/>
            </w:tcBorders>
            <w:vAlign w:val="center"/>
          </w:tcPr>
          <w:p w14:paraId="79D1F210">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3672" w:type="dxa"/>
            <w:tcBorders>
              <w:top w:val="single" w:color="000000" w:sz="4" w:space="0"/>
              <w:left w:val="single" w:color="000000" w:sz="4" w:space="0"/>
              <w:bottom w:val="single" w:color="000000" w:sz="4" w:space="0"/>
              <w:right w:val="single" w:color="000000" w:sz="4" w:space="0"/>
            </w:tcBorders>
            <w:vAlign w:val="center"/>
          </w:tcPr>
          <w:p w14:paraId="44FF73FA">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(2)品类基本齐全，偶尔与实际需求不相符，但对出品造成较小影响。</w:t>
            </w:r>
          </w:p>
        </w:tc>
        <w:tc>
          <w:tcPr>
            <w:tcW w:w="857" w:type="dxa"/>
            <w:tcBorders>
              <w:top w:val="single" w:color="000000" w:sz="4" w:space="0"/>
              <w:left w:val="single" w:color="000000" w:sz="4" w:space="0"/>
              <w:bottom w:val="single" w:color="000000" w:sz="4" w:space="0"/>
              <w:right w:val="single" w:color="000000" w:sz="4" w:space="0"/>
            </w:tcBorders>
            <w:vAlign w:val="center"/>
          </w:tcPr>
          <w:p w14:paraId="3DE0ED92">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7-13分</w:t>
            </w:r>
          </w:p>
        </w:tc>
        <w:tc>
          <w:tcPr>
            <w:tcW w:w="946" w:type="dxa"/>
            <w:vMerge w:val="continue"/>
            <w:tcBorders>
              <w:top w:val="single" w:color="000000" w:sz="4" w:space="0"/>
              <w:left w:val="single" w:color="000000" w:sz="4" w:space="0"/>
              <w:bottom w:val="single" w:color="000000" w:sz="4" w:space="0"/>
              <w:right w:val="single" w:color="000000" w:sz="4" w:space="0"/>
            </w:tcBorders>
            <w:vAlign w:val="center"/>
          </w:tcPr>
          <w:p w14:paraId="0C64677F">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946" w:type="dxa"/>
            <w:vMerge w:val="continue"/>
            <w:tcBorders>
              <w:top w:val="single" w:color="000000" w:sz="4" w:space="0"/>
              <w:left w:val="single" w:color="000000" w:sz="4" w:space="0"/>
              <w:bottom w:val="single" w:color="000000" w:sz="4" w:space="0"/>
              <w:right w:val="single" w:color="000000" w:sz="4" w:space="0"/>
            </w:tcBorders>
            <w:vAlign w:val="center"/>
          </w:tcPr>
          <w:p w14:paraId="440B2127">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1108" w:type="dxa"/>
            <w:vMerge w:val="continue"/>
            <w:tcBorders>
              <w:top w:val="single" w:color="000000" w:sz="4" w:space="0"/>
              <w:left w:val="single" w:color="000000" w:sz="4" w:space="0"/>
              <w:bottom w:val="single" w:color="000000" w:sz="4" w:space="0"/>
              <w:right w:val="single" w:color="000000" w:sz="4" w:space="0"/>
            </w:tcBorders>
            <w:vAlign w:val="center"/>
          </w:tcPr>
          <w:p w14:paraId="33D188B0">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r>
      <w:tr w14:paraId="17343A15">
        <w:tblPrEx>
          <w:tblCellMar>
            <w:top w:w="0" w:type="dxa"/>
            <w:left w:w="108" w:type="dxa"/>
            <w:bottom w:w="0" w:type="dxa"/>
            <w:right w:w="108" w:type="dxa"/>
          </w:tblCellMar>
        </w:tblPrEx>
        <w:trPr>
          <w:trHeight w:val="755" w:hRule="atLeast"/>
        </w:trPr>
        <w:tc>
          <w:tcPr>
            <w:tcW w:w="993" w:type="dxa"/>
            <w:vMerge w:val="continue"/>
            <w:tcBorders>
              <w:top w:val="single" w:color="000000" w:sz="4" w:space="0"/>
              <w:left w:val="single" w:color="000000" w:sz="4" w:space="0"/>
              <w:bottom w:val="single" w:color="000000" w:sz="4" w:space="0"/>
              <w:right w:val="single" w:color="000000" w:sz="4" w:space="0"/>
            </w:tcBorders>
            <w:vAlign w:val="center"/>
          </w:tcPr>
          <w:p w14:paraId="76CC411E">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3672" w:type="dxa"/>
            <w:tcBorders>
              <w:top w:val="single" w:color="000000" w:sz="4" w:space="0"/>
              <w:left w:val="single" w:color="000000" w:sz="4" w:space="0"/>
              <w:bottom w:val="single" w:color="000000" w:sz="4" w:space="0"/>
              <w:right w:val="single" w:color="000000" w:sz="4" w:space="0"/>
            </w:tcBorders>
            <w:vAlign w:val="center"/>
          </w:tcPr>
          <w:p w14:paraId="562A2FFD">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(3)品类较少，供货差异较大，无法满足正常需求，且对出品造成较大影响。</w:t>
            </w:r>
          </w:p>
        </w:tc>
        <w:tc>
          <w:tcPr>
            <w:tcW w:w="857" w:type="dxa"/>
            <w:tcBorders>
              <w:top w:val="single" w:color="000000" w:sz="4" w:space="0"/>
              <w:left w:val="single" w:color="000000" w:sz="4" w:space="0"/>
              <w:bottom w:val="single" w:color="000000" w:sz="4" w:space="0"/>
              <w:right w:val="single" w:color="000000" w:sz="4" w:space="0"/>
            </w:tcBorders>
            <w:vAlign w:val="center"/>
          </w:tcPr>
          <w:p w14:paraId="2EB54E67">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0-6分</w:t>
            </w:r>
          </w:p>
        </w:tc>
        <w:tc>
          <w:tcPr>
            <w:tcW w:w="946" w:type="dxa"/>
            <w:vMerge w:val="continue"/>
            <w:tcBorders>
              <w:top w:val="single" w:color="000000" w:sz="4" w:space="0"/>
              <w:left w:val="single" w:color="000000" w:sz="4" w:space="0"/>
              <w:bottom w:val="single" w:color="000000" w:sz="4" w:space="0"/>
              <w:right w:val="single" w:color="000000" w:sz="4" w:space="0"/>
            </w:tcBorders>
            <w:vAlign w:val="center"/>
          </w:tcPr>
          <w:p w14:paraId="00DB2430">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946" w:type="dxa"/>
            <w:vMerge w:val="continue"/>
            <w:tcBorders>
              <w:top w:val="single" w:color="000000" w:sz="4" w:space="0"/>
              <w:left w:val="single" w:color="000000" w:sz="4" w:space="0"/>
              <w:bottom w:val="single" w:color="000000" w:sz="4" w:space="0"/>
              <w:right w:val="single" w:color="000000" w:sz="4" w:space="0"/>
            </w:tcBorders>
            <w:vAlign w:val="center"/>
          </w:tcPr>
          <w:p w14:paraId="0007731C">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1108" w:type="dxa"/>
            <w:vMerge w:val="continue"/>
            <w:tcBorders>
              <w:top w:val="single" w:color="000000" w:sz="4" w:space="0"/>
              <w:left w:val="single" w:color="000000" w:sz="4" w:space="0"/>
              <w:bottom w:val="single" w:color="000000" w:sz="4" w:space="0"/>
              <w:right w:val="single" w:color="000000" w:sz="4" w:space="0"/>
            </w:tcBorders>
            <w:vAlign w:val="center"/>
          </w:tcPr>
          <w:p w14:paraId="2B924297">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r>
      <w:tr w14:paraId="2EA546D2">
        <w:tblPrEx>
          <w:tblCellMar>
            <w:top w:w="0" w:type="dxa"/>
            <w:left w:w="108" w:type="dxa"/>
            <w:bottom w:w="0" w:type="dxa"/>
            <w:right w:w="108" w:type="dxa"/>
          </w:tblCellMar>
        </w:tblPrEx>
        <w:trPr>
          <w:trHeight w:val="484" w:hRule="atLeast"/>
        </w:trPr>
        <w:tc>
          <w:tcPr>
            <w:tcW w:w="993" w:type="dxa"/>
            <w:vMerge w:val="restart"/>
            <w:tcBorders>
              <w:top w:val="single" w:color="000000" w:sz="4" w:space="0"/>
              <w:left w:val="single" w:color="000000" w:sz="4" w:space="0"/>
              <w:bottom w:val="single" w:color="000000" w:sz="4" w:space="0"/>
              <w:right w:val="single" w:color="000000" w:sz="4" w:space="0"/>
            </w:tcBorders>
            <w:vAlign w:val="center"/>
          </w:tcPr>
          <w:p w14:paraId="4BDFD19C">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3、产品剩余质保期</w:t>
            </w:r>
          </w:p>
          <w:p w14:paraId="12F60E79">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（20分）</w:t>
            </w:r>
          </w:p>
        </w:tc>
        <w:tc>
          <w:tcPr>
            <w:tcW w:w="3672" w:type="dxa"/>
            <w:tcBorders>
              <w:top w:val="single" w:color="000000" w:sz="4" w:space="0"/>
              <w:left w:val="single" w:color="000000" w:sz="4" w:space="0"/>
              <w:bottom w:val="single" w:color="000000" w:sz="4" w:space="0"/>
              <w:right w:val="single" w:color="000000" w:sz="4" w:space="0"/>
            </w:tcBorders>
            <w:vAlign w:val="center"/>
          </w:tcPr>
          <w:p w14:paraId="3CAC3C3A">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 xml:space="preserve"> (1)产品剩余质保期长，远超行业标准，能充分保障使用周期。</w:t>
            </w:r>
          </w:p>
        </w:tc>
        <w:tc>
          <w:tcPr>
            <w:tcW w:w="857" w:type="dxa"/>
            <w:tcBorders>
              <w:top w:val="single" w:color="000000" w:sz="4" w:space="0"/>
              <w:left w:val="single" w:color="000000" w:sz="4" w:space="0"/>
              <w:bottom w:val="single" w:color="000000" w:sz="4" w:space="0"/>
              <w:right w:val="single" w:color="000000" w:sz="4" w:space="0"/>
            </w:tcBorders>
            <w:vAlign w:val="center"/>
          </w:tcPr>
          <w:p w14:paraId="6F1745E7">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14-20分</w:t>
            </w:r>
          </w:p>
        </w:tc>
        <w:tc>
          <w:tcPr>
            <w:tcW w:w="946" w:type="dxa"/>
            <w:vMerge w:val="restart"/>
            <w:tcBorders>
              <w:top w:val="single" w:color="000000" w:sz="4" w:space="0"/>
              <w:left w:val="single" w:color="000000" w:sz="4" w:space="0"/>
              <w:bottom w:val="single" w:color="000000" w:sz="4" w:space="0"/>
              <w:right w:val="single" w:color="000000" w:sz="4" w:space="0"/>
            </w:tcBorders>
            <w:vAlign w:val="center"/>
          </w:tcPr>
          <w:p w14:paraId="4FE178A8">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946" w:type="dxa"/>
            <w:vMerge w:val="restart"/>
            <w:tcBorders>
              <w:top w:val="single" w:color="000000" w:sz="4" w:space="0"/>
              <w:left w:val="single" w:color="000000" w:sz="4" w:space="0"/>
              <w:bottom w:val="single" w:color="000000" w:sz="4" w:space="0"/>
              <w:right w:val="single" w:color="000000" w:sz="4" w:space="0"/>
            </w:tcBorders>
            <w:vAlign w:val="center"/>
          </w:tcPr>
          <w:p w14:paraId="59E68F6C">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1108" w:type="dxa"/>
            <w:vMerge w:val="restart"/>
            <w:tcBorders>
              <w:top w:val="single" w:color="000000" w:sz="4" w:space="0"/>
              <w:left w:val="single" w:color="000000" w:sz="4" w:space="0"/>
              <w:bottom w:val="single" w:color="000000" w:sz="4" w:space="0"/>
              <w:right w:val="single" w:color="000000" w:sz="4" w:space="0"/>
            </w:tcBorders>
            <w:vAlign w:val="center"/>
          </w:tcPr>
          <w:p w14:paraId="05ABBB5A">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r>
      <w:tr w14:paraId="77E20A9C">
        <w:tblPrEx>
          <w:tblCellMar>
            <w:top w:w="0" w:type="dxa"/>
            <w:left w:w="108" w:type="dxa"/>
            <w:bottom w:w="0" w:type="dxa"/>
            <w:right w:w="108" w:type="dxa"/>
          </w:tblCellMar>
        </w:tblPrEx>
        <w:trPr>
          <w:trHeight w:val="484" w:hRule="atLeast"/>
        </w:trPr>
        <w:tc>
          <w:tcPr>
            <w:tcW w:w="993" w:type="dxa"/>
            <w:vMerge w:val="continue"/>
            <w:tcBorders>
              <w:top w:val="single" w:color="000000" w:sz="4" w:space="0"/>
              <w:left w:val="single" w:color="000000" w:sz="4" w:space="0"/>
              <w:bottom w:val="single" w:color="000000" w:sz="4" w:space="0"/>
              <w:right w:val="single" w:color="000000" w:sz="4" w:space="0"/>
            </w:tcBorders>
            <w:vAlign w:val="center"/>
          </w:tcPr>
          <w:p w14:paraId="3BCEBA22">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3672" w:type="dxa"/>
            <w:tcBorders>
              <w:top w:val="single" w:color="000000" w:sz="4" w:space="0"/>
              <w:left w:val="single" w:color="000000" w:sz="4" w:space="0"/>
              <w:bottom w:val="single" w:color="000000" w:sz="4" w:space="0"/>
              <w:right w:val="single" w:color="000000" w:sz="4" w:space="0"/>
            </w:tcBorders>
            <w:vAlign w:val="center"/>
          </w:tcPr>
          <w:p w14:paraId="3A68DC23">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 xml:space="preserve"> (2)产品剩余质保期符合行业标准，基本满足使用需求。</w:t>
            </w:r>
          </w:p>
        </w:tc>
        <w:tc>
          <w:tcPr>
            <w:tcW w:w="857" w:type="dxa"/>
            <w:tcBorders>
              <w:top w:val="single" w:color="000000" w:sz="4" w:space="0"/>
              <w:left w:val="single" w:color="000000" w:sz="4" w:space="0"/>
              <w:bottom w:val="single" w:color="000000" w:sz="4" w:space="0"/>
              <w:right w:val="single" w:color="000000" w:sz="4" w:space="0"/>
            </w:tcBorders>
            <w:vAlign w:val="center"/>
          </w:tcPr>
          <w:p w14:paraId="0AEBE0BF">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7-13分</w:t>
            </w:r>
          </w:p>
        </w:tc>
        <w:tc>
          <w:tcPr>
            <w:tcW w:w="946" w:type="dxa"/>
            <w:vMerge w:val="continue"/>
            <w:tcBorders>
              <w:top w:val="single" w:color="000000" w:sz="4" w:space="0"/>
              <w:left w:val="single" w:color="000000" w:sz="4" w:space="0"/>
              <w:bottom w:val="single" w:color="000000" w:sz="4" w:space="0"/>
              <w:right w:val="single" w:color="000000" w:sz="4" w:space="0"/>
            </w:tcBorders>
            <w:vAlign w:val="center"/>
          </w:tcPr>
          <w:p w14:paraId="284EEC13">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946" w:type="dxa"/>
            <w:vMerge w:val="continue"/>
            <w:tcBorders>
              <w:top w:val="single" w:color="000000" w:sz="4" w:space="0"/>
              <w:left w:val="single" w:color="000000" w:sz="4" w:space="0"/>
              <w:bottom w:val="single" w:color="000000" w:sz="4" w:space="0"/>
              <w:right w:val="single" w:color="000000" w:sz="4" w:space="0"/>
            </w:tcBorders>
            <w:vAlign w:val="center"/>
          </w:tcPr>
          <w:p w14:paraId="47B3C487">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1108" w:type="dxa"/>
            <w:vMerge w:val="continue"/>
            <w:tcBorders>
              <w:top w:val="single" w:color="000000" w:sz="4" w:space="0"/>
              <w:left w:val="single" w:color="000000" w:sz="4" w:space="0"/>
              <w:bottom w:val="single" w:color="000000" w:sz="4" w:space="0"/>
              <w:right w:val="single" w:color="000000" w:sz="4" w:space="0"/>
            </w:tcBorders>
            <w:vAlign w:val="center"/>
          </w:tcPr>
          <w:p w14:paraId="3FA4ABA4">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r>
      <w:tr w14:paraId="25F07A79">
        <w:tblPrEx>
          <w:tblCellMar>
            <w:top w:w="0" w:type="dxa"/>
            <w:left w:w="108" w:type="dxa"/>
            <w:bottom w:w="0" w:type="dxa"/>
            <w:right w:w="108" w:type="dxa"/>
          </w:tblCellMar>
        </w:tblPrEx>
        <w:trPr>
          <w:trHeight w:val="484" w:hRule="atLeast"/>
        </w:trPr>
        <w:tc>
          <w:tcPr>
            <w:tcW w:w="993" w:type="dxa"/>
            <w:vMerge w:val="continue"/>
            <w:tcBorders>
              <w:top w:val="single" w:color="000000" w:sz="4" w:space="0"/>
              <w:left w:val="single" w:color="000000" w:sz="4" w:space="0"/>
              <w:bottom w:val="single" w:color="000000" w:sz="4" w:space="0"/>
              <w:right w:val="single" w:color="000000" w:sz="4" w:space="0"/>
            </w:tcBorders>
            <w:vAlign w:val="center"/>
          </w:tcPr>
          <w:p w14:paraId="69C4C506">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3672" w:type="dxa"/>
            <w:tcBorders>
              <w:top w:val="single" w:color="000000" w:sz="4" w:space="0"/>
              <w:left w:val="single" w:color="000000" w:sz="4" w:space="0"/>
              <w:bottom w:val="single" w:color="000000" w:sz="4" w:space="0"/>
              <w:right w:val="single" w:color="000000" w:sz="4" w:space="0"/>
            </w:tcBorders>
            <w:vAlign w:val="center"/>
          </w:tcPr>
          <w:p w14:paraId="1F7C7D27">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(3)产品剩余质保期较短，不符合行业标准，无法满足正常使用需求。</w:t>
            </w:r>
          </w:p>
        </w:tc>
        <w:tc>
          <w:tcPr>
            <w:tcW w:w="857" w:type="dxa"/>
            <w:tcBorders>
              <w:top w:val="single" w:color="000000" w:sz="4" w:space="0"/>
              <w:left w:val="single" w:color="000000" w:sz="4" w:space="0"/>
              <w:bottom w:val="single" w:color="000000" w:sz="4" w:space="0"/>
              <w:right w:val="single" w:color="000000" w:sz="4" w:space="0"/>
            </w:tcBorders>
            <w:vAlign w:val="center"/>
          </w:tcPr>
          <w:p w14:paraId="044429FD">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0-6分</w:t>
            </w:r>
          </w:p>
        </w:tc>
        <w:tc>
          <w:tcPr>
            <w:tcW w:w="946" w:type="dxa"/>
            <w:vMerge w:val="continue"/>
            <w:tcBorders>
              <w:top w:val="single" w:color="000000" w:sz="4" w:space="0"/>
              <w:left w:val="single" w:color="000000" w:sz="4" w:space="0"/>
              <w:bottom w:val="single" w:color="000000" w:sz="4" w:space="0"/>
              <w:right w:val="single" w:color="000000" w:sz="4" w:space="0"/>
            </w:tcBorders>
            <w:vAlign w:val="center"/>
          </w:tcPr>
          <w:p w14:paraId="4D706FEB">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946" w:type="dxa"/>
            <w:vMerge w:val="continue"/>
            <w:tcBorders>
              <w:top w:val="single" w:color="000000" w:sz="4" w:space="0"/>
              <w:left w:val="single" w:color="000000" w:sz="4" w:space="0"/>
              <w:bottom w:val="single" w:color="000000" w:sz="4" w:space="0"/>
              <w:right w:val="single" w:color="000000" w:sz="4" w:space="0"/>
            </w:tcBorders>
            <w:vAlign w:val="center"/>
          </w:tcPr>
          <w:p w14:paraId="6F7915C2">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1108" w:type="dxa"/>
            <w:vMerge w:val="continue"/>
            <w:tcBorders>
              <w:top w:val="single" w:color="000000" w:sz="4" w:space="0"/>
              <w:left w:val="single" w:color="000000" w:sz="4" w:space="0"/>
              <w:bottom w:val="single" w:color="000000" w:sz="4" w:space="0"/>
              <w:right w:val="single" w:color="000000" w:sz="4" w:space="0"/>
            </w:tcBorders>
            <w:vAlign w:val="center"/>
          </w:tcPr>
          <w:p w14:paraId="4F3A81BF">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r>
      <w:tr w14:paraId="15E5146F">
        <w:tblPrEx>
          <w:tblCellMar>
            <w:top w:w="0" w:type="dxa"/>
            <w:left w:w="108" w:type="dxa"/>
            <w:bottom w:w="0" w:type="dxa"/>
            <w:right w:w="108" w:type="dxa"/>
          </w:tblCellMar>
        </w:tblPrEx>
        <w:trPr>
          <w:trHeight w:val="484" w:hRule="atLeast"/>
        </w:trPr>
        <w:tc>
          <w:tcPr>
            <w:tcW w:w="993" w:type="dxa"/>
            <w:vMerge w:val="restart"/>
            <w:tcBorders>
              <w:top w:val="single" w:color="000000" w:sz="4" w:space="0"/>
              <w:left w:val="single" w:color="000000" w:sz="4" w:space="0"/>
              <w:bottom w:val="single" w:color="000000" w:sz="4" w:space="0"/>
              <w:right w:val="single" w:color="000000" w:sz="4" w:space="0"/>
            </w:tcBorders>
            <w:vAlign w:val="center"/>
          </w:tcPr>
          <w:p w14:paraId="606EA9EC">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4、实际使用质量情况（20分）</w:t>
            </w:r>
          </w:p>
        </w:tc>
        <w:tc>
          <w:tcPr>
            <w:tcW w:w="3672" w:type="dxa"/>
            <w:tcBorders>
              <w:top w:val="single" w:color="000000" w:sz="4" w:space="0"/>
              <w:left w:val="single" w:color="000000" w:sz="4" w:space="0"/>
              <w:bottom w:val="single" w:color="000000" w:sz="4" w:space="0"/>
              <w:right w:val="single" w:color="000000" w:sz="4" w:space="0"/>
            </w:tcBorders>
            <w:vAlign w:val="center"/>
          </w:tcPr>
          <w:p w14:paraId="61D82111">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(1)包装完好，符合相关安全、环保等管理规定，未出现质量问题。</w:t>
            </w:r>
          </w:p>
        </w:tc>
        <w:tc>
          <w:tcPr>
            <w:tcW w:w="857" w:type="dxa"/>
            <w:tcBorders>
              <w:top w:val="single" w:color="000000" w:sz="4" w:space="0"/>
              <w:left w:val="single" w:color="000000" w:sz="4" w:space="0"/>
              <w:bottom w:val="single" w:color="000000" w:sz="4" w:space="0"/>
              <w:right w:val="single" w:color="000000" w:sz="4" w:space="0"/>
            </w:tcBorders>
            <w:vAlign w:val="center"/>
          </w:tcPr>
          <w:p w14:paraId="3B4B8F54">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14-20分</w:t>
            </w:r>
          </w:p>
        </w:tc>
        <w:tc>
          <w:tcPr>
            <w:tcW w:w="946" w:type="dxa"/>
            <w:vMerge w:val="restart"/>
            <w:tcBorders>
              <w:top w:val="single" w:color="000000" w:sz="4" w:space="0"/>
              <w:left w:val="single" w:color="000000" w:sz="4" w:space="0"/>
              <w:bottom w:val="single" w:color="000000" w:sz="4" w:space="0"/>
              <w:right w:val="single" w:color="000000" w:sz="4" w:space="0"/>
            </w:tcBorders>
            <w:vAlign w:val="center"/>
          </w:tcPr>
          <w:p w14:paraId="5F0713C4">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946" w:type="dxa"/>
            <w:vMerge w:val="restart"/>
            <w:tcBorders>
              <w:top w:val="single" w:color="000000" w:sz="4" w:space="0"/>
              <w:left w:val="single" w:color="000000" w:sz="4" w:space="0"/>
              <w:bottom w:val="single" w:color="000000" w:sz="4" w:space="0"/>
              <w:right w:val="single" w:color="000000" w:sz="4" w:space="0"/>
            </w:tcBorders>
            <w:vAlign w:val="center"/>
          </w:tcPr>
          <w:p w14:paraId="698DF6FF">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1108" w:type="dxa"/>
            <w:vMerge w:val="restart"/>
            <w:tcBorders>
              <w:top w:val="single" w:color="000000" w:sz="4" w:space="0"/>
              <w:left w:val="single" w:color="000000" w:sz="4" w:space="0"/>
              <w:bottom w:val="single" w:color="000000" w:sz="4" w:space="0"/>
              <w:right w:val="single" w:color="000000" w:sz="4" w:space="0"/>
            </w:tcBorders>
            <w:vAlign w:val="center"/>
          </w:tcPr>
          <w:p w14:paraId="287FC5DF">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r>
      <w:tr w14:paraId="77FAA0B0">
        <w:tblPrEx>
          <w:tblCellMar>
            <w:top w:w="0" w:type="dxa"/>
            <w:left w:w="108" w:type="dxa"/>
            <w:bottom w:w="0" w:type="dxa"/>
            <w:right w:w="108" w:type="dxa"/>
          </w:tblCellMar>
        </w:tblPrEx>
        <w:trPr>
          <w:trHeight w:val="755" w:hRule="atLeast"/>
        </w:trPr>
        <w:tc>
          <w:tcPr>
            <w:tcW w:w="993" w:type="dxa"/>
            <w:vMerge w:val="continue"/>
            <w:tcBorders>
              <w:top w:val="single" w:color="000000" w:sz="4" w:space="0"/>
              <w:left w:val="single" w:color="000000" w:sz="4" w:space="0"/>
              <w:bottom w:val="single" w:color="000000" w:sz="4" w:space="0"/>
              <w:right w:val="single" w:color="000000" w:sz="4" w:space="0"/>
            </w:tcBorders>
            <w:vAlign w:val="center"/>
          </w:tcPr>
          <w:p w14:paraId="39F03C8E">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3672" w:type="dxa"/>
            <w:tcBorders>
              <w:top w:val="single" w:color="000000" w:sz="4" w:space="0"/>
              <w:left w:val="single" w:color="000000" w:sz="4" w:space="0"/>
              <w:bottom w:val="single" w:color="000000" w:sz="4" w:space="0"/>
              <w:right w:val="single" w:color="000000" w:sz="4" w:space="0"/>
            </w:tcBorders>
            <w:vAlign w:val="center"/>
          </w:tcPr>
          <w:p w14:paraId="17F4D289">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(2)产品质量合格率低于98%，基本符合相关安全、环保等管理规定，可以让步接收。</w:t>
            </w:r>
          </w:p>
        </w:tc>
        <w:tc>
          <w:tcPr>
            <w:tcW w:w="857" w:type="dxa"/>
            <w:tcBorders>
              <w:top w:val="single" w:color="000000" w:sz="4" w:space="0"/>
              <w:left w:val="single" w:color="000000" w:sz="4" w:space="0"/>
              <w:bottom w:val="single" w:color="000000" w:sz="4" w:space="0"/>
              <w:right w:val="single" w:color="000000" w:sz="4" w:space="0"/>
            </w:tcBorders>
            <w:vAlign w:val="center"/>
          </w:tcPr>
          <w:p w14:paraId="11A43DDD">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7-13分</w:t>
            </w:r>
          </w:p>
        </w:tc>
        <w:tc>
          <w:tcPr>
            <w:tcW w:w="946" w:type="dxa"/>
            <w:vMerge w:val="continue"/>
            <w:tcBorders>
              <w:top w:val="single" w:color="000000" w:sz="4" w:space="0"/>
              <w:left w:val="single" w:color="000000" w:sz="4" w:space="0"/>
              <w:bottom w:val="single" w:color="000000" w:sz="4" w:space="0"/>
              <w:right w:val="single" w:color="000000" w:sz="4" w:space="0"/>
            </w:tcBorders>
            <w:vAlign w:val="center"/>
          </w:tcPr>
          <w:p w14:paraId="66DCE19C">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946" w:type="dxa"/>
            <w:vMerge w:val="continue"/>
            <w:tcBorders>
              <w:top w:val="single" w:color="000000" w:sz="4" w:space="0"/>
              <w:left w:val="single" w:color="000000" w:sz="4" w:space="0"/>
              <w:bottom w:val="single" w:color="000000" w:sz="4" w:space="0"/>
              <w:right w:val="single" w:color="000000" w:sz="4" w:space="0"/>
            </w:tcBorders>
            <w:vAlign w:val="center"/>
          </w:tcPr>
          <w:p w14:paraId="0FECA7CA">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1108" w:type="dxa"/>
            <w:vMerge w:val="continue"/>
            <w:tcBorders>
              <w:top w:val="single" w:color="000000" w:sz="4" w:space="0"/>
              <w:left w:val="single" w:color="000000" w:sz="4" w:space="0"/>
              <w:bottom w:val="single" w:color="000000" w:sz="4" w:space="0"/>
              <w:right w:val="single" w:color="000000" w:sz="4" w:space="0"/>
            </w:tcBorders>
            <w:vAlign w:val="center"/>
          </w:tcPr>
          <w:p w14:paraId="6317A25F">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r>
      <w:tr w14:paraId="46C64BE9">
        <w:tblPrEx>
          <w:tblCellMar>
            <w:top w:w="0" w:type="dxa"/>
            <w:left w:w="108" w:type="dxa"/>
            <w:bottom w:w="0" w:type="dxa"/>
            <w:right w:w="108" w:type="dxa"/>
          </w:tblCellMar>
        </w:tblPrEx>
        <w:trPr>
          <w:trHeight w:val="484" w:hRule="atLeast"/>
        </w:trPr>
        <w:tc>
          <w:tcPr>
            <w:tcW w:w="993" w:type="dxa"/>
            <w:vMerge w:val="continue"/>
            <w:tcBorders>
              <w:top w:val="single" w:color="000000" w:sz="4" w:space="0"/>
              <w:left w:val="single" w:color="000000" w:sz="4" w:space="0"/>
              <w:bottom w:val="single" w:color="000000" w:sz="4" w:space="0"/>
              <w:right w:val="single" w:color="000000" w:sz="4" w:space="0"/>
            </w:tcBorders>
            <w:vAlign w:val="center"/>
          </w:tcPr>
          <w:p w14:paraId="765F8252">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3672" w:type="dxa"/>
            <w:tcBorders>
              <w:top w:val="single" w:color="000000" w:sz="4" w:space="0"/>
              <w:left w:val="single" w:color="000000" w:sz="4" w:space="0"/>
              <w:bottom w:val="single" w:color="000000" w:sz="4" w:space="0"/>
              <w:right w:val="single" w:color="000000" w:sz="4" w:space="0"/>
            </w:tcBorders>
            <w:vAlign w:val="center"/>
          </w:tcPr>
          <w:p w14:paraId="074552FE">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(3)出现重大质量问题。</w:t>
            </w:r>
          </w:p>
        </w:tc>
        <w:tc>
          <w:tcPr>
            <w:tcW w:w="857" w:type="dxa"/>
            <w:tcBorders>
              <w:top w:val="single" w:color="000000" w:sz="4" w:space="0"/>
              <w:left w:val="single" w:color="000000" w:sz="4" w:space="0"/>
              <w:bottom w:val="single" w:color="000000" w:sz="4" w:space="0"/>
              <w:right w:val="single" w:color="000000" w:sz="4" w:space="0"/>
            </w:tcBorders>
            <w:vAlign w:val="center"/>
          </w:tcPr>
          <w:p w14:paraId="51F8DC8E">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0-6分</w:t>
            </w:r>
          </w:p>
        </w:tc>
        <w:tc>
          <w:tcPr>
            <w:tcW w:w="946" w:type="dxa"/>
            <w:vMerge w:val="continue"/>
            <w:tcBorders>
              <w:top w:val="single" w:color="000000" w:sz="4" w:space="0"/>
              <w:left w:val="single" w:color="000000" w:sz="4" w:space="0"/>
              <w:bottom w:val="single" w:color="000000" w:sz="4" w:space="0"/>
              <w:right w:val="single" w:color="000000" w:sz="4" w:space="0"/>
            </w:tcBorders>
            <w:vAlign w:val="center"/>
          </w:tcPr>
          <w:p w14:paraId="131886EA">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946" w:type="dxa"/>
            <w:vMerge w:val="continue"/>
            <w:tcBorders>
              <w:top w:val="single" w:color="000000" w:sz="4" w:space="0"/>
              <w:left w:val="single" w:color="000000" w:sz="4" w:space="0"/>
              <w:bottom w:val="single" w:color="000000" w:sz="4" w:space="0"/>
              <w:right w:val="single" w:color="000000" w:sz="4" w:space="0"/>
            </w:tcBorders>
            <w:vAlign w:val="center"/>
          </w:tcPr>
          <w:p w14:paraId="310A4891">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1108" w:type="dxa"/>
            <w:vMerge w:val="continue"/>
            <w:tcBorders>
              <w:top w:val="single" w:color="000000" w:sz="4" w:space="0"/>
              <w:left w:val="single" w:color="000000" w:sz="4" w:space="0"/>
              <w:bottom w:val="single" w:color="000000" w:sz="4" w:space="0"/>
              <w:right w:val="single" w:color="000000" w:sz="4" w:space="0"/>
            </w:tcBorders>
            <w:vAlign w:val="center"/>
          </w:tcPr>
          <w:p w14:paraId="3BC576E9">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r>
      <w:tr w14:paraId="7949EB7B">
        <w:tblPrEx>
          <w:tblCellMar>
            <w:top w:w="0" w:type="dxa"/>
            <w:left w:w="108" w:type="dxa"/>
            <w:bottom w:w="0" w:type="dxa"/>
            <w:right w:w="108" w:type="dxa"/>
          </w:tblCellMar>
        </w:tblPrEx>
        <w:trPr>
          <w:trHeight w:val="484" w:hRule="atLeast"/>
        </w:trPr>
        <w:tc>
          <w:tcPr>
            <w:tcW w:w="993" w:type="dxa"/>
            <w:vMerge w:val="restart"/>
            <w:tcBorders>
              <w:top w:val="single" w:color="000000" w:sz="4" w:space="0"/>
              <w:left w:val="single" w:color="000000" w:sz="4" w:space="0"/>
              <w:bottom w:val="single" w:color="000000" w:sz="4" w:space="0"/>
              <w:right w:val="single" w:color="000000" w:sz="4" w:space="0"/>
            </w:tcBorders>
            <w:vAlign w:val="center"/>
          </w:tcPr>
          <w:p w14:paraId="52F2C344">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5、售后服务能力（20分）</w:t>
            </w:r>
          </w:p>
        </w:tc>
        <w:tc>
          <w:tcPr>
            <w:tcW w:w="3672" w:type="dxa"/>
            <w:tcBorders>
              <w:top w:val="single" w:color="000000" w:sz="4" w:space="0"/>
              <w:left w:val="single" w:color="000000" w:sz="4" w:space="0"/>
              <w:bottom w:val="single" w:color="000000" w:sz="4" w:space="0"/>
              <w:right w:val="single" w:color="000000" w:sz="4" w:space="0"/>
            </w:tcBorders>
            <w:vAlign w:val="center"/>
          </w:tcPr>
          <w:p w14:paraId="41CBA0FA">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(1)出现问题，能够及时有效解决，售后服务能力较强。</w:t>
            </w:r>
          </w:p>
        </w:tc>
        <w:tc>
          <w:tcPr>
            <w:tcW w:w="857" w:type="dxa"/>
            <w:tcBorders>
              <w:top w:val="single" w:color="000000" w:sz="4" w:space="0"/>
              <w:left w:val="single" w:color="000000" w:sz="4" w:space="0"/>
              <w:bottom w:val="single" w:color="000000" w:sz="4" w:space="0"/>
              <w:right w:val="single" w:color="000000" w:sz="4" w:space="0"/>
            </w:tcBorders>
            <w:vAlign w:val="center"/>
          </w:tcPr>
          <w:p w14:paraId="63D445B8">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14-20分</w:t>
            </w:r>
          </w:p>
        </w:tc>
        <w:tc>
          <w:tcPr>
            <w:tcW w:w="946" w:type="dxa"/>
            <w:vMerge w:val="restart"/>
            <w:tcBorders>
              <w:top w:val="single" w:color="000000" w:sz="4" w:space="0"/>
              <w:left w:val="single" w:color="000000" w:sz="4" w:space="0"/>
              <w:bottom w:val="single" w:color="000000" w:sz="4" w:space="0"/>
              <w:right w:val="single" w:color="000000" w:sz="4" w:space="0"/>
            </w:tcBorders>
            <w:vAlign w:val="center"/>
          </w:tcPr>
          <w:p w14:paraId="15753ED6">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946" w:type="dxa"/>
            <w:vMerge w:val="restart"/>
            <w:tcBorders>
              <w:top w:val="single" w:color="000000" w:sz="4" w:space="0"/>
              <w:left w:val="single" w:color="000000" w:sz="4" w:space="0"/>
              <w:bottom w:val="single" w:color="000000" w:sz="4" w:space="0"/>
              <w:right w:val="single" w:color="000000" w:sz="4" w:space="0"/>
            </w:tcBorders>
            <w:vAlign w:val="center"/>
          </w:tcPr>
          <w:p w14:paraId="6819ACCD">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1108" w:type="dxa"/>
            <w:vMerge w:val="restart"/>
            <w:tcBorders>
              <w:top w:val="single" w:color="000000" w:sz="4" w:space="0"/>
              <w:left w:val="single" w:color="000000" w:sz="4" w:space="0"/>
              <w:bottom w:val="single" w:color="000000" w:sz="4" w:space="0"/>
              <w:right w:val="single" w:color="000000" w:sz="4" w:space="0"/>
            </w:tcBorders>
            <w:vAlign w:val="center"/>
          </w:tcPr>
          <w:p w14:paraId="433F782D">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r>
      <w:tr w14:paraId="4650E078">
        <w:tblPrEx>
          <w:tblCellMar>
            <w:top w:w="0" w:type="dxa"/>
            <w:left w:w="108" w:type="dxa"/>
            <w:bottom w:w="0" w:type="dxa"/>
            <w:right w:w="108" w:type="dxa"/>
          </w:tblCellMar>
        </w:tblPrEx>
        <w:trPr>
          <w:trHeight w:val="783" w:hRule="atLeast"/>
        </w:trPr>
        <w:tc>
          <w:tcPr>
            <w:tcW w:w="993" w:type="dxa"/>
            <w:vMerge w:val="continue"/>
            <w:tcBorders>
              <w:top w:val="single" w:color="000000" w:sz="4" w:space="0"/>
              <w:left w:val="single" w:color="000000" w:sz="4" w:space="0"/>
              <w:bottom w:val="single" w:color="000000" w:sz="4" w:space="0"/>
              <w:right w:val="single" w:color="000000" w:sz="4" w:space="0"/>
            </w:tcBorders>
            <w:vAlign w:val="center"/>
          </w:tcPr>
          <w:p w14:paraId="5AE0B0AF">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3672" w:type="dxa"/>
            <w:tcBorders>
              <w:top w:val="single" w:color="000000" w:sz="4" w:space="0"/>
              <w:left w:val="single" w:color="000000" w:sz="4" w:space="0"/>
              <w:bottom w:val="single" w:color="000000" w:sz="4" w:space="0"/>
              <w:right w:val="single" w:color="000000" w:sz="4" w:space="0"/>
            </w:tcBorders>
            <w:vAlign w:val="center"/>
          </w:tcPr>
          <w:p w14:paraId="1F293E5D">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(2)出现问题时，处理问题及时性一般，售后服务能力一般。</w:t>
            </w:r>
          </w:p>
        </w:tc>
        <w:tc>
          <w:tcPr>
            <w:tcW w:w="857" w:type="dxa"/>
            <w:tcBorders>
              <w:top w:val="single" w:color="000000" w:sz="4" w:space="0"/>
              <w:left w:val="single" w:color="000000" w:sz="4" w:space="0"/>
              <w:bottom w:val="single" w:color="000000" w:sz="4" w:space="0"/>
              <w:right w:val="single" w:color="000000" w:sz="4" w:space="0"/>
            </w:tcBorders>
            <w:vAlign w:val="center"/>
          </w:tcPr>
          <w:p w14:paraId="2327289D">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7-13分</w:t>
            </w:r>
          </w:p>
        </w:tc>
        <w:tc>
          <w:tcPr>
            <w:tcW w:w="946" w:type="dxa"/>
            <w:vMerge w:val="continue"/>
            <w:tcBorders>
              <w:top w:val="single" w:color="000000" w:sz="4" w:space="0"/>
              <w:left w:val="single" w:color="000000" w:sz="4" w:space="0"/>
              <w:bottom w:val="single" w:color="000000" w:sz="4" w:space="0"/>
              <w:right w:val="single" w:color="000000" w:sz="4" w:space="0"/>
            </w:tcBorders>
            <w:vAlign w:val="center"/>
          </w:tcPr>
          <w:p w14:paraId="6F891BD6">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946" w:type="dxa"/>
            <w:vMerge w:val="continue"/>
            <w:tcBorders>
              <w:top w:val="single" w:color="000000" w:sz="4" w:space="0"/>
              <w:left w:val="single" w:color="000000" w:sz="4" w:space="0"/>
              <w:bottom w:val="single" w:color="000000" w:sz="4" w:space="0"/>
              <w:right w:val="single" w:color="000000" w:sz="4" w:space="0"/>
            </w:tcBorders>
            <w:vAlign w:val="center"/>
          </w:tcPr>
          <w:p w14:paraId="16D1BE1E">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1108" w:type="dxa"/>
            <w:vMerge w:val="continue"/>
            <w:tcBorders>
              <w:top w:val="single" w:color="000000" w:sz="4" w:space="0"/>
              <w:left w:val="single" w:color="000000" w:sz="4" w:space="0"/>
              <w:bottom w:val="single" w:color="000000" w:sz="4" w:space="0"/>
              <w:right w:val="single" w:color="000000" w:sz="4" w:space="0"/>
            </w:tcBorders>
            <w:vAlign w:val="center"/>
          </w:tcPr>
          <w:p w14:paraId="4DAB4EB0">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r>
      <w:tr w14:paraId="3A5CB7EE">
        <w:tblPrEx>
          <w:tblCellMar>
            <w:top w:w="0" w:type="dxa"/>
            <w:left w:w="108" w:type="dxa"/>
            <w:bottom w:w="0" w:type="dxa"/>
            <w:right w:w="108" w:type="dxa"/>
          </w:tblCellMar>
        </w:tblPrEx>
        <w:trPr>
          <w:trHeight w:val="484" w:hRule="atLeast"/>
        </w:trPr>
        <w:tc>
          <w:tcPr>
            <w:tcW w:w="993" w:type="dxa"/>
            <w:vMerge w:val="continue"/>
            <w:tcBorders>
              <w:top w:val="single" w:color="000000" w:sz="4" w:space="0"/>
              <w:left w:val="single" w:color="000000" w:sz="4" w:space="0"/>
              <w:bottom w:val="single" w:color="000000" w:sz="4" w:space="0"/>
              <w:right w:val="single" w:color="000000" w:sz="4" w:space="0"/>
            </w:tcBorders>
            <w:vAlign w:val="center"/>
          </w:tcPr>
          <w:p w14:paraId="15182131">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3672" w:type="dxa"/>
            <w:tcBorders>
              <w:top w:val="single" w:color="000000" w:sz="4" w:space="0"/>
              <w:left w:val="single" w:color="000000" w:sz="4" w:space="0"/>
              <w:bottom w:val="single" w:color="000000" w:sz="4" w:space="0"/>
              <w:right w:val="single" w:color="000000" w:sz="4" w:space="0"/>
            </w:tcBorders>
            <w:vAlign w:val="center"/>
          </w:tcPr>
          <w:p w14:paraId="1038D446">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(3)出现问题时，处理问题及时性较差，售后服务能力较差。</w:t>
            </w:r>
          </w:p>
        </w:tc>
        <w:tc>
          <w:tcPr>
            <w:tcW w:w="857" w:type="dxa"/>
            <w:tcBorders>
              <w:top w:val="single" w:color="000000" w:sz="4" w:space="0"/>
              <w:left w:val="single" w:color="000000" w:sz="4" w:space="0"/>
              <w:bottom w:val="single" w:color="000000" w:sz="4" w:space="0"/>
              <w:right w:val="single" w:color="000000" w:sz="4" w:space="0"/>
            </w:tcBorders>
            <w:vAlign w:val="center"/>
          </w:tcPr>
          <w:p w14:paraId="0B50EF40">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0-6分</w:t>
            </w:r>
          </w:p>
        </w:tc>
        <w:tc>
          <w:tcPr>
            <w:tcW w:w="946" w:type="dxa"/>
            <w:vMerge w:val="continue"/>
            <w:tcBorders>
              <w:top w:val="single" w:color="000000" w:sz="4" w:space="0"/>
              <w:left w:val="single" w:color="000000" w:sz="4" w:space="0"/>
              <w:bottom w:val="single" w:color="000000" w:sz="4" w:space="0"/>
              <w:right w:val="single" w:color="000000" w:sz="4" w:space="0"/>
            </w:tcBorders>
            <w:vAlign w:val="center"/>
          </w:tcPr>
          <w:p w14:paraId="3C4AF436">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946" w:type="dxa"/>
            <w:vMerge w:val="continue"/>
            <w:tcBorders>
              <w:top w:val="single" w:color="000000" w:sz="4" w:space="0"/>
              <w:left w:val="single" w:color="000000" w:sz="4" w:space="0"/>
              <w:bottom w:val="single" w:color="000000" w:sz="4" w:space="0"/>
              <w:right w:val="single" w:color="000000" w:sz="4" w:space="0"/>
            </w:tcBorders>
            <w:vAlign w:val="center"/>
          </w:tcPr>
          <w:p w14:paraId="599FFE2E">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1108" w:type="dxa"/>
            <w:vMerge w:val="continue"/>
            <w:tcBorders>
              <w:top w:val="single" w:color="000000" w:sz="4" w:space="0"/>
              <w:left w:val="single" w:color="000000" w:sz="4" w:space="0"/>
              <w:bottom w:val="single" w:color="000000" w:sz="4" w:space="0"/>
              <w:right w:val="single" w:color="000000" w:sz="4" w:space="0"/>
            </w:tcBorders>
            <w:vAlign w:val="center"/>
          </w:tcPr>
          <w:p w14:paraId="33E8A8AF">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r>
      <w:tr w14:paraId="00F4078B">
        <w:tblPrEx>
          <w:tblCellMar>
            <w:top w:w="0" w:type="dxa"/>
            <w:left w:w="108" w:type="dxa"/>
            <w:bottom w:w="0" w:type="dxa"/>
            <w:right w:w="108" w:type="dxa"/>
          </w:tblCellMar>
        </w:tblPrEx>
        <w:trPr>
          <w:trHeight w:val="484" w:hRule="atLeast"/>
        </w:trPr>
        <w:tc>
          <w:tcPr>
            <w:tcW w:w="5522" w:type="dxa"/>
            <w:gridSpan w:val="3"/>
            <w:tcBorders>
              <w:top w:val="single" w:color="000000" w:sz="4" w:space="0"/>
              <w:left w:val="single" w:color="000000" w:sz="4" w:space="0"/>
              <w:bottom w:val="single" w:color="000000" w:sz="4" w:space="0"/>
              <w:right w:val="single" w:color="000000" w:sz="4" w:space="0"/>
            </w:tcBorders>
            <w:vAlign w:val="center"/>
          </w:tcPr>
          <w:p w14:paraId="7F6BAD85">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综合得分</w:t>
            </w:r>
          </w:p>
        </w:tc>
        <w:tc>
          <w:tcPr>
            <w:tcW w:w="946" w:type="dxa"/>
            <w:tcBorders>
              <w:top w:val="single" w:color="000000" w:sz="4" w:space="0"/>
              <w:left w:val="single" w:color="000000" w:sz="4" w:space="0"/>
              <w:bottom w:val="single" w:color="000000" w:sz="4" w:space="0"/>
              <w:right w:val="single" w:color="000000" w:sz="4" w:space="0"/>
            </w:tcBorders>
            <w:vAlign w:val="center"/>
          </w:tcPr>
          <w:p w14:paraId="399D027F">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946" w:type="dxa"/>
            <w:tcBorders>
              <w:top w:val="single" w:color="000000" w:sz="4" w:space="0"/>
              <w:left w:val="single" w:color="000000" w:sz="4" w:space="0"/>
              <w:bottom w:val="single" w:color="000000" w:sz="4" w:space="0"/>
              <w:right w:val="single" w:color="000000" w:sz="4" w:space="0"/>
            </w:tcBorders>
            <w:vAlign w:val="center"/>
          </w:tcPr>
          <w:p w14:paraId="6F73FAE7">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1108" w:type="dxa"/>
            <w:tcBorders>
              <w:top w:val="single" w:color="000000" w:sz="4" w:space="0"/>
              <w:left w:val="single" w:color="000000" w:sz="4" w:space="0"/>
              <w:bottom w:val="single" w:color="000000" w:sz="4" w:space="0"/>
              <w:right w:val="single" w:color="000000" w:sz="4" w:space="0"/>
            </w:tcBorders>
            <w:vAlign w:val="center"/>
          </w:tcPr>
          <w:p w14:paraId="1EE4C9CB">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r>
      <w:tr w14:paraId="40B80F4B">
        <w:tblPrEx>
          <w:tblCellMar>
            <w:top w:w="0" w:type="dxa"/>
            <w:left w:w="108" w:type="dxa"/>
            <w:bottom w:w="0" w:type="dxa"/>
            <w:right w:w="108" w:type="dxa"/>
          </w:tblCellMar>
        </w:tblPrEx>
        <w:trPr>
          <w:trHeight w:val="484" w:hRule="atLeast"/>
        </w:trPr>
        <w:tc>
          <w:tcPr>
            <w:tcW w:w="5522" w:type="dxa"/>
            <w:gridSpan w:val="3"/>
            <w:tcBorders>
              <w:top w:val="single" w:color="000000" w:sz="4" w:space="0"/>
              <w:left w:val="single" w:color="000000" w:sz="4" w:space="0"/>
              <w:bottom w:val="single" w:color="000000" w:sz="4" w:space="0"/>
              <w:right w:val="single" w:color="000000" w:sz="4" w:space="0"/>
            </w:tcBorders>
            <w:vAlign w:val="center"/>
          </w:tcPr>
          <w:p w14:paraId="62805C14">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评分人员签名</w:t>
            </w:r>
          </w:p>
        </w:tc>
        <w:tc>
          <w:tcPr>
            <w:tcW w:w="946" w:type="dxa"/>
            <w:tcBorders>
              <w:top w:val="single" w:color="000000" w:sz="4" w:space="0"/>
              <w:left w:val="single" w:color="000000" w:sz="4" w:space="0"/>
              <w:bottom w:val="single" w:color="000000" w:sz="4" w:space="0"/>
              <w:right w:val="single" w:color="000000" w:sz="4" w:space="0"/>
            </w:tcBorders>
            <w:vAlign w:val="center"/>
          </w:tcPr>
          <w:p w14:paraId="238D85C5">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946" w:type="dxa"/>
            <w:tcBorders>
              <w:top w:val="single" w:color="000000" w:sz="4" w:space="0"/>
              <w:left w:val="single" w:color="000000" w:sz="4" w:space="0"/>
              <w:bottom w:val="single" w:color="000000" w:sz="4" w:space="0"/>
              <w:right w:val="single" w:color="000000" w:sz="4" w:space="0"/>
            </w:tcBorders>
            <w:vAlign w:val="center"/>
          </w:tcPr>
          <w:p w14:paraId="2694462A">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1108" w:type="dxa"/>
            <w:tcBorders>
              <w:top w:val="single" w:color="000000" w:sz="4" w:space="0"/>
              <w:left w:val="single" w:color="000000" w:sz="4" w:space="0"/>
              <w:bottom w:val="single" w:color="000000" w:sz="4" w:space="0"/>
              <w:right w:val="single" w:color="000000" w:sz="4" w:space="0"/>
            </w:tcBorders>
            <w:vAlign w:val="center"/>
          </w:tcPr>
          <w:p w14:paraId="4E3C07D2">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r>
      <w:tr w14:paraId="6E87007B">
        <w:tblPrEx>
          <w:tblCellMar>
            <w:top w:w="0" w:type="dxa"/>
            <w:left w:w="108" w:type="dxa"/>
            <w:bottom w:w="0" w:type="dxa"/>
            <w:right w:w="108" w:type="dxa"/>
          </w:tblCellMar>
        </w:tblPrEx>
        <w:trPr>
          <w:trHeight w:val="484" w:hRule="atLeast"/>
        </w:trPr>
        <w:tc>
          <w:tcPr>
            <w:tcW w:w="5522" w:type="dxa"/>
            <w:gridSpan w:val="3"/>
            <w:tcBorders>
              <w:top w:val="single" w:color="000000" w:sz="4" w:space="0"/>
              <w:left w:val="single" w:color="000000" w:sz="4" w:space="0"/>
              <w:bottom w:val="single" w:color="000000" w:sz="4" w:space="0"/>
              <w:right w:val="single" w:color="000000" w:sz="4" w:space="0"/>
            </w:tcBorders>
            <w:vAlign w:val="center"/>
          </w:tcPr>
          <w:p w14:paraId="33E036FE">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总分</w:t>
            </w:r>
          </w:p>
        </w:tc>
        <w:tc>
          <w:tcPr>
            <w:tcW w:w="3000" w:type="dxa"/>
            <w:gridSpan w:val="3"/>
            <w:tcBorders>
              <w:top w:val="single" w:color="000000" w:sz="4" w:space="0"/>
              <w:left w:val="single" w:color="000000" w:sz="4" w:space="0"/>
              <w:bottom w:val="single" w:color="000000" w:sz="4" w:space="0"/>
              <w:right w:val="single" w:color="000000" w:sz="4" w:space="0"/>
            </w:tcBorders>
            <w:vAlign w:val="center"/>
          </w:tcPr>
          <w:p w14:paraId="7244E159">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r>
      <w:tr w14:paraId="3455E2A1">
        <w:tblPrEx>
          <w:tblCellMar>
            <w:top w:w="0" w:type="dxa"/>
            <w:left w:w="108" w:type="dxa"/>
            <w:bottom w:w="0" w:type="dxa"/>
            <w:right w:w="108" w:type="dxa"/>
          </w:tblCellMar>
        </w:tblPrEx>
        <w:trPr>
          <w:trHeight w:val="488" w:hRule="atLeast"/>
        </w:trPr>
        <w:tc>
          <w:tcPr>
            <w:tcW w:w="5522" w:type="dxa"/>
            <w:gridSpan w:val="3"/>
            <w:tcBorders>
              <w:top w:val="single" w:color="000000" w:sz="4" w:space="0"/>
              <w:left w:val="single" w:color="000000" w:sz="4" w:space="0"/>
              <w:bottom w:val="single" w:color="000000" w:sz="4" w:space="0"/>
              <w:right w:val="single" w:color="000000" w:sz="4" w:space="0"/>
            </w:tcBorders>
            <w:vAlign w:val="center"/>
          </w:tcPr>
          <w:p w14:paraId="16C03827">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结论</w:t>
            </w:r>
          </w:p>
        </w:tc>
        <w:tc>
          <w:tcPr>
            <w:tcW w:w="3000" w:type="dxa"/>
            <w:gridSpan w:val="3"/>
            <w:tcBorders>
              <w:top w:val="single" w:color="000000" w:sz="4" w:space="0"/>
              <w:left w:val="single" w:color="000000" w:sz="4" w:space="0"/>
              <w:bottom w:val="single" w:color="000000" w:sz="4" w:space="0"/>
              <w:right w:val="single" w:color="000000" w:sz="4" w:space="0"/>
            </w:tcBorders>
            <w:vAlign w:val="center"/>
          </w:tcPr>
          <w:p w14:paraId="3B9B89F1">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left"/>
              <w:textAlignment w:val="auto"/>
              <w:rPr>
                <w:rFonts w:hint="eastAsia" w:ascii="宋体" w:hAnsi="宋体" w:eastAsia="宋体" w:cs="宋体"/>
                <w:color w:val="auto"/>
                <w:sz w:val="20"/>
                <w:szCs w:val="20"/>
                <w:highlight w:val="none"/>
                <w:lang w:val="en-US" w:eastAsia="zh-CN"/>
              </w:rPr>
            </w:pPr>
          </w:p>
        </w:tc>
      </w:tr>
      <w:tr w14:paraId="42B9266D">
        <w:tblPrEx>
          <w:tblCellMar>
            <w:top w:w="0" w:type="dxa"/>
            <w:left w:w="108" w:type="dxa"/>
            <w:bottom w:w="0" w:type="dxa"/>
            <w:right w:w="108" w:type="dxa"/>
          </w:tblCellMar>
        </w:tblPrEx>
        <w:trPr>
          <w:trHeight w:val="1872" w:hRule="atLeast"/>
        </w:trPr>
        <w:tc>
          <w:tcPr>
            <w:tcW w:w="8522" w:type="dxa"/>
            <w:gridSpan w:val="6"/>
            <w:tcBorders>
              <w:top w:val="nil"/>
              <w:left w:val="nil"/>
              <w:bottom w:val="nil"/>
              <w:right w:val="nil"/>
            </w:tcBorders>
            <w:vAlign w:val="bottom"/>
          </w:tcPr>
          <w:p w14:paraId="576B090A">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left"/>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填写说明：此表为供应商评价表，每半年考核一次</w:t>
            </w:r>
          </w:p>
          <w:p w14:paraId="06A26C85">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left"/>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评价结论：</w:t>
            </w:r>
          </w:p>
          <w:p w14:paraId="5C880808">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left"/>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1、分数≥80分，结论:优秀，继续合作。</w:t>
            </w:r>
          </w:p>
          <w:p w14:paraId="27ADFD13">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left"/>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2、80分&gt;分数≥60分，结论:继续合作，问题点限时整改，</w:t>
            </w:r>
          </w:p>
          <w:p w14:paraId="72B9FF5B">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left"/>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3、60分&gt;分数，或出现重大质量问题，结论:不合格，甲方有权解除合同，停止合作。</w:t>
            </w:r>
          </w:p>
        </w:tc>
      </w:tr>
    </w:tbl>
    <w:p w14:paraId="34996D3E">
      <w:pPr>
        <w:shd w:val="clear"/>
        <w:rPr>
          <w:rFonts w:hint="eastAsia" w:ascii="宋体" w:hAnsi="宋体" w:cs="宋体"/>
          <w:b/>
          <w:color w:val="auto"/>
          <w:sz w:val="21"/>
          <w:szCs w:val="21"/>
          <w:highlight w:val="none"/>
          <w:lang w:val="zh-CN" w:eastAsia="zh-CN" w:bidi="zh-CN"/>
        </w:rPr>
      </w:pPr>
      <w:r>
        <w:rPr>
          <w:rFonts w:hint="eastAsia" w:ascii="宋体" w:hAnsi="宋体" w:cs="宋体"/>
          <w:color w:val="auto"/>
          <w:sz w:val="28"/>
          <w:szCs w:val="28"/>
          <w:highlight w:val="none"/>
        </w:rPr>
        <w:br w:type="page"/>
      </w:r>
      <w:bookmarkStart w:id="29" w:name="_Toc14221"/>
      <w:bookmarkStart w:id="30" w:name="_Toc30890"/>
      <w:r>
        <w:rPr>
          <w:rFonts w:hint="eastAsia" w:ascii="宋体" w:hAnsi="宋体" w:cs="宋体"/>
          <w:b/>
          <w:color w:val="auto"/>
          <w:sz w:val="21"/>
          <w:szCs w:val="21"/>
          <w:highlight w:val="none"/>
          <w:lang w:val="zh-CN" w:eastAsia="zh-CN" w:bidi="zh-CN"/>
        </w:rPr>
        <w:t>附件2：海鲜水产类采购清单</w:t>
      </w:r>
    </w:p>
    <w:p w14:paraId="79A0A16B">
      <w:pPr>
        <w:keepNext w:val="0"/>
        <w:keepLines w:val="0"/>
        <w:pageBreakBefore w:val="0"/>
        <w:widowControl/>
        <w:shd w:val="clear"/>
        <w:kinsoku/>
        <w:wordWrap/>
        <w:overflowPunct/>
        <w:topLinePunct w:val="0"/>
        <w:autoSpaceDE/>
        <w:autoSpaceDN/>
        <w:bidi w:val="0"/>
        <w:adjustRightInd w:val="0"/>
        <w:snapToGrid w:val="0"/>
        <w:spacing w:after="0" w:line="360" w:lineRule="auto"/>
        <w:textAlignment w:val="auto"/>
        <w:rPr>
          <w:rFonts w:hint="eastAsia" w:ascii="宋体" w:hAnsi="宋体" w:cs="宋体"/>
          <w:b/>
          <w:bCs/>
          <w:color w:val="auto"/>
          <w:sz w:val="21"/>
          <w:szCs w:val="21"/>
          <w:highlight w:val="none"/>
          <w:lang w:val="en-US" w:eastAsia="zh-CN"/>
        </w:rPr>
      </w:pPr>
    </w:p>
    <w:p w14:paraId="52D719E7">
      <w:pPr>
        <w:keepNext w:val="0"/>
        <w:keepLines w:val="0"/>
        <w:pageBreakBefore w:val="0"/>
        <w:widowControl/>
        <w:shd w:val="clear"/>
        <w:kinsoku/>
        <w:wordWrap/>
        <w:overflowPunct/>
        <w:topLinePunct w:val="0"/>
        <w:autoSpaceDE/>
        <w:autoSpaceDN/>
        <w:bidi w:val="0"/>
        <w:adjustRightInd w:val="0"/>
        <w:snapToGrid w:val="0"/>
        <w:spacing w:after="0" w:line="360" w:lineRule="auto"/>
        <w:textAlignment w:val="auto"/>
        <w:rPr>
          <w:rFonts w:hint="default" w:ascii="宋体" w:hAnsi="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详见公告附件：《东莞迎宾馆海鲜水产类客用食材协议供应采购项目-</w:t>
      </w:r>
      <w:r>
        <w:rPr>
          <w:rFonts w:hint="eastAsia" w:ascii="宋体" w:hAnsi="宋体" w:cs="宋体"/>
          <w:b/>
          <w:bCs/>
          <w:color w:val="auto"/>
          <w:sz w:val="21"/>
          <w:szCs w:val="21"/>
          <w:highlight w:val="none"/>
          <w:lang w:val="zh-CN" w:eastAsia="zh-CN" w:bidi="zh-CN"/>
        </w:rPr>
        <w:t>海鲜水产类采购清单</w:t>
      </w:r>
      <w:r>
        <w:rPr>
          <w:rFonts w:hint="eastAsia" w:ascii="宋体" w:hAnsi="宋体" w:cs="宋体"/>
          <w:b/>
          <w:bCs/>
          <w:color w:val="auto"/>
          <w:sz w:val="21"/>
          <w:szCs w:val="21"/>
          <w:highlight w:val="none"/>
          <w:lang w:val="en-US" w:eastAsia="zh-CN"/>
        </w:rPr>
        <w:t>》</w:t>
      </w:r>
    </w:p>
    <w:p w14:paraId="0A154374">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s="宋体"/>
          <w:b/>
          <w:bCs/>
          <w:color w:val="auto"/>
          <w:szCs w:val="21"/>
          <w:highlight w:val="none"/>
          <w:lang w:val="en-US" w:eastAsia="zh-CN"/>
        </w:rPr>
      </w:pPr>
    </w:p>
    <w:p w14:paraId="77FD73BA">
      <w:pPr>
        <w:keepNext w:val="0"/>
        <w:keepLines w:val="0"/>
        <w:pageBreakBefore w:val="0"/>
        <w:widowControl/>
        <w:shd w:val="clear"/>
        <w:kinsoku/>
        <w:wordWrap/>
        <w:overflowPunct/>
        <w:topLinePunct w:val="0"/>
        <w:autoSpaceDE/>
        <w:autoSpaceDN/>
        <w:bidi w:val="0"/>
        <w:adjustRightInd w:val="0"/>
        <w:snapToGrid w:val="0"/>
        <w:spacing w:after="0" w:line="360" w:lineRule="auto"/>
        <w:textAlignment w:val="auto"/>
        <w:rPr>
          <w:rFonts w:hint="default" w:ascii="宋体" w:hAnsi="宋体" w:cs="宋体"/>
          <w:b/>
          <w:bCs/>
          <w:color w:val="auto"/>
          <w:szCs w:val="21"/>
          <w:highlight w:val="none"/>
          <w:lang w:val="en-US" w:eastAsia="zh-CN"/>
        </w:rPr>
      </w:pPr>
      <w:r>
        <w:rPr>
          <w:rFonts w:hint="eastAsia" w:ascii="宋体" w:hAnsi="宋体" w:cs="宋体"/>
          <w:b/>
          <w:bCs/>
          <w:color w:val="auto"/>
          <w:szCs w:val="21"/>
          <w:highlight w:val="none"/>
          <w:lang w:val="en-US" w:eastAsia="zh-CN"/>
        </w:rPr>
        <w:t>注：①采购清单不含税总价为该包组的总价最高限价；清单内列明的数量均为年度预估数量，具体采购数量以采购人实际下单为准；供应商的不含税投标总价用于该包组的价格评审。</w:t>
      </w:r>
    </w:p>
    <w:p w14:paraId="581EA9C4">
      <w:pPr>
        <w:keepNext w:val="0"/>
        <w:keepLines w:val="0"/>
        <w:pageBreakBefore w:val="0"/>
        <w:widowControl/>
        <w:shd w:val="clear"/>
        <w:kinsoku/>
        <w:wordWrap/>
        <w:overflowPunct/>
        <w:topLinePunct w:val="0"/>
        <w:autoSpaceDE/>
        <w:autoSpaceDN/>
        <w:bidi w:val="0"/>
        <w:adjustRightInd w:val="0"/>
        <w:snapToGrid w:val="0"/>
        <w:spacing w:after="0" w:line="360" w:lineRule="auto"/>
        <w:textAlignment w:val="auto"/>
        <w:rPr>
          <w:rFonts w:hint="default" w:ascii="宋体" w:hAnsi="宋体" w:cs="宋体"/>
          <w:b/>
          <w:bCs/>
          <w:color w:val="auto"/>
          <w:szCs w:val="21"/>
          <w:highlight w:val="none"/>
          <w:lang w:val="en-US"/>
        </w:rPr>
      </w:pPr>
      <w:r>
        <w:rPr>
          <w:rFonts w:hint="eastAsia" w:ascii="宋体" w:hAnsi="宋体" w:cs="宋体"/>
          <w:b/>
          <w:bCs/>
          <w:color w:val="auto"/>
          <w:szCs w:val="21"/>
          <w:highlight w:val="none"/>
          <w:lang w:val="en-US" w:eastAsia="zh-CN"/>
        </w:rPr>
        <w:t>②各分项不含税投标单价均不得超过采购清单各分项不含税单价最高限价，任意一项超出均视为无效投标。</w:t>
      </w:r>
    </w:p>
    <w:p w14:paraId="24B53212">
      <w:pPr>
        <w:shd w:val="clear"/>
        <w:rPr>
          <w:rFonts w:hint="eastAsia" w:ascii="宋体" w:hAnsi="宋体" w:cs="宋体"/>
          <w:color w:val="auto"/>
          <w:highlight w:val="none"/>
        </w:rPr>
      </w:pPr>
      <w:r>
        <w:rPr>
          <w:rFonts w:hint="eastAsia" w:ascii="宋体" w:hAnsi="宋体" w:cs="宋体"/>
          <w:color w:val="auto"/>
          <w:highlight w:val="none"/>
        </w:rPr>
        <w:br w:type="page"/>
      </w:r>
    </w:p>
    <w:p w14:paraId="2AB7A49F">
      <w:pPr>
        <w:pStyle w:val="5"/>
        <w:pageBreakBefore w:val="0"/>
        <w:widowControl/>
        <w:shd w:val="clear"/>
        <w:kinsoku/>
        <w:wordWrap/>
        <w:overflowPunct/>
        <w:topLinePunct w:val="0"/>
        <w:autoSpaceDE/>
        <w:autoSpaceDN/>
        <w:bidi w:val="0"/>
        <w:spacing w:before="0" w:after="0" w:line="360" w:lineRule="auto"/>
        <w:jc w:val="center"/>
        <w:textAlignment w:val="auto"/>
        <w:rPr>
          <w:rFonts w:hint="eastAsia" w:ascii="宋体" w:hAnsi="宋体" w:cs="宋体"/>
          <w:color w:val="auto"/>
          <w:highlight w:val="none"/>
        </w:rPr>
      </w:pPr>
      <w:bookmarkStart w:id="31" w:name="_Toc19311"/>
      <w:r>
        <w:rPr>
          <w:rFonts w:hint="eastAsia" w:ascii="宋体" w:hAnsi="宋体" w:cs="宋体"/>
          <w:color w:val="auto"/>
          <w:highlight w:val="none"/>
        </w:rPr>
        <w:t>第二章 技术需求书</w:t>
      </w:r>
      <w:bookmarkEnd w:id="29"/>
      <w:r>
        <w:rPr>
          <w:rFonts w:hint="eastAsia" w:ascii="宋体" w:hAnsi="宋体" w:cs="宋体"/>
          <w:color w:val="auto"/>
          <w:highlight w:val="none"/>
        </w:rPr>
        <w:t>（包B）</w:t>
      </w:r>
      <w:bookmarkEnd w:id="30"/>
      <w:bookmarkEnd w:id="31"/>
    </w:p>
    <w:p w14:paraId="02BC4A4C">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2" w:firstLineChars="200"/>
        <w:textAlignment w:val="auto"/>
        <w:rPr>
          <w:rFonts w:hint="eastAsia" w:ascii="宋体" w:hAnsi="宋体" w:cs="宋体"/>
          <w:b/>
          <w:bCs/>
          <w:color w:val="auto"/>
          <w:highlight w:val="none"/>
        </w:rPr>
      </w:pPr>
      <w:r>
        <w:rPr>
          <w:rFonts w:hint="eastAsia" w:ascii="宋体" w:hAnsi="宋体" w:cs="宋体"/>
          <w:b/>
          <w:bCs/>
          <w:color w:val="auto"/>
          <w:highlight w:val="none"/>
        </w:rPr>
        <w:t>一、采购项目概述</w:t>
      </w:r>
    </w:p>
    <w:p w14:paraId="50CDDCC0">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highlight w:val="none"/>
        </w:rPr>
        <w:t>本包组服务内容为</w:t>
      </w:r>
      <w:r>
        <w:rPr>
          <w:rFonts w:hint="eastAsia" w:ascii="宋体" w:hAnsi="宋体" w:cs="宋体"/>
          <w:color w:val="auto"/>
          <w:szCs w:val="21"/>
          <w:highlight w:val="none"/>
        </w:rPr>
        <w:t>东莞迎宾馆冻品类客用食材协议供应采购项目</w:t>
      </w:r>
      <w:r>
        <w:rPr>
          <w:rFonts w:hint="eastAsia" w:ascii="宋体" w:hAnsi="宋体" w:cs="宋体"/>
          <w:color w:val="auto"/>
          <w:highlight w:val="none"/>
        </w:rPr>
        <w:t>。中标人为采购人供应</w:t>
      </w:r>
      <w:r>
        <w:rPr>
          <w:rFonts w:hint="eastAsia" w:ascii="宋体" w:hAnsi="宋体" w:cs="宋体"/>
          <w:color w:val="auto"/>
          <w:szCs w:val="21"/>
          <w:highlight w:val="none"/>
        </w:rPr>
        <w:t>冻品</w:t>
      </w:r>
      <w:r>
        <w:rPr>
          <w:rFonts w:hint="eastAsia" w:ascii="宋体" w:hAnsi="宋体" w:cs="宋体"/>
          <w:color w:val="auto"/>
          <w:highlight w:val="none"/>
        </w:rPr>
        <w:t>类食材或货物。采购数量视乎采购人的需求而定。中标人按照采购人提出的物品订货清单，不论数量多少，必须保证在规定的时间送达，具体数量和食材以实际下单为准。</w:t>
      </w:r>
    </w:p>
    <w:p w14:paraId="0BC4DAEB">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2" w:firstLineChars="200"/>
        <w:textAlignment w:val="auto"/>
        <w:rPr>
          <w:rFonts w:hint="eastAsia" w:ascii="宋体" w:hAnsi="宋体" w:cs="宋体"/>
          <w:b/>
          <w:bCs/>
          <w:color w:val="auto"/>
          <w:highlight w:val="none"/>
        </w:rPr>
      </w:pPr>
      <w:r>
        <w:rPr>
          <w:rFonts w:hint="eastAsia" w:ascii="宋体" w:hAnsi="宋体" w:cs="宋体"/>
          <w:b/>
          <w:bCs/>
          <w:color w:val="auto"/>
          <w:highlight w:val="none"/>
        </w:rPr>
        <w:t>冻品类各营业点采购比例：</w:t>
      </w:r>
    </w:p>
    <w:tbl>
      <w:tblPr>
        <w:tblStyle w:val="3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0"/>
        <w:gridCol w:w="2124"/>
        <w:gridCol w:w="3137"/>
        <w:gridCol w:w="1573"/>
        <w:gridCol w:w="1158"/>
      </w:tblGrid>
      <w:tr w14:paraId="03450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530" w:type="dxa"/>
            <w:vAlign w:val="center"/>
          </w:tcPr>
          <w:p w14:paraId="151B15BB">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s="宋体"/>
                <w:b/>
                <w:bCs/>
                <w:color w:val="auto"/>
                <w:highlight w:val="none"/>
              </w:rPr>
            </w:pPr>
            <w:r>
              <w:rPr>
                <w:rFonts w:hint="eastAsia" w:ascii="宋体" w:hAnsi="宋体" w:cs="宋体"/>
                <w:b/>
                <w:bCs/>
                <w:color w:val="auto"/>
                <w:highlight w:val="none"/>
              </w:rPr>
              <w:t>序号</w:t>
            </w:r>
          </w:p>
        </w:tc>
        <w:tc>
          <w:tcPr>
            <w:tcW w:w="2124" w:type="dxa"/>
            <w:vAlign w:val="center"/>
          </w:tcPr>
          <w:p w14:paraId="0BDCBFFC">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s="宋体"/>
                <w:b/>
                <w:bCs/>
                <w:color w:val="auto"/>
                <w:highlight w:val="none"/>
              </w:rPr>
            </w:pPr>
            <w:r>
              <w:rPr>
                <w:rFonts w:hint="eastAsia" w:ascii="宋体" w:hAnsi="宋体" w:cs="宋体"/>
                <w:b/>
                <w:bCs/>
                <w:color w:val="auto"/>
                <w:highlight w:val="none"/>
              </w:rPr>
              <w:t>单位</w:t>
            </w:r>
          </w:p>
        </w:tc>
        <w:tc>
          <w:tcPr>
            <w:tcW w:w="3137" w:type="dxa"/>
            <w:vAlign w:val="center"/>
          </w:tcPr>
          <w:p w14:paraId="0CAFA582">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s="宋体"/>
                <w:b/>
                <w:bCs/>
                <w:color w:val="auto"/>
                <w:highlight w:val="none"/>
              </w:rPr>
            </w:pPr>
            <w:r>
              <w:rPr>
                <w:rFonts w:hint="eastAsia" w:ascii="宋体" w:hAnsi="宋体" w:cs="宋体"/>
                <w:b/>
                <w:bCs/>
                <w:color w:val="auto"/>
                <w:highlight w:val="none"/>
              </w:rPr>
              <w:t>地址</w:t>
            </w:r>
          </w:p>
        </w:tc>
        <w:tc>
          <w:tcPr>
            <w:tcW w:w="1573" w:type="dxa"/>
            <w:vAlign w:val="center"/>
          </w:tcPr>
          <w:p w14:paraId="19EF99E5">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s="宋体"/>
                <w:b/>
                <w:bCs/>
                <w:color w:val="auto"/>
                <w:highlight w:val="none"/>
              </w:rPr>
            </w:pPr>
            <w:r>
              <w:rPr>
                <w:rFonts w:hint="eastAsia" w:ascii="宋体" w:hAnsi="宋体" w:cs="宋体"/>
                <w:b/>
                <w:bCs/>
                <w:color w:val="auto"/>
                <w:highlight w:val="none"/>
              </w:rPr>
              <w:t>到货验收时间</w:t>
            </w:r>
          </w:p>
        </w:tc>
        <w:tc>
          <w:tcPr>
            <w:tcW w:w="1158" w:type="dxa"/>
            <w:vAlign w:val="center"/>
          </w:tcPr>
          <w:p w14:paraId="59A2703F">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s="宋体"/>
                <w:b/>
                <w:bCs/>
                <w:color w:val="auto"/>
                <w:highlight w:val="none"/>
              </w:rPr>
            </w:pPr>
            <w:r>
              <w:rPr>
                <w:rFonts w:hint="eastAsia" w:ascii="宋体" w:hAnsi="宋体" w:cs="宋体"/>
                <w:b/>
                <w:bCs/>
                <w:color w:val="auto"/>
                <w:highlight w:val="none"/>
                <w:lang w:val="en-US" w:eastAsia="zh-CN"/>
              </w:rPr>
              <w:t>预估</w:t>
            </w:r>
            <w:r>
              <w:rPr>
                <w:rFonts w:hint="eastAsia" w:ascii="宋体" w:hAnsi="宋体" w:cs="宋体"/>
                <w:b/>
                <w:bCs/>
                <w:color w:val="auto"/>
                <w:highlight w:val="none"/>
              </w:rPr>
              <w:t>采购比例</w:t>
            </w:r>
          </w:p>
        </w:tc>
      </w:tr>
      <w:tr w14:paraId="57932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6" w:hRule="atLeast"/>
        </w:trPr>
        <w:tc>
          <w:tcPr>
            <w:tcW w:w="530" w:type="dxa"/>
            <w:vAlign w:val="center"/>
          </w:tcPr>
          <w:p w14:paraId="7838CDC0">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s="宋体"/>
                <w:b w:val="0"/>
                <w:bCs w:val="0"/>
                <w:color w:val="auto"/>
                <w:highlight w:val="none"/>
              </w:rPr>
            </w:pPr>
            <w:r>
              <w:rPr>
                <w:rFonts w:hint="eastAsia" w:ascii="宋体" w:hAnsi="宋体" w:cs="宋体"/>
                <w:b w:val="0"/>
                <w:bCs w:val="0"/>
                <w:color w:val="auto"/>
                <w:highlight w:val="none"/>
              </w:rPr>
              <w:t>1</w:t>
            </w:r>
          </w:p>
        </w:tc>
        <w:tc>
          <w:tcPr>
            <w:tcW w:w="2124" w:type="dxa"/>
            <w:vAlign w:val="center"/>
          </w:tcPr>
          <w:p w14:paraId="1DCC0C2C">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s="宋体"/>
                <w:color w:val="auto"/>
                <w:highlight w:val="none"/>
              </w:rPr>
            </w:pPr>
            <w:r>
              <w:rPr>
                <w:rFonts w:hint="eastAsia" w:ascii="宋体" w:hAnsi="宋体" w:cs="宋体"/>
                <w:color w:val="auto"/>
                <w:szCs w:val="21"/>
                <w:highlight w:val="none"/>
              </w:rPr>
              <w:t>莞萃园</w:t>
            </w:r>
            <w:r>
              <w:rPr>
                <w:rFonts w:hint="eastAsia" w:ascii="宋体" w:hAnsi="宋体" w:cs="宋体"/>
                <w:b w:val="0"/>
                <w:bCs w:val="0"/>
                <w:color w:val="auto"/>
                <w:szCs w:val="21"/>
                <w:highlight w:val="none"/>
                <w:lang w:val="en-US" w:eastAsia="zh-CN"/>
              </w:rPr>
              <w:t>餐厅</w:t>
            </w:r>
          </w:p>
        </w:tc>
        <w:tc>
          <w:tcPr>
            <w:tcW w:w="3137" w:type="dxa"/>
            <w:vAlign w:val="center"/>
          </w:tcPr>
          <w:p w14:paraId="542BB2B3">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s="宋体"/>
                <w:color w:val="auto"/>
                <w:highlight w:val="none"/>
              </w:rPr>
            </w:pPr>
            <w:r>
              <w:rPr>
                <w:rFonts w:hint="eastAsia" w:ascii="宋体" w:hAnsi="宋体" w:cs="宋体"/>
                <w:color w:val="auto"/>
                <w:szCs w:val="21"/>
                <w:highlight w:val="none"/>
              </w:rPr>
              <w:t>东莞市南城区簪花路与东莞大道交叉口睿派R&amp;APARK5栋三</w:t>
            </w:r>
          </w:p>
        </w:tc>
        <w:tc>
          <w:tcPr>
            <w:tcW w:w="1573" w:type="dxa"/>
            <w:vAlign w:val="center"/>
          </w:tcPr>
          <w:p w14:paraId="672D4BD1">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s="宋体"/>
                <w:color w:val="auto"/>
                <w:highlight w:val="none"/>
              </w:rPr>
            </w:pPr>
            <w:r>
              <w:rPr>
                <w:rFonts w:hint="eastAsia" w:ascii="宋体" w:hAnsi="宋体" w:cs="宋体"/>
                <w:color w:val="auto"/>
                <w:highlight w:val="none"/>
              </w:rPr>
              <w:t>每天早上8:30-9:00</w:t>
            </w:r>
          </w:p>
        </w:tc>
        <w:tc>
          <w:tcPr>
            <w:tcW w:w="1158" w:type="dxa"/>
            <w:vAlign w:val="center"/>
          </w:tcPr>
          <w:p w14:paraId="2A11C8E5">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s="宋体"/>
                <w:color w:val="auto"/>
                <w:highlight w:val="none"/>
              </w:rPr>
            </w:pPr>
            <w:r>
              <w:rPr>
                <w:rFonts w:hint="eastAsia" w:ascii="宋体" w:hAnsi="宋体" w:cs="宋体"/>
                <w:color w:val="auto"/>
                <w:highlight w:val="none"/>
                <w:lang w:val="en-US" w:eastAsia="zh-CN"/>
              </w:rPr>
              <w:t>1.45</w:t>
            </w:r>
            <w:r>
              <w:rPr>
                <w:rFonts w:hint="eastAsia" w:ascii="宋体" w:hAnsi="宋体" w:cs="宋体"/>
                <w:color w:val="auto"/>
                <w:highlight w:val="none"/>
              </w:rPr>
              <w:t>%</w:t>
            </w:r>
          </w:p>
        </w:tc>
      </w:tr>
      <w:tr w14:paraId="72DBE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trPr>
        <w:tc>
          <w:tcPr>
            <w:tcW w:w="530" w:type="dxa"/>
            <w:vAlign w:val="center"/>
          </w:tcPr>
          <w:p w14:paraId="458749B1">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s="宋体"/>
                <w:b w:val="0"/>
                <w:bCs w:val="0"/>
                <w:color w:val="auto"/>
                <w:highlight w:val="none"/>
              </w:rPr>
            </w:pPr>
            <w:r>
              <w:rPr>
                <w:rFonts w:hint="eastAsia" w:ascii="宋体" w:hAnsi="宋体" w:cs="宋体"/>
                <w:b w:val="0"/>
                <w:bCs w:val="0"/>
                <w:color w:val="auto"/>
                <w:highlight w:val="none"/>
              </w:rPr>
              <w:t>2</w:t>
            </w:r>
          </w:p>
        </w:tc>
        <w:tc>
          <w:tcPr>
            <w:tcW w:w="2124" w:type="dxa"/>
            <w:vAlign w:val="center"/>
          </w:tcPr>
          <w:p w14:paraId="34F2DA6D">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s="宋体"/>
                <w:color w:val="auto"/>
                <w:highlight w:val="none"/>
              </w:rPr>
            </w:pPr>
            <w:r>
              <w:rPr>
                <w:rFonts w:hint="eastAsia" w:ascii="宋体" w:hAnsi="宋体" w:cs="宋体"/>
                <w:color w:val="auto"/>
                <w:szCs w:val="21"/>
                <w:highlight w:val="none"/>
                <w:lang w:eastAsia="zh-CN"/>
              </w:rPr>
              <w:t>东莞松湖迎宾里酒店有限公司湾大分公司</w:t>
            </w:r>
          </w:p>
        </w:tc>
        <w:tc>
          <w:tcPr>
            <w:tcW w:w="3137" w:type="dxa"/>
            <w:vAlign w:val="center"/>
          </w:tcPr>
          <w:p w14:paraId="46E1E7D0">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s="宋体"/>
                <w:color w:val="auto"/>
                <w:highlight w:val="none"/>
              </w:rPr>
            </w:pPr>
            <w:r>
              <w:rPr>
                <w:rFonts w:hint="eastAsia" w:ascii="宋体" w:hAnsi="宋体" w:cs="宋体"/>
                <w:color w:val="auto"/>
                <w:szCs w:val="21"/>
                <w:highlight w:val="none"/>
              </w:rPr>
              <w:t>东莞市松山湖大学路南大湾区大学（松山湖校区）-东门</w:t>
            </w:r>
          </w:p>
        </w:tc>
        <w:tc>
          <w:tcPr>
            <w:tcW w:w="1573" w:type="dxa"/>
            <w:vAlign w:val="center"/>
          </w:tcPr>
          <w:p w14:paraId="0CA4B898">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s="宋体"/>
                <w:color w:val="auto"/>
                <w:highlight w:val="none"/>
              </w:rPr>
            </w:pPr>
            <w:r>
              <w:rPr>
                <w:rFonts w:hint="eastAsia" w:ascii="宋体" w:hAnsi="宋体" w:cs="宋体"/>
                <w:color w:val="auto"/>
                <w:highlight w:val="none"/>
              </w:rPr>
              <w:t>每天早上8:30-9:00</w:t>
            </w:r>
          </w:p>
        </w:tc>
        <w:tc>
          <w:tcPr>
            <w:tcW w:w="1158" w:type="dxa"/>
            <w:vAlign w:val="center"/>
          </w:tcPr>
          <w:p w14:paraId="591C1FDB">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s="宋体"/>
                <w:color w:val="auto"/>
                <w:highlight w:val="none"/>
              </w:rPr>
            </w:pPr>
            <w:r>
              <w:rPr>
                <w:rFonts w:hint="eastAsia" w:ascii="宋体" w:hAnsi="宋体" w:cs="宋体"/>
                <w:color w:val="auto"/>
                <w:highlight w:val="none"/>
                <w:lang w:val="en-US" w:eastAsia="zh-CN"/>
              </w:rPr>
              <w:t>4.76</w:t>
            </w:r>
            <w:r>
              <w:rPr>
                <w:rFonts w:hint="eastAsia" w:ascii="宋体" w:hAnsi="宋体" w:cs="宋体"/>
                <w:color w:val="auto"/>
                <w:highlight w:val="none"/>
              </w:rPr>
              <w:t>%</w:t>
            </w:r>
          </w:p>
        </w:tc>
      </w:tr>
      <w:tr w14:paraId="33C24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trPr>
        <w:tc>
          <w:tcPr>
            <w:tcW w:w="530" w:type="dxa"/>
            <w:vAlign w:val="center"/>
          </w:tcPr>
          <w:p w14:paraId="3CD1BA88">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s="宋体"/>
                <w:b w:val="0"/>
                <w:bCs w:val="0"/>
                <w:color w:val="auto"/>
                <w:highlight w:val="none"/>
              </w:rPr>
            </w:pPr>
            <w:r>
              <w:rPr>
                <w:rFonts w:hint="eastAsia" w:ascii="宋体" w:hAnsi="宋体" w:cs="宋体"/>
                <w:b w:val="0"/>
                <w:bCs w:val="0"/>
                <w:color w:val="auto"/>
                <w:highlight w:val="none"/>
              </w:rPr>
              <w:t>3</w:t>
            </w:r>
          </w:p>
        </w:tc>
        <w:tc>
          <w:tcPr>
            <w:tcW w:w="2124" w:type="dxa"/>
            <w:vAlign w:val="center"/>
          </w:tcPr>
          <w:p w14:paraId="6A675776">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s="宋体"/>
                <w:b/>
                <w:bCs/>
                <w:color w:val="auto"/>
                <w:highlight w:val="none"/>
              </w:rPr>
            </w:pPr>
            <w:r>
              <w:rPr>
                <w:rFonts w:hint="eastAsia" w:ascii="宋体" w:hAnsi="宋体" w:cs="宋体"/>
                <w:color w:val="auto"/>
                <w:szCs w:val="21"/>
                <w:highlight w:val="none"/>
                <w:lang w:val="en-US" w:eastAsia="zh-CN"/>
              </w:rPr>
              <w:t>东莞</w:t>
            </w:r>
            <w:r>
              <w:rPr>
                <w:rFonts w:hint="eastAsia" w:ascii="宋体" w:hAnsi="宋体" w:cs="宋体"/>
                <w:color w:val="auto"/>
                <w:szCs w:val="21"/>
                <w:highlight w:val="none"/>
              </w:rPr>
              <w:t>迎宾馆</w:t>
            </w:r>
          </w:p>
        </w:tc>
        <w:tc>
          <w:tcPr>
            <w:tcW w:w="3137" w:type="dxa"/>
            <w:vAlign w:val="center"/>
          </w:tcPr>
          <w:p w14:paraId="4ED610D7">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s="宋体"/>
                <w:b/>
                <w:bCs/>
                <w:color w:val="auto"/>
                <w:highlight w:val="none"/>
              </w:rPr>
            </w:pPr>
            <w:r>
              <w:rPr>
                <w:rFonts w:hint="eastAsia" w:ascii="宋体" w:hAnsi="宋体" w:cs="宋体"/>
                <w:color w:val="auto"/>
                <w:szCs w:val="21"/>
                <w:highlight w:val="none"/>
              </w:rPr>
              <w:t>东莞市南城区桃源路1号</w:t>
            </w:r>
          </w:p>
        </w:tc>
        <w:tc>
          <w:tcPr>
            <w:tcW w:w="1573" w:type="dxa"/>
            <w:vAlign w:val="center"/>
          </w:tcPr>
          <w:p w14:paraId="2D04C4A0">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s="宋体"/>
                <w:b/>
                <w:bCs/>
                <w:color w:val="auto"/>
                <w:highlight w:val="none"/>
              </w:rPr>
            </w:pPr>
            <w:r>
              <w:rPr>
                <w:rFonts w:hint="eastAsia" w:ascii="宋体" w:hAnsi="宋体" w:cs="宋体"/>
                <w:color w:val="auto"/>
                <w:highlight w:val="none"/>
              </w:rPr>
              <w:t>每天早上8:30-9:00</w:t>
            </w:r>
          </w:p>
        </w:tc>
        <w:tc>
          <w:tcPr>
            <w:tcW w:w="1158" w:type="dxa"/>
            <w:vAlign w:val="center"/>
          </w:tcPr>
          <w:p w14:paraId="26CD70B8">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s="宋体"/>
                <w:color w:val="auto"/>
                <w:highlight w:val="none"/>
              </w:rPr>
            </w:pPr>
            <w:r>
              <w:rPr>
                <w:rFonts w:hint="eastAsia" w:ascii="宋体" w:hAnsi="宋体" w:cs="宋体"/>
                <w:color w:val="auto"/>
                <w:highlight w:val="none"/>
                <w:lang w:val="en-US" w:eastAsia="zh-CN"/>
              </w:rPr>
              <w:t>93.79</w:t>
            </w:r>
            <w:r>
              <w:rPr>
                <w:rFonts w:hint="eastAsia" w:ascii="宋体" w:hAnsi="宋体" w:cs="宋体"/>
                <w:color w:val="auto"/>
                <w:highlight w:val="none"/>
              </w:rPr>
              <w:t>%</w:t>
            </w:r>
          </w:p>
        </w:tc>
      </w:tr>
    </w:tbl>
    <w:p w14:paraId="3E34A4A5">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2" w:firstLineChars="200"/>
        <w:textAlignment w:val="auto"/>
        <w:rPr>
          <w:rFonts w:hint="eastAsia" w:ascii="宋体" w:hAnsi="宋体" w:cs="宋体"/>
          <w:b/>
          <w:bCs/>
          <w:color w:val="auto"/>
          <w:highlight w:val="none"/>
        </w:rPr>
      </w:pPr>
      <w:r>
        <w:rPr>
          <w:rFonts w:hint="eastAsia" w:ascii="宋体" w:hAnsi="宋体" w:cs="宋体"/>
          <w:b/>
          <w:bCs/>
          <w:color w:val="auto"/>
          <w:highlight w:val="none"/>
        </w:rPr>
        <w:t>二、采购项目服务要求</w:t>
      </w:r>
    </w:p>
    <w:p w14:paraId="4E00B8C3">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1、项目总体要求</w:t>
      </w:r>
    </w:p>
    <w:p w14:paraId="6576FDCF">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1.1中标人不得将成交项目转让或分包给他人，否则采购人有权单方终止合同,由此产生的一切经济损失由中标人自行承担。</w:t>
      </w:r>
    </w:p>
    <w:p w14:paraId="0FDA5149">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1.2中标人在合同履行期间保证对采购人的服务供应，中标后不得拒绝采购人分配的任务。中标人在服务期内没能达到投标文件承诺的服务要求或中标人未按要求履行合同义务或中标人的资质在服务期内发生变化不再符合要求，采购人均有权单方终止协议，由此产生的一切经济损失由中标人自行承担。</w:t>
      </w:r>
    </w:p>
    <w:p w14:paraId="6861F83D">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1.3在合同履行期间，采购人有权结合自身的特点和需要制定具体配送管理方式。中标人在拟实施新增设备设施和人力资源等投入前，须充分考虑评估潜在的投资经营风险并制定应对措施。</w:t>
      </w:r>
    </w:p>
    <w:p w14:paraId="0E481677">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1.4中标人需服从采购人和食品监督部门的监督管理，配合采购人及时更新所提供的符合卫监部门的有效证明材料。如有效的营业执照、产品合格证或食品生产经营许可证等。</w:t>
      </w:r>
    </w:p>
    <w:p w14:paraId="5F00636B">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2、食材配送要求</w:t>
      </w:r>
    </w:p>
    <w:p w14:paraId="60465041">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2.1中标人按照采购人提出的食材订货清单，不论数量多少(例如：500克以下),必须保证在规定的时间(正常配送采购人一般提前一天通知中标人，应急配送则以采购人实 际通知为准)、地点送货。</w:t>
      </w:r>
    </w:p>
    <w:p w14:paraId="286D19EE">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2.2货品正常情况每天均需送货一次，中标人每天</w:t>
      </w:r>
      <w:r>
        <w:rPr>
          <w:rFonts w:hint="eastAsia" w:ascii="宋体" w:hAnsi="宋体" w:cs="宋体"/>
          <w:color w:val="auto"/>
          <w:highlight w:val="none"/>
          <w:lang w:val="en-US" w:eastAsia="zh-CN"/>
        </w:rPr>
        <w:t>8</w:t>
      </w:r>
      <w:r>
        <w:rPr>
          <w:rFonts w:hint="eastAsia" w:ascii="宋体" w:hAnsi="宋体" w:cs="宋体"/>
          <w:color w:val="auto"/>
          <w:highlight w:val="none"/>
        </w:rPr>
        <w:t>:30前将所订购的货物送到采购人 指定地点，送货验收时间段为</w:t>
      </w:r>
      <w:r>
        <w:rPr>
          <w:rFonts w:hint="eastAsia" w:ascii="宋体" w:hAnsi="宋体" w:cs="宋体"/>
          <w:color w:val="auto"/>
          <w:highlight w:val="none"/>
          <w:lang w:val="en-US" w:eastAsia="zh-CN"/>
        </w:rPr>
        <w:t>8</w:t>
      </w:r>
      <w:r>
        <w:rPr>
          <w:rFonts w:hint="eastAsia" w:ascii="宋体" w:hAnsi="宋体" w:cs="宋体"/>
          <w:color w:val="auto"/>
          <w:highlight w:val="none"/>
        </w:rPr>
        <w:t>:30-</w:t>
      </w:r>
      <w:r>
        <w:rPr>
          <w:rFonts w:hint="eastAsia" w:ascii="宋体" w:hAnsi="宋体" w:cs="宋体"/>
          <w:color w:val="auto"/>
          <w:highlight w:val="none"/>
          <w:lang w:val="en-US" w:eastAsia="zh-CN"/>
        </w:rPr>
        <w:t>9</w:t>
      </w:r>
      <w:r>
        <w:rPr>
          <w:rFonts w:hint="eastAsia" w:ascii="宋体" w:hAnsi="宋体" w:cs="宋体"/>
          <w:color w:val="auto"/>
          <w:highlight w:val="none"/>
        </w:rPr>
        <w:t>:</w:t>
      </w:r>
      <w:r>
        <w:rPr>
          <w:rFonts w:hint="eastAsia" w:ascii="宋体" w:hAnsi="宋体" w:cs="宋体"/>
          <w:color w:val="auto"/>
          <w:highlight w:val="none"/>
          <w:lang w:val="en-US" w:eastAsia="zh-CN"/>
        </w:rPr>
        <w:t>0</w:t>
      </w:r>
      <w:r>
        <w:rPr>
          <w:rFonts w:hint="eastAsia" w:ascii="宋体" w:hAnsi="宋体" w:cs="宋体"/>
          <w:color w:val="auto"/>
          <w:highlight w:val="none"/>
        </w:rPr>
        <w:t>0,具体以双方协商为准。应急配送则按采购人实际 要求为准。临时采购食材的，中标人应在收到采购人</w:t>
      </w:r>
      <w:r>
        <w:rPr>
          <w:rFonts w:ascii="宋体" w:hAnsi="宋体" w:cs="宋体"/>
          <w:color w:val="auto"/>
          <w:highlight w:val="none"/>
        </w:rPr>
        <w:t>书面或电话</w:t>
      </w:r>
      <w:r>
        <w:rPr>
          <w:rFonts w:hint="eastAsia" w:ascii="宋体" w:hAnsi="宋体" w:cs="宋体"/>
          <w:color w:val="auto"/>
          <w:highlight w:val="none"/>
        </w:rPr>
        <w:t>订单后45分钟内响应，2小时内将 食材</w:t>
      </w:r>
      <w:r>
        <w:rPr>
          <w:rFonts w:hint="eastAsia" w:ascii="宋体" w:hAnsi="宋体" w:cs="宋体"/>
          <w:color w:val="auto"/>
          <w:szCs w:val="21"/>
          <w:highlight w:val="none"/>
        </w:rPr>
        <w:t>送到</w:t>
      </w:r>
      <w:r>
        <w:rPr>
          <w:rFonts w:hint="eastAsia" w:ascii="宋体" w:hAnsi="宋体" w:cs="宋体"/>
          <w:color w:val="auto"/>
          <w:highlight w:val="none"/>
        </w:rPr>
        <w:t>采购人指定地点。如遇放假等不需要食材供应的特殊情况，采购人应提前通知中标供应商，以免造成食材浪费。</w:t>
      </w:r>
    </w:p>
    <w:p w14:paraId="338F47FA">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highlight w:val="none"/>
        </w:rPr>
        <w:t>2.3中</w:t>
      </w:r>
      <w:r>
        <w:rPr>
          <w:rFonts w:hint="eastAsia" w:ascii="宋体" w:hAnsi="宋体" w:cs="宋体"/>
          <w:color w:val="auto"/>
          <w:szCs w:val="21"/>
          <w:highlight w:val="none"/>
        </w:rPr>
        <w:t>标人对采购人提出的所有送货需求均应按采购人要求按时、按质、按量将食材送 到指定地点。</w:t>
      </w:r>
    </w:p>
    <w:p w14:paraId="4A274422">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2.4中标人提供的食材必须符合国家食品卫生法规相关标准，保质、保量，不合格的食 材 ，中标人必须包退包换。</w:t>
      </w:r>
    </w:p>
    <w:p w14:paraId="6C3BD1EB">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2.5中标人必须就所供应的食材出示真实有效的检验合格报告：凡国家有明文规定的必 须提供产品检验报告交食堂存档，符合国家溯源制度规定。</w:t>
      </w:r>
    </w:p>
    <w:p w14:paraId="0B6E4464">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2.6中标人每次送货应有相应的送货清单(盖有中标人的有效公章),且必须提供合法的进货单据。</w:t>
      </w:r>
    </w:p>
    <w:p w14:paraId="424D2AF5">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2.7中标人提供的食材导致采购人有任何食物安全事件出现，由中标人承担全部责任及赔偿采购人一切损失，采购人保留法律追究的权利。中标人每次送货应有相应的送货 清单(盖有中标人的有效公章),且必须提供合法的进货单据。中标人的送货单必须详细 注明商品的品牌、品种、单价、数量，送货单原则上不得涂改，如因特殊情况发生涂改，所有 单据以甲方为准。标记不清的，甲方将拒绝签收。结算期末中标人还应提供送货清单供甲方结 算。</w:t>
      </w:r>
    </w:p>
    <w:p w14:paraId="16C01984">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2.8中标人应在采购人指定时间内对下月供货价格进行签字确认。</w:t>
      </w:r>
    </w:p>
    <w:p w14:paraId="5E0BE519">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2.9中标人的供货价应包含食材交付给采购人之前的一切费用，包括税费、运输费、储存费等，并承担送货途中的一切风险。</w:t>
      </w:r>
    </w:p>
    <w:p w14:paraId="68252EB6">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2.1.如采购人需要采购的食材未列入食材目录内，其单价由双方以约定的定价原则确定供货价格。</w:t>
      </w:r>
    </w:p>
    <w:p w14:paraId="516412D7">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2.11中标人进入采购人范围内必须遵守采购人有关规定，不得影响采购人的正常工作， 由于中标人的过失造成采购人直接经济损失的，由中标人承担全部责任及赔偿采购人  一切损失。</w:t>
      </w:r>
    </w:p>
    <w:p w14:paraId="77D02DAD">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2.12中标人须按采购人要求提供以往交易记录。</w:t>
      </w:r>
    </w:p>
    <w:p w14:paraId="0176FDE9">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2.13中标人须拥有固定配送场所，具备空调作业环境，配套设备设施齐全，有相应加工作业流程及相关管理制度。</w:t>
      </w:r>
    </w:p>
    <w:p w14:paraId="40903E29">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2.14拟投入本项目人员</w:t>
      </w:r>
    </w:p>
    <w:p w14:paraId="3DF06D58">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(1)拟投入本项目人员不少于5人，包括1名项目负责人，1名业务员，3名配送人员(含司机)。中标人投标时响应的条件优于本条规定的，以较高要求为准。</w:t>
      </w:r>
    </w:p>
    <w:p w14:paraId="32DA360F">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(2)中标人法定代表人或负责人是食品安全的第一责任人，对本企业的食品安全负全责。</w:t>
      </w:r>
    </w:p>
    <w:p w14:paraId="074D56D5">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(3)食品从业人员必须每年进行健康检查，取得相应医疗卫生机构出具的餐饮健康证明后， 方可从事相关工作，并对从业人员餐饮健康证明予以明示。没有餐饮健康证明的，不得从事相 关工作。建立食品从业人员健康档案，记录食品从业人员健康检查情况。</w:t>
      </w:r>
    </w:p>
    <w:p w14:paraId="79EF90FC">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2.15运输车辆</w:t>
      </w:r>
    </w:p>
    <w:p w14:paraId="4880BE17">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(1)拟投入本项目冷链运输车辆不少于3辆，具有车辆营运证、车辆行驶证。中标人投标时响应的条件优于本条规定的，以较高要求为准。</w:t>
      </w:r>
    </w:p>
    <w:p w14:paraId="03C342D1">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highlight w:val="none"/>
        </w:rPr>
      </w:pPr>
      <w:r>
        <w:rPr>
          <w:rFonts w:hint="eastAsia" w:ascii="宋体" w:hAnsi="宋体" w:cs="宋体"/>
          <w:color w:val="auto"/>
          <w:szCs w:val="21"/>
          <w:highlight w:val="none"/>
        </w:rPr>
        <w:t>(2)食品运输必须采用符合卫生标准的外包装和运载工具，并且要保持清洁和定期消毒。 运输车厢的内仓，包括地面、墙面和顶，应使用抗腐蚀、防潮，易清洁消毒的材料。车厢内无不良气味、异味。食品应该具备符合安全卫生和运输要求的外包装，装车后应有严格全面的覆盖，避免风吹雨淋和阳光直晒；运输过程中不得和其它对食品安全和卫生有影响的货物混载。直接食用的产品必须采用定型包装或符合卫生要求的专用密闭容器包装，并采用专用车辆运输，严格禁止和其它商品、人员混载。推荐使用专用冷藏车运输。冷藏、冷冻食品必须用专用冷藏、冷冻载具运输，应当有必要的保温设备并在整个运输过程中保持安全的冷藏、冷冻温度。整个运输过程应科学合理，运输车辆应定期清洁，保持性能稳定，符合规定的温度要求，使运</w:t>
      </w:r>
      <w:r>
        <w:rPr>
          <w:rFonts w:hint="eastAsia" w:ascii="宋体" w:hAnsi="宋体" w:cs="宋体"/>
          <w:color w:val="auto"/>
          <w:highlight w:val="none"/>
        </w:rPr>
        <w:t>输商品处于恒定的环境中。食品在运输过程中，冷藏车要全程开机制冷，冷藏温度应在-2℃~5℃,冷冻温度应低于—18℃,以防变质。 不得将有冷藏、冷冻要求的食品在无冷藏、冷冻的条件下运输。</w:t>
      </w:r>
      <w:r>
        <w:rPr>
          <w:rFonts w:ascii="宋体" w:hAnsi="宋体" w:cs="宋体"/>
          <w:color w:val="auto"/>
          <w:highlight w:val="none"/>
        </w:rPr>
        <w:t>中标人运输及储存冻品必须配备温度实时监控或温度跟踪器记录设备，交货时须向采购人提供完整的运输温度曲线记录，作为验收合格的必要条件之一</w:t>
      </w:r>
      <w:r>
        <w:rPr>
          <w:rFonts w:hint="eastAsia" w:ascii="宋体" w:hAnsi="宋体" w:cs="宋体"/>
          <w:color w:val="auto"/>
          <w:highlight w:val="none"/>
        </w:rPr>
        <w:t>。</w:t>
      </w:r>
      <w:r>
        <w:rPr>
          <w:rFonts w:ascii="宋体" w:hAnsi="宋体" w:cs="宋体"/>
          <w:color w:val="auto"/>
          <w:highlight w:val="none"/>
        </w:rPr>
        <w:t>冻品送达指定地点开箱验收前，因冷链中断、温度不达标导致的一切品质损耗、变质或食品安全问题，均由中标人承担全部法律与经济责任</w:t>
      </w:r>
      <w:r>
        <w:rPr>
          <w:rFonts w:hint="eastAsia" w:ascii="宋体" w:hAnsi="宋体" w:cs="宋体"/>
          <w:color w:val="auto"/>
          <w:highlight w:val="none"/>
        </w:rPr>
        <w:t>。</w:t>
      </w:r>
    </w:p>
    <w:p w14:paraId="17C68D78">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2.16检测能力（供货时提供相应的检测报告）</w:t>
      </w:r>
    </w:p>
    <w:p w14:paraId="30C890E0">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(1)兽药残留检测：兽药残留测试服务内容有：瘦肉精、喹诺酮类、磺胺类、硝基呋喃类、 四环素类、氯霉素、孔雀石绿、雌激素类等检测。</w:t>
      </w:r>
    </w:p>
    <w:p w14:paraId="287DC408">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(2)重金属检测： Pb 、Hg 、Cd 、As 、Cr等检测。</w:t>
      </w:r>
    </w:p>
    <w:p w14:paraId="54787048">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(3)污染物检测：亚硝酸盐、硝酸盐、二氧化硫等检测。</w:t>
      </w:r>
    </w:p>
    <w:p w14:paraId="000EF79C">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(4)卫生学指标(微生物)检测：菌落总数、总大肠菌群、耐热大肠菌群、大肠埃希氏菌、 沙门氏菌、志贺氏菌、金黄色葡萄球菌等检测。</w:t>
      </w:r>
    </w:p>
    <w:p w14:paraId="44AABDBF">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2.17储存配送场所</w:t>
      </w:r>
    </w:p>
    <w:p w14:paraId="5E69137F">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highlight w:val="none"/>
        </w:rPr>
      </w:pPr>
      <w:r>
        <w:rPr>
          <w:rFonts w:hint="eastAsia" w:ascii="宋体" w:hAnsi="宋体" w:cs="宋体"/>
          <w:color w:val="auto"/>
          <w:szCs w:val="21"/>
          <w:highlight w:val="none"/>
        </w:rPr>
        <w:t>(1)总</w:t>
      </w:r>
      <w:r>
        <w:rPr>
          <w:rFonts w:hint="eastAsia" w:ascii="宋体" w:hAnsi="宋体" w:cs="宋体"/>
          <w:color w:val="auto"/>
          <w:highlight w:val="none"/>
        </w:rPr>
        <w:t>面积不少于500平方米，具有不少于100平方米的冷藏和冷冻库，应急配送在60分钟送达。</w:t>
      </w:r>
      <w:r>
        <w:rPr>
          <w:rFonts w:hint="eastAsia"/>
          <w:color w:val="auto"/>
          <w:highlight w:val="none"/>
        </w:rPr>
        <w:t>中标人投标时响应的条件优于本条规定的，以较高要求为准。</w:t>
      </w:r>
      <w:r>
        <w:rPr>
          <w:color w:val="auto"/>
          <w:highlight w:val="none"/>
        </w:rPr>
        <w:t>采购人有权对中标人的配送场所、冷库温控状况进行不定期突击检查。</w:t>
      </w:r>
    </w:p>
    <w:p w14:paraId="360E2930">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(2)中标人须有固定配送场所，具备空调作业环境，配套设备设施齐全，有相应加工作业流程及</w:t>
      </w:r>
      <w:r>
        <w:rPr>
          <w:rFonts w:hint="eastAsia" w:ascii="宋体" w:hAnsi="宋体" w:cs="宋体"/>
          <w:color w:val="auto"/>
          <w:szCs w:val="21"/>
          <w:highlight w:val="none"/>
        </w:rPr>
        <w:t>相关</w:t>
      </w:r>
      <w:r>
        <w:rPr>
          <w:rFonts w:hint="eastAsia" w:ascii="宋体" w:hAnsi="宋体" w:cs="宋体"/>
          <w:color w:val="auto"/>
          <w:highlight w:val="none"/>
        </w:rPr>
        <w:t>管理制度。</w:t>
      </w:r>
    </w:p>
    <w:p w14:paraId="078DC6B5">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highlight w:val="none"/>
        </w:rPr>
        <w:t>(3)食品应当定期进行检查，查验食品的生产日期和保质期，及时清理变质、超过保质期</w:t>
      </w:r>
      <w:r>
        <w:rPr>
          <w:rFonts w:hint="eastAsia" w:ascii="宋体" w:hAnsi="宋体" w:cs="宋体"/>
          <w:color w:val="auto"/>
          <w:szCs w:val="21"/>
          <w:highlight w:val="none"/>
        </w:rPr>
        <w:t>及其他不符合食品安全标准的食品，并做好相关记录；贮存、运输和装卸食品的容器、工具和设备应当安全、无害，保持清洁，防止食品污染，并符合保证食品安全所需的温度等特殊要求，不得将食品与有毒、有害物品一同运输；食品应当分类、分架存放，距离墙壁、地面均在10cm以上，并定期检查。</w:t>
      </w:r>
    </w:p>
    <w:p w14:paraId="2575E4AF">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(4)存放的食品应储存在温度适宜(按不同产品的具体要求)、干燥的库区，避免阳光照射。冷藏存放的食品应储存在温度湿度适宜的冷藏库中。要求冷冻存放的食品应储存在温度-18°C 以下冷冻库中。冷库要定期检查、记录温度、定期进行除霜、清洁保养和维护。库房内安装温度表、湿度表。冷藏库(柜)温度为-2℃~5℃以下。冷冻库(柜)温度低于-18℃。热柜的温度达到60℃以上。</w:t>
      </w:r>
    </w:p>
    <w:p w14:paraId="12086C7B">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highlight w:val="none"/>
        </w:rPr>
      </w:pPr>
      <w:r>
        <w:rPr>
          <w:rFonts w:hint="eastAsia" w:ascii="宋体" w:hAnsi="宋体" w:cs="宋体"/>
          <w:color w:val="auto"/>
          <w:szCs w:val="21"/>
          <w:highlight w:val="none"/>
        </w:rPr>
        <w:t>(5)对于需冷藏的食品，冷藏柜温度必须保证24小时在4℃以下。不得将有冷藏、冷冻要求的食品在无冷藏、冷冻的条件下储存。根</w:t>
      </w:r>
      <w:r>
        <w:rPr>
          <w:rFonts w:hint="eastAsia" w:ascii="宋体" w:hAnsi="宋体" w:cs="宋体"/>
          <w:color w:val="auto"/>
          <w:highlight w:val="none"/>
        </w:rPr>
        <w:t>据商品储藏要求进行相应的湿度控制。冷冻和冷藏食品在装卸和出入库必须保证冷链的持续有效，任何环节中商品脱离冷链时间不得超过30 分钟。</w:t>
      </w:r>
      <w:r>
        <w:rPr>
          <w:rFonts w:ascii="宋体" w:hAnsi="宋体" w:cs="宋体"/>
          <w:color w:val="auto"/>
          <w:highlight w:val="none"/>
        </w:rPr>
        <w:t>冻品送达指定地点开箱验收前，因冷链中断、温度不达标导致的一切品质损耗、变质或食品安全问题，均由中标人承担全部法律与经济责任</w:t>
      </w:r>
      <w:r>
        <w:rPr>
          <w:rFonts w:hint="eastAsia" w:ascii="宋体" w:hAnsi="宋体" w:cs="宋体"/>
          <w:color w:val="auto"/>
          <w:highlight w:val="none"/>
        </w:rPr>
        <w:t>。</w:t>
      </w:r>
    </w:p>
    <w:p w14:paraId="7FDF097E">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2.18食品安全责任：中标人提供的货品导致甲方有任何食物安全事件出现，由中标人承担全部责任及赔偿采购人一切</w:t>
      </w:r>
      <w:r>
        <w:rPr>
          <w:rFonts w:hint="eastAsia" w:ascii="宋体" w:hAnsi="宋体" w:cs="宋体"/>
          <w:color w:val="auto"/>
          <w:szCs w:val="21"/>
          <w:highlight w:val="none"/>
        </w:rPr>
        <w:t>损失</w:t>
      </w:r>
      <w:r>
        <w:rPr>
          <w:rFonts w:hint="eastAsia" w:ascii="宋体" w:hAnsi="宋体" w:cs="宋体"/>
          <w:color w:val="auto"/>
          <w:highlight w:val="none"/>
        </w:rPr>
        <w:t>，采购人保留法律追究权利。</w:t>
      </w:r>
    </w:p>
    <w:p w14:paraId="533B149F">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(三)食材验收</w:t>
      </w:r>
      <w:r>
        <w:rPr>
          <w:rFonts w:hint="eastAsia" w:ascii="宋体" w:hAnsi="宋体" w:cs="宋体"/>
          <w:color w:val="auto"/>
          <w:szCs w:val="21"/>
          <w:highlight w:val="none"/>
        </w:rPr>
        <w:t>标准</w:t>
      </w:r>
      <w:r>
        <w:rPr>
          <w:rFonts w:hint="eastAsia" w:ascii="宋体" w:hAnsi="宋体" w:cs="宋体"/>
          <w:color w:val="auto"/>
          <w:highlight w:val="none"/>
        </w:rPr>
        <w:t xml:space="preserve"> </w:t>
      </w:r>
    </w:p>
    <w:p w14:paraId="5235A8AF">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冻品副</w:t>
      </w:r>
      <w:r>
        <w:rPr>
          <w:rFonts w:hint="eastAsia" w:ascii="宋体" w:hAnsi="宋体" w:cs="宋体"/>
          <w:color w:val="auto"/>
          <w:szCs w:val="21"/>
          <w:highlight w:val="none"/>
        </w:rPr>
        <w:t>食品类</w:t>
      </w:r>
    </w:p>
    <w:p w14:paraId="408ECE34">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(1)必须选用符合国家食品卫生法规相关标准的商品，选用无毒、无害、无污染、可溯源的副食品。</w:t>
      </w:r>
      <w:r>
        <w:rPr>
          <w:rFonts w:hint="eastAsia" w:ascii="宋体" w:hAnsi="宋体" w:cs="宋体"/>
          <w:color w:val="auto"/>
          <w:szCs w:val="21"/>
          <w:highlight w:val="none"/>
        </w:rPr>
        <w:t>若采购的为进口产品，需向采购人提供进口食品的合法证明、</w:t>
      </w:r>
      <w:r>
        <w:rPr>
          <w:rFonts w:hint="eastAsia"/>
          <w:color w:val="auto"/>
          <w:highlight w:val="none"/>
        </w:rPr>
        <w:t>检验检疫证明、报关证明、出口国家出境证明等相关证明材料。</w:t>
      </w:r>
    </w:p>
    <w:p w14:paraId="753ABAB1">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(2)食品等级标准要相符，其包装盒或标签上须注明食品名称，生产厂家、厂址、生产日 期、食品的主要原料成分和食品保质期等信息，注明不详或没有注明的商品不予验收。</w:t>
      </w:r>
      <w:r>
        <w:rPr>
          <w:rFonts w:hint="eastAsia" w:ascii="宋体" w:hAnsi="宋体" w:cs="宋体"/>
          <w:color w:val="auto"/>
          <w:szCs w:val="21"/>
          <w:highlight w:val="none"/>
          <w:lang w:val="en-US" w:eastAsia="zh-CN"/>
        </w:rPr>
        <w:t>所供产品</w:t>
      </w:r>
      <w:r>
        <w:rPr>
          <w:rFonts w:hint="eastAsia" w:ascii="宋体" w:hAnsi="宋体" w:cs="宋体"/>
          <w:color w:val="auto"/>
          <w:szCs w:val="21"/>
          <w:highlight w:val="none"/>
        </w:rPr>
        <w:t>剩余有效期不得少于标注有效期的2/3。</w:t>
      </w:r>
    </w:p>
    <w:p w14:paraId="0C9321E4">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(3)冻肉类</w:t>
      </w:r>
      <w:r>
        <w:rPr>
          <w:rFonts w:hint="eastAsia" w:ascii="宋体" w:hAnsi="宋体" w:cs="宋体"/>
          <w:color w:val="auto"/>
          <w:szCs w:val="21"/>
          <w:highlight w:val="none"/>
        </w:rPr>
        <w:t>产品</w:t>
      </w:r>
      <w:r>
        <w:rPr>
          <w:rFonts w:hint="eastAsia" w:ascii="宋体" w:hAnsi="宋体" w:cs="宋体"/>
          <w:color w:val="auto"/>
          <w:highlight w:val="none"/>
        </w:rPr>
        <w:t>中间不能有过多冰块，重量必须和包装箱上标明的重量一致。</w:t>
      </w:r>
    </w:p>
    <w:p w14:paraId="04246D51">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2" w:firstLineChars="200"/>
        <w:textAlignment w:val="auto"/>
        <w:rPr>
          <w:rFonts w:hint="eastAsia" w:ascii="宋体" w:hAnsi="宋体" w:cs="宋体"/>
          <w:b/>
          <w:bCs/>
          <w:color w:val="auto"/>
          <w:highlight w:val="none"/>
        </w:rPr>
      </w:pPr>
      <w:r>
        <w:rPr>
          <w:rFonts w:hint="eastAsia" w:ascii="宋体" w:hAnsi="宋体" w:cs="宋体"/>
          <w:b/>
          <w:bCs/>
          <w:color w:val="auto"/>
          <w:highlight w:val="none"/>
        </w:rPr>
        <w:t>三、考核标准</w:t>
      </w:r>
    </w:p>
    <w:p w14:paraId="0434CE73">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采购人对食材配送供应商实行考核制度，考核指标包括食品安全、供货质量、供货数量准确性、供货价格、服务质量等，每半年进行一次考核。中标人在服务期限内须接受采购人的考核。考核具体内容详见附件1。</w:t>
      </w:r>
    </w:p>
    <w:p w14:paraId="16E5399A">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8.1考核结果分为优秀、合格和不合格3个等次：</w:t>
      </w:r>
    </w:p>
    <w:p w14:paraId="3C9DD903">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①分数≥80分，结论:优秀，继续合作。</w:t>
      </w:r>
    </w:p>
    <w:p w14:paraId="3E85C2FF">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②80分&gt;分数≥60分，结论:合格，继续合作，问题点限时整改。</w:t>
      </w:r>
    </w:p>
    <w:p w14:paraId="1C414813">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③60分&gt;分数，或出现重大质量问题，结论:不合格，停止合作。</w:t>
      </w:r>
    </w:p>
    <w:p w14:paraId="10B9C7F2">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2" w:firstLineChars="200"/>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四、其他类要求</w:t>
      </w:r>
    </w:p>
    <w:p w14:paraId="2909F3C8">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对于采购人需求供货物资或品种不在上述类别内的，中标人须按采购人要求供货。同时须遵守国家规定的《食品安全法》、《农产品质量安全法》等法律和行政法规的规定，提供的货品须符合国家有关卫生标准，保质、保量、保鲜，严禁配送假冒、变质、过期的货品。不合格的货品，中标人须无条件包退包换。</w:t>
      </w:r>
    </w:p>
    <w:p w14:paraId="1C439238">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2" w:firstLineChars="200"/>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五、项目要求</w:t>
      </w:r>
    </w:p>
    <w:p w14:paraId="0915F811">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（一）市场采购货品管理</w:t>
      </w:r>
    </w:p>
    <w:p w14:paraId="4D510C05">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冻品类：冻品类必须选用符合国家食品卫生法规相关标准的商品，选用无毒、无害、无污染、可朔源的副食品，食品等级标准要相符，其包装盒或标签上须注明食品名称，生产厂家、厂址、生产日期、食品的主要原料成份和食品保质期等信息，包装完整，无破损，验收每批在保质期二分之一以上。</w:t>
      </w:r>
    </w:p>
    <w:p w14:paraId="4B5EF23C">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(二)质量管理</w:t>
      </w:r>
    </w:p>
    <w:p w14:paraId="51C3EC69">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1.中标人进入采购人范围内必须遵守有关规定，不得影响采购人的正常工作，由于中标人的过失造成采购人直接经济损失则要负全部责任及赔偿一切损失。</w:t>
      </w:r>
    </w:p>
    <w:p w14:paraId="40F76EFD">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2.中标人不得泄露采购人的商业秘密。泄密造成采购人损失的，中标人将承担由此产生的一切损失和法律责任。</w:t>
      </w:r>
    </w:p>
    <w:p w14:paraId="0E5DDFFB">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3.中标人应充分理解并认真遵循本招标文件的要求，所提供的货物必须满足采购人要求。</w:t>
      </w:r>
    </w:p>
    <w:p w14:paraId="2FB929A0">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4.中标人必须遵守国家规定的《食品安全法》、《农产品质量安全法》等法律和行政法规的规定，提供的货品必须符合国家有关卫生标准，保质、保量、保鲜，严禁配送假冒、变质、过期的农副产品。不合格的货品，中标人必须无条件包退包换。</w:t>
      </w:r>
    </w:p>
    <w:p w14:paraId="0221E8E0">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5.保证供应的货品均为正规生产的，新鲜、检验合格、无毒、无辐射、无侵权货品，符合国家有关卫生、质量、包装和保质标准，要使用有效期的货品，其剩余有效期不得少于标注有效期的2/3。</w:t>
      </w:r>
    </w:p>
    <w:p w14:paraId="1B07FFC2">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6.中标人保证所提供的冻品种类的多样性和季节性，以保证新鲜感。</w:t>
      </w:r>
    </w:p>
    <w:p w14:paraId="7EF1C15E">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7.货物有包装的，货物的包装必须完整清洁(无损、无污、无皱),甲方有权拒收包装不 整齐、已拆封的商品。</w:t>
      </w:r>
    </w:p>
    <w:p w14:paraId="24473B09">
      <w:pPr>
        <w:shd w:val="clear"/>
        <w:spacing w:after="0"/>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对采购的食品应当按照法律、法规和食品安全标准履行检查义务，检查食品质量和标签；查验供货者的许可证、营业执照和食品合格的证明文件。并通过记录、存档、复印等多种方式，记载查验情况。供应商提供的相关资质文件(审核加盖供应商公章的有效资信材料(复印件): 如商品进入该地区销售的许可证、商品检验报告等。并通过记录、存档、复印等多种方式，记载查验情况。进口食品还需查验进口食品的合法证明，做到一旦发现问题，可以迅速追溯到生产源头。</w:t>
      </w:r>
      <w:r>
        <w:rPr>
          <w:rFonts w:hint="eastAsia" w:ascii="宋体" w:hAnsi="宋体" w:cs="宋体"/>
          <w:color w:val="auto"/>
          <w:szCs w:val="21"/>
          <w:highlight w:val="none"/>
        </w:rPr>
        <w:br w:type="page"/>
      </w:r>
    </w:p>
    <w:p w14:paraId="087AE2AA">
      <w:pPr>
        <w:pStyle w:val="10"/>
        <w:shd w:val="clear"/>
        <w:spacing w:line="240" w:lineRule="auto"/>
        <w:rPr>
          <w:rFonts w:hint="eastAsia"/>
          <w:b/>
          <w:color w:val="auto"/>
          <w:sz w:val="21"/>
          <w:szCs w:val="21"/>
          <w:highlight w:val="none"/>
        </w:rPr>
      </w:pPr>
      <w:r>
        <w:rPr>
          <w:rFonts w:hint="eastAsia"/>
          <w:b/>
          <w:color w:val="auto"/>
          <w:sz w:val="21"/>
          <w:szCs w:val="21"/>
          <w:highlight w:val="none"/>
        </w:rPr>
        <w:t>附件1：供应商评价表</w:t>
      </w:r>
    </w:p>
    <w:p w14:paraId="53687592">
      <w:pPr>
        <w:shd w:val="clea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      年 月）</w:t>
      </w:r>
    </w:p>
    <w:tbl>
      <w:tblPr>
        <w:tblStyle w:val="32"/>
        <w:tblW w:w="8522" w:type="dxa"/>
        <w:tblInd w:w="0" w:type="dxa"/>
        <w:tblLayout w:type="fixed"/>
        <w:tblCellMar>
          <w:top w:w="0" w:type="dxa"/>
          <w:left w:w="108" w:type="dxa"/>
          <w:bottom w:w="0" w:type="dxa"/>
          <w:right w:w="108" w:type="dxa"/>
        </w:tblCellMar>
      </w:tblPr>
      <w:tblGrid>
        <w:gridCol w:w="993"/>
        <w:gridCol w:w="3672"/>
        <w:gridCol w:w="857"/>
        <w:gridCol w:w="946"/>
        <w:gridCol w:w="946"/>
        <w:gridCol w:w="1108"/>
      </w:tblGrid>
      <w:tr w14:paraId="088B675D">
        <w:tblPrEx>
          <w:tblCellMar>
            <w:top w:w="0" w:type="dxa"/>
            <w:left w:w="108" w:type="dxa"/>
            <w:bottom w:w="0" w:type="dxa"/>
            <w:right w:w="108" w:type="dxa"/>
          </w:tblCellMar>
        </w:tblPrEx>
        <w:trPr>
          <w:trHeight w:val="606" w:hRule="atLeast"/>
        </w:trPr>
        <w:tc>
          <w:tcPr>
            <w:tcW w:w="8522" w:type="dxa"/>
            <w:gridSpan w:val="6"/>
            <w:tcBorders>
              <w:top w:val="single" w:color="000000" w:sz="4" w:space="0"/>
              <w:left w:val="single" w:color="000000" w:sz="4" w:space="0"/>
              <w:bottom w:val="single" w:color="000000" w:sz="4" w:space="0"/>
              <w:right w:val="single" w:color="000000" w:sz="4" w:space="0"/>
            </w:tcBorders>
            <w:vAlign w:val="center"/>
          </w:tcPr>
          <w:p w14:paraId="74C34C75">
            <w:pPr>
              <w:shd w:val="clear"/>
              <w:spacing w:line="360" w:lineRule="auto"/>
              <w:jc w:val="center"/>
              <w:textAlignment w:val="center"/>
              <w:rPr>
                <w:rFonts w:hint="eastAsia" w:ascii="宋体" w:hAnsi="宋体" w:cs="宋体"/>
                <w:b/>
                <w:bCs/>
                <w:color w:val="auto"/>
                <w:sz w:val="32"/>
                <w:szCs w:val="32"/>
                <w:highlight w:val="none"/>
              </w:rPr>
            </w:pPr>
            <w:bookmarkStart w:id="32" w:name="OLE_LINK10"/>
            <w:r>
              <w:rPr>
                <w:rFonts w:hint="eastAsia" w:ascii="宋体" w:hAnsi="宋体" w:cs="宋体"/>
                <w:b/>
                <w:bCs/>
                <w:color w:val="auto"/>
                <w:sz w:val="32"/>
                <w:szCs w:val="32"/>
                <w:highlight w:val="none"/>
                <w:u w:val="single"/>
                <w:lang w:bidi="ar"/>
              </w:rPr>
              <w:t xml:space="preserve">               酒店有限公司</w:t>
            </w:r>
          </w:p>
        </w:tc>
      </w:tr>
      <w:tr w14:paraId="1FED9CBC">
        <w:tblPrEx>
          <w:tblCellMar>
            <w:top w:w="0" w:type="dxa"/>
            <w:left w:w="108" w:type="dxa"/>
            <w:bottom w:w="0" w:type="dxa"/>
            <w:right w:w="108" w:type="dxa"/>
          </w:tblCellMar>
        </w:tblPrEx>
        <w:trPr>
          <w:trHeight w:val="606" w:hRule="atLeast"/>
        </w:trPr>
        <w:tc>
          <w:tcPr>
            <w:tcW w:w="8522" w:type="dxa"/>
            <w:gridSpan w:val="6"/>
            <w:tcBorders>
              <w:top w:val="single" w:color="000000" w:sz="4" w:space="0"/>
              <w:left w:val="single" w:color="000000" w:sz="4" w:space="0"/>
              <w:bottom w:val="single" w:color="000000" w:sz="4" w:space="0"/>
              <w:right w:val="single" w:color="000000" w:sz="4" w:space="0"/>
            </w:tcBorders>
            <w:vAlign w:val="center"/>
          </w:tcPr>
          <w:p w14:paraId="501E6B2E">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供应商评价表</w:t>
            </w:r>
          </w:p>
        </w:tc>
      </w:tr>
      <w:tr w14:paraId="407BAF63">
        <w:tblPrEx>
          <w:tblCellMar>
            <w:top w:w="0" w:type="dxa"/>
            <w:left w:w="108" w:type="dxa"/>
            <w:bottom w:w="0" w:type="dxa"/>
            <w:right w:w="108" w:type="dxa"/>
          </w:tblCellMar>
        </w:tblPrEx>
        <w:trPr>
          <w:trHeight w:val="427" w:hRule="atLeast"/>
        </w:trPr>
        <w:tc>
          <w:tcPr>
            <w:tcW w:w="993" w:type="dxa"/>
            <w:tcBorders>
              <w:top w:val="single" w:color="000000" w:sz="4" w:space="0"/>
              <w:left w:val="single" w:color="000000" w:sz="4" w:space="0"/>
              <w:bottom w:val="single" w:color="000000" w:sz="4" w:space="0"/>
              <w:right w:val="single" w:color="000000" w:sz="4" w:space="0"/>
            </w:tcBorders>
            <w:vAlign w:val="center"/>
          </w:tcPr>
          <w:p w14:paraId="2E3CE7EA">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供应商名称：</w:t>
            </w:r>
          </w:p>
        </w:tc>
        <w:tc>
          <w:tcPr>
            <w:tcW w:w="3672" w:type="dxa"/>
            <w:tcBorders>
              <w:top w:val="single" w:color="000000" w:sz="4" w:space="0"/>
              <w:left w:val="single" w:color="000000" w:sz="4" w:space="0"/>
              <w:bottom w:val="single" w:color="000000" w:sz="4" w:space="0"/>
              <w:right w:val="single" w:color="000000" w:sz="4" w:space="0"/>
            </w:tcBorders>
            <w:vAlign w:val="center"/>
          </w:tcPr>
          <w:p w14:paraId="57149D0A">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b/>
                <w:bCs/>
                <w:color w:val="auto"/>
                <w:sz w:val="24"/>
                <w:szCs w:val="24"/>
                <w:highlight w:val="none"/>
                <w:lang w:val="en-US" w:eastAsia="zh-CN"/>
              </w:rPr>
            </w:pPr>
          </w:p>
        </w:tc>
        <w:tc>
          <w:tcPr>
            <w:tcW w:w="857" w:type="dxa"/>
            <w:tcBorders>
              <w:top w:val="single" w:color="000000" w:sz="4" w:space="0"/>
              <w:left w:val="single" w:color="000000" w:sz="4" w:space="0"/>
              <w:bottom w:val="single" w:color="000000" w:sz="4" w:space="0"/>
              <w:right w:val="single" w:color="000000" w:sz="4" w:space="0"/>
            </w:tcBorders>
            <w:vAlign w:val="center"/>
          </w:tcPr>
          <w:p w14:paraId="5C150EF0">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评价时间：</w:t>
            </w:r>
          </w:p>
        </w:tc>
        <w:tc>
          <w:tcPr>
            <w:tcW w:w="3000" w:type="dxa"/>
            <w:gridSpan w:val="3"/>
            <w:tcBorders>
              <w:top w:val="single" w:color="000000" w:sz="4" w:space="0"/>
              <w:left w:val="single" w:color="000000" w:sz="4" w:space="0"/>
              <w:bottom w:val="single" w:color="000000" w:sz="4" w:space="0"/>
              <w:right w:val="single" w:color="000000" w:sz="4" w:space="0"/>
            </w:tcBorders>
            <w:vAlign w:val="center"/>
          </w:tcPr>
          <w:p w14:paraId="59856661">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年   月   日</w:t>
            </w:r>
          </w:p>
        </w:tc>
      </w:tr>
      <w:tr w14:paraId="451CC41C">
        <w:tblPrEx>
          <w:tblCellMar>
            <w:top w:w="0" w:type="dxa"/>
            <w:left w:w="108" w:type="dxa"/>
            <w:bottom w:w="0" w:type="dxa"/>
            <w:right w:w="108" w:type="dxa"/>
          </w:tblCellMar>
        </w:tblPrEx>
        <w:trPr>
          <w:trHeight w:val="427" w:hRule="atLeast"/>
        </w:trPr>
        <w:tc>
          <w:tcPr>
            <w:tcW w:w="993" w:type="dxa"/>
            <w:tcBorders>
              <w:top w:val="single" w:color="000000" w:sz="4" w:space="0"/>
              <w:left w:val="single" w:color="000000" w:sz="4" w:space="0"/>
              <w:bottom w:val="single" w:color="000000" w:sz="4" w:space="0"/>
              <w:right w:val="single" w:color="000000" w:sz="4" w:space="0"/>
            </w:tcBorders>
            <w:vAlign w:val="center"/>
          </w:tcPr>
          <w:p w14:paraId="6467529E">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供货品类：</w:t>
            </w:r>
          </w:p>
        </w:tc>
        <w:tc>
          <w:tcPr>
            <w:tcW w:w="3672" w:type="dxa"/>
            <w:tcBorders>
              <w:top w:val="single" w:color="000000" w:sz="4" w:space="0"/>
              <w:left w:val="single" w:color="000000" w:sz="4" w:space="0"/>
              <w:bottom w:val="single" w:color="000000" w:sz="4" w:space="0"/>
              <w:right w:val="single" w:color="000000" w:sz="4" w:space="0"/>
            </w:tcBorders>
            <w:vAlign w:val="center"/>
          </w:tcPr>
          <w:p w14:paraId="59AC70E3">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食品类</w:t>
            </w:r>
          </w:p>
        </w:tc>
        <w:tc>
          <w:tcPr>
            <w:tcW w:w="857" w:type="dxa"/>
            <w:tcBorders>
              <w:top w:val="single" w:color="000000" w:sz="4" w:space="0"/>
              <w:left w:val="single" w:color="000000" w:sz="4" w:space="0"/>
              <w:bottom w:val="single" w:color="000000" w:sz="4" w:space="0"/>
              <w:right w:val="single" w:color="000000" w:sz="4" w:space="0"/>
            </w:tcBorders>
            <w:vAlign w:val="center"/>
          </w:tcPr>
          <w:p w14:paraId="6FF2BB93">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b/>
                <w:bCs/>
                <w:color w:val="auto"/>
                <w:sz w:val="24"/>
                <w:szCs w:val="24"/>
                <w:highlight w:val="none"/>
                <w:lang w:val="en-US" w:eastAsia="zh-CN"/>
              </w:rPr>
            </w:pPr>
          </w:p>
        </w:tc>
        <w:tc>
          <w:tcPr>
            <w:tcW w:w="3000" w:type="dxa"/>
            <w:gridSpan w:val="3"/>
            <w:tcBorders>
              <w:top w:val="single" w:color="000000" w:sz="4" w:space="0"/>
              <w:left w:val="single" w:color="000000" w:sz="4" w:space="0"/>
              <w:bottom w:val="single" w:color="000000" w:sz="4" w:space="0"/>
              <w:right w:val="single" w:color="000000" w:sz="4" w:space="0"/>
            </w:tcBorders>
            <w:vAlign w:val="center"/>
          </w:tcPr>
          <w:p w14:paraId="5E41EC15">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评分部门</w:t>
            </w:r>
          </w:p>
        </w:tc>
      </w:tr>
      <w:tr w14:paraId="254EBEA6">
        <w:tblPrEx>
          <w:tblCellMar>
            <w:top w:w="0" w:type="dxa"/>
            <w:left w:w="108" w:type="dxa"/>
            <w:bottom w:w="0" w:type="dxa"/>
            <w:right w:w="108" w:type="dxa"/>
          </w:tblCellMar>
        </w:tblPrEx>
        <w:trPr>
          <w:trHeight w:val="484" w:hRule="atLeast"/>
        </w:trPr>
        <w:tc>
          <w:tcPr>
            <w:tcW w:w="993" w:type="dxa"/>
            <w:tcBorders>
              <w:top w:val="single" w:color="000000" w:sz="4" w:space="0"/>
              <w:left w:val="single" w:color="000000" w:sz="4" w:space="0"/>
              <w:bottom w:val="single" w:color="000000" w:sz="4" w:space="0"/>
              <w:right w:val="single" w:color="000000" w:sz="4" w:space="0"/>
            </w:tcBorders>
            <w:vAlign w:val="center"/>
          </w:tcPr>
          <w:p w14:paraId="22E5A628">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3672" w:type="dxa"/>
            <w:tcBorders>
              <w:top w:val="single" w:color="000000" w:sz="4" w:space="0"/>
              <w:left w:val="single" w:color="000000" w:sz="4" w:space="0"/>
              <w:bottom w:val="single" w:color="000000" w:sz="4" w:space="0"/>
              <w:right w:val="single" w:color="000000" w:sz="4" w:space="0"/>
            </w:tcBorders>
            <w:vAlign w:val="center"/>
          </w:tcPr>
          <w:p w14:paraId="229E8697">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依据描述</w:t>
            </w:r>
          </w:p>
        </w:tc>
        <w:tc>
          <w:tcPr>
            <w:tcW w:w="857" w:type="dxa"/>
            <w:tcBorders>
              <w:top w:val="single" w:color="000000" w:sz="4" w:space="0"/>
              <w:left w:val="single" w:color="000000" w:sz="4" w:space="0"/>
              <w:bottom w:val="single" w:color="000000" w:sz="4" w:space="0"/>
              <w:right w:val="single" w:color="000000" w:sz="4" w:space="0"/>
            </w:tcBorders>
            <w:vAlign w:val="center"/>
          </w:tcPr>
          <w:p w14:paraId="10CC4852">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得分范围</w:t>
            </w:r>
          </w:p>
        </w:tc>
        <w:tc>
          <w:tcPr>
            <w:tcW w:w="946" w:type="dxa"/>
            <w:tcBorders>
              <w:top w:val="single" w:color="000000" w:sz="4" w:space="0"/>
              <w:left w:val="single" w:color="000000" w:sz="4" w:space="0"/>
              <w:bottom w:val="single" w:color="000000" w:sz="4" w:space="0"/>
              <w:right w:val="single" w:color="000000" w:sz="4" w:space="0"/>
            </w:tcBorders>
            <w:vAlign w:val="center"/>
          </w:tcPr>
          <w:p w14:paraId="0B8D24F6">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使用部门</w:t>
            </w:r>
          </w:p>
        </w:tc>
        <w:tc>
          <w:tcPr>
            <w:tcW w:w="946" w:type="dxa"/>
            <w:tcBorders>
              <w:top w:val="single" w:color="000000" w:sz="4" w:space="0"/>
              <w:left w:val="single" w:color="000000" w:sz="4" w:space="0"/>
              <w:bottom w:val="single" w:color="000000" w:sz="4" w:space="0"/>
              <w:right w:val="single" w:color="000000" w:sz="4" w:space="0"/>
            </w:tcBorders>
            <w:vAlign w:val="center"/>
          </w:tcPr>
          <w:p w14:paraId="37678F21">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财务部</w:t>
            </w:r>
          </w:p>
        </w:tc>
        <w:tc>
          <w:tcPr>
            <w:tcW w:w="1108" w:type="dxa"/>
            <w:tcBorders>
              <w:top w:val="single" w:color="000000" w:sz="4" w:space="0"/>
              <w:left w:val="single" w:color="000000" w:sz="4" w:space="0"/>
              <w:bottom w:val="single" w:color="000000" w:sz="4" w:space="0"/>
              <w:right w:val="single" w:color="000000" w:sz="4" w:space="0"/>
            </w:tcBorders>
            <w:vAlign w:val="center"/>
          </w:tcPr>
          <w:p w14:paraId="1F4DDF67">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行政综合部</w:t>
            </w:r>
          </w:p>
        </w:tc>
      </w:tr>
      <w:tr w14:paraId="222E69CD">
        <w:tblPrEx>
          <w:tblCellMar>
            <w:top w:w="0" w:type="dxa"/>
            <w:left w:w="108" w:type="dxa"/>
            <w:bottom w:w="0" w:type="dxa"/>
            <w:right w:w="108" w:type="dxa"/>
          </w:tblCellMar>
        </w:tblPrEx>
        <w:trPr>
          <w:trHeight w:val="484" w:hRule="atLeast"/>
        </w:trPr>
        <w:tc>
          <w:tcPr>
            <w:tcW w:w="993" w:type="dxa"/>
            <w:vMerge w:val="restart"/>
            <w:tcBorders>
              <w:top w:val="single" w:color="000000" w:sz="4" w:space="0"/>
              <w:left w:val="single" w:color="000000" w:sz="4" w:space="0"/>
              <w:bottom w:val="single" w:color="000000" w:sz="4" w:space="0"/>
              <w:right w:val="single" w:color="000000" w:sz="4" w:space="0"/>
            </w:tcBorders>
            <w:vAlign w:val="center"/>
          </w:tcPr>
          <w:p w14:paraId="7F769B48">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1、供货及时性（20分）</w:t>
            </w:r>
          </w:p>
        </w:tc>
        <w:tc>
          <w:tcPr>
            <w:tcW w:w="3672" w:type="dxa"/>
            <w:tcBorders>
              <w:top w:val="single" w:color="000000" w:sz="4" w:space="0"/>
              <w:left w:val="single" w:color="000000" w:sz="4" w:space="0"/>
              <w:bottom w:val="single" w:color="000000" w:sz="4" w:space="0"/>
              <w:right w:val="single" w:color="000000" w:sz="4" w:space="0"/>
            </w:tcBorders>
            <w:vAlign w:val="center"/>
          </w:tcPr>
          <w:p w14:paraId="753EFC1D">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(1)每次均能及时到货，并提供完整检测报告。</w:t>
            </w:r>
          </w:p>
        </w:tc>
        <w:tc>
          <w:tcPr>
            <w:tcW w:w="857" w:type="dxa"/>
            <w:tcBorders>
              <w:top w:val="single" w:color="000000" w:sz="4" w:space="0"/>
              <w:left w:val="single" w:color="000000" w:sz="4" w:space="0"/>
              <w:bottom w:val="single" w:color="000000" w:sz="4" w:space="0"/>
              <w:right w:val="single" w:color="000000" w:sz="4" w:space="0"/>
            </w:tcBorders>
            <w:vAlign w:val="center"/>
          </w:tcPr>
          <w:p w14:paraId="470877DB">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14-20分</w:t>
            </w:r>
          </w:p>
        </w:tc>
        <w:tc>
          <w:tcPr>
            <w:tcW w:w="946" w:type="dxa"/>
            <w:vMerge w:val="restart"/>
            <w:tcBorders>
              <w:top w:val="single" w:color="000000" w:sz="4" w:space="0"/>
              <w:left w:val="single" w:color="000000" w:sz="4" w:space="0"/>
              <w:bottom w:val="single" w:color="000000" w:sz="4" w:space="0"/>
              <w:right w:val="single" w:color="000000" w:sz="4" w:space="0"/>
            </w:tcBorders>
            <w:vAlign w:val="center"/>
          </w:tcPr>
          <w:p w14:paraId="4BAC64CC">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946" w:type="dxa"/>
            <w:vMerge w:val="restart"/>
            <w:tcBorders>
              <w:top w:val="single" w:color="000000" w:sz="4" w:space="0"/>
              <w:left w:val="single" w:color="000000" w:sz="4" w:space="0"/>
              <w:bottom w:val="single" w:color="000000" w:sz="4" w:space="0"/>
              <w:right w:val="single" w:color="000000" w:sz="4" w:space="0"/>
            </w:tcBorders>
            <w:vAlign w:val="center"/>
          </w:tcPr>
          <w:p w14:paraId="38B92608">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1108" w:type="dxa"/>
            <w:vMerge w:val="restart"/>
            <w:tcBorders>
              <w:top w:val="single" w:color="000000" w:sz="4" w:space="0"/>
              <w:left w:val="single" w:color="000000" w:sz="4" w:space="0"/>
              <w:bottom w:val="single" w:color="000000" w:sz="4" w:space="0"/>
              <w:right w:val="single" w:color="000000" w:sz="4" w:space="0"/>
            </w:tcBorders>
            <w:vAlign w:val="center"/>
          </w:tcPr>
          <w:p w14:paraId="17A1627B">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r>
      <w:tr w14:paraId="08B2B66C">
        <w:tblPrEx>
          <w:tblCellMar>
            <w:top w:w="0" w:type="dxa"/>
            <w:left w:w="108" w:type="dxa"/>
            <w:bottom w:w="0" w:type="dxa"/>
            <w:right w:w="108" w:type="dxa"/>
          </w:tblCellMar>
        </w:tblPrEx>
        <w:trPr>
          <w:trHeight w:val="484" w:hRule="atLeast"/>
        </w:trPr>
        <w:tc>
          <w:tcPr>
            <w:tcW w:w="993" w:type="dxa"/>
            <w:vMerge w:val="continue"/>
            <w:tcBorders>
              <w:top w:val="single" w:color="000000" w:sz="4" w:space="0"/>
              <w:left w:val="single" w:color="000000" w:sz="4" w:space="0"/>
              <w:bottom w:val="single" w:color="000000" w:sz="4" w:space="0"/>
              <w:right w:val="single" w:color="000000" w:sz="4" w:space="0"/>
            </w:tcBorders>
            <w:vAlign w:val="center"/>
          </w:tcPr>
          <w:p w14:paraId="282B200D">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3672" w:type="dxa"/>
            <w:tcBorders>
              <w:top w:val="single" w:color="000000" w:sz="4" w:space="0"/>
              <w:left w:val="single" w:color="000000" w:sz="4" w:space="0"/>
              <w:bottom w:val="single" w:color="000000" w:sz="4" w:space="0"/>
              <w:right w:val="single" w:color="000000" w:sz="4" w:space="0"/>
            </w:tcBorders>
            <w:vAlign w:val="center"/>
          </w:tcPr>
          <w:p w14:paraId="2D42675E">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(2)偶尔供货及提供检测报告不及时，但对出品造成较小影响。</w:t>
            </w:r>
          </w:p>
        </w:tc>
        <w:tc>
          <w:tcPr>
            <w:tcW w:w="857" w:type="dxa"/>
            <w:tcBorders>
              <w:top w:val="single" w:color="000000" w:sz="4" w:space="0"/>
              <w:left w:val="single" w:color="000000" w:sz="4" w:space="0"/>
              <w:bottom w:val="single" w:color="000000" w:sz="4" w:space="0"/>
              <w:right w:val="single" w:color="000000" w:sz="4" w:space="0"/>
            </w:tcBorders>
            <w:vAlign w:val="center"/>
          </w:tcPr>
          <w:p w14:paraId="0257B882">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7-13分</w:t>
            </w:r>
          </w:p>
        </w:tc>
        <w:tc>
          <w:tcPr>
            <w:tcW w:w="946" w:type="dxa"/>
            <w:vMerge w:val="continue"/>
            <w:tcBorders>
              <w:top w:val="single" w:color="000000" w:sz="4" w:space="0"/>
              <w:left w:val="single" w:color="000000" w:sz="4" w:space="0"/>
              <w:bottom w:val="single" w:color="000000" w:sz="4" w:space="0"/>
              <w:right w:val="single" w:color="000000" w:sz="4" w:space="0"/>
            </w:tcBorders>
            <w:vAlign w:val="center"/>
          </w:tcPr>
          <w:p w14:paraId="64C9B6D4">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946" w:type="dxa"/>
            <w:vMerge w:val="continue"/>
            <w:tcBorders>
              <w:top w:val="single" w:color="000000" w:sz="4" w:space="0"/>
              <w:left w:val="single" w:color="000000" w:sz="4" w:space="0"/>
              <w:bottom w:val="single" w:color="000000" w:sz="4" w:space="0"/>
              <w:right w:val="single" w:color="000000" w:sz="4" w:space="0"/>
            </w:tcBorders>
            <w:vAlign w:val="center"/>
          </w:tcPr>
          <w:p w14:paraId="56426BB1">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1108" w:type="dxa"/>
            <w:vMerge w:val="continue"/>
            <w:tcBorders>
              <w:top w:val="single" w:color="000000" w:sz="4" w:space="0"/>
              <w:left w:val="single" w:color="000000" w:sz="4" w:space="0"/>
              <w:bottom w:val="single" w:color="000000" w:sz="4" w:space="0"/>
              <w:right w:val="single" w:color="000000" w:sz="4" w:space="0"/>
            </w:tcBorders>
            <w:vAlign w:val="center"/>
          </w:tcPr>
          <w:p w14:paraId="189518D2">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r>
      <w:tr w14:paraId="44620701">
        <w:tblPrEx>
          <w:tblCellMar>
            <w:top w:w="0" w:type="dxa"/>
            <w:left w:w="108" w:type="dxa"/>
            <w:bottom w:w="0" w:type="dxa"/>
            <w:right w:w="108" w:type="dxa"/>
          </w:tblCellMar>
        </w:tblPrEx>
        <w:trPr>
          <w:trHeight w:val="484" w:hRule="atLeast"/>
        </w:trPr>
        <w:tc>
          <w:tcPr>
            <w:tcW w:w="993" w:type="dxa"/>
            <w:vMerge w:val="continue"/>
            <w:tcBorders>
              <w:top w:val="single" w:color="000000" w:sz="4" w:space="0"/>
              <w:left w:val="single" w:color="000000" w:sz="4" w:space="0"/>
              <w:bottom w:val="single" w:color="000000" w:sz="4" w:space="0"/>
              <w:right w:val="single" w:color="000000" w:sz="4" w:space="0"/>
            </w:tcBorders>
            <w:vAlign w:val="center"/>
          </w:tcPr>
          <w:p w14:paraId="383C9B6C">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3672" w:type="dxa"/>
            <w:tcBorders>
              <w:top w:val="single" w:color="000000" w:sz="4" w:space="0"/>
              <w:left w:val="single" w:color="000000" w:sz="4" w:space="0"/>
              <w:bottom w:val="single" w:color="000000" w:sz="4" w:space="0"/>
              <w:right w:val="single" w:color="000000" w:sz="4" w:space="0"/>
            </w:tcBorders>
            <w:vAlign w:val="center"/>
          </w:tcPr>
          <w:p w14:paraId="2AE3509F">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(3)供货及提供检测报告不及时次数过多，且对出品造成较大影响。</w:t>
            </w:r>
          </w:p>
        </w:tc>
        <w:tc>
          <w:tcPr>
            <w:tcW w:w="857" w:type="dxa"/>
            <w:tcBorders>
              <w:top w:val="single" w:color="000000" w:sz="4" w:space="0"/>
              <w:left w:val="single" w:color="000000" w:sz="4" w:space="0"/>
              <w:bottom w:val="single" w:color="000000" w:sz="4" w:space="0"/>
              <w:right w:val="single" w:color="000000" w:sz="4" w:space="0"/>
            </w:tcBorders>
            <w:vAlign w:val="center"/>
          </w:tcPr>
          <w:p w14:paraId="32FEB7EF">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0-6分</w:t>
            </w:r>
          </w:p>
        </w:tc>
        <w:tc>
          <w:tcPr>
            <w:tcW w:w="946" w:type="dxa"/>
            <w:vMerge w:val="continue"/>
            <w:tcBorders>
              <w:top w:val="single" w:color="000000" w:sz="4" w:space="0"/>
              <w:left w:val="single" w:color="000000" w:sz="4" w:space="0"/>
              <w:bottom w:val="single" w:color="000000" w:sz="4" w:space="0"/>
              <w:right w:val="single" w:color="000000" w:sz="4" w:space="0"/>
            </w:tcBorders>
            <w:vAlign w:val="center"/>
          </w:tcPr>
          <w:p w14:paraId="6E71F4C7">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946" w:type="dxa"/>
            <w:vMerge w:val="continue"/>
            <w:tcBorders>
              <w:top w:val="single" w:color="000000" w:sz="4" w:space="0"/>
              <w:left w:val="single" w:color="000000" w:sz="4" w:space="0"/>
              <w:bottom w:val="single" w:color="000000" w:sz="4" w:space="0"/>
              <w:right w:val="single" w:color="000000" w:sz="4" w:space="0"/>
            </w:tcBorders>
            <w:vAlign w:val="center"/>
          </w:tcPr>
          <w:p w14:paraId="12E1BCF0">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1108" w:type="dxa"/>
            <w:vMerge w:val="continue"/>
            <w:tcBorders>
              <w:top w:val="single" w:color="000000" w:sz="4" w:space="0"/>
              <w:left w:val="single" w:color="000000" w:sz="4" w:space="0"/>
              <w:bottom w:val="single" w:color="000000" w:sz="4" w:space="0"/>
              <w:right w:val="single" w:color="000000" w:sz="4" w:space="0"/>
            </w:tcBorders>
            <w:vAlign w:val="center"/>
          </w:tcPr>
          <w:p w14:paraId="65AE1E91">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r>
      <w:tr w14:paraId="22661D63">
        <w:tblPrEx>
          <w:tblCellMar>
            <w:top w:w="0" w:type="dxa"/>
            <w:left w:w="108" w:type="dxa"/>
            <w:bottom w:w="0" w:type="dxa"/>
            <w:right w:w="108" w:type="dxa"/>
          </w:tblCellMar>
        </w:tblPrEx>
        <w:trPr>
          <w:trHeight w:val="484" w:hRule="atLeast"/>
        </w:trPr>
        <w:tc>
          <w:tcPr>
            <w:tcW w:w="993" w:type="dxa"/>
            <w:vMerge w:val="restart"/>
            <w:tcBorders>
              <w:top w:val="single" w:color="000000" w:sz="4" w:space="0"/>
              <w:left w:val="single" w:color="000000" w:sz="4" w:space="0"/>
              <w:bottom w:val="single" w:color="000000" w:sz="4" w:space="0"/>
              <w:right w:val="single" w:color="000000" w:sz="4" w:space="0"/>
            </w:tcBorders>
            <w:vAlign w:val="center"/>
          </w:tcPr>
          <w:p w14:paraId="22ADAA47">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2、品类齐全度（20分）</w:t>
            </w:r>
          </w:p>
        </w:tc>
        <w:tc>
          <w:tcPr>
            <w:tcW w:w="3672" w:type="dxa"/>
            <w:tcBorders>
              <w:top w:val="single" w:color="000000" w:sz="4" w:space="0"/>
              <w:left w:val="single" w:color="000000" w:sz="4" w:space="0"/>
              <w:bottom w:val="single" w:color="000000" w:sz="4" w:space="0"/>
              <w:right w:val="single" w:color="000000" w:sz="4" w:space="0"/>
            </w:tcBorders>
            <w:vAlign w:val="center"/>
          </w:tcPr>
          <w:p w14:paraId="295E86CC">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(1)品类齐全，能充分满足使用要求。</w:t>
            </w:r>
          </w:p>
        </w:tc>
        <w:tc>
          <w:tcPr>
            <w:tcW w:w="857" w:type="dxa"/>
            <w:tcBorders>
              <w:top w:val="single" w:color="000000" w:sz="4" w:space="0"/>
              <w:left w:val="single" w:color="000000" w:sz="4" w:space="0"/>
              <w:bottom w:val="single" w:color="000000" w:sz="4" w:space="0"/>
              <w:right w:val="single" w:color="000000" w:sz="4" w:space="0"/>
            </w:tcBorders>
            <w:vAlign w:val="center"/>
          </w:tcPr>
          <w:p w14:paraId="4010AE25">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14-20分</w:t>
            </w:r>
          </w:p>
        </w:tc>
        <w:tc>
          <w:tcPr>
            <w:tcW w:w="946" w:type="dxa"/>
            <w:vMerge w:val="restart"/>
            <w:tcBorders>
              <w:top w:val="single" w:color="000000" w:sz="4" w:space="0"/>
              <w:left w:val="single" w:color="000000" w:sz="4" w:space="0"/>
              <w:bottom w:val="single" w:color="000000" w:sz="4" w:space="0"/>
              <w:right w:val="single" w:color="000000" w:sz="4" w:space="0"/>
            </w:tcBorders>
            <w:vAlign w:val="center"/>
          </w:tcPr>
          <w:p w14:paraId="39E1A811">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946" w:type="dxa"/>
            <w:vMerge w:val="restart"/>
            <w:tcBorders>
              <w:top w:val="single" w:color="000000" w:sz="4" w:space="0"/>
              <w:left w:val="single" w:color="000000" w:sz="4" w:space="0"/>
              <w:bottom w:val="single" w:color="000000" w:sz="4" w:space="0"/>
              <w:right w:val="single" w:color="000000" w:sz="4" w:space="0"/>
            </w:tcBorders>
            <w:vAlign w:val="center"/>
          </w:tcPr>
          <w:p w14:paraId="025D0AF1">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1108" w:type="dxa"/>
            <w:vMerge w:val="restart"/>
            <w:tcBorders>
              <w:top w:val="single" w:color="000000" w:sz="4" w:space="0"/>
              <w:left w:val="single" w:color="000000" w:sz="4" w:space="0"/>
              <w:bottom w:val="single" w:color="000000" w:sz="4" w:space="0"/>
              <w:right w:val="single" w:color="000000" w:sz="4" w:space="0"/>
            </w:tcBorders>
            <w:vAlign w:val="center"/>
          </w:tcPr>
          <w:p w14:paraId="797A9D54">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r>
      <w:tr w14:paraId="1E02AE02">
        <w:tblPrEx>
          <w:tblCellMar>
            <w:top w:w="0" w:type="dxa"/>
            <w:left w:w="108" w:type="dxa"/>
            <w:bottom w:w="0" w:type="dxa"/>
            <w:right w:w="108" w:type="dxa"/>
          </w:tblCellMar>
        </w:tblPrEx>
        <w:trPr>
          <w:trHeight w:val="484" w:hRule="atLeast"/>
        </w:trPr>
        <w:tc>
          <w:tcPr>
            <w:tcW w:w="993" w:type="dxa"/>
            <w:vMerge w:val="continue"/>
            <w:tcBorders>
              <w:top w:val="single" w:color="000000" w:sz="4" w:space="0"/>
              <w:left w:val="single" w:color="000000" w:sz="4" w:space="0"/>
              <w:bottom w:val="single" w:color="000000" w:sz="4" w:space="0"/>
              <w:right w:val="single" w:color="000000" w:sz="4" w:space="0"/>
            </w:tcBorders>
            <w:vAlign w:val="center"/>
          </w:tcPr>
          <w:p w14:paraId="0CD15475">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3672" w:type="dxa"/>
            <w:tcBorders>
              <w:top w:val="single" w:color="000000" w:sz="4" w:space="0"/>
              <w:left w:val="single" w:color="000000" w:sz="4" w:space="0"/>
              <w:bottom w:val="single" w:color="000000" w:sz="4" w:space="0"/>
              <w:right w:val="single" w:color="000000" w:sz="4" w:space="0"/>
            </w:tcBorders>
            <w:vAlign w:val="center"/>
          </w:tcPr>
          <w:p w14:paraId="729322EA">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(2)品类基本齐全，偶尔与实际需求不相符，但对出品造成较小影响。</w:t>
            </w:r>
          </w:p>
        </w:tc>
        <w:tc>
          <w:tcPr>
            <w:tcW w:w="857" w:type="dxa"/>
            <w:tcBorders>
              <w:top w:val="single" w:color="000000" w:sz="4" w:space="0"/>
              <w:left w:val="single" w:color="000000" w:sz="4" w:space="0"/>
              <w:bottom w:val="single" w:color="000000" w:sz="4" w:space="0"/>
              <w:right w:val="single" w:color="000000" w:sz="4" w:space="0"/>
            </w:tcBorders>
            <w:vAlign w:val="center"/>
          </w:tcPr>
          <w:p w14:paraId="6C4D94FD">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7-13分</w:t>
            </w:r>
          </w:p>
        </w:tc>
        <w:tc>
          <w:tcPr>
            <w:tcW w:w="946" w:type="dxa"/>
            <w:vMerge w:val="continue"/>
            <w:tcBorders>
              <w:top w:val="single" w:color="000000" w:sz="4" w:space="0"/>
              <w:left w:val="single" w:color="000000" w:sz="4" w:space="0"/>
              <w:bottom w:val="single" w:color="000000" w:sz="4" w:space="0"/>
              <w:right w:val="single" w:color="000000" w:sz="4" w:space="0"/>
            </w:tcBorders>
            <w:vAlign w:val="center"/>
          </w:tcPr>
          <w:p w14:paraId="23F3DFB5">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946" w:type="dxa"/>
            <w:vMerge w:val="continue"/>
            <w:tcBorders>
              <w:top w:val="single" w:color="000000" w:sz="4" w:space="0"/>
              <w:left w:val="single" w:color="000000" w:sz="4" w:space="0"/>
              <w:bottom w:val="single" w:color="000000" w:sz="4" w:space="0"/>
              <w:right w:val="single" w:color="000000" w:sz="4" w:space="0"/>
            </w:tcBorders>
            <w:vAlign w:val="center"/>
          </w:tcPr>
          <w:p w14:paraId="2336ADFD">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1108" w:type="dxa"/>
            <w:vMerge w:val="continue"/>
            <w:tcBorders>
              <w:top w:val="single" w:color="000000" w:sz="4" w:space="0"/>
              <w:left w:val="single" w:color="000000" w:sz="4" w:space="0"/>
              <w:bottom w:val="single" w:color="000000" w:sz="4" w:space="0"/>
              <w:right w:val="single" w:color="000000" w:sz="4" w:space="0"/>
            </w:tcBorders>
            <w:vAlign w:val="center"/>
          </w:tcPr>
          <w:p w14:paraId="097E84AD">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r>
      <w:tr w14:paraId="53B002CA">
        <w:tblPrEx>
          <w:tblCellMar>
            <w:top w:w="0" w:type="dxa"/>
            <w:left w:w="108" w:type="dxa"/>
            <w:bottom w:w="0" w:type="dxa"/>
            <w:right w:w="108" w:type="dxa"/>
          </w:tblCellMar>
        </w:tblPrEx>
        <w:trPr>
          <w:trHeight w:val="755" w:hRule="atLeast"/>
        </w:trPr>
        <w:tc>
          <w:tcPr>
            <w:tcW w:w="993" w:type="dxa"/>
            <w:vMerge w:val="continue"/>
            <w:tcBorders>
              <w:top w:val="single" w:color="000000" w:sz="4" w:space="0"/>
              <w:left w:val="single" w:color="000000" w:sz="4" w:space="0"/>
              <w:bottom w:val="single" w:color="000000" w:sz="4" w:space="0"/>
              <w:right w:val="single" w:color="000000" w:sz="4" w:space="0"/>
            </w:tcBorders>
            <w:vAlign w:val="center"/>
          </w:tcPr>
          <w:p w14:paraId="53EE3E41">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3672" w:type="dxa"/>
            <w:tcBorders>
              <w:top w:val="single" w:color="000000" w:sz="4" w:space="0"/>
              <w:left w:val="single" w:color="000000" w:sz="4" w:space="0"/>
              <w:bottom w:val="single" w:color="000000" w:sz="4" w:space="0"/>
              <w:right w:val="single" w:color="000000" w:sz="4" w:space="0"/>
            </w:tcBorders>
            <w:vAlign w:val="center"/>
          </w:tcPr>
          <w:p w14:paraId="4E075203">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(3)品类较少，供货差异较大，无法满足正常需求，且对出品造成较大影响。</w:t>
            </w:r>
          </w:p>
        </w:tc>
        <w:tc>
          <w:tcPr>
            <w:tcW w:w="857" w:type="dxa"/>
            <w:tcBorders>
              <w:top w:val="single" w:color="000000" w:sz="4" w:space="0"/>
              <w:left w:val="single" w:color="000000" w:sz="4" w:space="0"/>
              <w:bottom w:val="single" w:color="000000" w:sz="4" w:space="0"/>
              <w:right w:val="single" w:color="000000" w:sz="4" w:space="0"/>
            </w:tcBorders>
            <w:vAlign w:val="center"/>
          </w:tcPr>
          <w:p w14:paraId="0C5AB3FD">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0-6分</w:t>
            </w:r>
          </w:p>
        </w:tc>
        <w:tc>
          <w:tcPr>
            <w:tcW w:w="946" w:type="dxa"/>
            <w:vMerge w:val="continue"/>
            <w:tcBorders>
              <w:top w:val="single" w:color="000000" w:sz="4" w:space="0"/>
              <w:left w:val="single" w:color="000000" w:sz="4" w:space="0"/>
              <w:bottom w:val="single" w:color="000000" w:sz="4" w:space="0"/>
              <w:right w:val="single" w:color="000000" w:sz="4" w:space="0"/>
            </w:tcBorders>
            <w:vAlign w:val="center"/>
          </w:tcPr>
          <w:p w14:paraId="1C06E470">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946" w:type="dxa"/>
            <w:vMerge w:val="continue"/>
            <w:tcBorders>
              <w:top w:val="single" w:color="000000" w:sz="4" w:space="0"/>
              <w:left w:val="single" w:color="000000" w:sz="4" w:space="0"/>
              <w:bottom w:val="single" w:color="000000" w:sz="4" w:space="0"/>
              <w:right w:val="single" w:color="000000" w:sz="4" w:space="0"/>
            </w:tcBorders>
            <w:vAlign w:val="center"/>
          </w:tcPr>
          <w:p w14:paraId="0E9CEB59">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1108" w:type="dxa"/>
            <w:vMerge w:val="continue"/>
            <w:tcBorders>
              <w:top w:val="single" w:color="000000" w:sz="4" w:space="0"/>
              <w:left w:val="single" w:color="000000" w:sz="4" w:space="0"/>
              <w:bottom w:val="single" w:color="000000" w:sz="4" w:space="0"/>
              <w:right w:val="single" w:color="000000" w:sz="4" w:space="0"/>
            </w:tcBorders>
            <w:vAlign w:val="center"/>
          </w:tcPr>
          <w:p w14:paraId="6B95C77A">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r>
      <w:tr w14:paraId="60771C05">
        <w:tblPrEx>
          <w:tblCellMar>
            <w:top w:w="0" w:type="dxa"/>
            <w:left w:w="108" w:type="dxa"/>
            <w:bottom w:w="0" w:type="dxa"/>
            <w:right w:w="108" w:type="dxa"/>
          </w:tblCellMar>
        </w:tblPrEx>
        <w:trPr>
          <w:trHeight w:val="484" w:hRule="atLeast"/>
        </w:trPr>
        <w:tc>
          <w:tcPr>
            <w:tcW w:w="993" w:type="dxa"/>
            <w:vMerge w:val="restart"/>
            <w:tcBorders>
              <w:top w:val="single" w:color="000000" w:sz="4" w:space="0"/>
              <w:left w:val="single" w:color="000000" w:sz="4" w:space="0"/>
              <w:bottom w:val="single" w:color="000000" w:sz="4" w:space="0"/>
              <w:right w:val="single" w:color="000000" w:sz="4" w:space="0"/>
            </w:tcBorders>
            <w:vAlign w:val="center"/>
          </w:tcPr>
          <w:p w14:paraId="1CECB57B">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3、产品剩余质保期</w:t>
            </w:r>
          </w:p>
          <w:p w14:paraId="4D294E98">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（20分）</w:t>
            </w:r>
          </w:p>
        </w:tc>
        <w:tc>
          <w:tcPr>
            <w:tcW w:w="3672" w:type="dxa"/>
            <w:tcBorders>
              <w:top w:val="single" w:color="000000" w:sz="4" w:space="0"/>
              <w:left w:val="single" w:color="000000" w:sz="4" w:space="0"/>
              <w:bottom w:val="single" w:color="000000" w:sz="4" w:space="0"/>
              <w:right w:val="single" w:color="000000" w:sz="4" w:space="0"/>
            </w:tcBorders>
            <w:vAlign w:val="center"/>
          </w:tcPr>
          <w:p w14:paraId="62E36AAE">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 xml:space="preserve"> (1)产品剩余质保期长，远超行业标准，能充分保障使用周期。</w:t>
            </w:r>
          </w:p>
        </w:tc>
        <w:tc>
          <w:tcPr>
            <w:tcW w:w="857" w:type="dxa"/>
            <w:tcBorders>
              <w:top w:val="single" w:color="000000" w:sz="4" w:space="0"/>
              <w:left w:val="single" w:color="000000" w:sz="4" w:space="0"/>
              <w:bottom w:val="single" w:color="000000" w:sz="4" w:space="0"/>
              <w:right w:val="single" w:color="000000" w:sz="4" w:space="0"/>
            </w:tcBorders>
            <w:vAlign w:val="center"/>
          </w:tcPr>
          <w:p w14:paraId="6E4129A7">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14-20分</w:t>
            </w:r>
          </w:p>
        </w:tc>
        <w:tc>
          <w:tcPr>
            <w:tcW w:w="946" w:type="dxa"/>
            <w:vMerge w:val="restart"/>
            <w:tcBorders>
              <w:top w:val="single" w:color="000000" w:sz="4" w:space="0"/>
              <w:left w:val="single" w:color="000000" w:sz="4" w:space="0"/>
              <w:bottom w:val="single" w:color="000000" w:sz="4" w:space="0"/>
              <w:right w:val="single" w:color="000000" w:sz="4" w:space="0"/>
            </w:tcBorders>
            <w:vAlign w:val="center"/>
          </w:tcPr>
          <w:p w14:paraId="4C596D73">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946" w:type="dxa"/>
            <w:vMerge w:val="restart"/>
            <w:tcBorders>
              <w:top w:val="single" w:color="000000" w:sz="4" w:space="0"/>
              <w:left w:val="single" w:color="000000" w:sz="4" w:space="0"/>
              <w:bottom w:val="single" w:color="000000" w:sz="4" w:space="0"/>
              <w:right w:val="single" w:color="000000" w:sz="4" w:space="0"/>
            </w:tcBorders>
            <w:vAlign w:val="center"/>
          </w:tcPr>
          <w:p w14:paraId="6078D67D">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1108" w:type="dxa"/>
            <w:vMerge w:val="restart"/>
            <w:tcBorders>
              <w:top w:val="single" w:color="000000" w:sz="4" w:space="0"/>
              <w:left w:val="single" w:color="000000" w:sz="4" w:space="0"/>
              <w:bottom w:val="single" w:color="000000" w:sz="4" w:space="0"/>
              <w:right w:val="single" w:color="000000" w:sz="4" w:space="0"/>
            </w:tcBorders>
            <w:vAlign w:val="center"/>
          </w:tcPr>
          <w:p w14:paraId="6CC5AB31">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r>
      <w:tr w14:paraId="62999E4E">
        <w:tblPrEx>
          <w:tblCellMar>
            <w:top w:w="0" w:type="dxa"/>
            <w:left w:w="108" w:type="dxa"/>
            <w:bottom w:w="0" w:type="dxa"/>
            <w:right w:w="108" w:type="dxa"/>
          </w:tblCellMar>
        </w:tblPrEx>
        <w:trPr>
          <w:trHeight w:val="484" w:hRule="atLeast"/>
        </w:trPr>
        <w:tc>
          <w:tcPr>
            <w:tcW w:w="993" w:type="dxa"/>
            <w:vMerge w:val="continue"/>
            <w:tcBorders>
              <w:top w:val="single" w:color="000000" w:sz="4" w:space="0"/>
              <w:left w:val="single" w:color="000000" w:sz="4" w:space="0"/>
              <w:bottom w:val="single" w:color="000000" w:sz="4" w:space="0"/>
              <w:right w:val="single" w:color="000000" w:sz="4" w:space="0"/>
            </w:tcBorders>
            <w:vAlign w:val="center"/>
          </w:tcPr>
          <w:p w14:paraId="4A2C01DF">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3672" w:type="dxa"/>
            <w:tcBorders>
              <w:top w:val="single" w:color="000000" w:sz="4" w:space="0"/>
              <w:left w:val="single" w:color="000000" w:sz="4" w:space="0"/>
              <w:bottom w:val="single" w:color="000000" w:sz="4" w:space="0"/>
              <w:right w:val="single" w:color="000000" w:sz="4" w:space="0"/>
            </w:tcBorders>
            <w:vAlign w:val="center"/>
          </w:tcPr>
          <w:p w14:paraId="41ACFBAE">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 xml:space="preserve"> (2)产品剩余质保期符合行业标准，基本满足使用需求。</w:t>
            </w:r>
          </w:p>
        </w:tc>
        <w:tc>
          <w:tcPr>
            <w:tcW w:w="857" w:type="dxa"/>
            <w:tcBorders>
              <w:top w:val="single" w:color="000000" w:sz="4" w:space="0"/>
              <w:left w:val="single" w:color="000000" w:sz="4" w:space="0"/>
              <w:bottom w:val="single" w:color="000000" w:sz="4" w:space="0"/>
              <w:right w:val="single" w:color="000000" w:sz="4" w:space="0"/>
            </w:tcBorders>
            <w:vAlign w:val="center"/>
          </w:tcPr>
          <w:p w14:paraId="2C1E2DCF">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7-13分</w:t>
            </w:r>
          </w:p>
        </w:tc>
        <w:tc>
          <w:tcPr>
            <w:tcW w:w="946" w:type="dxa"/>
            <w:vMerge w:val="continue"/>
            <w:tcBorders>
              <w:top w:val="single" w:color="000000" w:sz="4" w:space="0"/>
              <w:left w:val="single" w:color="000000" w:sz="4" w:space="0"/>
              <w:bottom w:val="single" w:color="000000" w:sz="4" w:space="0"/>
              <w:right w:val="single" w:color="000000" w:sz="4" w:space="0"/>
            </w:tcBorders>
            <w:vAlign w:val="center"/>
          </w:tcPr>
          <w:p w14:paraId="2244E4A5">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946" w:type="dxa"/>
            <w:vMerge w:val="continue"/>
            <w:tcBorders>
              <w:top w:val="single" w:color="000000" w:sz="4" w:space="0"/>
              <w:left w:val="single" w:color="000000" w:sz="4" w:space="0"/>
              <w:bottom w:val="single" w:color="000000" w:sz="4" w:space="0"/>
              <w:right w:val="single" w:color="000000" w:sz="4" w:space="0"/>
            </w:tcBorders>
            <w:vAlign w:val="center"/>
          </w:tcPr>
          <w:p w14:paraId="480EC85A">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1108" w:type="dxa"/>
            <w:vMerge w:val="continue"/>
            <w:tcBorders>
              <w:top w:val="single" w:color="000000" w:sz="4" w:space="0"/>
              <w:left w:val="single" w:color="000000" w:sz="4" w:space="0"/>
              <w:bottom w:val="single" w:color="000000" w:sz="4" w:space="0"/>
              <w:right w:val="single" w:color="000000" w:sz="4" w:space="0"/>
            </w:tcBorders>
            <w:vAlign w:val="center"/>
          </w:tcPr>
          <w:p w14:paraId="71665D05">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r>
      <w:tr w14:paraId="295213FB">
        <w:tblPrEx>
          <w:tblCellMar>
            <w:top w:w="0" w:type="dxa"/>
            <w:left w:w="108" w:type="dxa"/>
            <w:bottom w:w="0" w:type="dxa"/>
            <w:right w:w="108" w:type="dxa"/>
          </w:tblCellMar>
        </w:tblPrEx>
        <w:trPr>
          <w:trHeight w:val="484" w:hRule="atLeast"/>
        </w:trPr>
        <w:tc>
          <w:tcPr>
            <w:tcW w:w="993" w:type="dxa"/>
            <w:vMerge w:val="continue"/>
            <w:tcBorders>
              <w:top w:val="single" w:color="000000" w:sz="4" w:space="0"/>
              <w:left w:val="single" w:color="000000" w:sz="4" w:space="0"/>
              <w:bottom w:val="single" w:color="000000" w:sz="4" w:space="0"/>
              <w:right w:val="single" w:color="000000" w:sz="4" w:space="0"/>
            </w:tcBorders>
            <w:vAlign w:val="center"/>
          </w:tcPr>
          <w:p w14:paraId="5B3D5FAD">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3672" w:type="dxa"/>
            <w:tcBorders>
              <w:top w:val="single" w:color="000000" w:sz="4" w:space="0"/>
              <w:left w:val="single" w:color="000000" w:sz="4" w:space="0"/>
              <w:bottom w:val="single" w:color="000000" w:sz="4" w:space="0"/>
              <w:right w:val="single" w:color="000000" w:sz="4" w:space="0"/>
            </w:tcBorders>
            <w:vAlign w:val="center"/>
          </w:tcPr>
          <w:p w14:paraId="7A5990DE">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(3)产品剩余质保期较短，不符合行业标准，无法满足正常使用需求。</w:t>
            </w:r>
          </w:p>
        </w:tc>
        <w:tc>
          <w:tcPr>
            <w:tcW w:w="857" w:type="dxa"/>
            <w:tcBorders>
              <w:top w:val="single" w:color="000000" w:sz="4" w:space="0"/>
              <w:left w:val="single" w:color="000000" w:sz="4" w:space="0"/>
              <w:bottom w:val="single" w:color="000000" w:sz="4" w:space="0"/>
              <w:right w:val="single" w:color="000000" w:sz="4" w:space="0"/>
            </w:tcBorders>
            <w:vAlign w:val="center"/>
          </w:tcPr>
          <w:p w14:paraId="4919AD3E">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0-6分</w:t>
            </w:r>
          </w:p>
        </w:tc>
        <w:tc>
          <w:tcPr>
            <w:tcW w:w="946" w:type="dxa"/>
            <w:vMerge w:val="continue"/>
            <w:tcBorders>
              <w:top w:val="single" w:color="000000" w:sz="4" w:space="0"/>
              <w:left w:val="single" w:color="000000" w:sz="4" w:space="0"/>
              <w:bottom w:val="single" w:color="000000" w:sz="4" w:space="0"/>
              <w:right w:val="single" w:color="000000" w:sz="4" w:space="0"/>
            </w:tcBorders>
            <w:vAlign w:val="center"/>
          </w:tcPr>
          <w:p w14:paraId="7FFF9FEE">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946" w:type="dxa"/>
            <w:vMerge w:val="continue"/>
            <w:tcBorders>
              <w:top w:val="single" w:color="000000" w:sz="4" w:space="0"/>
              <w:left w:val="single" w:color="000000" w:sz="4" w:space="0"/>
              <w:bottom w:val="single" w:color="000000" w:sz="4" w:space="0"/>
              <w:right w:val="single" w:color="000000" w:sz="4" w:space="0"/>
            </w:tcBorders>
            <w:vAlign w:val="center"/>
          </w:tcPr>
          <w:p w14:paraId="3A26F4A7">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1108" w:type="dxa"/>
            <w:vMerge w:val="continue"/>
            <w:tcBorders>
              <w:top w:val="single" w:color="000000" w:sz="4" w:space="0"/>
              <w:left w:val="single" w:color="000000" w:sz="4" w:space="0"/>
              <w:bottom w:val="single" w:color="000000" w:sz="4" w:space="0"/>
              <w:right w:val="single" w:color="000000" w:sz="4" w:space="0"/>
            </w:tcBorders>
            <w:vAlign w:val="center"/>
          </w:tcPr>
          <w:p w14:paraId="1051CFD2">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r>
      <w:tr w14:paraId="7BC1EDFF">
        <w:tblPrEx>
          <w:tblCellMar>
            <w:top w:w="0" w:type="dxa"/>
            <w:left w:w="108" w:type="dxa"/>
            <w:bottom w:w="0" w:type="dxa"/>
            <w:right w:w="108" w:type="dxa"/>
          </w:tblCellMar>
        </w:tblPrEx>
        <w:trPr>
          <w:trHeight w:val="484" w:hRule="atLeast"/>
        </w:trPr>
        <w:tc>
          <w:tcPr>
            <w:tcW w:w="993" w:type="dxa"/>
            <w:vMerge w:val="restart"/>
            <w:tcBorders>
              <w:top w:val="single" w:color="000000" w:sz="4" w:space="0"/>
              <w:left w:val="single" w:color="000000" w:sz="4" w:space="0"/>
              <w:bottom w:val="single" w:color="000000" w:sz="4" w:space="0"/>
              <w:right w:val="single" w:color="000000" w:sz="4" w:space="0"/>
            </w:tcBorders>
            <w:vAlign w:val="center"/>
          </w:tcPr>
          <w:p w14:paraId="07476A71">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4、实际使用质量情况（20分）</w:t>
            </w:r>
          </w:p>
        </w:tc>
        <w:tc>
          <w:tcPr>
            <w:tcW w:w="3672" w:type="dxa"/>
            <w:tcBorders>
              <w:top w:val="single" w:color="000000" w:sz="4" w:space="0"/>
              <w:left w:val="single" w:color="000000" w:sz="4" w:space="0"/>
              <w:bottom w:val="single" w:color="000000" w:sz="4" w:space="0"/>
              <w:right w:val="single" w:color="000000" w:sz="4" w:space="0"/>
            </w:tcBorders>
            <w:vAlign w:val="center"/>
          </w:tcPr>
          <w:p w14:paraId="12796096">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(1)包装完好，符合相关安全、环保等管理规定，未出现质量问题。</w:t>
            </w:r>
          </w:p>
        </w:tc>
        <w:tc>
          <w:tcPr>
            <w:tcW w:w="857" w:type="dxa"/>
            <w:tcBorders>
              <w:top w:val="single" w:color="000000" w:sz="4" w:space="0"/>
              <w:left w:val="single" w:color="000000" w:sz="4" w:space="0"/>
              <w:bottom w:val="single" w:color="000000" w:sz="4" w:space="0"/>
              <w:right w:val="single" w:color="000000" w:sz="4" w:space="0"/>
            </w:tcBorders>
            <w:vAlign w:val="center"/>
          </w:tcPr>
          <w:p w14:paraId="4170D3D6">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14-20分</w:t>
            </w:r>
          </w:p>
        </w:tc>
        <w:tc>
          <w:tcPr>
            <w:tcW w:w="946" w:type="dxa"/>
            <w:vMerge w:val="restart"/>
            <w:tcBorders>
              <w:top w:val="single" w:color="000000" w:sz="4" w:space="0"/>
              <w:left w:val="single" w:color="000000" w:sz="4" w:space="0"/>
              <w:bottom w:val="single" w:color="000000" w:sz="4" w:space="0"/>
              <w:right w:val="single" w:color="000000" w:sz="4" w:space="0"/>
            </w:tcBorders>
            <w:vAlign w:val="center"/>
          </w:tcPr>
          <w:p w14:paraId="52C142BD">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946" w:type="dxa"/>
            <w:vMerge w:val="restart"/>
            <w:tcBorders>
              <w:top w:val="single" w:color="000000" w:sz="4" w:space="0"/>
              <w:left w:val="single" w:color="000000" w:sz="4" w:space="0"/>
              <w:bottom w:val="single" w:color="000000" w:sz="4" w:space="0"/>
              <w:right w:val="single" w:color="000000" w:sz="4" w:space="0"/>
            </w:tcBorders>
            <w:vAlign w:val="center"/>
          </w:tcPr>
          <w:p w14:paraId="65BB3F54">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1108" w:type="dxa"/>
            <w:vMerge w:val="restart"/>
            <w:tcBorders>
              <w:top w:val="single" w:color="000000" w:sz="4" w:space="0"/>
              <w:left w:val="single" w:color="000000" w:sz="4" w:space="0"/>
              <w:bottom w:val="single" w:color="000000" w:sz="4" w:space="0"/>
              <w:right w:val="single" w:color="000000" w:sz="4" w:space="0"/>
            </w:tcBorders>
            <w:vAlign w:val="center"/>
          </w:tcPr>
          <w:p w14:paraId="5563BE5E">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r>
      <w:tr w14:paraId="4E2BD364">
        <w:tblPrEx>
          <w:tblCellMar>
            <w:top w:w="0" w:type="dxa"/>
            <w:left w:w="108" w:type="dxa"/>
            <w:bottom w:w="0" w:type="dxa"/>
            <w:right w:w="108" w:type="dxa"/>
          </w:tblCellMar>
        </w:tblPrEx>
        <w:trPr>
          <w:trHeight w:val="755" w:hRule="atLeast"/>
        </w:trPr>
        <w:tc>
          <w:tcPr>
            <w:tcW w:w="993" w:type="dxa"/>
            <w:vMerge w:val="continue"/>
            <w:tcBorders>
              <w:top w:val="single" w:color="000000" w:sz="4" w:space="0"/>
              <w:left w:val="single" w:color="000000" w:sz="4" w:space="0"/>
              <w:bottom w:val="single" w:color="000000" w:sz="4" w:space="0"/>
              <w:right w:val="single" w:color="000000" w:sz="4" w:space="0"/>
            </w:tcBorders>
            <w:vAlign w:val="center"/>
          </w:tcPr>
          <w:p w14:paraId="3823A40D">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3672" w:type="dxa"/>
            <w:tcBorders>
              <w:top w:val="single" w:color="000000" w:sz="4" w:space="0"/>
              <w:left w:val="single" w:color="000000" w:sz="4" w:space="0"/>
              <w:bottom w:val="single" w:color="000000" w:sz="4" w:space="0"/>
              <w:right w:val="single" w:color="000000" w:sz="4" w:space="0"/>
            </w:tcBorders>
            <w:vAlign w:val="center"/>
          </w:tcPr>
          <w:p w14:paraId="6DFD221B">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(2)产品质量合格率低于98%，基本符合相关安全、环保等管理规定，可以让步接收。</w:t>
            </w:r>
          </w:p>
        </w:tc>
        <w:tc>
          <w:tcPr>
            <w:tcW w:w="857" w:type="dxa"/>
            <w:tcBorders>
              <w:top w:val="single" w:color="000000" w:sz="4" w:space="0"/>
              <w:left w:val="single" w:color="000000" w:sz="4" w:space="0"/>
              <w:bottom w:val="single" w:color="000000" w:sz="4" w:space="0"/>
              <w:right w:val="single" w:color="000000" w:sz="4" w:space="0"/>
            </w:tcBorders>
            <w:vAlign w:val="center"/>
          </w:tcPr>
          <w:p w14:paraId="268842E3">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7-13分</w:t>
            </w:r>
          </w:p>
        </w:tc>
        <w:tc>
          <w:tcPr>
            <w:tcW w:w="946" w:type="dxa"/>
            <w:vMerge w:val="continue"/>
            <w:tcBorders>
              <w:top w:val="single" w:color="000000" w:sz="4" w:space="0"/>
              <w:left w:val="single" w:color="000000" w:sz="4" w:space="0"/>
              <w:bottom w:val="single" w:color="000000" w:sz="4" w:space="0"/>
              <w:right w:val="single" w:color="000000" w:sz="4" w:space="0"/>
            </w:tcBorders>
            <w:vAlign w:val="center"/>
          </w:tcPr>
          <w:p w14:paraId="4C0BF2FB">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946" w:type="dxa"/>
            <w:vMerge w:val="continue"/>
            <w:tcBorders>
              <w:top w:val="single" w:color="000000" w:sz="4" w:space="0"/>
              <w:left w:val="single" w:color="000000" w:sz="4" w:space="0"/>
              <w:bottom w:val="single" w:color="000000" w:sz="4" w:space="0"/>
              <w:right w:val="single" w:color="000000" w:sz="4" w:space="0"/>
            </w:tcBorders>
            <w:vAlign w:val="center"/>
          </w:tcPr>
          <w:p w14:paraId="15B771AF">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1108" w:type="dxa"/>
            <w:vMerge w:val="continue"/>
            <w:tcBorders>
              <w:top w:val="single" w:color="000000" w:sz="4" w:space="0"/>
              <w:left w:val="single" w:color="000000" w:sz="4" w:space="0"/>
              <w:bottom w:val="single" w:color="000000" w:sz="4" w:space="0"/>
              <w:right w:val="single" w:color="000000" w:sz="4" w:space="0"/>
            </w:tcBorders>
            <w:vAlign w:val="center"/>
          </w:tcPr>
          <w:p w14:paraId="50CC5A12">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r>
      <w:tr w14:paraId="321DE7ED">
        <w:tblPrEx>
          <w:tblCellMar>
            <w:top w:w="0" w:type="dxa"/>
            <w:left w:w="108" w:type="dxa"/>
            <w:bottom w:w="0" w:type="dxa"/>
            <w:right w:w="108" w:type="dxa"/>
          </w:tblCellMar>
        </w:tblPrEx>
        <w:trPr>
          <w:trHeight w:val="484" w:hRule="atLeast"/>
        </w:trPr>
        <w:tc>
          <w:tcPr>
            <w:tcW w:w="993" w:type="dxa"/>
            <w:vMerge w:val="continue"/>
            <w:tcBorders>
              <w:top w:val="single" w:color="000000" w:sz="4" w:space="0"/>
              <w:left w:val="single" w:color="000000" w:sz="4" w:space="0"/>
              <w:bottom w:val="single" w:color="000000" w:sz="4" w:space="0"/>
              <w:right w:val="single" w:color="000000" w:sz="4" w:space="0"/>
            </w:tcBorders>
            <w:vAlign w:val="center"/>
          </w:tcPr>
          <w:p w14:paraId="303B25D7">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3672" w:type="dxa"/>
            <w:tcBorders>
              <w:top w:val="single" w:color="000000" w:sz="4" w:space="0"/>
              <w:left w:val="single" w:color="000000" w:sz="4" w:space="0"/>
              <w:bottom w:val="single" w:color="000000" w:sz="4" w:space="0"/>
              <w:right w:val="single" w:color="000000" w:sz="4" w:space="0"/>
            </w:tcBorders>
            <w:vAlign w:val="center"/>
          </w:tcPr>
          <w:p w14:paraId="096D331A">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(3)出现重大质量问题。</w:t>
            </w:r>
          </w:p>
        </w:tc>
        <w:tc>
          <w:tcPr>
            <w:tcW w:w="857" w:type="dxa"/>
            <w:tcBorders>
              <w:top w:val="single" w:color="000000" w:sz="4" w:space="0"/>
              <w:left w:val="single" w:color="000000" w:sz="4" w:space="0"/>
              <w:bottom w:val="single" w:color="000000" w:sz="4" w:space="0"/>
              <w:right w:val="single" w:color="000000" w:sz="4" w:space="0"/>
            </w:tcBorders>
            <w:vAlign w:val="center"/>
          </w:tcPr>
          <w:p w14:paraId="7B7458EE">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0-6分</w:t>
            </w:r>
          </w:p>
        </w:tc>
        <w:tc>
          <w:tcPr>
            <w:tcW w:w="946" w:type="dxa"/>
            <w:vMerge w:val="continue"/>
            <w:tcBorders>
              <w:top w:val="single" w:color="000000" w:sz="4" w:space="0"/>
              <w:left w:val="single" w:color="000000" w:sz="4" w:space="0"/>
              <w:bottom w:val="single" w:color="000000" w:sz="4" w:space="0"/>
              <w:right w:val="single" w:color="000000" w:sz="4" w:space="0"/>
            </w:tcBorders>
            <w:vAlign w:val="center"/>
          </w:tcPr>
          <w:p w14:paraId="6E972BB4">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946" w:type="dxa"/>
            <w:vMerge w:val="continue"/>
            <w:tcBorders>
              <w:top w:val="single" w:color="000000" w:sz="4" w:space="0"/>
              <w:left w:val="single" w:color="000000" w:sz="4" w:space="0"/>
              <w:bottom w:val="single" w:color="000000" w:sz="4" w:space="0"/>
              <w:right w:val="single" w:color="000000" w:sz="4" w:space="0"/>
            </w:tcBorders>
            <w:vAlign w:val="center"/>
          </w:tcPr>
          <w:p w14:paraId="4FC37D85">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1108" w:type="dxa"/>
            <w:vMerge w:val="continue"/>
            <w:tcBorders>
              <w:top w:val="single" w:color="000000" w:sz="4" w:space="0"/>
              <w:left w:val="single" w:color="000000" w:sz="4" w:space="0"/>
              <w:bottom w:val="single" w:color="000000" w:sz="4" w:space="0"/>
              <w:right w:val="single" w:color="000000" w:sz="4" w:space="0"/>
            </w:tcBorders>
            <w:vAlign w:val="center"/>
          </w:tcPr>
          <w:p w14:paraId="1765301A">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r>
      <w:tr w14:paraId="2D00601D">
        <w:tblPrEx>
          <w:tblCellMar>
            <w:top w:w="0" w:type="dxa"/>
            <w:left w:w="108" w:type="dxa"/>
            <w:bottom w:w="0" w:type="dxa"/>
            <w:right w:w="108" w:type="dxa"/>
          </w:tblCellMar>
        </w:tblPrEx>
        <w:trPr>
          <w:trHeight w:val="484" w:hRule="atLeast"/>
        </w:trPr>
        <w:tc>
          <w:tcPr>
            <w:tcW w:w="993" w:type="dxa"/>
            <w:vMerge w:val="restart"/>
            <w:tcBorders>
              <w:top w:val="single" w:color="000000" w:sz="4" w:space="0"/>
              <w:left w:val="single" w:color="000000" w:sz="4" w:space="0"/>
              <w:bottom w:val="single" w:color="000000" w:sz="4" w:space="0"/>
              <w:right w:val="single" w:color="000000" w:sz="4" w:space="0"/>
            </w:tcBorders>
            <w:vAlign w:val="center"/>
          </w:tcPr>
          <w:p w14:paraId="29A70EC9">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5、售后服务能力（20分）</w:t>
            </w:r>
          </w:p>
        </w:tc>
        <w:tc>
          <w:tcPr>
            <w:tcW w:w="3672" w:type="dxa"/>
            <w:tcBorders>
              <w:top w:val="single" w:color="000000" w:sz="4" w:space="0"/>
              <w:left w:val="single" w:color="000000" w:sz="4" w:space="0"/>
              <w:bottom w:val="single" w:color="000000" w:sz="4" w:space="0"/>
              <w:right w:val="single" w:color="000000" w:sz="4" w:space="0"/>
            </w:tcBorders>
            <w:vAlign w:val="center"/>
          </w:tcPr>
          <w:p w14:paraId="4848E48D">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(1)出现问题，能够及时有效解决，售后服务能力较强。</w:t>
            </w:r>
          </w:p>
        </w:tc>
        <w:tc>
          <w:tcPr>
            <w:tcW w:w="857" w:type="dxa"/>
            <w:tcBorders>
              <w:top w:val="single" w:color="000000" w:sz="4" w:space="0"/>
              <w:left w:val="single" w:color="000000" w:sz="4" w:space="0"/>
              <w:bottom w:val="single" w:color="000000" w:sz="4" w:space="0"/>
              <w:right w:val="single" w:color="000000" w:sz="4" w:space="0"/>
            </w:tcBorders>
            <w:vAlign w:val="center"/>
          </w:tcPr>
          <w:p w14:paraId="47A3ACF6">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14-20分</w:t>
            </w:r>
          </w:p>
        </w:tc>
        <w:tc>
          <w:tcPr>
            <w:tcW w:w="946" w:type="dxa"/>
            <w:vMerge w:val="restart"/>
            <w:tcBorders>
              <w:top w:val="single" w:color="000000" w:sz="4" w:space="0"/>
              <w:left w:val="single" w:color="000000" w:sz="4" w:space="0"/>
              <w:bottom w:val="single" w:color="000000" w:sz="4" w:space="0"/>
              <w:right w:val="single" w:color="000000" w:sz="4" w:space="0"/>
            </w:tcBorders>
            <w:vAlign w:val="center"/>
          </w:tcPr>
          <w:p w14:paraId="4DA55141">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946" w:type="dxa"/>
            <w:vMerge w:val="restart"/>
            <w:tcBorders>
              <w:top w:val="single" w:color="000000" w:sz="4" w:space="0"/>
              <w:left w:val="single" w:color="000000" w:sz="4" w:space="0"/>
              <w:bottom w:val="single" w:color="000000" w:sz="4" w:space="0"/>
              <w:right w:val="single" w:color="000000" w:sz="4" w:space="0"/>
            </w:tcBorders>
            <w:vAlign w:val="center"/>
          </w:tcPr>
          <w:p w14:paraId="7D539DDF">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1108" w:type="dxa"/>
            <w:vMerge w:val="restart"/>
            <w:tcBorders>
              <w:top w:val="single" w:color="000000" w:sz="4" w:space="0"/>
              <w:left w:val="single" w:color="000000" w:sz="4" w:space="0"/>
              <w:bottom w:val="single" w:color="000000" w:sz="4" w:space="0"/>
              <w:right w:val="single" w:color="000000" w:sz="4" w:space="0"/>
            </w:tcBorders>
            <w:vAlign w:val="center"/>
          </w:tcPr>
          <w:p w14:paraId="68EEC302">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r>
      <w:tr w14:paraId="4A3758FF">
        <w:tblPrEx>
          <w:tblCellMar>
            <w:top w:w="0" w:type="dxa"/>
            <w:left w:w="108" w:type="dxa"/>
            <w:bottom w:w="0" w:type="dxa"/>
            <w:right w:w="108" w:type="dxa"/>
          </w:tblCellMar>
        </w:tblPrEx>
        <w:trPr>
          <w:trHeight w:val="783" w:hRule="atLeast"/>
        </w:trPr>
        <w:tc>
          <w:tcPr>
            <w:tcW w:w="993" w:type="dxa"/>
            <w:vMerge w:val="continue"/>
            <w:tcBorders>
              <w:top w:val="single" w:color="000000" w:sz="4" w:space="0"/>
              <w:left w:val="single" w:color="000000" w:sz="4" w:space="0"/>
              <w:bottom w:val="single" w:color="000000" w:sz="4" w:space="0"/>
              <w:right w:val="single" w:color="000000" w:sz="4" w:space="0"/>
            </w:tcBorders>
            <w:vAlign w:val="center"/>
          </w:tcPr>
          <w:p w14:paraId="3A064530">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3672" w:type="dxa"/>
            <w:tcBorders>
              <w:top w:val="single" w:color="000000" w:sz="4" w:space="0"/>
              <w:left w:val="single" w:color="000000" w:sz="4" w:space="0"/>
              <w:bottom w:val="single" w:color="000000" w:sz="4" w:space="0"/>
              <w:right w:val="single" w:color="000000" w:sz="4" w:space="0"/>
            </w:tcBorders>
            <w:vAlign w:val="center"/>
          </w:tcPr>
          <w:p w14:paraId="3B4C3EC6">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(2)出现问题时，处理问题及时性一般，售后服务能力一般。</w:t>
            </w:r>
          </w:p>
        </w:tc>
        <w:tc>
          <w:tcPr>
            <w:tcW w:w="857" w:type="dxa"/>
            <w:tcBorders>
              <w:top w:val="single" w:color="000000" w:sz="4" w:space="0"/>
              <w:left w:val="single" w:color="000000" w:sz="4" w:space="0"/>
              <w:bottom w:val="single" w:color="000000" w:sz="4" w:space="0"/>
              <w:right w:val="single" w:color="000000" w:sz="4" w:space="0"/>
            </w:tcBorders>
            <w:vAlign w:val="center"/>
          </w:tcPr>
          <w:p w14:paraId="0DF23BB8">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7-13分</w:t>
            </w:r>
          </w:p>
        </w:tc>
        <w:tc>
          <w:tcPr>
            <w:tcW w:w="946" w:type="dxa"/>
            <w:vMerge w:val="continue"/>
            <w:tcBorders>
              <w:top w:val="single" w:color="000000" w:sz="4" w:space="0"/>
              <w:left w:val="single" w:color="000000" w:sz="4" w:space="0"/>
              <w:bottom w:val="single" w:color="000000" w:sz="4" w:space="0"/>
              <w:right w:val="single" w:color="000000" w:sz="4" w:space="0"/>
            </w:tcBorders>
            <w:vAlign w:val="center"/>
          </w:tcPr>
          <w:p w14:paraId="30165328">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946" w:type="dxa"/>
            <w:vMerge w:val="continue"/>
            <w:tcBorders>
              <w:top w:val="single" w:color="000000" w:sz="4" w:space="0"/>
              <w:left w:val="single" w:color="000000" w:sz="4" w:space="0"/>
              <w:bottom w:val="single" w:color="000000" w:sz="4" w:space="0"/>
              <w:right w:val="single" w:color="000000" w:sz="4" w:space="0"/>
            </w:tcBorders>
            <w:vAlign w:val="center"/>
          </w:tcPr>
          <w:p w14:paraId="6DCF4792">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1108" w:type="dxa"/>
            <w:vMerge w:val="continue"/>
            <w:tcBorders>
              <w:top w:val="single" w:color="000000" w:sz="4" w:space="0"/>
              <w:left w:val="single" w:color="000000" w:sz="4" w:space="0"/>
              <w:bottom w:val="single" w:color="000000" w:sz="4" w:space="0"/>
              <w:right w:val="single" w:color="000000" w:sz="4" w:space="0"/>
            </w:tcBorders>
            <w:vAlign w:val="center"/>
          </w:tcPr>
          <w:p w14:paraId="6DA0FD27">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r>
      <w:tr w14:paraId="3975F27C">
        <w:tblPrEx>
          <w:tblCellMar>
            <w:top w:w="0" w:type="dxa"/>
            <w:left w:w="108" w:type="dxa"/>
            <w:bottom w:w="0" w:type="dxa"/>
            <w:right w:w="108" w:type="dxa"/>
          </w:tblCellMar>
        </w:tblPrEx>
        <w:trPr>
          <w:trHeight w:val="484" w:hRule="atLeast"/>
        </w:trPr>
        <w:tc>
          <w:tcPr>
            <w:tcW w:w="993" w:type="dxa"/>
            <w:vMerge w:val="continue"/>
            <w:tcBorders>
              <w:top w:val="single" w:color="000000" w:sz="4" w:space="0"/>
              <w:left w:val="single" w:color="000000" w:sz="4" w:space="0"/>
              <w:bottom w:val="single" w:color="000000" w:sz="4" w:space="0"/>
              <w:right w:val="single" w:color="000000" w:sz="4" w:space="0"/>
            </w:tcBorders>
            <w:vAlign w:val="center"/>
          </w:tcPr>
          <w:p w14:paraId="4ACCEECF">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3672" w:type="dxa"/>
            <w:tcBorders>
              <w:top w:val="single" w:color="000000" w:sz="4" w:space="0"/>
              <w:left w:val="single" w:color="000000" w:sz="4" w:space="0"/>
              <w:bottom w:val="single" w:color="000000" w:sz="4" w:space="0"/>
              <w:right w:val="single" w:color="000000" w:sz="4" w:space="0"/>
            </w:tcBorders>
            <w:vAlign w:val="center"/>
          </w:tcPr>
          <w:p w14:paraId="2F2158DF">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(3)出现问题时，处理问题及时性较差，售后服务能力较差。</w:t>
            </w:r>
          </w:p>
        </w:tc>
        <w:tc>
          <w:tcPr>
            <w:tcW w:w="857" w:type="dxa"/>
            <w:tcBorders>
              <w:top w:val="single" w:color="000000" w:sz="4" w:space="0"/>
              <w:left w:val="single" w:color="000000" w:sz="4" w:space="0"/>
              <w:bottom w:val="single" w:color="000000" w:sz="4" w:space="0"/>
              <w:right w:val="single" w:color="000000" w:sz="4" w:space="0"/>
            </w:tcBorders>
            <w:vAlign w:val="center"/>
          </w:tcPr>
          <w:p w14:paraId="2C58F1C3">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0-6分</w:t>
            </w:r>
          </w:p>
        </w:tc>
        <w:tc>
          <w:tcPr>
            <w:tcW w:w="946" w:type="dxa"/>
            <w:vMerge w:val="continue"/>
            <w:tcBorders>
              <w:top w:val="single" w:color="000000" w:sz="4" w:space="0"/>
              <w:left w:val="single" w:color="000000" w:sz="4" w:space="0"/>
              <w:bottom w:val="single" w:color="000000" w:sz="4" w:space="0"/>
              <w:right w:val="single" w:color="000000" w:sz="4" w:space="0"/>
            </w:tcBorders>
            <w:vAlign w:val="center"/>
          </w:tcPr>
          <w:p w14:paraId="094CA645">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946" w:type="dxa"/>
            <w:vMerge w:val="continue"/>
            <w:tcBorders>
              <w:top w:val="single" w:color="000000" w:sz="4" w:space="0"/>
              <w:left w:val="single" w:color="000000" w:sz="4" w:space="0"/>
              <w:bottom w:val="single" w:color="000000" w:sz="4" w:space="0"/>
              <w:right w:val="single" w:color="000000" w:sz="4" w:space="0"/>
            </w:tcBorders>
            <w:vAlign w:val="center"/>
          </w:tcPr>
          <w:p w14:paraId="66EAB7EE">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1108" w:type="dxa"/>
            <w:vMerge w:val="continue"/>
            <w:tcBorders>
              <w:top w:val="single" w:color="000000" w:sz="4" w:space="0"/>
              <w:left w:val="single" w:color="000000" w:sz="4" w:space="0"/>
              <w:bottom w:val="single" w:color="000000" w:sz="4" w:space="0"/>
              <w:right w:val="single" w:color="000000" w:sz="4" w:space="0"/>
            </w:tcBorders>
            <w:vAlign w:val="center"/>
          </w:tcPr>
          <w:p w14:paraId="7992F321">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r>
      <w:tr w14:paraId="41CA79DE">
        <w:tblPrEx>
          <w:tblCellMar>
            <w:top w:w="0" w:type="dxa"/>
            <w:left w:w="108" w:type="dxa"/>
            <w:bottom w:w="0" w:type="dxa"/>
            <w:right w:w="108" w:type="dxa"/>
          </w:tblCellMar>
        </w:tblPrEx>
        <w:trPr>
          <w:trHeight w:val="484" w:hRule="atLeast"/>
        </w:trPr>
        <w:tc>
          <w:tcPr>
            <w:tcW w:w="5522" w:type="dxa"/>
            <w:gridSpan w:val="3"/>
            <w:tcBorders>
              <w:top w:val="single" w:color="000000" w:sz="4" w:space="0"/>
              <w:left w:val="single" w:color="000000" w:sz="4" w:space="0"/>
              <w:bottom w:val="single" w:color="000000" w:sz="4" w:space="0"/>
              <w:right w:val="single" w:color="000000" w:sz="4" w:space="0"/>
            </w:tcBorders>
            <w:vAlign w:val="center"/>
          </w:tcPr>
          <w:p w14:paraId="53960192">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综合得分</w:t>
            </w:r>
          </w:p>
        </w:tc>
        <w:tc>
          <w:tcPr>
            <w:tcW w:w="946" w:type="dxa"/>
            <w:tcBorders>
              <w:top w:val="single" w:color="000000" w:sz="4" w:space="0"/>
              <w:left w:val="single" w:color="000000" w:sz="4" w:space="0"/>
              <w:bottom w:val="single" w:color="000000" w:sz="4" w:space="0"/>
              <w:right w:val="single" w:color="000000" w:sz="4" w:space="0"/>
            </w:tcBorders>
            <w:vAlign w:val="center"/>
          </w:tcPr>
          <w:p w14:paraId="27CF5A28">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946" w:type="dxa"/>
            <w:tcBorders>
              <w:top w:val="single" w:color="000000" w:sz="4" w:space="0"/>
              <w:left w:val="single" w:color="000000" w:sz="4" w:space="0"/>
              <w:bottom w:val="single" w:color="000000" w:sz="4" w:space="0"/>
              <w:right w:val="single" w:color="000000" w:sz="4" w:space="0"/>
            </w:tcBorders>
            <w:vAlign w:val="center"/>
          </w:tcPr>
          <w:p w14:paraId="3583AF89">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1108" w:type="dxa"/>
            <w:tcBorders>
              <w:top w:val="single" w:color="000000" w:sz="4" w:space="0"/>
              <w:left w:val="single" w:color="000000" w:sz="4" w:space="0"/>
              <w:bottom w:val="single" w:color="000000" w:sz="4" w:space="0"/>
              <w:right w:val="single" w:color="000000" w:sz="4" w:space="0"/>
            </w:tcBorders>
            <w:vAlign w:val="center"/>
          </w:tcPr>
          <w:p w14:paraId="269E0DA0">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r>
      <w:tr w14:paraId="39563FAE">
        <w:tblPrEx>
          <w:tblCellMar>
            <w:top w:w="0" w:type="dxa"/>
            <w:left w:w="108" w:type="dxa"/>
            <w:bottom w:w="0" w:type="dxa"/>
            <w:right w:w="108" w:type="dxa"/>
          </w:tblCellMar>
        </w:tblPrEx>
        <w:trPr>
          <w:trHeight w:val="484" w:hRule="atLeast"/>
        </w:trPr>
        <w:tc>
          <w:tcPr>
            <w:tcW w:w="5522" w:type="dxa"/>
            <w:gridSpan w:val="3"/>
            <w:tcBorders>
              <w:top w:val="single" w:color="000000" w:sz="4" w:space="0"/>
              <w:left w:val="single" w:color="000000" w:sz="4" w:space="0"/>
              <w:bottom w:val="single" w:color="000000" w:sz="4" w:space="0"/>
              <w:right w:val="single" w:color="000000" w:sz="4" w:space="0"/>
            </w:tcBorders>
            <w:vAlign w:val="center"/>
          </w:tcPr>
          <w:p w14:paraId="44FD92D3">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评分人员签名</w:t>
            </w:r>
          </w:p>
        </w:tc>
        <w:tc>
          <w:tcPr>
            <w:tcW w:w="946" w:type="dxa"/>
            <w:tcBorders>
              <w:top w:val="single" w:color="000000" w:sz="4" w:space="0"/>
              <w:left w:val="single" w:color="000000" w:sz="4" w:space="0"/>
              <w:bottom w:val="single" w:color="000000" w:sz="4" w:space="0"/>
              <w:right w:val="single" w:color="000000" w:sz="4" w:space="0"/>
            </w:tcBorders>
            <w:vAlign w:val="center"/>
          </w:tcPr>
          <w:p w14:paraId="15874317">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946" w:type="dxa"/>
            <w:tcBorders>
              <w:top w:val="single" w:color="000000" w:sz="4" w:space="0"/>
              <w:left w:val="single" w:color="000000" w:sz="4" w:space="0"/>
              <w:bottom w:val="single" w:color="000000" w:sz="4" w:space="0"/>
              <w:right w:val="single" w:color="000000" w:sz="4" w:space="0"/>
            </w:tcBorders>
            <w:vAlign w:val="center"/>
          </w:tcPr>
          <w:p w14:paraId="4DC07F8F">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c>
          <w:tcPr>
            <w:tcW w:w="1108" w:type="dxa"/>
            <w:tcBorders>
              <w:top w:val="single" w:color="000000" w:sz="4" w:space="0"/>
              <w:left w:val="single" w:color="000000" w:sz="4" w:space="0"/>
              <w:bottom w:val="single" w:color="000000" w:sz="4" w:space="0"/>
              <w:right w:val="single" w:color="000000" w:sz="4" w:space="0"/>
            </w:tcBorders>
            <w:vAlign w:val="center"/>
          </w:tcPr>
          <w:p w14:paraId="15A8A875">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r>
      <w:tr w14:paraId="09CB427F">
        <w:tblPrEx>
          <w:tblCellMar>
            <w:top w:w="0" w:type="dxa"/>
            <w:left w:w="108" w:type="dxa"/>
            <w:bottom w:w="0" w:type="dxa"/>
            <w:right w:w="108" w:type="dxa"/>
          </w:tblCellMar>
        </w:tblPrEx>
        <w:trPr>
          <w:trHeight w:val="484" w:hRule="atLeast"/>
        </w:trPr>
        <w:tc>
          <w:tcPr>
            <w:tcW w:w="5522" w:type="dxa"/>
            <w:gridSpan w:val="3"/>
            <w:tcBorders>
              <w:top w:val="single" w:color="000000" w:sz="4" w:space="0"/>
              <w:left w:val="single" w:color="000000" w:sz="4" w:space="0"/>
              <w:bottom w:val="single" w:color="000000" w:sz="4" w:space="0"/>
              <w:right w:val="single" w:color="000000" w:sz="4" w:space="0"/>
            </w:tcBorders>
            <w:vAlign w:val="center"/>
          </w:tcPr>
          <w:p w14:paraId="77D7AEC3">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总分</w:t>
            </w:r>
          </w:p>
        </w:tc>
        <w:tc>
          <w:tcPr>
            <w:tcW w:w="3000" w:type="dxa"/>
            <w:gridSpan w:val="3"/>
            <w:tcBorders>
              <w:top w:val="single" w:color="000000" w:sz="4" w:space="0"/>
              <w:left w:val="single" w:color="000000" w:sz="4" w:space="0"/>
              <w:bottom w:val="single" w:color="000000" w:sz="4" w:space="0"/>
              <w:right w:val="single" w:color="000000" w:sz="4" w:space="0"/>
            </w:tcBorders>
            <w:vAlign w:val="center"/>
          </w:tcPr>
          <w:p w14:paraId="47EAA654">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p>
        </w:tc>
      </w:tr>
      <w:tr w14:paraId="54406F8E">
        <w:tblPrEx>
          <w:tblCellMar>
            <w:top w:w="0" w:type="dxa"/>
            <w:left w:w="108" w:type="dxa"/>
            <w:bottom w:w="0" w:type="dxa"/>
            <w:right w:w="108" w:type="dxa"/>
          </w:tblCellMar>
        </w:tblPrEx>
        <w:trPr>
          <w:trHeight w:val="488" w:hRule="atLeast"/>
        </w:trPr>
        <w:tc>
          <w:tcPr>
            <w:tcW w:w="5522" w:type="dxa"/>
            <w:gridSpan w:val="3"/>
            <w:tcBorders>
              <w:top w:val="single" w:color="000000" w:sz="4" w:space="0"/>
              <w:left w:val="single" w:color="000000" w:sz="4" w:space="0"/>
              <w:bottom w:val="single" w:color="000000" w:sz="4" w:space="0"/>
              <w:right w:val="single" w:color="000000" w:sz="4" w:space="0"/>
            </w:tcBorders>
            <w:vAlign w:val="center"/>
          </w:tcPr>
          <w:p w14:paraId="51D6C37A">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结论</w:t>
            </w:r>
          </w:p>
        </w:tc>
        <w:tc>
          <w:tcPr>
            <w:tcW w:w="3000" w:type="dxa"/>
            <w:gridSpan w:val="3"/>
            <w:tcBorders>
              <w:top w:val="single" w:color="000000" w:sz="4" w:space="0"/>
              <w:left w:val="single" w:color="000000" w:sz="4" w:space="0"/>
              <w:bottom w:val="single" w:color="000000" w:sz="4" w:space="0"/>
              <w:right w:val="single" w:color="000000" w:sz="4" w:space="0"/>
            </w:tcBorders>
            <w:vAlign w:val="center"/>
          </w:tcPr>
          <w:p w14:paraId="1DC38921">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left"/>
              <w:textAlignment w:val="auto"/>
              <w:rPr>
                <w:rFonts w:hint="eastAsia" w:ascii="宋体" w:hAnsi="宋体" w:eastAsia="宋体" w:cs="宋体"/>
                <w:color w:val="auto"/>
                <w:sz w:val="20"/>
                <w:szCs w:val="20"/>
                <w:highlight w:val="none"/>
                <w:lang w:val="en-US" w:eastAsia="zh-CN"/>
              </w:rPr>
            </w:pPr>
          </w:p>
        </w:tc>
      </w:tr>
      <w:tr w14:paraId="33FD0CB3">
        <w:tblPrEx>
          <w:tblCellMar>
            <w:top w:w="0" w:type="dxa"/>
            <w:left w:w="108" w:type="dxa"/>
            <w:bottom w:w="0" w:type="dxa"/>
            <w:right w:w="108" w:type="dxa"/>
          </w:tblCellMar>
        </w:tblPrEx>
        <w:trPr>
          <w:trHeight w:val="1872" w:hRule="atLeast"/>
        </w:trPr>
        <w:tc>
          <w:tcPr>
            <w:tcW w:w="8522" w:type="dxa"/>
            <w:gridSpan w:val="6"/>
            <w:tcBorders>
              <w:top w:val="nil"/>
              <w:left w:val="nil"/>
              <w:bottom w:val="nil"/>
              <w:right w:val="nil"/>
            </w:tcBorders>
            <w:vAlign w:val="bottom"/>
          </w:tcPr>
          <w:p w14:paraId="1874E99A">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left"/>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填写说明：此表为供应商评价表，每半年考核一次</w:t>
            </w:r>
          </w:p>
          <w:p w14:paraId="222AEA78">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left"/>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评价结论：</w:t>
            </w:r>
          </w:p>
          <w:p w14:paraId="3D860106">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left"/>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1、分数≥80分，结论:优秀，继续合作。</w:t>
            </w:r>
          </w:p>
          <w:p w14:paraId="01FBCDBB">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left"/>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2、80分&gt;分数≥60分，结论:继续合作，问题点限时整改，</w:t>
            </w:r>
          </w:p>
          <w:p w14:paraId="708C5D17">
            <w:pPr>
              <w:pStyle w:val="91"/>
              <w:keepNext w:val="0"/>
              <w:keepLines w:val="0"/>
              <w:pageBreakBefore w:val="0"/>
              <w:widowControl/>
              <w:shd w:val="clear"/>
              <w:kinsoku/>
              <w:wordWrap/>
              <w:overflowPunct/>
              <w:topLinePunct w:val="0"/>
              <w:autoSpaceDE/>
              <w:autoSpaceDN/>
              <w:bidi w:val="0"/>
              <w:spacing w:after="0" w:afterLines="0" w:line="360" w:lineRule="auto"/>
              <w:ind w:firstLine="0" w:firstLineChars="0"/>
              <w:jc w:val="left"/>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3、60分&gt;分数，或出现重大质量问题，结论:不合格，甲方有权解除合同，停止合作。</w:t>
            </w:r>
          </w:p>
        </w:tc>
      </w:tr>
      <w:bookmarkEnd w:id="32"/>
    </w:tbl>
    <w:p w14:paraId="00C5E47F">
      <w:pPr>
        <w:shd w:val="clear"/>
        <w:rPr>
          <w:rFonts w:hint="eastAsia" w:ascii="宋体" w:hAnsi="宋体" w:cs="宋体"/>
          <w:color w:val="auto"/>
          <w:sz w:val="28"/>
          <w:szCs w:val="28"/>
          <w:highlight w:val="none"/>
        </w:rPr>
      </w:pPr>
      <w:r>
        <w:rPr>
          <w:rFonts w:hint="eastAsia" w:ascii="宋体" w:hAnsi="宋体" w:cs="宋体"/>
          <w:color w:val="auto"/>
          <w:sz w:val="28"/>
          <w:szCs w:val="28"/>
          <w:highlight w:val="none"/>
        </w:rPr>
        <w:br w:type="page"/>
      </w:r>
    </w:p>
    <w:p w14:paraId="13B08625">
      <w:pPr>
        <w:shd w:val="clear"/>
        <w:rPr>
          <w:rFonts w:hint="eastAsia" w:ascii="宋体" w:hAnsi="宋体" w:cs="宋体"/>
          <w:b/>
          <w:color w:val="auto"/>
          <w:sz w:val="21"/>
          <w:szCs w:val="21"/>
          <w:highlight w:val="none"/>
          <w:lang w:val="zh-CN" w:eastAsia="zh-CN" w:bidi="zh-CN"/>
        </w:rPr>
      </w:pPr>
      <w:bookmarkStart w:id="33" w:name="_Toc16540"/>
      <w:r>
        <w:rPr>
          <w:rFonts w:hint="eastAsia" w:ascii="宋体" w:hAnsi="宋体" w:cs="宋体"/>
          <w:b/>
          <w:color w:val="auto"/>
          <w:sz w:val="21"/>
          <w:szCs w:val="21"/>
          <w:highlight w:val="none"/>
          <w:lang w:val="zh-CN" w:eastAsia="zh-CN" w:bidi="zh-CN"/>
        </w:rPr>
        <w:t>附件2：</w:t>
      </w:r>
      <w:r>
        <w:rPr>
          <w:rFonts w:hint="eastAsia" w:ascii="宋体" w:hAnsi="宋体" w:cs="宋体"/>
          <w:b/>
          <w:color w:val="auto"/>
          <w:sz w:val="21"/>
          <w:szCs w:val="21"/>
          <w:highlight w:val="none"/>
          <w:lang w:val="en-US" w:eastAsia="zh-CN" w:bidi="zh-CN"/>
        </w:rPr>
        <w:t>冻品</w:t>
      </w:r>
      <w:r>
        <w:rPr>
          <w:rFonts w:hint="eastAsia" w:ascii="宋体" w:hAnsi="宋体" w:cs="宋体"/>
          <w:b/>
          <w:color w:val="auto"/>
          <w:sz w:val="21"/>
          <w:szCs w:val="21"/>
          <w:highlight w:val="none"/>
          <w:lang w:val="zh-CN" w:eastAsia="zh-CN" w:bidi="zh-CN"/>
        </w:rPr>
        <w:t>类采购清单</w:t>
      </w:r>
    </w:p>
    <w:p w14:paraId="1D8BFCBE">
      <w:pPr>
        <w:keepNext w:val="0"/>
        <w:keepLines w:val="0"/>
        <w:pageBreakBefore w:val="0"/>
        <w:widowControl/>
        <w:shd w:val="clear"/>
        <w:kinsoku/>
        <w:wordWrap/>
        <w:overflowPunct/>
        <w:topLinePunct w:val="0"/>
        <w:autoSpaceDE/>
        <w:autoSpaceDN/>
        <w:bidi w:val="0"/>
        <w:adjustRightInd w:val="0"/>
        <w:snapToGrid w:val="0"/>
        <w:spacing w:after="0" w:line="360" w:lineRule="auto"/>
        <w:textAlignment w:val="auto"/>
        <w:rPr>
          <w:rFonts w:hint="default" w:ascii="宋体" w:hAnsi="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详见公告附件：《东莞迎宾馆</w:t>
      </w:r>
      <w:r>
        <w:rPr>
          <w:rFonts w:hint="eastAsia" w:ascii="宋体" w:hAnsi="宋体" w:cs="宋体"/>
          <w:b/>
          <w:bCs/>
          <w:color w:val="auto"/>
          <w:sz w:val="21"/>
          <w:szCs w:val="21"/>
          <w:highlight w:val="none"/>
          <w:lang w:val="en-US" w:eastAsia="zh-CN" w:bidi="zh-CN"/>
        </w:rPr>
        <w:t>冻品</w:t>
      </w:r>
      <w:r>
        <w:rPr>
          <w:rFonts w:hint="eastAsia" w:ascii="宋体" w:hAnsi="宋体" w:cs="宋体"/>
          <w:b/>
          <w:bCs/>
          <w:color w:val="auto"/>
          <w:sz w:val="21"/>
          <w:szCs w:val="21"/>
          <w:highlight w:val="none"/>
          <w:lang w:val="en-US" w:eastAsia="zh-CN"/>
        </w:rPr>
        <w:t>类客用食材协议供应采购项目-</w:t>
      </w:r>
      <w:r>
        <w:rPr>
          <w:rFonts w:hint="eastAsia" w:ascii="宋体" w:hAnsi="宋体" w:cs="宋体"/>
          <w:b/>
          <w:bCs/>
          <w:color w:val="auto"/>
          <w:sz w:val="21"/>
          <w:szCs w:val="21"/>
          <w:highlight w:val="none"/>
          <w:lang w:val="en-US" w:eastAsia="zh-CN" w:bidi="zh-CN"/>
        </w:rPr>
        <w:t>冻品</w:t>
      </w:r>
      <w:r>
        <w:rPr>
          <w:rFonts w:hint="eastAsia" w:ascii="宋体" w:hAnsi="宋体" w:cs="宋体"/>
          <w:b/>
          <w:bCs/>
          <w:color w:val="auto"/>
          <w:sz w:val="21"/>
          <w:szCs w:val="21"/>
          <w:highlight w:val="none"/>
          <w:lang w:val="zh-CN" w:eastAsia="zh-CN" w:bidi="zh-CN"/>
        </w:rPr>
        <w:t>类采购清单</w:t>
      </w:r>
      <w:r>
        <w:rPr>
          <w:rFonts w:hint="eastAsia" w:ascii="宋体" w:hAnsi="宋体" w:cs="宋体"/>
          <w:b/>
          <w:bCs/>
          <w:color w:val="auto"/>
          <w:sz w:val="21"/>
          <w:szCs w:val="21"/>
          <w:highlight w:val="none"/>
          <w:lang w:val="en-US" w:eastAsia="zh-CN"/>
        </w:rPr>
        <w:t>》</w:t>
      </w:r>
    </w:p>
    <w:p w14:paraId="5FE58F12">
      <w:pPr>
        <w:keepNext w:val="0"/>
        <w:keepLines w:val="0"/>
        <w:pageBreakBefore w:val="0"/>
        <w:widowControl/>
        <w:shd w:val="clear"/>
        <w:kinsoku/>
        <w:wordWrap/>
        <w:overflowPunct/>
        <w:topLinePunct w:val="0"/>
        <w:autoSpaceDE/>
        <w:autoSpaceDN/>
        <w:bidi w:val="0"/>
        <w:adjustRightInd w:val="0"/>
        <w:snapToGrid w:val="0"/>
        <w:spacing w:after="0" w:line="360" w:lineRule="auto"/>
        <w:textAlignment w:val="auto"/>
        <w:rPr>
          <w:rFonts w:hint="eastAsia" w:ascii="宋体" w:hAnsi="宋体" w:cs="宋体"/>
          <w:b/>
          <w:bCs/>
          <w:color w:val="auto"/>
          <w:szCs w:val="21"/>
          <w:highlight w:val="none"/>
          <w:lang w:val="en-US" w:eastAsia="zh-CN"/>
        </w:rPr>
      </w:pPr>
    </w:p>
    <w:p w14:paraId="488BAF20">
      <w:pPr>
        <w:keepNext w:val="0"/>
        <w:keepLines w:val="0"/>
        <w:pageBreakBefore w:val="0"/>
        <w:widowControl/>
        <w:shd w:val="clear"/>
        <w:kinsoku/>
        <w:wordWrap/>
        <w:overflowPunct/>
        <w:topLinePunct w:val="0"/>
        <w:autoSpaceDE/>
        <w:autoSpaceDN/>
        <w:bidi w:val="0"/>
        <w:adjustRightInd w:val="0"/>
        <w:snapToGrid w:val="0"/>
        <w:spacing w:after="0" w:line="360" w:lineRule="auto"/>
        <w:textAlignment w:val="auto"/>
        <w:rPr>
          <w:rFonts w:hint="default" w:ascii="宋体" w:hAnsi="宋体" w:cs="宋体"/>
          <w:b/>
          <w:bCs/>
          <w:color w:val="auto"/>
          <w:szCs w:val="21"/>
          <w:highlight w:val="none"/>
          <w:lang w:val="en-US" w:eastAsia="zh-CN"/>
        </w:rPr>
      </w:pPr>
      <w:r>
        <w:rPr>
          <w:rFonts w:hint="eastAsia" w:ascii="宋体" w:hAnsi="宋体" w:cs="宋体"/>
          <w:b/>
          <w:bCs/>
          <w:color w:val="auto"/>
          <w:szCs w:val="21"/>
          <w:highlight w:val="none"/>
          <w:lang w:val="en-US" w:eastAsia="zh-CN"/>
        </w:rPr>
        <w:t>注：①报价为去冰、沥水价，报价时请仔细核对商品单位。</w:t>
      </w:r>
      <w:r>
        <w:rPr>
          <w:rFonts w:hint="eastAsia" w:ascii="宋体" w:hAnsi="宋体" w:cs="宋体"/>
          <w:b/>
          <w:bCs/>
          <w:color w:val="auto"/>
          <w:szCs w:val="21"/>
          <w:highlight w:val="none"/>
          <w:lang w:val="en-US" w:eastAsia="zh-CN"/>
        </w:rPr>
        <w:br w:type="textWrapping"/>
      </w:r>
      <w:r>
        <w:rPr>
          <w:rFonts w:hint="eastAsia" w:ascii="宋体" w:hAnsi="宋体" w:cs="宋体"/>
          <w:b/>
          <w:bCs/>
          <w:color w:val="auto"/>
          <w:szCs w:val="21"/>
          <w:highlight w:val="none"/>
          <w:lang w:val="en-US" w:eastAsia="zh-CN"/>
        </w:rPr>
        <w:t>②采购清单预估不含税总价为该包组的总价最高限价；清单内列明的数量均为年度预估数量，具体采购数量以采购人实际下单为准；供应商的不含税投标总价用于该包组的价格评审。</w:t>
      </w:r>
    </w:p>
    <w:p w14:paraId="455E4864">
      <w:pPr>
        <w:keepNext w:val="0"/>
        <w:keepLines w:val="0"/>
        <w:pageBreakBefore w:val="0"/>
        <w:widowControl/>
        <w:shd w:val="clear"/>
        <w:kinsoku/>
        <w:wordWrap/>
        <w:overflowPunct/>
        <w:topLinePunct w:val="0"/>
        <w:autoSpaceDE/>
        <w:autoSpaceDN/>
        <w:bidi w:val="0"/>
        <w:adjustRightInd w:val="0"/>
        <w:snapToGrid w:val="0"/>
        <w:spacing w:after="0" w:line="360" w:lineRule="auto"/>
        <w:textAlignment w:val="auto"/>
        <w:rPr>
          <w:rFonts w:hint="default" w:ascii="宋体" w:hAnsi="宋体" w:cs="宋体"/>
          <w:b/>
          <w:bCs/>
          <w:color w:val="auto"/>
          <w:szCs w:val="21"/>
          <w:highlight w:val="none"/>
          <w:lang w:val="en-US"/>
        </w:rPr>
      </w:pPr>
      <w:r>
        <w:rPr>
          <w:rFonts w:hint="eastAsia" w:ascii="宋体" w:hAnsi="宋体" w:cs="宋体"/>
          <w:b/>
          <w:bCs/>
          <w:color w:val="auto"/>
          <w:szCs w:val="21"/>
          <w:highlight w:val="none"/>
          <w:lang w:val="en-US" w:eastAsia="zh-CN"/>
        </w:rPr>
        <w:t>③各分项不含税投标单价均不得超过采购清单各分项不含税单价最高限价，任意一项超出均视为无效投标。</w:t>
      </w:r>
    </w:p>
    <w:p w14:paraId="1B19FECC">
      <w:pPr>
        <w:shd w:val="clea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p>
    <w:p w14:paraId="7EF9F44A">
      <w:pPr>
        <w:pStyle w:val="4"/>
        <w:pageBreakBefore w:val="0"/>
        <w:shd w:val="clear"/>
        <w:topLinePunct w:val="0"/>
        <w:bidi w:val="0"/>
        <w:spacing w:before="0" w:after="0" w:line="360" w:lineRule="auto"/>
        <w:rPr>
          <w:rFonts w:hint="eastAsia" w:ascii="宋体" w:hAnsi="宋体" w:eastAsia="宋体" w:cs="宋体"/>
          <w:color w:val="auto"/>
          <w:sz w:val="24"/>
          <w:szCs w:val="24"/>
          <w:highlight w:val="none"/>
        </w:rPr>
      </w:pPr>
      <w:bookmarkStart w:id="34" w:name="_Toc30801"/>
      <w:r>
        <w:rPr>
          <w:rFonts w:hint="eastAsia" w:ascii="宋体" w:hAnsi="宋体" w:eastAsia="宋体" w:cs="宋体"/>
          <w:color w:val="auto"/>
          <w:sz w:val="28"/>
          <w:szCs w:val="28"/>
          <w:highlight w:val="none"/>
        </w:rPr>
        <w:t>第四部分投标人须知</w:t>
      </w:r>
      <w:bookmarkEnd w:id="33"/>
      <w:bookmarkEnd w:id="34"/>
    </w:p>
    <w:p w14:paraId="4BBE364A">
      <w:pPr>
        <w:pStyle w:val="5"/>
        <w:pageBreakBefore w:val="0"/>
        <w:numPr>
          <w:ilvl w:val="0"/>
          <w:numId w:val="1"/>
        </w:numPr>
        <w:shd w:val="clear"/>
        <w:topLinePunct w:val="0"/>
        <w:bidi w:val="0"/>
        <w:spacing w:before="0" w:after="0" w:line="360" w:lineRule="auto"/>
        <w:jc w:val="center"/>
        <w:rPr>
          <w:rFonts w:hint="eastAsia" w:ascii="宋体" w:hAnsi="宋体" w:cs="宋体"/>
          <w:color w:val="auto"/>
          <w:highlight w:val="none"/>
        </w:rPr>
      </w:pPr>
      <w:bookmarkStart w:id="35" w:name="_Toc18347"/>
      <w:bookmarkStart w:id="36" w:name="_Toc292"/>
      <w:r>
        <w:rPr>
          <w:rFonts w:hint="eastAsia" w:ascii="宋体" w:hAnsi="宋体" w:cs="宋体"/>
          <w:color w:val="auto"/>
          <w:highlight w:val="none"/>
        </w:rPr>
        <w:t>说明</w:t>
      </w:r>
      <w:bookmarkEnd w:id="35"/>
      <w:bookmarkEnd w:id="36"/>
    </w:p>
    <w:p w14:paraId="1866577E">
      <w:pPr>
        <w:pStyle w:val="6"/>
        <w:pageBreakBefore w:val="0"/>
        <w:widowControl w:val="0"/>
        <w:numPr>
          <w:ilvl w:val="0"/>
          <w:numId w:val="2"/>
        </w:numPr>
        <w:shd w:val="clear"/>
        <w:overflowPunct w:val="0"/>
        <w:topLinePunct w:val="0"/>
        <w:bidi w:val="0"/>
        <w:spacing w:after="0" w:line="360" w:lineRule="auto"/>
        <w:rPr>
          <w:rFonts w:hint="eastAsia" w:ascii="宋体" w:hAnsi="宋体" w:cs="宋体"/>
          <w:color w:val="auto"/>
          <w:sz w:val="21"/>
          <w:szCs w:val="21"/>
          <w:highlight w:val="none"/>
        </w:rPr>
      </w:pPr>
      <w:bookmarkStart w:id="37" w:name="_Toc20899"/>
      <w:bookmarkStart w:id="38" w:name="_Toc3534"/>
      <w:bookmarkStart w:id="39" w:name="_Toc31761"/>
      <w:r>
        <w:rPr>
          <w:rFonts w:hint="eastAsia" w:ascii="宋体" w:hAnsi="宋体" w:cs="宋体"/>
          <w:color w:val="auto"/>
          <w:sz w:val="21"/>
          <w:szCs w:val="21"/>
          <w:highlight w:val="none"/>
        </w:rPr>
        <w:t>适用范围</w:t>
      </w:r>
      <w:bookmarkEnd w:id="37"/>
      <w:bookmarkEnd w:id="38"/>
      <w:bookmarkEnd w:id="39"/>
    </w:p>
    <w:p w14:paraId="222264A0">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采购范围：见本文件《用户需求书》</w:t>
      </w:r>
    </w:p>
    <w:p w14:paraId="4CFB4603">
      <w:pPr>
        <w:pageBreakBefore w:val="0"/>
        <w:shd w:val="clear"/>
        <w:topLinePunct w:val="0"/>
        <w:bidi w:val="0"/>
        <w:spacing w:after="0" w:line="360" w:lineRule="auto"/>
        <w:rPr>
          <w:rFonts w:hint="eastAsia" w:ascii="宋体" w:hAnsi="宋体" w:cs="宋体"/>
          <w:color w:val="auto"/>
          <w:highlight w:val="none"/>
        </w:rPr>
      </w:pPr>
    </w:p>
    <w:p w14:paraId="7E29ADCA">
      <w:pPr>
        <w:pStyle w:val="6"/>
        <w:pageBreakBefore w:val="0"/>
        <w:widowControl w:val="0"/>
        <w:numPr>
          <w:ilvl w:val="0"/>
          <w:numId w:val="2"/>
        </w:numPr>
        <w:shd w:val="clear"/>
        <w:overflowPunct w:val="0"/>
        <w:topLinePunct w:val="0"/>
        <w:bidi w:val="0"/>
        <w:spacing w:after="0" w:line="360" w:lineRule="auto"/>
        <w:rPr>
          <w:rFonts w:hint="eastAsia" w:ascii="宋体" w:hAnsi="宋体" w:cs="宋体"/>
          <w:color w:val="auto"/>
          <w:sz w:val="21"/>
          <w:szCs w:val="21"/>
          <w:highlight w:val="none"/>
        </w:rPr>
      </w:pPr>
      <w:bookmarkStart w:id="40" w:name="_Toc382049092"/>
      <w:bookmarkStart w:id="41" w:name="_Toc303084246"/>
      <w:bookmarkStart w:id="42" w:name="_Toc20286"/>
      <w:bookmarkStart w:id="43" w:name="_Toc298847174"/>
      <w:bookmarkStart w:id="44" w:name="_Toc22604"/>
      <w:bookmarkStart w:id="45" w:name="_Toc18993"/>
      <w:bookmarkStart w:id="46" w:name="_Toc1530"/>
      <w:r>
        <w:rPr>
          <w:rFonts w:hint="eastAsia" w:ascii="宋体" w:hAnsi="宋体" w:cs="宋体"/>
          <w:color w:val="auto"/>
          <w:sz w:val="21"/>
          <w:szCs w:val="21"/>
          <w:highlight w:val="none"/>
        </w:rPr>
        <w:t>定义</w:t>
      </w:r>
      <w:bookmarkEnd w:id="40"/>
      <w:bookmarkEnd w:id="41"/>
      <w:bookmarkEnd w:id="42"/>
      <w:bookmarkEnd w:id="43"/>
      <w:bookmarkEnd w:id="44"/>
      <w:bookmarkEnd w:id="45"/>
      <w:bookmarkEnd w:id="46"/>
    </w:p>
    <w:p w14:paraId="4E9D756B">
      <w:pPr>
        <w:pStyle w:val="45"/>
        <w:pageBreakBefore w:val="0"/>
        <w:widowControl w:val="0"/>
        <w:shd w:val="clear"/>
        <w:topLinePunct w:val="0"/>
        <w:bidi w:val="0"/>
        <w:adjustRightInd/>
        <w:snapToGrid/>
        <w:spacing w:after="0" w:line="360" w:lineRule="auto"/>
        <w:ind w:left="425" w:hanging="425" w:firstLineChars="0"/>
        <w:jc w:val="both"/>
        <w:rPr>
          <w:rFonts w:hint="eastAsia" w:ascii="宋体" w:hAnsi="宋体" w:cs="宋体"/>
          <w:vanish/>
          <w:color w:val="auto"/>
          <w:szCs w:val="21"/>
          <w:highlight w:val="none"/>
        </w:rPr>
      </w:pPr>
    </w:p>
    <w:p w14:paraId="157946AF">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采购人：见投标邀请书。</w:t>
      </w:r>
    </w:p>
    <w:p w14:paraId="2D8EB3DB">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投标人：响应采购并且符合采购文件规定资格条件和参加投标竞争的法人、其他组织或者自然人。</w:t>
      </w:r>
    </w:p>
    <w:p w14:paraId="6A343C6C">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法人：法人是依法在国内进行注册并具有民事权利能力和民事行为能力，依法独立享有民事权利和承担民事义务的组织。</w:t>
      </w:r>
    </w:p>
    <w:p w14:paraId="6F466EC0">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中标人：指经评标委员会评审推荐、采购人确认的获得本项目中标资格的投标人。</w:t>
      </w:r>
    </w:p>
    <w:p w14:paraId="3C0755F2">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采购代理机构：见投标邀请书。</w:t>
      </w:r>
    </w:p>
    <w:p w14:paraId="30F719AF">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评标委员会：评标委员会是依据相关规定组建的专门负责本次采购其评标工作的临时性机构。</w:t>
      </w:r>
    </w:p>
    <w:p w14:paraId="49058C6C">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合同：指由本次采购所产生的合同或合约文件。</w:t>
      </w:r>
    </w:p>
    <w:p w14:paraId="3A1F3240">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公章：公章是指经过正规的法定程序并备案的法人公章与投标专用章。（投标人如在投标文件中使用“投标专用章”，应提供法定代表人签字或加盖公章说明该“投标专用章”与法人公章具备同等效力的证明文件，且投标当天应携带相关原件到现场，以供核查。因投标文件未提供相关手续复印件和无法核查投标专用章的真实性而导致的后果由投标人自行承担。）</w:t>
      </w:r>
    </w:p>
    <w:p w14:paraId="779F37B7">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时间：本文件规定按日计算期间的，开始当天不计入，从次日开始计算。期限的最后一日是国家法定节假日的，顺延到节假日后的次日为期限的最后一日。</w:t>
      </w:r>
    </w:p>
    <w:p w14:paraId="1466A9D8">
      <w:pPr>
        <w:pageBreakBefore w:val="0"/>
        <w:shd w:val="clear"/>
        <w:topLinePunct w:val="0"/>
        <w:bidi w:val="0"/>
        <w:spacing w:after="0" w:line="360" w:lineRule="auto"/>
        <w:rPr>
          <w:rFonts w:hint="eastAsia" w:ascii="宋体" w:hAnsi="宋体" w:cs="宋体"/>
          <w:color w:val="auto"/>
          <w:highlight w:val="none"/>
        </w:rPr>
      </w:pPr>
    </w:p>
    <w:p w14:paraId="3E82DE11">
      <w:pPr>
        <w:pStyle w:val="6"/>
        <w:pageBreakBefore w:val="0"/>
        <w:widowControl w:val="0"/>
        <w:numPr>
          <w:ilvl w:val="0"/>
          <w:numId w:val="2"/>
        </w:numPr>
        <w:shd w:val="clear"/>
        <w:overflowPunct w:val="0"/>
        <w:topLinePunct w:val="0"/>
        <w:bidi w:val="0"/>
        <w:spacing w:after="0" w:line="360" w:lineRule="auto"/>
        <w:rPr>
          <w:rFonts w:hint="eastAsia" w:ascii="宋体" w:hAnsi="宋体" w:cs="宋体"/>
          <w:color w:val="auto"/>
          <w:sz w:val="21"/>
          <w:szCs w:val="21"/>
          <w:highlight w:val="none"/>
        </w:rPr>
      </w:pPr>
      <w:bookmarkStart w:id="47" w:name="_Toc11624"/>
      <w:bookmarkStart w:id="48" w:name="_Toc4243"/>
      <w:bookmarkStart w:id="49" w:name="_Toc26061"/>
      <w:r>
        <w:rPr>
          <w:rFonts w:hint="eastAsia" w:ascii="宋体" w:hAnsi="宋体" w:cs="宋体"/>
          <w:color w:val="auto"/>
          <w:sz w:val="21"/>
          <w:szCs w:val="21"/>
          <w:highlight w:val="none"/>
        </w:rPr>
        <w:t>货物和服务</w:t>
      </w:r>
      <w:bookmarkEnd w:id="47"/>
      <w:bookmarkEnd w:id="48"/>
      <w:bookmarkEnd w:id="49"/>
    </w:p>
    <w:p w14:paraId="4790FA11">
      <w:pPr>
        <w:pStyle w:val="45"/>
        <w:pageBreakBefore w:val="0"/>
        <w:widowControl w:val="0"/>
        <w:shd w:val="clear"/>
        <w:topLinePunct w:val="0"/>
        <w:bidi w:val="0"/>
        <w:adjustRightInd/>
        <w:snapToGrid/>
        <w:spacing w:after="0" w:line="360" w:lineRule="auto"/>
        <w:ind w:left="425" w:hanging="425" w:firstLineChars="0"/>
        <w:jc w:val="both"/>
        <w:rPr>
          <w:rFonts w:hint="eastAsia" w:ascii="宋体" w:hAnsi="宋体" w:cs="宋体"/>
          <w:vanish/>
          <w:color w:val="auto"/>
          <w:szCs w:val="21"/>
          <w:highlight w:val="none"/>
        </w:rPr>
      </w:pPr>
    </w:p>
    <w:p w14:paraId="57E8DE6B">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货物是指各种形态和种类的物品，包括原材料、产品等。</w:t>
      </w:r>
    </w:p>
    <w:p w14:paraId="457B7D00">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服务是指除货物和工程以外的其他采购对象。</w:t>
      </w:r>
    </w:p>
    <w:p w14:paraId="60A730B6">
      <w:pPr>
        <w:pageBreakBefore w:val="0"/>
        <w:shd w:val="clear"/>
        <w:topLinePunct w:val="0"/>
        <w:bidi w:val="0"/>
        <w:spacing w:after="0" w:line="360" w:lineRule="auto"/>
        <w:rPr>
          <w:rFonts w:hint="eastAsia" w:ascii="宋体" w:hAnsi="宋体" w:cs="宋体"/>
          <w:color w:val="auto"/>
          <w:highlight w:val="none"/>
        </w:rPr>
      </w:pPr>
    </w:p>
    <w:p w14:paraId="42F8C4E4">
      <w:pPr>
        <w:pStyle w:val="6"/>
        <w:pageBreakBefore w:val="0"/>
        <w:widowControl w:val="0"/>
        <w:numPr>
          <w:ilvl w:val="0"/>
          <w:numId w:val="2"/>
        </w:numPr>
        <w:shd w:val="clear"/>
        <w:overflowPunct w:val="0"/>
        <w:topLinePunct w:val="0"/>
        <w:bidi w:val="0"/>
        <w:spacing w:after="0" w:line="360" w:lineRule="auto"/>
        <w:rPr>
          <w:rFonts w:hint="eastAsia" w:ascii="宋体" w:hAnsi="宋体" w:cs="宋体"/>
          <w:color w:val="auto"/>
          <w:sz w:val="21"/>
          <w:szCs w:val="21"/>
          <w:highlight w:val="none"/>
        </w:rPr>
      </w:pPr>
      <w:bookmarkStart w:id="50" w:name="_Toc26930"/>
      <w:bookmarkStart w:id="51" w:name="_Toc9454"/>
      <w:bookmarkStart w:id="52" w:name="_Toc15719"/>
      <w:r>
        <w:rPr>
          <w:rFonts w:hint="eastAsia" w:ascii="宋体" w:hAnsi="宋体" w:cs="宋体"/>
          <w:color w:val="auto"/>
          <w:sz w:val="21"/>
          <w:szCs w:val="21"/>
          <w:highlight w:val="none"/>
        </w:rPr>
        <w:t>投标费用</w:t>
      </w:r>
      <w:bookmarkEnd w:id="50"/>
      <w:bookmarkEnd w:id="51"/>
      <w:bookmarkEnd w:id="52"/>
    </w:p>
    <w:p w14:paraId="0D29F4DF">
      <w:pPr>
        <w:pStyle w:val="45"/>
        <w:pageBreakBefore w:val="0"/>
        <w:widowControl w:val="0"/>
        <w:shd w:val="clear"/>
        <w:topLinePunct w:val="0"/>
        <w:bidi w:val="0"/>
        <w:adjustRightInd/>
        <w:snapToGrid/>
        <w:spacing w:after="0" w:line="360" w:lineRule="auto"/>
        <w:ind w:left="425" w:hanging="425" w:firstLineChars="0"/>
        <w:jc w:val="both"/>
        <w:rPr>
          <w:rFonts w:hint="eastAsia" w:ascii="宋体" w:hAnsi="宋体" w:cs="宋体"/>
          <w:vanish/>
          <w:color w:val="auto"/>
          <w:szCs w:val="21"/>
          <w:highlight w:val="none"/>
        </w:rPr>
      </w:pPr>
    </w:p>
    <w:p w14:paraId="5FCDF2C6">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投标人应承担所有与编写投标文件和参加投标有关的自身的所有费用，不论投标的结果如何，采购代理机构和采购人在任何情况下均无义务和责任承担这些费用。</w:t>
      </w:r>
    </w:p>
    <w:p w14:paraId="744FA6CE">
      <w:pPr>
        <w:pageBreakBefore w:val="0"/>
        <w:widowControl w:val="0"/>
        <w:shd w:val="clear"/>
        <w:topLinePunct w:val="0"/>
        <w:bidi w:val="0"/>
        <w:adjustRightInd/>
        <w:snapToGrid/>
        <w:spacing w:after="0" w:line="360" w:lineRule="auto"/>
        <w:jc w:val="both"/>
        <w:rPr>
          <w:rFonts w:hint="eastAsia" w:ascii="宋体" w:hAnsi="宋体" w:cs="宋体"/>
          <w:color w:val="auto"/>
          <w:szCs w:val="21"/>
          <w:highlight w:val="none"/>
        </w:rPr>
      </w:pPr>
    </w:p>
    <w:p w14:paraId="50EF74DF">
      <w:pPr>
        <w:pStyle w:val="6"/>
        <w:pageBreakBefore w:val="0"/>
        <w:widowControl w:val="0"/>
        <w:numPr>
          <w:ilvl w:val="0"/>
          <w:numId w:val="2"/>
        </w:numPr>
        <w:shd w:val="clear"/>
        <w:overflowPunct w:val="0"/>
        <w:topLinePunct w:val="0"/>
        <w:bidi w:val="0"/>
        <w:spacing w:after="0" w:line="360" w:lineRule="auto"/>
        <w:rPr>
          <w:rFonts w:hint="eastAsia" w:ascii="宋体" w:hAnsi="宋体" w:cs="宋体"/>
          <w:color w:val="auto"/>
          <w:sz w:val="21"/>
          <w:szCs w:val="21"/>
          <w:highlight w:val="none"/>
        </w:rPr>
      </w:pPr>
      <w:bookmarkStart w:id="53" w:name="_Toc6180"/>
      <w:bookmarkStart w:id="54" w:name="_Toc2681"/>
      <w:bookmarkStart w:id="55" w:name="_Toc25538"/>
      <w:r>
        <w:rPr>
          <w:rFonts w:hint="eastAsia" w:ascii="宋体" w:hAnsi="宋体" w:cs="宋体"/>
          <w:color w:val="auto"/>
          <w:sz w:val="21"/>
          <w:szCs w:val="21"/>
          <w:highlight w:val="none"/>
        </w:rPr>
        <w:t>知识产权</w:t>
      </w:r>
      <w:bookmarkEnd w:id="53"/>
      <w:bookmarkEnd w:id="54"/>
      <w:bookmarkEnd w:id="55"/>
    </w:p>
    <w:p w14:paraId="2B849595">
      <w:pPr>
        <w:pStyle w:val="45"/>
        <w:pageBreakBefore w:val="0"/>
        <w:widowControl w:val="0"/>
        <w:shd w:val="clear"/>
        <w:topLinePunct w:val="0"/>
        <w:bidi w:val="0"/>
        <w:adjustRightInd/>
        <w:snapToGrid/>
        <w:spacing w:after="0" w:line="360" w:lineRule="auto"/>
        <w:ind w:left="425" w:hanging="425" w:firstLineChars="0"/>
        <w:jc w:val="both"/>
        <w:rPr>
          <w:rFonts w:hint="eastAsia" w:ascii="宋体" w:hAnsi="宋体" w:cs="宋体"/>
          <w:vanish/>
          <w:color w:val="auto"/>
          <w:szCs w:val="21"/>
          <w:highlight w:val="none"/>
        </w:rPr>
      </w:pPr>
    </w:p>
    <w:p w14:paraId="263B948B">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投标人应保证在本项目使用的任何产品和服务（包括部分使用）时，不会产生因第三方提出侵犯其专利权、商标权或其它知识产权而引起的法律和经济纠纷，如因专利权、商标权或其它知识产权而引起法律和经济纠纷，由投标人承担所有相关责任。</w:t>
      </w:r>
    </w:p>
    <w:p w14:paraId="6C6DE8EA">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采购人享有本项目实施过程中产生的知识成果及知识产权。</w:t>
      </w:r>
    </w:p>
    <w:p w14:paraId="44756EF9">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投标人如欲在项目实施过程中采用自有知识成果，需在投标文件中声明，并提供相关知识产权证明文件。使用该知识成果后，投标人需提供开发接口和开发手册等技术文档。</w:t>
      </w:r>
    </w:p>
    <w:p w14:paraId="2C57A895">
      <w:pPr>
        <w:pageBreakBefore w:val="0"/>
        <w:widowControl w:val="0"/>
        <w:shd w:val="clear"/>
        <w:topLinePunct w:val="0"/>
        <w:bidi w:val="0"/>
        <w:adjustRightInd/>
        <w:snapToGrid/>
        <w:spacing w:after="0" w:line="360" w:lineRule="auto"/>
        <w:ind w:left="567"/>
        <w:jc w:val="both"/>
        <w:rPr>
          <w:rFonts w:hint="eastAsia" w:ascii="宋体" w:hAnsi="宋体" w:cs="宋体"/>
          <w:color w:val="auto"/>
          <w:szCs w:val="21"/>
          <w:highlight w:val="none"/>
        </w:rPr>
      </w:pPr>
    </w:p>
    <w:p w14:paraId="3D24FA63">
      <w:pPr>
        <w:pStyle w:val="6"/>
        <w:pageBreakBefore w:val="0"/>
        <w:widowControl w:val="0"/>
        <w:numPr>
          <w:ilvl w:val="0"/>
          <w:numId w:val="2"/>
        </w:numPr>
        <w:shd w:val="clear"/>
        <w:overflowPunct w:val="0"/>
        <w:topLinePunct w:val="0"/>
        <w:bidi w:val="0"/>
        <w:spacing w:after="0" w:line="360" w:lineRule="auto"/>
        <w:rPr>
          <w:rFonts w:hint="eastAsia" w:ascii="宋体" w:hAnsi="宋体" w:cs="宋体"/>
          <w:color w:val="auto"/>
          <w:sz w:val="21"/>
          <w:szCs w:val="21"/>
          <w:highlight w:val="none"/>
        </w:rPr>
      </w:pPr>
      <w:bookmarkStart w:id="56" w:name="_Toc9071"/>
      <w:bookmarkStart w:id="57" w:name="_Toc2352"/>
      <w:bookmarkStart w:id="58" w:name="_Toc3974"/>
      <w:r>
        <w:rPr>
          <w:rFonts w:hint="eastAsia" w:ascii="宋体" w:hAnsi="宋体" w:cs="宋体"/>
          <w:color w:val="auto"/>
          <w:sz w:val="21"/>
          <w:szCs w:val="21"/>
          <w:highlight w:val="none"/>
        </w:rPr>
        <w:t>关于联合体投标</w:t>
      </w:r>
      <w:bookmarkEnd w:id="56"/>
      <w:bookmarkEnd w:id="57"/>
      <w:bookmarkEnd w:id="58"/>
    </w:p>
    <w:p w14:paraId="1220E0A9">
      <w:pPr>
        <w:pStyle w:val="45"/>
        <w:pageBreakBefore w:val="0"/>
        <w:widowControl w:val="0"/>
        <w:shd w:val="clear"/>
        <w:topLinePunct w:val="0"/>
        <w:bidi w:val="0"/>
        <w:adjustRightInd/>
        <w:snapToGrid/>
        <w:spacing w:after="0" w:line="360" w:lineRule="auto"/>
        <w:ind w:left="425" w:hanging="425" w:firstLineChars="0"/>
        <w:jc w:val="both"/>
        <w:rPr>
          <w:rFonts w:hint="eastAsia" w:ascii="宋体" w:hAnsi="宋体" w:cs="宋体"/>
          <w:vanish/>
          <w:color w:val="auto"/>
          <w:szCs w:val="21"/>
          <w:highlight w:val="none"/>
        </w:rPr>
      </w:pPr>
    </w:p>
    <w:p w14:paraId="6650610F">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对接受联合体投标的项目：两个以上的自然人、法人或者其他组织可以组成一个联合体，以一个投标人的身份共同参加采购活动。</w:t>
      </w:r>
    </w:p>
    <w:p w14:paraId="309720A5">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以联合体形式参与项目的供应商在领购采购文件时，应提供所有联合体组成成员的营业执照复印件，并加盖各联合体组成成员的公章。</w:t>
      </w:r>
    </w:p>
    <w:p w14:paraId="02610FCC">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联合体各方均应具有独立承担民事责任能力的法人或其他组织。</w:t>
      </w:r>
    </w:p>
    <w:p w14:paraId="05CDC207">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两个以上的自然人、法人或者其他组织组成一个联合体，以一个供应商的身份共同参加采购活动的，应当对所有联合体成员进行信用记录查询，联合体成员存在不良信用记录的，视同联合体存在不良信用记录。</w:t>
      </w:r>
    </w:p>
    <w:p w14:paraId="6ECEDD2A">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采购文件对投标人资格条件有规定的，联合体各方均应当具备规定的相应资格条件。由同一专业的单位组成的联合体，按照资质等级较低的单位确定资质等级。</w:t>
      </w:r>
    </w:p>
    <w:p w14:paraId="28DFC632">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联合体各方之间应当签订共同投标协议并在投标文件内提交，明确约定联合体各方承担的工作和相应的责任。联合体各方签订共同投标协议后，不得再以自己名义单独在同一项目中投标，也不得组成新的联合体参加同一项目投标。</w:t>
      </w:r>
    </w:p>
    <w:p w14:paraId="3F0E846C">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供应商为联合体的，可以由联合体中的任意一方交纳保证金，其交纳的保证金对联合体各方均具有约束力。</w:t>
      </w:r>
    </w:p>
    <w:p w14:paraId="700434A9">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除联合体协议明确授权盖章单位外，联合体投标时投标文件中所有要求盖章的地方均须加盖联合体所有组成成员的公章，否则该处盖章无效。</w:t>
      </w:r>
    </w:p>
    <w:p w14:paraId="738E9000">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联合体进行评分时，业绩、奖项等的认定和评分根据共同投标协议约定的各方承担的工作和相应责任，确定一方打分，不累加打分；评审标准不明确或难以明确以哪一方计算评分情况时，则按主体方情况评分。</w:t>
      </w:r>
    </w:p>
    <w:p w14:paraId="00D551E0">
      <w:pPr>
        <w:pageBreakBefore w:val="0"/>
        <w:widowControl w:val="0"/>
        <w:shd w:val="clear"/>
        <w:topLinePunct w:val="0"/>
        <w:bidi w:val="0"/>
        <w:adjustRightInd/>
        <w:snapToGrid/>
        <w:spacing w:after="0" w:line="360" w:lineRule="auto"/>
        <w:ind w:left="567"/>
        <w:jc w:val="both"/>
        <w:rPr>
          <w:rFonts w:hint="eastAsia" w:ascii="宋体" w:hAnsi="宋体" w:cs="宋体"/>
          <w:color w:val="auto"/>
          <w:szCs w:val="21"/>
          <w:highlight w:val="none"/>
        </w:rPr>
      </w:pPr>
    </w:p>
    <w:p w14:paraId="763EC853">
      <w:pPr>
        <w:pStyle w:val="6"/>
        <w:pageBreakBefore w:val="0"/>
        <w:widowControl w:val="0"/>
        <w:numPr>
          <w:ilvl w:val="0"/>
          <w:numId w:val="2"/>
        </w:numPr>
        <w:shd w:val="clear"/>
        <w:overflowPunct w:val="0"/>
        <w:topLinePunct w:val="0"/>
        <w:bidi w:val="0"/>
        <w:spacing w:after="0" w:line="360" w:lineRule="auto"/>
        <w:rPr>
          <w:rFonts w:hint="eastAsia" w:ascii="宋体" w:hAnsi="宋体" w:cs="宋体"/>
          <w:color w:val="auto"/>
          <w:sz w:val="21"/>
          <w:szCs w:val="21"/>
          <w:highlight w:val="none"/>
        </w:rPr>
      </w:pPr>
      <w:bookmarkStart w:id="59" w:name="_Toc3572"/>
      <w:bookmarkStart w:id="60" w:name="_Toc31950"/>
      <w:bookmarkStart w:id="61" w:name="_Toc10105"/>
      <w:r>
        <w:rPr>
          <w:rFonts w:hint="eastAsia" w:ascii="宋体" w:hAnsi="宋体" w:cs="宋体"/>
          <w:color w:val="auto"/>
          <w:sz w:val="21"/>
          <w:szCs w:val="21"/>
          <w:highlight w:val="none"/>
        </w:rPr>
        <w:t>关于分支机构投标</w:t>
      </w:r>
      <w:bookmarkEnd w:id="59"/>
      <w:bookmarkEnd w:id="60"/>
      <w:bookmarkEnd w:id="61"/>
    </w:p>
    <w:p w14:paraId="08A36373">
      <w:pPr>
        <w:pStyle w:val="45"/>
        <w:pageBreakBefore w:val="0"/>
        <w:widowControl w:val="0"/>
        <w:shd w:val="clear"/>
        <w:topLinePunct w:val="0"/>
        <w:bidi w:val="0"/>
        <w:adjustRightInd/>
        <w:snapToGrid/>
        <w:spacing w:after="0" w:line="360" w:lineRule="auto"/>
        <w:ind w:left="425" w:hanging="425" w:firstLineChars="0"/>
        <w:jc w:val="both"/>
        <w:rPr>
          <w:rFonts w:hint="eastAsia" w:ascii="宋体" w:hAnsi="宋体" w:cs="宋体"/>
          <w:vanish/>
          <w:color w:val="auto"/>
          <w:szCs w:val="21"/>
          <w:highlight w:val="none"/>
        </w:rPr>
      </w:pPr>
      <w:bookmarkStart w:id="62" w:name="EB389f116341dd4693875bc7987e7327f3"/>
    </w:p>
    <w:p w14:paraId="629104E5">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对可接受分支机构投标的项目，分支机构投标的，需提供具有法人资格的总公司的营业执照原件扫描件及授权书，授权书须加盖总公司公章。总公司可就本项目或此类项目在一定范围或时间内出具授权书。已由总公司授权的，总公司取得的相关资质证书对分公司有效，法律法规或者行业另有规定的除外。</w:t>
      </w:r>
      <w:bookmarkEnd w:id="62"/>
    </w:p>
    <w:p w14:paraId="30D1ED00">
      <w:pPr>
        <w:pageBreakBefore w:val="0"/>
        <w:widowControl w:val="0"/>
        <w:shd w:val="clear"/>
        <w:topLinePunct w:val="0"/>
        <w:bidi w:val="0"/>
        <w:adjustRightInd/>
        <w:snapToGrid/>
        <w:spacing w:after="0" w:line="360" w:lineRule="auto"/>
        <w:ind w:left="567"/>
        <w:jc w:val="both"/>
        <w:rPr>
          <w:rFonts w:hint="eastAsia" w:ascii="宋体" w:hAnsi="宋体" w:cs="宋体"/>
          <w:color w:val="auto"/>
          <w:szCs w:val="21"/>
          <w:highlight w:val="none"/>
        </w:rPr>
      </w:pPr>
    </w:p>
    <w:p w14:paraId="47939451">
      <w:pPr>
        <w:pStyle w:val="6"/>
        <w:pageBreakBefore w:val="0"/>
        <w:widowControl w:val="0"/>
        <w:numPr>
          <w:ilvl w:val="0"/>
          <w:numId w:val="2"/>
        </w:numPr>
        <w:shd w:val="clear"/>
        <w:overflowPunct w:val="0"/>
        <w:topLinePunct w:val="0"/>
        <w:bidi w:val="0"/>
        <w:spacing w:after="0" w:line="360" w:lineRule="auto"/>
        <w:rPr>
          <w:rFonts w:hint="eastAsia" w:ascii="宋体" w:hAnsi="宋体" w:cs="宋体"/>
          <w:color w:val="auto"/>
          <w:sz w:val="21"/>
          <w:szCs w:val="21"/>
          <w:highlight w:val="none"/>
        </w:rPr>
      </w:pPr>
      <w:bookmarkStart w:id="63" w:name="_Toc23147"/>
      <w:bookmarkStart w:id="64" w:name="_Toc27531"/>
      <w:r>
        <w:rPr>
          <w:rFonts w:hint="eastAsia" w:ascii="宋体" w:hAnsi="宋体" w:cs="宋体"/>
          <w:color w:val="auto"/>
          <w:sz w:val="21"/>
          <w:szCs w:val="21"/>
          <w:highlight w:val="none"/>
        </w:rPr>
        <w:t>踏勘现场</w:t>
      </w:r>
      <w:bookmarkEnd w:id="63"/>
      <w:bookmarkEnd w:id="64"/>
    </w:p>
    <w:p w14:paraId="47E5432D">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《投标资料表》规定组织踏勘现场的，采购人按《投标资料表》规定的时间、地点组织响应人踏勘项目现场；</w:t>
      </w:r>
    </w:p>
    <w:p w14:paraId="17E135D8">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响应人踏勘现场发生的费用自理；</w:t>
      </w:r>
    </w:p>
    <w:p w14:paraId="749C487F">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除采购人的原因外，响应人自行负责在踏勘现场中所发生的人员伤亡和财产损失；</w:t>
      </w:r>
    </w:p>
    <w:p w14:paraId="11397407">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采购人在踏勘现场中介绍的实施地点和相关的周边环境情况，响应人在编制响应文件时参考，采购人不对响应人据此作出的判断和决策负责；</w:t>
      </w:r>
    </w:p>
    <w:p w14:paraId="4FBF8F3D">
      <w:pPr>
        <w:pageBreakBefore w:val="0"/>
        <w:shd w:val="clear"/>
        <w:topLinePunct w:val="0"/>
        <w:bidi w:val="0"/>
        <w:spacing w:after="0" w:line="360" w:lineRule="auto"/>
        <w:rPr>
          <w:rFonts w:hint="eastAsia" w:ascii="宋体" w:hAnsi="宋体" w:cs="宋体"/>
          <w:color w:val="auto"/>
          <w:highlight w:val="none"/>
        </w:rPr>
      </w:pPr>
    </w:p>
    <w:p w14:paraId="68258348">
      <w:pPr>
        <w:pStyle w:val="5"/>
        <w:pageBreakBefore w:val="0"/>
        <w:numPr>
          <w:ilvl w:val="0"/>
          <w:numId w:val="1"/>
        </w:numPr>
        <w:shd w:val="clear"/>
        <w:topLinePunct w:val="0"/>
        <w:bidi w:val="0"/>
        <w:spacing w:before="0" w:after="0" w:line="360" w:lineRule="auto"/>
        <w:jc w:val="center"/>
        <w:rPr>
          <w:rFonts w:hint="eastAsia" w:ascii="宋体" w:hAnsi="宋体" w:cs="宋体"/>
          <w:color w:val="auto"/>
          <w:highlight w:val="none"/>
        </w:rPr>
      </w:pPr>
      <w:bookmarkStart w:id="65" w:name="_Toc14325"/>
      <w:bookmarkStart w:id="66" w:name="_Toc9444"/>
      <w:bookmarkStart w:id="67" w:name="_Toc11177"/>
      <w:r>
        <w:rPr>
          <w:rFonts w:hint="eastAsia" w:ascii="宋体" w:hAnsi="宋体" w:cs="宋体"/>
          <w:color w:val="auto"/>
          <w:highlight w:val="none"/>
        </w:rPr>
        <w:t>采购文件</w:t>
      </w:r>
      <w:bookmarkEnd w:id="65"/>
      <w:bookmarkEnd w:id="66"/>
      <w:bookmarkEnd w:id="67"/>
    </w:p>
    <w:p w14:paraId="71C2909F">
      <w:pPr>
        <w:pStyle w:val="6"/>
        <w:pageBreakBefore w:val="0"/>
        <w:widowControl w:val="0"/>
        <w:numPr>
          <w:ilvl w:val="0"/>
          <w:numId w:val="2"/>
        </w:numPr>
        <w:shd w:val="clear"/>
        <w:overflowPunct w:val="0"/>
        <w:topLinePunct w:val="0"/>
        <w:bidi w:val="0"/>
        <w:spacing w:after="0" w:line="360" w:lineRule="auto"/>
        <w:rPr>
          <w:rFonts w:hint="eastAsia" w:ascii="宋体" w:hAnsi="宋体" w:cs="宋体"/>
          <w:color w:val="auto"/>
          <w:sz w:val="21"/>
          <w:szCs w:val="21"/>
          <w:highlight w:val="none"/>
        </w:rPr>
      </w:pPr>
      <w:bookmarkStart w:id="68" w:name="_Toc10849"/>
      <w:bookmarkStart w:id="69" w:name="_Toc11596"/>
      <w:bookmarkStart w:id="70" w:name="_Toc10638"/>
      <w:r>
        <w:rPr>
          <w:rFonts w:hint="eastAsia" w:ascii="宋体" w:hAnsi="宋体" w:cs="宋体"/>
          <w:color w:val="auto"/>
          <w:sz w:val="21"/>
          <w:szCs w:val="21"/>
          <w:highlight w:val="none"/>
        </w:rPr>
        <w:t>采购文件的组成</w:t>
      </w:r>
      <w:bookmarkEnd w:id="68"/>
      <w:bookmarkEnd w:id="69"/>
      <w:bookmarkEnd w:id="70"/>
    </w:p>
    <w:p w14:paraId="40F25EDA">
      <w:pPr>
        <w:pStyle w:val="45"/>
        <w:pageBreakBefore w:val="0"/>
        <w:widowControl w:val="0"/>
        <w:numPr>
          <w:ilvl w:val="0"/>
          <w:numId w:val="3"/>
        </w:numPr>
        <w:shd w:val="clear"/>
        <w:topLinePunct w:val="0"/>
        <w:bidi w:val="0"/>
        <w:adjustRightInd/>
        <w:snapToGrid/>
        <w:spacing w:after="0" w:line="360" w:lineRule="auto"/>
        <w:ind w:firstLineChars="0"/>
        <w:jc w:val="both"/>
        <w:rPr>
          <w:rFonts w:hint="eastAsia" w:ascii="宋体" w:hAnsi="宋体" w:cs="宋体"/>
          <w:vanish/>
          <w:color w:val="auto"/>
          <w:szCs w:val="21"/>
          <w:highlight w:val="none"/>
        </w:rPr>
      </w:pPr>
    </w:p>
    <w:p w14:paraId="59494B75">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采购文件包括：</w:t>
      </w:r>
    </w:p>
    <w:p w14:paraId="78BA609D">
      <w:pPr>
        <w:pageBreakBefore w:val="0"/>
        <w:widowControl w:val="0"/>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（1）投标邀请书；</w:t>
      </w:r>
    </w:p>
    <w:p w14:paraId="18D816E8">
      <w:pPr>
        <w:pageBreakBefore w:val="0"/>
        <w:widowControl w:val="0"/>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（2）投标资料表；</w:t>
      </w:r>
    </w:p>
    <w:p w14:paraId="4D17E257">
      <w:pPr>
        <w:pageBreakBefore w:val="0"/>
        <w:widowControl w:val="0"/>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（3）用户需求书；</w:t>
      </w:r>
    </w:p>
    <w:p w14:paraId="3E5B3CDF">
      <w:pPr>
        <w:pageBreakBefore w:val="0"/>
        <w:widowControl w:val="0"/>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（4）投标人须知；</w:t>
      </w:r>
    </w:p>
    <w:p w14:paraId="401DFBD7">
      <w:pPr>
        <w:pageBreakBefore w:val="0"/>
        <w:widowControl w:val="0"/>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（5）拟签订的合同文本；</w:t>
      </w:r>
    </w:p>
    <w:p w14:paraId="5F9D356C">
      <w:pPr>
        <w:pageBreakBefore w:val="0"/>
        <w:widowControl w:val="0"/>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（6）投标文件格式；</w:t>
      </w:r>
    </w:p>
    <w:p w14:paraId="4A8E2DB7">
      <w:pPr>
        <w:pageBreakBefore w:val="0"/>
        <w:widowControl w:val="0"/>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（7）在采购过程中由采购代理机构发出的澄清更正文件等。</w:t>
      </w:r>
    </w:p>
    <w:p w14:paraId="3A0C8E43">
      <w:pPr>
        <w:pageBreakBefore w:val="0"/>
        <w:shd w:val="clear"/>
        <w:topLinePunct w:val="0"/>
        <w:bidi w:val="0"/>
        <w:spacing w:after="0" w:line="360" w:lineRule="auto"/>
        <w:rPr>
          <w:rFonts w:hint="eastAsia" w:ascii="宋体" w:hAnsi="宋体" w:cs="宋体"/>
          <w:color w:val="auto"/>
          <w:highlight w:val="none"/>
        </w:rPr>
      </w:pPr>
    </w:p>
    <w:p w14:paraId="16481A40">
      <w:pPr>
        <w:pStyle w:val="6"/>
        <w:pageBreakBefore w:val="0"/>
        <w:widowControl w:val="0"/>
        <w:numPr>
          <w:ilvl w:val="0"/>
          <w:numId w:val="2"/>
        </w:numPr>
        <w:shd w:val="clear"/>
        <w:overflowPunct w:val="0"/>
        <w:topLinePunct w:val="0"/>
        <w:bidi w:val="0"/>
        <w:spacing w:after="0" w:line="360" w:lineRule="auto"/>
        <w:rPr>
          <w:rFonts w:hint="eastAsia" w:ascii="宋体" w:hAnsi="宋体" w:cs="宋体"/>
          <w:color w:val="auto"/>
          <w:sz w:val="21"/>
          <w:szCs w:val="21"/>
          <w:highlight w:val="none"/>
        </w:rPr>
      </w:pPr>
      <w:bookmarkStart w:id="71" w:name="_Toc21392"/>
      <w:bookmarkStart w:id="72" w:name="_Toc1232"/>
      <w:bookmarkStart w:id="73" w:name="_Toc4151"/>
      <w:r>
        <w:rPr>
          <w:rFonts w:hint="eastAsia" w:ascii="宋体" w:hAnsi="宋体" w:cs="宋体"/>
          <w:color w:val="auto"/>
          <w:sz w:val="21"/>
          <w:szCs w:val="21"/>
          <w:highlight w:val="none"/>
        </w:rPr>
        <w:t>采购文件的澄清或修改</w:t>
      </w:r>
      <w:bookmarkEnd w:id="71"/>
      <w:bookmarkEnd w:id="72"/>
      <w:bookmarkEnd w:id="73"/>
    </w:p>
    <w:p w14:paraId="39DC47D3">
      <w:pPr>
        <w:pStyle w:val="45"/>
        <w:pageBreakBefore w:val="0"/>
        <w:widowControl w:val="0"/>
        <w:numPr>
          <w:ilvl w:val="0"/>
          <w:numId w:val="3"/>
        </w:numPr>
        <w:shd w:val="clear"/>
        <w:topLinePunct w:val="0"/>
        <w:bidi w:val="0"/>
        <w:adjustRightInd/>
        <w:snapToGrid/>
        <w:spacing w:after="0" w:line="360" w:lineRule="auto"/>
        <w:ind w:firstLineChars="0"/>
        <w:jc w:val="both"/>
        <w:rPr>
          <w:rFonts w:hint="eastAsia" w:ascii="宋体" w:hAnsi="宋体" w:cs="宋体"/>
          <w:vanish/>
          <w:color w:val="auto"/>
          <w:szCs w:val="21"/>
          <w:highlight w:val="none"/>
        </w:rPr>
      </w:pPr>
    </w:p>
    <w:p w14:paraId="573FA0E7">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采购人或者采购代理机构可以对已发出的采购文件、资格预审文件、投标邀请书进行必要的澄清或者修改。澄清或者修改的内容为采购文件、资格预审文件、投标邀请书的组成部分，具有约束作用。当采购文件、采购文件的澄清或修改等在同一内容的表述上不一致时，以最后发出的书面文件及公告为准。</w:t>
      </w:r>
    </w:p>
    <w:p w14:paraId="4B9531CF">
      <w:pPr>
        <w:pageBreakBefore w:val="0"/>
        <w:widowControl w:val="0"/>
        <w:numPr>
          <w:ilvl w:val="1"/>
          <w:numId w:val="2"/>
        </w:numPr>
        <w:shd w:val="clear"/>
        <w:overflowPunct w:val="0"/>
        <w:topLinePunct w:val="0"/>
        <w:bidi w:val="0"/>
        <w:spacing w:after="0"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采购期间，投标人有义务上网查看，公告一经上网发布，即视为送达。因投标人未及时上网查看而造成的所有后果，由投标人自行承担。</w:t>
      </w:r>
    </w:p>
    <w:p w14:paraId="49199CBB">
      <w:pPr>
        <w:pageBreakBefore w:val="0"/>
        <w:widowControl w:val="0"/>
        <w:shd w:val="clear"/>
        <w:topLinePunct w:val="0"/>
        <w:bidi w:val="0"/>
        <w:adjustRightInd/>
        <w:snapToGrid/>
        <w:spacing w:after="0" w:line="360" w:lineRule="auto"/>
        <w:ind w:left="567"/>
        <w:jc w:val="both"/>
        <w:rPr>
          <w:rFonts w:hint="eastAsia" w:ascii="宋体" w:hAnsi="宋体" w:cs="宋体"/>
          <w:color w:val="auto"/>
          <w:szCs w:val="21"/>
          <w:highlight w:val="none"/>
        </w:rPr>
      </w:pPr>
    </w:p>
    <w:p w14:paraId="031F25B0">
      <w:pPr>
        <w:pStyle w:val="5"/>
        <w:pageBreakBefore w:val="0"/>
        <w:numPr>
          <w:ilvl w:val="0"/>
          <w:numId w:val="1"/>
        </w:numPr>
        <w:shd w:val="clear"/>
        <w:topLinePunct w:val="0"/>
        <w:bidi w:val="0"/>
        <w:spacing w:before="0" w:after="0" w:line="360" w:lineRule="auto"/>
        <w:jc w:val="center"/>
        <w:rPr>
          <w:rFonts w:hint="eastAsia" w:ascii="宋体" w:hAnsi="宋体" w:cs="宋体"/>
          <w:color w:val="auto"/>
          <w:highlight w:val="none"/>
        </w:rPr>
      </w:pPr>
      <w:bookmarkStart w:id="74" w:name="_Toc12343"/>
      <w:bookmarkStart w:id="75" w:name="_Toc10220"/>
      <w:bookmarkStart w:id="76" w:name="_Toc26257"/>
      <w:r>
        <w:rPr>
          <w:rFonts w:hint="eastAsia" w:ascii="宋体" w:hAnsi="宋体" w:cs="宋体"/>
          <w:color w:val="auto"/>
          <w:highlight w:val="none"/>
        </w:rPr>
        <w:t>投标文件的编制</w:t>
      </w:r>
      <w:bookmarkEnd w:id="74"/>
      <w:bookmarkEnd w:id="75"/>
      <w:bookmarkEnd w:id="76"/>
    </w:p>
    <w:p w14:paraId="00CD9CFE">
      <w:pPr>
        <w:pStyle w:val="6"/>
        <w:pageBreakBefore w:val="0"/>
        <w:widowControl w:val="0"/>
        <w:numPr>
          <w:ilvl w:val="0"/>
          <w:numId w:val="2"/>
        </w:numPr>
        <w:shd w:val="clear"/>
        <w:overflowPunct w:val="0"/>
        <w:topLinePunct w:val="0"/>
        <w:bidi w:val="0"/>
        <w:spacing w:after="0" w:line="360" w:lineRule="auto"/>
        <w:rPr>
          <w:rFonts w:hint="eastAsia" w:ascii="宋体" w:hAnsi="宋体" w:cs="宋体"/>
          <w:color w:val="auto"/>
          <w:sz w:val="21"/>
          <w:szCs w:val="21"/>
          <w:highlight w:val="none"/>
        </w:rPr>
      </w:pPr>
      <w:bookmarkStart w:id="77" w:name="_Toc16938"/>
      <w:bookmarkStart w:id="78" w:name="_Toc17615"/>
      <w:bookmarkStart w:id="79" w:name="_Toc20064"/>
      <w:r>
        <w:rPr>
          <w:rFonts w:hint="eastAsia" w:ascii="宋体" w:hAnsi="宋体" w:cs="宋体"/>
          <w:color w:val="auto"/>
          <w:sz w:val="21"/>
          <w:szCs w:val="21"/>
          <w:highlight w:val="none"/>
        </w:rPr>
        <w:t>投标文件的语言及度量衡单位</w:t>
      </w:r>
      <w:bookmarkEnd w:id="77"/>
      <w:bookmarkEnd w:id="78"/>
      <w:bookmarkEnd w:id="79"/>
    </w:p>
    <w:p w14:paraId="63B51B25">
      <w:pPr>
        <w:pStyle w:val="45"/>
        <w:pageBreakBefore w:val="0"/>
        <w:widowControl w:val="0"/>
        <w:numPr>
          <w:ilvl w:val="0"/>
          <w:numId w:val="3"/>
        </w:numPr>
        <w:shd w:val="clear"/>
        <w:topLinePunct w:val="0"/>
        <w:bidi w:val="0"/>
        <w:adjustRightInd/>
        <w:snapToGrid/>
        <w:spacing w:after="0" w:line="360" w:lineRule="auto"/>
        <w:ind w:firstLineChars="0"/>
        <w:jc w:val="both"/>
        <w:rPr>
          <w:rFonts w:hint="eastAsia" w:ascii="宋体" w:hAnsi="宋体" w:cs="宋体"/>
          <w:vanish/>
          <w:color w:val="auto"/>
          <w:szCs w:val="21"/>
          <w:highlight w:val="none"/>
        </w:rPr>
      </w:pPr>
    </w:p>
    <w:p w14:paraId="09745C81">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投标人提交的投标文件以及投标人与采购代理机构就有关投标的所有来往函件均应使用简体中文书写。投标人提交的支持资料和已印刷的文献可以用另一种语言，但相应内容应附有中文翻译本（中文译本应由翻译机构盖章或者翻译人员签名确认，否则按无效处理），在解释投标文件的修改内容时以中文翻译本为准。</w:t>
      </w:r>
    </w:p>
    <w:p w14:paraId="669CCF8A">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除非采购文件在技术规格中另有规定，投标人在投标文件中及其与采购代理机构和采购人所有往来文件中的所有计量单位均应采用中华人民共和国法定计量单位。</w:t>
      </w:r>
    </w:p>
    <w:p w14:paraId="4CEE0B88">
      <w:pPr>
        <w:pageBreakBefore w:val="0"/>
        <w:widowControl w:val="0"/>
        <w:shd w:val="clear"/>
        <w:topLinePunct w:val="0"/>
        <w:bidi w:val="0"/>
        <w:adjustRightInd/>
        <w:snapToGrid/>
        <w:spacing w:after="0" w:line="360" w:lineRule="auto"/>
        <w:ind w:left="567"/>
        <w:jc w:val="both"/>
        <w:rPr>
          <w:rFonts w:hint="eastAsia" w:ascii="宋体" w:hAnsi="宋体" w:cs="宋体"/>
          <w:color w:val="auto"/>
          <w:szCs w:val="21"/>
          <w:highlight w:val="none"/>
        </w:rPr>
      </w:pPr>
    </w:p>
    <w:p w14:paraId="64AB0DE2">
      <w:pPr>
        <w:pStyle w:val="6"/>
        <w:pageBreakBefore w:val="0"/>
        <w:widowControl w:val="0"/>
        <w:numPr>
          <w:ilvl w:val="0"/>
          <w:numId w:val="2"/>
        </w:numPr>
        <w:shd w:val="clear"/>
        <w:overflowPunct w:val="0"/>
        <w:topLinePunct w:val="0"/>
        <w:bidi w:val="0"/>
        <w:spacing w:after="0" w:line="360" w:lineRule="auto"/>
        <w:rPr>
          <w:rFonts w:hint="eastAsia" w:ascii="宋体" w:hAnsi="宋体" w:cs="宋体"/>
          <w:color w:val="auto"/>
          <w:sz w:val="21"/>
          <w:szCs w:val="21"/>
          <w:highlight w:val="none"/>
        </w:rPr>
      </w:pPr>
      <w:bookmarkStart w:id="80" w:name="_Toc28866"/>
      <w:bookmarkStart w:id="81" w:name="_Toc307934854"/>
      <w:bookmarkStart w:id="82" w:name="_Toc24018"/>
      <w:bookmarkStart w:id="83" w:name="_Toc303084256"/>
      <w:bookmarkStart w:id="84" w:name="_Toc382049103"/>
      <w:bookmarkStart w:id="85" w:name="_Toc17204"/>
      <w:bookmarkStart w:id="86" w:name="_Toc11466"/>
      <w:r>
        <w:rPr>
          <w:rFonts w:hint="eastAsia" w:ascii="宋体" w:hAnsi="宋体" w:cs="宋体"/>
          <w:color w:val="auto"/>
          <w:sz w:val="21"/>
          <w:szCs w:val="21"/>
          <w:highlight w:val="none"/>
        </w:rPr>
        <w:t>投标文件的组成</w:t>
      </w:r>
      <w:bookmarkEnd w:id="80"/>
      <w:bookmarkEnd w:id="81"/>
      <w:bookmarkEnd w:id="82"/>
      <w:bookmarkEnd w:id="83"/>
      <w:bookmarkEnd w:id="84"/>
      <w:bookmarkEnd w:id="85"/>
      <w:bookmarkEnd w:id="86"/>
    </w:p>
    <w:p w14:paraId="097CE8B7">
      <w:pPr>
        <w:pStyle w:val="45"/>
        <w:pageBreakBefore w:val="0"/>
        <w:widowControl w:val="0"/>
        <w:numPr>
          <w:ilvl w:val="0"/>
          <w:numId w:val="3"/>
        </w:numPr>
        <w:shd w:val="clear"/>
        <w:topLinePunct w:val="0"/>
        <w:bidi w:val="0"/>
        <w:adjustRightInd/>
        <w:snapToGrid/>
        <w:spacing w:after="0" w:line="360" w:lineRule="auto"/>
        <w:ind w:firstLineChars="0"/>
        <w:jc w:val="both"/>
        <w:rPr>
          <w:rFonts w:hint="eastAsia" w:ascii="宋体" w:hAnsi="宋体" w:cs="宋体"/>
          <w:vanish/>
          <w:color w:val="auto"/>
          <w:szCs w:val="21"/>
          <w:highlight w:val="none"/>
        </w:rPr>
      </w:pPr>
    </w:p>
    <w:p w14:paraId="13CBC41E">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包括但不限于采购文件附件格式中要求提供的表格。</w:t>
      </w:r>
    </w:p>
    <w:p w14:paraId="4BC9BBC6">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上述文件须按顺序装订成册，并编制投标文件目录。除上述文件资料外投标人还须按投标人须知的要求制作“唱标信封”。“唱标信封”作为投标文件的一部分，但须单独密封。</w:t>
      </w:r>
    </w:p>
    <w:p w14:paraId="3583ABDB">
      <w:pPr>
        <w:pageBreakBefore w:val="0"/>
        <w:shd w:val="clear"/>
        <w:topLinePunct w:val="0"/>
        <w:bidi w:val="0"/>
        <w:spacing w:after="0" w:line="360" w:lineRule="auto"/>
        <w:rPr>
          <w:rFonts w:hint="eastAsia" w:ascii="宋体" w:hAnsi="宋体" w:cs="宋体"/>
          <w:color w:val="auto"/>
          <w:highlight w:val="none"/>
        </w:rPr>
      </w:pPr>
    </w:p>
    <w:p w14:paraId="09A1AB7D">
      <w:pPr>
        <w:pStyle w:val="6"/>
        <w:pageBreakBefore w:val="0"/>
        <w:widowControl w:val="0"/>
        <w:numPr>
          <w:ilvl w:val="0"/>
          <w:numId w:val="2"/>
        </w:numPr>
        <w:shd w:val="clear"/>
        <w:overflowPunct w:val="0"/>
        <w:topLinePunct w:val="0"/>
        <w:bidi w:val="0"/>
        <w:spacing w:after="0" w:line="360" w:lineRule="auto"/>
        <w:rPr>
          <w:rFonts w:hint="eastAsia" w:ascii="宋体" w:hAnsi="宋体" w:cs="宋体"/>
          <w:color w:val="auto"/>
          <w:sz w:val="21"/>
          <w:szCs w:val="21"/>
          <w:highlight w:val="none"/>
        </w:rPr>
      </w:pPr>
      <w:bookmarkStart w:id="87" w:name="_Toc755"/>
      <w:bookmarkStart w:id="88" w:name="_Toc20938"/>
      <w:bookmarkStart w:id="89" w:name="_Toc1168"/>
      <w:r>
        <w:rPr>
          <w:rFonts w:hint="eastAsia" w:ascii="宋体" w:hAnsi="宋体" w:cs="宋体"/>
          <w:color w:val="auto"/>
          <w:sz w:val="21"/>
          <w:szCs w:val="21"/>
          <w:highlight w:val="none"/>
        </w:rPr>
        <w:t>投标文件编制</w:t>
      </w:r>
      <w:bookmarkEnd w:id="87"/>
      <w:bookmarkEnd w:id="88"/>
      <w:bookmarkEnd w:id="89"/>
    </w:p>
    <w:p w14:paraId="6E77316F">
      <w:pPr>
        <w:pStyle w:val="45"/>
        <w:pageBreakBefore w:val="0"/>
        <w:widowControl w:val="0"/>
        <w:numPr>
          <w:ilvl w:val="0"/>
          <w:numId w:val="3"/>
        </w:numPr>
        <w:shd w:val="clear"/>
        <w:topLinePunct w:val="0"/>
        <w:bidi w:val="0"/>
        <w:adjustRightInd/>
        <w:snapToGrid/>
        <w:spacing w:after="0" w:line="360" w:lineRule="auto"/>
        <w:ind w:firstLineChars="0"/>
        <w:jc w:val="both"/>
        <w:rPr>
          <w:rFonts w:hint="eastAsia" w:ascii="宋体" w:hAnsi="宋体" w:cs="宋体"/>
          <w:vanish/>
          <w:color w:val="auto"/>
          <w:szCs w:val="21"/>
          <w:highlight w:val="none"/>
        </w:rPr>
      </w:pPr>
      <w:bookmarkStart w:id="90" w:name="_Toc303084258"/>
    </w:p>
    <w:p w14:paraId="08CAB575">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投标人应按采购文件的规定以及附件要求的内容和格式完整地填写（表格可以按同样格式扩展）和提供资料，投标人必须对投标文件所提供的全部材料的真实性承担法律责任，并无条件接受采购人或采购代理机构对其中任何资料进行核实的要求。</w:t>
      </w:r>
    </w:p>
    <w:p w14:paraId="26737B8A">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因投标文件编制存在歧义对投标人产生负面影响的，投标人自行承担后果。</w:t>
      </w:r>
    </w:p>
    <w:p w14:paraId="4C7E231C">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投标单位名称与投标人公章不一致，若投标单位名称已进行变更，应在投标文件中提供相应的证明材料并加盖公章，否则投标文件无效。</w:t>
      </w:r>
    </w:p>
    <w:p w14:paraId="55B004EB">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投标文件密封、标记及内容与本项目采购信息不符，导致无法分辨所投项目为本项目的，投标文件无效。</w:t>
      </w:r>
    </w:p>
    <w:p w14:paraId="0A9E5FFC">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投标人须客观撰写投标人简介（格式自理，并提供相关证明）以及所投的产品或服务说明。</w:t>
      </w:r>
    </w:p>
    <w:p w14:paraId="6BA95C76">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投标文件若出现以下内容，经评标委员会认定有可能间接影响评审秩序，作废标处理。</w:t>
      </w:r>
    </w:p>
    <w:p w14:paraId="1D067400">
      <w:pPr>
        <w:pStyle w:val="45"/>
        <w:pageBreakBefore w:val="0"/>
        <w:widowControl w:val="0"/>
        <w:shd w:val="clear"/>
        <w:topLinePunct w:val="0"/>
        <w:bidi w:val="0"/>
        <w:spacing w:after="0" w:line="360" w:lineRule="auto"/>
        <w:ind w:left="425" w:firstLine="0" w:firstLineChars="0"/>
        <w:jc w:val="both"/>
        <w:rPr>
          <w:rFonts w:hint="eastAsia" w:ascii="宋体" w:hAnsi="宋体" w:cs="宋体"/>
          <w:color w:val="auto"/>
          <w:szCs w:val="21"/>
          <w:highlight w:val="none"/>
        </w:rPr>
      </w:pPr>
      <w:r>
        <w:rPr>
          <w:rFonts w:hint="eastAsia" w:ascii="宋体" w:hAnsi="宋体" w:cs="宋体"/>
          <w:color w:val="auto"/>
          <w:szCs w:val="21"/>
          <w:highlight w:val="none"/>
        </w:rPr>
        <w:t>（1）投标文件内出现无官方证明文件的行业地域排名或使用“国家级”、“最高级”、“最佳”等用语字眼的。</w:t>
      </w:r>
    </w:p>
    <w:p w14:paraId="74ABDF0F">
      <w:pPr>
        <w:pStyle w:val="45"/>
        <w:pageBreakBefore w:val="0"/>
        <w:widowControl w:val="0"/>
        <w:shd w:val="clear"/>
        <w:topLinePunct w:val="0"/>
        <w:bidi w:val="0"/>
        <w:spacing w:after="0" w:line="360" w:lineRule="auto"/>
        <w:ind w:left="425" w:firstLine="0" w:firstLineChars="0"/>
        <w:jc w:val="both"/>
        <w:rPr>
          <w:rFonts w:hint="eastAsia" w:ascii="宋体" w:hAnsi="宋体" w:cs="宋体"/>
          <w:color w:val="auto"/>
          <w:szCs w:val="21"/>
          <w:highlight w:val="none"/>
        </w:rPr>
      </w:pPr>
      <w:r>
        <w:rPr>
          <w:rFonts w:hint="eastAsia" w:ascii="宋体" w:hAnsi="宋体" w:cs="宋体"/>
          <w:color w:val="auto"/>
          <w:szCs w:val="21"/>
          <w:highlight w:val="none"/>
        </w:rPr>
        <w:t>（2）投标文件内出现</w:t>
      </w:r>
      <w:r>
        <w:rPr>
          <w:rFonts w:hint="eastAsia" w:ascii="宋体" w:hAnsi="宋体" w:cs="宋体"/>
          <w:color w:val="auto"/>
          <w:highlight w:val="none"/>
        </w:rPr>
        <w:t>恶意</w:t>
      </w:r>
      <w:r>
        <w:rPr>
          <w:rFonts w:hint="eastAsia" w:ascii="宋体" w:hAnsi="宋体" w:cs="宋体"/>
          <w:color w:val="auto"/>
          <w:szCs w:val="21"/>
          <w:highlight w:val="none"/>
        </w:rPr>
        <w:t>诋毁、贬低其他生产经营者的商品或者服务的内容。</w:t>
      </w:r>
    </w:p>
    <w:p w14:paraId="7E025D80">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有下列情形之一的，视为投标人串通投标，其投标无效：</w:t>
      </w:r>
    </w:p>
    <w:p w14:paraId="51D6B070">
      <w:pPr>
        <w:pStyle w:val="45"/>
        <w:pageBreakBefore w:val="0"/>
        <w:widowControl w:val="0"/>
        <w:shd w:val="clear"/>
        <w:topLinePunct w:val="0"/>
        <w:bidi w:val="0"/>
        <w:spacing w:after="0" w:line="360" w:lineRule="auto"/>
        <w:ind w:left="425" w:firstLine="0" w:firstLineChars="0"/>
        <w:jc w:val="both"/>
        <w:rPr>
          <w:rFonts w:hint="eastAsia" w:ascii="宋体" w:hAnsi="宋体" w:cs="宋体"/>
          <w:color w:val="auto"/>
          <w:szCs w:val="21"/>
          <w:highlight w:val="none"/>
        </w:rPr>
      </w:pPr>
      <w:r>
        <w:rPr>
          <w:rFonts w:hint="eastAsia" w:ascii="宋体" w:hAnsi="宋体" w:cs="宋体"/>
          <w:color w:val="auto"/>
          <w:szCs w:val="21"/>
          <w:highlight w:val="none"/>
        </w:rPr>
        <w:t>（1）不同投标人的投标文件由同一单位或者个人编制；</w:t>
      </w:r>
    </w:p>
    <w:p w14:paraId="5EC43529">
      <w:pPr>
        <w:pStyle w:val="45"/>
        <w:pageBreakBefore w:val="0"/>
        <w:widowControl w:val="0"/>
        <w:shd w:val="clear"/>
        <w:topLinePunct w:val="0"/>
        <w:bidi w:val="0"/>
        <w:spacing w:after="0" w:line="360" w:lineRule="auto"/>
        <w:ind w:left="425" w:firstLine="0" w:firstLineChars="0"/>
        <w:jc w:val="both"/>
        <w:rPr>
          <w:rFonts w:hint="eastAsia" w:ascii="宋体" w:hAnsi="宋体" w:cs="宋体"/>
          <w:color w:val="auto"/>
          <w:szCs w:val="21"/>
          <w:highlight w:val="none"/>
        </w:rPr>
      </w:pPr>
      <w:r>
        <w:rPr>
          <w:rFonts w:hint="eastAsia" w:ascii="宋体" w:hAnsi="宋体" w:cs="宋体"/>
          <w:color w:val="auto"/>
          <w:szCs w:val="21"/>
          <w:highlight w:val="none"/>
        </w:rPr>
        <w:t>（2）不同投标人委托同一单位或者个人办理投标事宜；</w:t>
      </w:r>
    </w:p>
    <w:p w14:paraId="7DE4B737">
      <w:pPr>
        <w:pStyle w:val="45"/>
        <w:pageBreakBefore w:val="0"/>
        <w:widowControl w:val="0"/>
        <w:shd w:val="clear"/>
        <w:topLinePunct w:val="0"/>
        <w:bidi w:val="0"/>
        <w:spacing w:after="0" w:line="360" w:lineRule="auto"/>
        <w:ind w:left="425" w:firstLine="0" w:firstLineChars="0"/>
        <w:jc w:val="both"/>
        <w:rPr>
          <w:rFonts w:hint="eastAsia" w:ascii="宋体" w:hAnsi="宋体" w:cs="宋体"/>
          <w:color w:val="auto"/>
          <w:szCs w:val="21"/>
          <w:highlight w:val="none"/>
        </w:rPr>
      </w:pPr>
      <w:r>
        <w:rPr>
          <w:rFonts w:hint="eastAsia" w:ascii="宋体" w:hAnsi="宋体" w:cs="宋体"/>
          <w:color w:val="auto"/>
          <w:szCs w:val="21"/>
          <w:highlight w:val="none"/>
        </w:rPr>
        <w:t>（3）不同投标人的投标文件载明的项目管理成员或者联系人员为同一人；</w:t>
      </w:r>
    </w:p>
    <w:p w14:paraId="4EBEA630">
      <w:pPr>
        <w:pStyle w:val="45"/>
        <w:pageBreakBefore w:val="0"/>
        <w:widowControl w:val="0"/>
        <w:shd w:val="clear"/>
        <w:topLinePunct w:val="0"/>
        <w:bidi w:val="0"/>
        <w:spacing w:after="0" w:line="360" w:lineRule="auto"/>
        <w:ind w:left="425" w:firstLine="0" w:firstLineChars="0"/>
        <w:jc w:val="both"/>
        <w:rPr>
          <w:rFonts w:hint="eastAsia" w:ascii="宋体" w:hAnsi="宋体" w:cs="宋体"/>
          <w:color w:val="auto"/>
          <w:szCs w:val="21"/>
          <w:highlight w:val="none"/>
        </w:rPr>
      </w:pPr>
      <w:r>
        <w:rPr>
          <w:rFonts w:hint="eastAsia" w:ascii="宋体" w:hAnsi="宋体" w:cs="宋体"/>
          <w:color w:val="auto"/>
          <w:szCs w:val="21"/>
          <w:highlight w:val="none"/>
        </w:rPr>
        <w:t>（4）不同投标人的投标文件异常一致或者投标报价呈规律性差异；</w:t>
      </w:r>
    </w:p>
    <w:p w14:paraId="35231E40">
      <w:pPr>
        <w:pStyle w:val="45"/>
        <w:pageBreakBefore w:val="0"/>
        <w:widowControl w:val="0"/>
        <w:shd w:val="clear"/>
        <w:topLinePunct w:val="0"/>
        <w:bidi w:val="0"/>
        <w:spacing w:after="0" w:line="360" w:lineRule="auto"/>
        <w:ind w:left="425" w:firstLine="0" w:firstLineChars="0"/>
        <w:jc w:val="both"/>
        <w:rPr>
          <w:rFonts w:hint="eastAsia" w:ascii="宋体" w:hAnsi="宋体" w:cs="宋体"/>
          <w:color w:val="auto"/>
          <w:szCs w:val="21"/>
          <w:highlight w:val="none"/>
        </w:rPr>
      </w:pPr>
      <w:r>
        <w:rPr>
          <w:rFonts w:hint="eastAsia" w:ascii="宋体" w:hAnsi="宋体" w:cs="宋体"/>
          <w:color w:val="auto"/>
          <w:szCs w:val="21"/>
          <w:highlight w:val="none"/>
        </w:rPr>
        <w:t>（5）不同投标人的投标文件相互混装；</w:t>
      </w:r>
    </w:p>
    <w:p w14:paraId="1226B88D">
      <w:pPr>
        <w:pStyle w:val="45"/>
        <w:pageBreakBefore w:val="0"/>
        <w:widowControl w:val="0"/>
        <w:shd w:val="clear"/>
        <w:topLinePunct w:val="0"/>
        <w:bidi w:val="0"/>
        <w:spacing w:after="0" w:line="360" w:lineRule="auto"/>
        <w:ind w:left="425" w:firstLine="0" w:firstLineChars="0"/>
        <w:jc w:val="both"/>
        <w:rPr>
          <w:rFonts w:hint="eastAsia" w:ascii="宋体" w:hAnsi="宋体" w:cs="宋体"/>
          <w:color w:val="auto"/>
          <w:szCs w:val="21"/>
          <w:highlight w:val="none"/>
        </w:rPr>
      </w:pPr>
      <w:r>
        <w:rPr>
          <w:rFonts w:hint="eastAsia" w:ascii="宋体" w:hAnsi="宋体" w:cs="宋体"/>
          <w:color w:val="auto"/>
          <w:szCs w:val="21"/>
          <w:highlight w:val="none"/>
        </w:rPr>
        <w:t>（6）不同投标人的投标保证金从同一单位或者个人的账户转出。</w:t>
      </w:r>
    </w:p>
    <w:bookmarkEnd w:id="90"/>
    <w:p w14:paraId="04092DB6">
      <w:pPr>
        <w:pageBreakBefore w:val="0"/>
        <w:shd w:val="clear"/>
        <w:topLinePunct w:val="0"/>
        <w:bidi w:val="0"/>
        <w:spacing w:after="0" w:line="360" w:lineRule="auto"/>
        <w:rPr>
          <w:rFonts w:hint="eastAsia" w:ascii="宋体" w:hAnsi="宋体" w:cs="宋体"/>
          <w:color w:val="auto"/>
          <w:highlight w:val="none"/>
        </w:rPr>
      </w:pPr>
    </w:p>
    <w:p w14:paraId="0AA26A88">
      <w:pPr>
        <w:pStyle w:val="6"/>
        <w:pageBreakBefore w:val="0"/>
        <w:widowControl w:val="0"/>
        <w:numPr>
          <w:ilvl w:val="0"/>
          <w:numId w:val="2"/>
        </w:numPr>
        <w:shd w:val="clear"/>
        <w:overflowPunct w:val="0"/>
        <w:topLinePunct w:val="0"/>
        <w:bidi w:val="0"/>
        <w:spacing w:after="0" w:line="360" w:lineRule="auto"/>
        <w:rPr>
          <w:rFonts w:hint="eastAsia" w:ascii="宋体" w:hAnsi="宋体" w:cs="宋体"/>
          <w:color w:val="auto"/>
          <w:sz w:val="21"/>
          <w:szCs w:val="21"/>
          <w:highlight w:val="none"/>
        </w:rPr>
      </w:pPr>
      <w:bookmarkStart w:id="91" w:name="_Toc11746"/>
      <w:bookmarkStart w:id="92" w:name="_Toc6154"/>
      <w:bookmarkStart w:id="93" w:name="_Toc21513"/>
      <w:r>
        <w:rPr>
          <w:rFonts w:hint="eastAsia" w:ascii="宋体" w:hAnsi="宋体" w:cs="宋体"/>
          <w:color w:val="auto"/>
          <w:sz w:val="21"/>
          <w:szCs w:val="21"/>
          <w:highlight w:val="none"/>
        </w:rPr>
        <w:t>投标报价说明</w:t>
      </w:r>
      <w:bookmarkEnd w:id="91"/>
      <w:bookmarkEnd w:id="92"/>
      <w:bookmarkEnd w:id="93"/>
    </w:p>
    <w:p w14:paraId="744182B5">
      <w:pPr>
        <w:pStyle w:val="45"/>
        <w:pageBreakBefore w:val="0"/>
        <w:widowControl w:val="0"/>
        <w:numPr>
          <w:ilvl w:val="0"/>
          <w:numId w:val="3"/>
        </w:numPr>
        <w:shd w:val="clear"/>
        <w:topLinePunct w:val="0"/>
        <w:bidi w:val="0"/>
        <w:adjustRightInd/>
        <w:snapToGrid/>
        <w:spacing w:after="0" w:line="360" w:lineRule="auto"/>
        <w:ind w:firstLineChars="0"/>
        <w:jc w:val="both"/>
        <w:rPr>
          <w:rFonts w:hint="eastAsia" w:ascii="宋体" w:hAnsi="宋体" w:cs="宋体"/>
          <w:vanish/>
          <w:color w:val="auto"/>
          <w:szCs w:val="21"/>
          <w:highlight w:val="none"/>
        </w:rPr>
      </w:pPr>
    </w:p>
    <w:p w14:paraId="39C116E9">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本次采购，投标人应按用户需求中的要求进行投标报价，少报无效。</w:t>
      </w:r>
    </w:p>
    <w:p w14:paraId="1CF79E43">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投标人所提供的货物或服务均以人民币（或相关费率）报价。</w:t>
      </w:r>
    </w:p>
    <w:p w14:paraId="0565E280">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投标报价应包含完成本次采购所有服务内容的费用，包含各种税务费及合同实施过程中的全部费用和售后服务费等。</w:t>
      </w:r>
    </w:p>
    <w:p w14:paraId="3E13E902">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67D58807">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中标后开出的所有发票必须与中标人的名称一致。</w:t>
      </w:r>
    </w:p>
    <w:p w14:paraId="7EF67CDF">
      <w:pPr>
        <w:pageBreakBefore w:val="0"/>
        <w:shd w:val="clear"/>
        <w:topLinePunct w:val="0"/>
        <w:bidi w:val="0"/>
        <w:spacing w:after="0" w:line="360" w:lineRule="auto"/>
        <w:rPr>
          <w:rFonts w:hint="eastAsia" w:ascii="宋体" w:hAnsi="宋体" w:cs="宋体"/>
          <w:color w:val="auto"/>
          <w:highlight w:val="none"/>
        </w:rPr>
      </w:pPr>
    </w:p>
    <w:p w14:paraId="2DC0C49F">
      <w:pPr>
        <w:pStyle w:val="6"/>
        <w:pageBreakBefore w:val="0"/>
        <w:widowControl w:val="0"/>
        <w:numPr>
          <w:ilvl w:val="0"/>
          <w:numId w:val="2"/>
        </w:numPr>
        <w:shd w:val="clear"/>
        <w:overflowPunct w:val="0"/>
        <w:topLinePunct w:val="0"/>
        <w:bidi w:val="0"/>
        <w:spacing w:after="0" w:line="360" w:lineRule="auto"/>
        <w:rPr>
          <w:rFonts w:hint="eastAsia" w:ascii="宋体" w:hAnsi="宋体" w:cs="宋体"/>
          <w:color w:val="auto"/>
          <w:sz w:val="21"/>
          <w:szCs w:val="21"/>
          <w:highlight w:val="none"/>
        </w:rPr>
      </w:pPr>
      <w:bookmarkStart w:id="94" w:name="_Toc17669"/>
      <w:bookmarkStart w:id="95" w:name="_Toc4530"/>
      <w:bookmarkStart w:id="96" w:name="_Toc21120"/>
      <w:r>
        <w:rPr>
          <w:rFonts w:hint="eastAsia" w:ascii="宋体" w:hAnsi="宋体" w:cs="宋体"/>
          <w:color w:val="auto"/>
          <w:sz w:val="21"/>
          <w:szCs w:val="21"/>
          <w:highlight w:val="none"/>
        </w:rPr>
        <w:t>投标人所提供的服务或货物的证明文件</w:t>
      </w:r>
      <w:bookmarkEnd w:id="94"/>
      <w:bookmarkEnd w:id="95"/>
      <w:bookmarkEnd w:id="96"/>
    </w:p>
    <w:p w14:paraId="38BF8728">
      <w:pPr>
        <w:pStyle w:val="45"/>
        <w:pageBreakBefore w:val="0"/>
        <w:widowControl w:val="0"/>
        <w:numPr>
          <w:ilvl w:val="0"/>
          <w:numId w:val="3"/>
        </w:numPr>
        <w:shd w:val="clear"/>
        <w:topLinePunct w:val="0"/>
        <w:bidi w:val="0"/>
        <w:adjustRightInd/>
        <w:snapToGrid/>
        <w:spacing w:after="0" w:line="360" w:lineRule="auto"/>
        <w:ind w:firstLineChars="0"/>
        <w:jc w:val="both"/>
        <w:rPr>
          <w:rFonts w:hint="eastAsia" w:ascii="宋体" w:hAnsi="宋体" w:cs="宋体"/>
          <w:vanish/>
          <w:color w:val="auto"/>
          <w:szCs w:val="21"/>
          <w:highlight w:val="none"/>
        </w:rPr>
      </w:pPr>
    </w:p>
    <w:p w14:paraId="673B93E5">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bookmarkStart w:id="97" w:name="_Hlt107925638"/>
      <w:bookmarkEnd w:id="97"/>
      <w:bookmarkStart w:id="98" w:name="_Hlt107925668"/>
      <w:bookmarkEnd w:id="98"/>
      <w:r>
        <w:rPr>
          <w:rFonts w:hint="eastAsia" w:ascii="宋体" w:hAnsi="宋体" w:cs="宋体"/>
          <w:color w:val="auto"/>
          <w:szCs w:val="21"/>
          <w:highlight w:val="none"/>
        </w:rPr>
        <w:t>证明服务或货物的文件，它可以是文字资料、图纸和数据包括但不限于：服务主要内容、标准、质量、人员资质、计划安排、报告审核等的详细说明；对采购文件第三部分《用户需求书》中规定的要求进行详细应答和说明。</w:t>
      </w:r>
    </w:p>
    <w:p w14:paraId="1BD46096">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有下列情形之一的，视为投标人弄虚作假，其投标无效：</w:t>
      </w:r>
    </w:p>
    <w:p w14:paraId="3173F546">
      <w:pPr>
        <w:pStyle w:val="45"/>
        <w:pageBreakBefore w:val="0"/>
        <w:widowControl w:val="0"/>
        <w:shd w:val="clear"/>
        <w:topLinePunct w:val="0"/>
        <w:bidi w:val="0"/>
        <w:spacing w:after="0" w:line="360" w:lineRule="auto"/>
        <w:ind w:left="425" w:firstLine="0" w:firstLineChars="0"/>
        <w:jc w:val="both"/>
        <w:rPr>
          <w:rFonts w:hint="eastAsia" w:ascii="宋体" w:hAnsi="宋体" w:cs="宋体"/>
          <w:color w:val="auto"/>
          <w:szCs w:val="21"/>
          <w:highlight w:val="none"/>
        </w:rPr>
      </w:pPr>
      <w:r>
        <w:rPr>
          <w:rFonts w:hint="eastAsia" w:ascii="宋体" w:hAnsi="宋体" w:cs="宋体"/>
          <w:color w:val="auto"/>
          <w:szCs w:val="21"/>
          <w:highlight w:val="none"/>
        </w:rPr>
        <w:t>1、使用通过受让或者租借等方式获取的资格、资质证书投标的，属于以他人名义投标。</w:t>
      </w:r>
    </w:p>
    <w:p w14:paraId="38524259">
      <w:pPr>
        <w:pStyle w:val="45"/>
        <w:pageBreakBefore w:val="0"/>
        <w:widowControl w:val="0"/>
        <w:shd w:val="clear"/>
        <w:topLinePunct w:val="0"/>
        <w:bidi w:val="0"/>
        <w:spacing w:after="0" w:line="360" w:lineRule="auto"/>
        <w:ind w:left="425" w:firstLine="0" w:firstLineChars="0"/>
        <w:jc w:val="both"/>
        <w:rPr>
          <w:rFonts w:hint="eastAsia" w:ascii="宋体" w:hAnsi="宋体" w:cs="宋体"/>
          <w:color w:val="auto"/>
          <w:szCs w:val="21"/>
          <w:highlight w:val="none"/>
        </w:rPr>
      </w:pPr>
      <w:r>
        <w:rPr>
          <w:rFonts w:hint="eastAsia" w:ascii="宋体" w:hAnsi="宋体" w:cs="宋体"/>
          <w:color w:val="auto"/>
          <w:szCs w:val="21"/>
          <w:highlight w:val="none"/>
        </w:rPr>
        <w:t>2、投标人有下列情形之一的，属于以其他方式弄虚作假的行为：</w:t>
      </w:r>
    </w:p>
    <w:p w14:paraId="00A22A39">
      <w:pPr>
        <w:pStyle w:val="45"/>
        <w:pageBreakBefore w:val="0"/>
        <w:widowControl w:val="0"/>
        <w:shd w:val="clear"/>
        <w:topLinePunct w:val="0"/>
        <w:bidi w:val="0"/>
        <w:spacing w:after="0" w:line="360" w:lineRule="auto"/>
        <w:ind w:left="425" w:firstLine="0" w:firstLineChars="0"/>
        <w:jc w:val="both"/>
        <w:rPr>
          <w:rFonts w:hint="eastAsia" w:ascii="宋体" w:hAnsi="宋体" w:cs="宋体"/>
          <w:color w:val="auto"/>
          <w:szCs w:val="21"/>
          <w:highlight w:val="none"/>
        </w:rPr>
      </w:pPr>
      <w:r>
        <w:rPr>
          <w:rFonts w:hint="eastAsia" w:ascii="宋体" w:hAnsi="宋体" w:cs="宋体"/>
          <w:color w:val="auto"/>
          <w:szCs w:val="21"/>
          <w:highlight w:val="none"/>
        </w:rPr>
        <w:t>（1）使用伪造、变造的许可证件；</w:t>
      </w:r>
    </w:p>
    <w:p w14:paraId="7ABD232A">
      <w:pPr>
        <w:pStyle w:val="45"/>
        <w:pageBreakBefore w:val="0"/>
        <w:widowControl w:val="0"/>
        <w:shd w:val="clear"/>
        <w:topLinePunct w:val="0"/>
        <w:bidi w:val="0"/>
        <w:spacing w:after="0" w:line="360" w:lineRule="auto"/>
        <w:ind w:left="425" w:firstLine="0" w:firstLineChars="0"/>
        <w:jc w:val="both"/>
        <w:rPr>
          <w:rFonts w:hint="eastAsia" w:ascii="宋体" w:hAnsi="宋体" w:cs="宋体"/>
          <w:color w:val="auto"/>
          <w:szCs w:val="21"/>
          <w:highlight w:val="none"/>
        </w:rPr>
      </w:pPr>
      <w:r>
        <w:rPr>
          <w:rFonts w:hint="eastAsia" w:ascii="宋体" w:hAnsi="宋体" w:cs="宋体"/>
          <w:color w:val="auto"/>
          <w:szCs w:val="21"/>
          <w:highlight w:val="none"/>
        </w:rPr>
        <w:t>（2）提供虚假的财务状况或者业绩；</w:t>
      </w:r>
    </w:p>
    <w:p w14:paraId="71940DC4">
      <w:pPr>
        <w:pStyle w:val="45"/>
        <w:pageBreakBefore w:val="0"/>
        <w:widowControl w:val="0"/>
        <w:shd w:val="clear"/>
        <w:topLinePunct w:val="0"/>
        <w:bidi w:val="0"/>
        <w:spacing w:after="0" w:line="360" w:lineRule="auto"/>
        <w:ind w:left="425" w:firstLine="0" w:firstLineChars="0"/>
        <w:jc w:val="both"/>
        <w:rPr>
          <w:rFonts w:hint="eastAsia" w:ascii="宋体" w:hAnsi="宋体" w:cs="宋体"/>
          <w:color w:val="auto"/>
          <w:szCs w:val="21"/>
          <w:highlight w:val="none"/>
        </w:rPr>
      </w:pPr>
      <w:r>
        <w:rPr>
          <w:rFonts w:hint="eastAsia" w:ascii="宋体" w:hAnsi="宋体" w:cs="宋体"/>
          <w:color w:val="auto"/>
          <w:szCs w:val="21"/>
          <w:highlight w:val="none"/>
        </w:rPr>
        <w:t>（3）提供虚假的项目负责人或者主要技术人员简历、劳动关系证明；</w:t>
      </w:r>
    </w:p>
    <w:p w14:paraId="37C344F1">
      <w:pPr>
        <w:pStyle w:val="45"/>
        <w:pageBreakBefore w:val="0"/>
        <w:widowControl w:val="0"/>
        <w:shd w:val="clear"/>
        <w:topLinePunct w:val="0"/>
        <w:bidi w:val="0"/>
        <w:spacing w:after="0" w:line="360" w:lineRule="auto"/>
        <w:ind w:left="425" w:firstLine="0" w:firstLineChars="0"/>
        <w:jc w:val="both"/>
        <w:rPr>
          <w:rFonts w:hint="eastAsia" w:ascii="宋体" w:hAnsi="宋体" w:cs="宋体"/>
          <w:color w:val="auto"/>
          <w:szCs w:val="21"/>
          <w:highlight w:val="none"/>
        </w:rPr>
      </w:pPr>
      <w:r>
        <w:rPr>
          <w:rFonts w:hint="eastAsia" w:ascii="宋体" w:hAnsi="宋体" w:cs="宋体"/>
          <w:color w:val="auto"/>
          <w:szCs w:val="21"/>
          <w:highlight w:val="none"/>
        </w:rPr>
        <w:t>（4）提供虚假的信用状况；</w:t>
      </w:r>
    </w:p>
    <w:p w14:paraId="2280113B">
      <w:pPr>
        <w:pStyle w:val="45"/>
        <w:pageBreakBefore w:val="0"/>
        <w:widowControl w:val="0"/>
        <w:shd w:val="clear"/>
        <w:topLinePunct w:val="0"/>
        <w:bidi w:val="0"/>
        <w:spacing w:after="0" w:line="360" w:lineRule="auto"/>
        <w:ind w:left="425" w:firstLine="0" w:firstLineChars="0"/>
        <w:jc w:val="both"/>
        <w:rPr>
          <w:rFonts w:hint="eastAsia" w:ascii="宋体" w:hAnsi="宋体" w:cs="宋体"/>
          <w:color w:val="auto"/>
          <w:szCs w:val="21"/>
          <w:highlight w:val="none"/>
        </w:rPr>
      </w:pPr>
      <w:r>
        <w:rPr>
          <w:rFonts w:hint="eastAsia" w:ascii="宋体" w:hAnsi="宋体" w:cs="宋体"/>
          <w:color w:val="auto"/>
          <w:szCs w:val="21"/>
          <w:highlight w:val="none"/>
        </w:rPr>
        <w:t>（5）其他弄虚作假的行为。</w:t>
      </w:r>
    </w:p>
    <w:p w14:paraId="05D7B072">
      <w:pPr>
        <w:pageBreakBefore w:val="0"/>
        <w:widowControl w:val="0"/>
        <w:shd w:val="clear"/>
        <w:overflowPunct w:val="0"/>
        <w:topLinePunct w:val="0"/>
        <w:bidi w:val="0"/>
        <w:spacing w:after="0" w:line="360" w:lineRule="auto"/>
        <w:rPr>
          <w:rFonts w:hint="eastAsia" w:ascii="宋体" w:hAnsi="宋体" w:cs="宋体"/>
          <w:color w:val="auto"/>
          <w:szCs w:val="21"/>
          <w:highlight w:val="none"/>
        </w:rPr>
      </w:pPr>
      <w:bookmarkStart w:id="99" w:name="_Toc8324"/>
    </w:p>
    <w:p w14:paraId="549D4E1E">
      <w:pPr>
        <w:pStyle w:val="6"/>
        <w:pageBreakBefore w:val="0"/>
        <w:widowControl w:val="0"/>
        <w:numPr>
          <w:ilvl w:val="0"/>
          <w:numId w:val="2"/>
        </w:numPr>
        <w:shd w:val="clear"/>
        <w:overflowPunct w:val="0"/>
        <w:topLinePunct w:val="0"/>
        <w:bidi w:val="0"/>
        <w:spacing w:after="0" w:line="360" w:lineRule="auto"/>
        <w:rPr>
          <w:rFonts w:hint="eastAsia" w:ascii="宋体" w:hAnsi="宋体" w:cs="宋体"/>
          <w:color w:val="auto"/>
          <w:sz w:val="21"/>
          <w:szCs w:val="21"/>
          <w:highlight w:val="none"/>
        </w:rPr>
      </w:pPr>
      <w:bookmarkStart w:id="100" w:name="_Toc2217"/>
      <w:bookmarkStart w:id="101" w:name="_Toc12011"/>
      <w:r>
        <w:rPr>
          <w:rFonts w:hint="eastAsia" w:ascii="宋体" w:hAnsi="宋体" w:cs="宋体"/>
          <w:color w:val="auto"/>
          <w:sz w:val="21"/>
          <w:szCs w:val="21"/>
          <w:highlight w:val="none"/>
        </w:rPr>
        <w:t>投标有效期</w:t>
      </w:r>
      <w:bookmarkEnd w:id="99"/>
      <w:bookmarkEnd w:id="100"/>
      <w:bookmarkEnd w:id="101"/>
    </w:p>
    <w:p w14:paraId="6A8DCCD5">
      <w:pPr>
        <w:pStyle w:val="45"/>
        <w:pageBreakBefore w:val="0"/>
        <w:widowControl w:val="0"/>
        <w:numPr>
          <w:ilvl w:val="0"/>
          <w:numId w:val="3"/>
        </w:numPr>
        <w:shd w:val="clear"/>
        <w:topLinePunct w:val="0"/>
        <w:bidi w:val="0"/>
        <w:adjustRightInd/>
        <w:snapToGrid/>
        <w:spacing w:after="0" w:line="360" w:lineRule="auto"/>
        <w:ind w:firstLineChars="0"/>
        <w:jc w:val="both"/>
        <w:rPr>
          <w:rFonts w:hint="eastAsia" w:ascii="宋体" w:hAnsi="宋体" w:cs="宋体"/>
          <w:vanish/>
          <w:color w:val="auto"/>
          <w:szCs w:val="21"/>
          <w:highlight w:val="none"/>
        </w:rPr>
      </w:pPr>
    </w:p>
    <w:p w14:paraId="07D6C89B">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投标文件应根据投标人须知的规定在投标截止日后的90天内保持有效。</w:t>
      </w:r>
    </w:p>
    <w:p w14:paraId="53CC31A3">
      <w:pPr>
        <w:pageBreakBefore w:val="0"/>
        <w:widowControl w:val="0"/>
        <w:shd w:val="clear"/>
        <w:topLinePunct w:val="0"/>
        <w:bidi w:val="0"/>
        <w:adjustRightInd/>
        <w:snapToGrid/>
        <w:spacing w:after="0" w:line="360" w:lineRule="auto"/>
        <w:ind w:left="567"/>
        <w:jc w:val="both"/>
        <w:rPr>
          <w:rFonts w:hint="eastAsia" w:ascii="宋体" w:hAnsi="宋体" w:cs="宋体"/>
          <w:color w:val="auto"/>
          <w:highlight w:val="none"/>
        </w:rPr>
      </w:pPr>
    </w:p>
    <w:p w14:paraId="304F59F6">
      <w:pPr>
        <w:pStyle w:val="6"/>
        <w:pageBreakBefore w:val="0"/>
        <w:widowControl w:val="0"/>
        <w:numPr>
          <w:ilvl w:val="0"/>
          <w:numId w:val="2"/>
        </w:numPr>
        <w:shd w:val="clear"/>
        <w:overflowPunct w:val="0"/>
        <w:topLinePunct w:val="0"/>
        <w:bidi w:val="0"/>
        <w:spacing w:after="0" w:line="360" w:lineRule="auto"/>
        <w:rPr>
          <w:rFonts w:hint="eastAsia" w:ascii="宋体" w:hAnsi="宋体" w:cs="宋体"/>
          <w:color w:val="auto"/>
          <w:sz w:val="21"/>
          <w:szCs w:val="21"/>
          <w:highlight w:val="none"/>
        </w:rPr>
      </w:pPr>
      <w:bookmarkStart w:id="102" w:name="_Toc12582"/>
      <w:bookmarkStart w:id="103" w:name="_Toc1364"/>
      <w:bookmarkStart w:id="104" w:name="_Toc19985"/>
      <w:r>
        <w:rPr>
          <w:rFonts w:hint="eastAsia" w:ascii="宋体" w:hAnsi="宋体" w:cs="宋体"/>
          <w:color w:val="auto"/>
          <w:sz w:val="21"/>
          <w:szCs w:val="21"/>
          <w:highlight w:val="none"/>
        </w:rPr>
        <w:t>投标保证金</w:t>
      </w:r>
      <w:bookmarkEnd w:id="102"/>
      <w:bookmarkEnd w:id="103"/>
      <w:bookmarkEnd w:id="104"/>
    </w:p>
    <w:p w14:paraId="37C51403">
      <w:pPr>
        <w:pStyle w:val="45"/>
        <w:pageBreakBefore w:val="0"/>
        <w:widowControl w:val="0"/>
        <w:numPr>
          <w:ilvl w:val="0"/>
          <w:numId w:val="3"/>
        </w:numPr>
        <w:shd w:val="clear"/>
        <w:topLinePunct w:val="0"/>
        <w:bidi w:val="0"/>
        <w:adjustRightInd/>
        <w:snapToGrid/>
        <w:spacing w:after="0" w:line="360" w:lineRule="auto"/>
        <w:ind w:firstLineChars="0"/>
        <w:jc w:val="both"/>
        <w:rPr>
          <w:rFonts w:hint="eastAsia" w:ascii="宋体" w:hAnsi="宋体" w:cs="宋体"/>
          <w:vanish/>
          <w:color w:val="auto"/>
          <w:szCs w:val="21"/>
          <w:highlight w:val="none"/>
        </w:rPr>
      </w:pPr>
      <w:bookmarkStart w:id="105" w:name="_Ref179619405"/>
    </w:p>
    <w:p w14:paraId="3AE0D149">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投标人应在投标文件递交截止前提交相应的投标保证金，并作为其投标的一部分。</w:t>
      </w:r>
      <w:bookmarkEnd w:id="105"/>
    </w:p>
    <w:p w14:paraId="01D1FDEE">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投标保证金是为了保护采购代理机构和采购人免遭因投标人的行为而蒙受的损失。采购代理机构和采购人在因投标人的行为受到损害时可根据本须知（17.7）的规定没收投标人的投标保证金。</w:t>
      </w:r>
    </w:p>
    <w:p w14:paraId="6657AC4B">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投标保证金采用转账、电汇方式方式提交，应符合以下要求：采用银行转账、电汇方式提交的，保证金汇入《投标资料表》中投标保证金专用账户，不接收由以投标人分支机构、私人账户和其他单位转入的保证金。投标保证金必须在投标文件递交截止前到账，投标保证金未按规定时间到达指定账户或提交金额不足的，将被视为无效投标。且在备注或用途中注明本项目的项目编号。</w:t>
      </w:r>
    </w:p>
    <w:p w14:paraId="6EF4080B">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凡没有根据本须知（17.1和17.3）的规定随附有效的投标保证金的投标，将被视为非响应性投标予以拒绝。</w:t>
      </w:r>
    </w:p>
    <w:p w14:paraId="59A63C51">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投标保证金有效期应当与投标有效期一致。采购人如果按照采购文件另外规定延长了投标文件有效期，则投标担保的有效期也相应延长。</w:t>
      </w:r>
    </w:p>
    <w:p w14:paraId="14401B29">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中标人在按采购文件第（33）条规定提交履约担保金</w:t>
      </w:r>
      <w:r>
        <w:rPr>
          <w:rFonts w:hint="eastAsia" w:ascii="宋体" w:hAnsi="宋体" w:cs="宋体"/>
          <w:color w:val="auto"/>
          <w:szCs w:val="21"/>
          <w:highlight w:val="none"/>
          <w:lang w:val="en-US" w:eastAsia="zh-CN"/>
        </w:rPr>
        <w:t>并</w:t>
      </w:r>
      <w:r>
        <w:rPr>
          <w:rFonts w:hint="eastAsia" w:ascii="宋体" w:hAnsi="宋体" w:cs="宋体"/>
          <w:color w:val="auto"/>
          <w:szCs w:val="21"/>
          <w:highlight w:val="none"/>
        </w:rPr>
        <w:t>签订采购合同后，携带退保证金声明函、投标保证金汇款单复印件（加盖公章）和合同正本到采购人处办理投标保证金（无息）退回手续。</w:t>
      </w:r>
    </w:p>
    <w:p w14:paraId="4C76423D">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下列任何情况发生时，投标保证金将不予退还：</w:t>
      </w:r>
    </w:p>
    <w:p w14:paraId="027A39AC">
      <w:pPr>
        <w:pStyle w:val="45"/>
        <w:pageBreakBefore w:val="0"/>
        <w:widowControl w:val="0"/>
        <w:shd w:val="clear"/>
        <w:topLinePunct w:val="0"/>
        <w:bidi w:val="0"/>
        <w:spacing w:after="0" w:line="360" w:lineRule="auto"/>
        <w:ind w:left="425" w:firstLine="0" w:firstLineChars="0"/>
        <w:jc w:val="both"/>
        <w:rPr>
          <w:rFonts w:hint="eastAsia" w:ascii="宋体" w:hAnsi="宋体" w:cs="宋体"/>
          <w:color w:val="auto"/>
          <w:szCs w:val="21"/>
          <w:highlight w:val="none"/>
        </w:rPr>
      </w:pPr>
      <w:r>
        <w:rPr>
          <w:rFonts w:hint="eastAsia" w:ascii="宋体" w:hAnsi="宋体" w:cs="宋体"/>
          <w:color w:val="auto"/>
          <w:szCs w:val="21"/>
          <w:highlight w:val="none"/>
        </w:rPr>
        <w:t>（1）投标人在采购文件中规定的投标有效期内撤回其投标；</w:t>
      </w:r>
    </w:p>
    <w:p w14:paraId="1B5CDCDE">
      <w:pPr>
        <w:pStyle w:val="45"/>
        <w:pageBreakBefore w:val="0"/>
        <w:widowControl w:val="0"/>
        <w:shd w:val="clear"/>
        <w:topLinePunct w:val="0"/>
        <w:bidi w:val="0"/>
        <w:spacing w:after="0" w:line="360" w:lineRule="auto"/>
        <w:ind w:left="425" w:firstLine="0" w:firstLineChars="0"/>
        <w:jc w:val="both"/>
        <w:rPr>
          <w:rFonts w:hint="eastAsia" w:ascii="宋体" w:hAnsi="宋体" w:cs="宋体"/>
          <w:color w:val="auto"/>
          <w:szCs w:val="21"/>
          <w:highlight w:val="none"/>
        </w:rPr>
      </w:pPr>
      <w:r>
        <w:rPr>
          <w:rFonts w:hint="eastAsia" w:ascii="宋体" w:hAnsi="宋体" w:cs="宋体"/>
          <w:color w:val="auto"/>
          <w:szCs w:val="21"/>
          <w:highlight w:val="none"/>
        </w:rPr>
        <w:t>（2）中标人无正当理由不与采购人订立合同，在签订合同时向采购人提出附加条件，或者不按照采购文件要求提交履约保证金的；</w:t>
      </w:r>
    </w:p>
    <w:p w14:paraId="6DF3C9AE">
      <w:pPr>
        <w:pStyle w:val="45"/>
        <w:pageBreakBefore w:val="0"/>
        <w:widowControl w:val="0"/>
        <w:shd w:val="clear"/>
        <w:topLinePunct w:val="0"/>
        <w:bidi w:val="0"/>
        <w:spacing w:after="0" w:line="360" w:lineRule="auto"/>
        <w:ind w:left="425" w:firstLine="0" w:firstLineChars="0"/>
        <w:jc w:val="both"/>
        <w:rPr>
          <w:rFonts w:hint="eastAsia" w:ascii="宋体" w:hAnsi="宋体" w:cs="宋体"/>
          <w:color w:val="auto"/>
          <w:szCs w:val="21"/>
          <w:highlight w:val="none"/>
        </w:rPr>
      </w:pPr>
      <w:r>
        <w:rPr>
          <w:rFonts w:hint="eastAsia" w:ascii="宋体" w:hAnsi="宋体" w:cs="宋体"/>
          <w:color w:val="auto"/>
          <w:szCs w:val="21"/>
          <w:highlight w:val="none"/>
        </w:rPr>
        <w:t>（3）中标人将本项目转让给他人，或者在投标文件中未说明，且未经采购人同意，将中标项目分包给他人的；</w:t>
      </w:r>
    </w:p>
    <w:p w14:paraId="211C472F">
      <w:pPr>
        <w:pStyle w:val="45"/>
        <w:pageBreakBefore w:val="0"/>
        <w:widowControl w:val="0"/>
        <w:shd w:val="clear"/>
        <w:topLinePunct w:val="0"/>
        <w:bidi w:val="0"/>
        <w:spacing w:after="0" w:line="360" w:lineRule="auto"/>
        <w:ind w:left="425" w:firstLine="0" w:firstLineChars="0"/>
        <w:jc w:val="both"/>
        <w:rPr>
          <w:rFonts w:hint="eastAsia" w:ascii="宋体" w:hAnsi="宋体" w:cs="宋体"/>
          <w:color w:val="auto"/>
          <w:szCs w:val="21"/>
          <w:highlight w:val="none"/>
        </w:rPr>
      </w:pPr>
      <w:r>
        <w:rPr>
          <w:rFonts w:hint="eastAsia" w:ascii="宋体" w:hAnsi="宋体" w:cs="宋体"/>
          <w:color w:val="auto"/>
          <w:szCs w:val="21"/>
          <w:highlight w:val="none"/>
        </w:rPr>
        <w:t>（4）投标人提供虚假投标文件或虚假补充文件的。</w:t>
      </w:r>
    </w:p>
    <w:p w14:paraId="04D9076C">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在中标通知书发出后，未中标投标人的投标保证金，由采购人自行返还至投标人的原转出账户。</w:t>
      </w:r>
    </w:p>
    <w:p w14:paraId="6D5C306F">
      <w:pPr>
        <w:pageBreakBefore w:val="0"/>
        <w:shd w:val="clear"/>
        <w:topLinePunct w:val="0"/>
        <w:bidi w:val="0"/>
        <w:spacing w:after="0" w:line="360" w:lineRule="auto"/>
        <w:rPr>
          <w:rFonts w:hint="eastAsia" w:ascii="宋体" w:hAnsi="宋体" w:cs="宋体"/>
          <w:color w:val="auto"/>
          <w:highlight w:val="none"/>
        </w:rPr>
      </w:pPr>
    </w:p>
    <w:p w14:paraId="4B01A642">
      <w:pPr>
        <w:pStyle w:val="5"/>
        <w:pageBreakBefore w:val="0"/>
        <w:numPr>
          <w:ilvl w:val="0"/>
          <w:numId w:val="1"/>
        </w:numPr>
        <w:shd w:val="clear"/>
        <w:topLinePunct w:val="0"/>
        <w:bidi w:val="0"/>
        <w:spacing w:before="0" w:after="0" w:line="360" w:lineRule="auto"/>
        <w:jc w:val="center"/>
        <w:rPr>
          <w:rFonts w:hint="eastAsia" w:ascii="宋体" w:hAnsi="宋体" w:cs="宋体"/>
          <w:color w:val="auto"/>
          <w:highlight w:val="none"/>
        </w:rPr>
      </w:pPr>
      <w:bookmarkStart w:id="106" w:name="_Toc30352"/>
      <w:bookmarkStart w:id="107" w:name="_Toc2656"/>
      <w:bookmarkStart w:id="108" w:name="_Toc9680"/>
      <w:r>
        <w:rPr>
          <w:rFonts w:hint="eastAsia" w:ascii="宋体" w:hAnsi="宋体" w:cs="宋体"/>
          <w:color w:val="auto"/>
          <w:highlight w:val="none"/>
        </w:rPr>
        <w:t>投标文件的递交</w:t>
      </w:r>
      <w:bookmarkEnd w:id="106"/>
      <w:bookmarkEnd w:id="107"/>
      <w:bookmarkEnd w:id="108"/>
    </w:p>
    <w:p w14:paraId="4DF5F7B9">
      <w:pPr>
        <w:pStyle w:val="6"/>
        <w:pageBreakBefore w:val="0"/>
        <w:widowControl w:val="0"/>
        <w:numPr>
          <w:ilvl w:val="0"/>
          <w:numId w:val="2"/>
        </w:numPr>
        <w:shd w:val="clear"/>
        <w:overflowPunct w:val="0"/>
        <w:topLinePunct w:val="0"/>
        <w:bidi w:val="0"/>
        <w:spacing w:after="0" w:line="360" w:lineRule="auto"/>
        <w:rPr>
          <w:rFonts w:hint="eastAsia" w:ascii="宋体" w:hAnsi="宋体" w:cs="宋体"/>
          <w:color w:val="auto"/>
          <w:sz w:val="21"/>
          <w:szCs w:val="21"/>
          <w:highlight w:val="none"/>
        </w:rPr>
      </w:pPr>
      <w:bookmarkStart w:id="109" w:name="_Toc9041"/>
      <w:bookmarkStart w:id="110" w:name="_Toc303084264"/>
      <w:bookmarkStart w:id="111" w:name="_Toc3939"/>
      <w:bookmarkStart w:id="112" w:name="_Toc24150"/>
      <w:bookmarkStart w:id="113" w:name="_Toc24997"/>
      <w:bookmarkStart w:id="114" w:name="_Toc382049111"/>
      <w:r>
        <w:rPr>
          <w:rFonts w:hint="eastAsia" w:ascii="宋体" w:hAnsi="宋体" w:cs="宋体"/>
          <w:color w:val="auto"/>
          <w:sz w:val="21"/>
          <w:szCs w:val="21"/>
          <w:highlight w:val="none"/>
        </w:rPr>
        <w:t>投标文件的装订，签署，密封和标记</w:t>
      </w:r>
      <w:bookmarkEnd w:id="109"/>
      <w:bookmarkEnd w:id="110"/>
      <w:bookmarkEnd w:id="111"/>
      <w:bookmarkEnd w:id="112"/>
      <w:bookmarkEnd w:id="113"/>
      <w:bookmarkEnd w:id="114"/>
    </w:p>
    <w:p w14:paraId="33E15E62">
      <w:pPr>
        <w:pStyle w:val="45"/>
        <w:pageBreakBefore w:val="0"/>
        <w:widowControl w:val="0"/>
        <w:numPr>
          <w:ilvl w:val="0"/>
          <w:numId w:val="3"/>
        </w:numPr>
        <w:shd w:val="clear"/>
        <w:topLinePunct w:val="0"/>
        <w:bidi w:val="0"/>
        <w:adjustRightInd/>
        <w:snapToGrid/>
        <w:spacing w:after="0" w:line="360" w:lineRule="auto"/>
        <w:ind w:firstLineChars="0"/>
        <w:jc w:val="both"/>
        <w:rPr>
          <w:rFonts w:hint="eastAsia" w:ascii="宋体" w:hAnsi="宋体" w:cs="宋体"/>
          <w:vanish/>
          <w:color w:val="auto"/>
          <w:szCs w:val="21"/>
          <w:highlight w:val="none"/>
        </w:rPr>
      </w:pPr>
    </w:p>
    <w:p w14:paraId="31CBD856">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投标人应按《投标资料表》的份数准备价格文件、商务文件、技术文件、唱标信封和电子文件（</w:t>
      </w:r>
      <w:r>
        <w:rPr>
          <w:rFonts w:hint="eastAsia" w:ascii="宋体" w:hAnsi="宋体" w:cs="宋体"/>
          <w:b/>
          <w:color w:val="auto"/>
          <w:szCs w:val="21"/>
          <w:highlight w:val="none"/>
        </w:rPr>
        <w:t>价格文件、商务文件、技术文件分别单独装订成册</w:t>
      </w:r>
      <w:r>
        <w:rPr>
          <w:rFonts w:hint="eastAsia" w:ascii="宋体" w:hAnsi="宋体" w:cs="宋体"/>
          <w:color w:val="auto"/>
          <w:szCs w:val="21"/>
          <w:highlight w:val="none"/>
        </w:rPr>
        <w:t>），每一份投标文件均需编上页次，装订成册（不允许使用活页夹，否则由此产生的风险由投标人自行承担）。所有投标文件必须封入密封完好的信封或包装，封口加盖公章。</w:t>
      </w:r>
    </w:p>
    <w:p w14:paraId="6200B2A3">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投标文件正本均须用不褪色墨水书写或打印。投标文件的副本可采用投标文件的正本复印件，每套投标文件应当标明“正本”、“副本”的字样。投标文件的【正本】及所有【副本】的封面及骑缝均须加盖投标人公章（文件每页盖章等同于盖骑缝章）。若正本与副本不符，以正本为准。</w:t>
      </w:r>
    </w:p>
    <w:p w14:paraId="0183A90F">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联合体投标文件的【正本】及【副本】的封面及骑缝均须加盖所有联合体组成成员的公章。（文件每页盖章等同于盖骑缝章）</w:t>
      </w:r>
    </w:p>
    <w:p w14:paraId="0AFD20FD">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电子文件内容包括：由投标人自行制作的与正本文件一致的所有文件。电子文件由光盘或U盘储存，并注明投标人名称及项目名称、采购项目编号，随投标文件一同密封提交。</w:t>
      </w:r>
    </w:p>
    <w:p w14:paraId="76BADEC4">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除投标人对错误处修改外，全套投标文件应无涂改或行间插字和增删。如有修改，修改处须由法定代表人或其正式授权代表在旁边签字及盖章。</w:t>
      </w:r>
    </w:p>
    <w:p w14:paraId="5929B36B">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投标人应将投标文件进行非透明的封装，以防止投标文件内容的泄露。采购代理机构将拒绝接收采用透明包装进行密封的投标文件。</w:t>
      </w:r>
    </w:p>
    <w:p w14:paraId="306A1F5F">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密封破损导致投标文件内容直接或间接泄露的投标文件，采购代理机构将拒绝接收。</w:t>
      </w:r>
    </w:p>
    <w:p w14:paraId="6C6931A7">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为方便开标唱标，投标人应将开标一览表和授权委托书单独密封提交，并在信封上标明“唱标信封”字样。唱标信封内还须包括并不限于：投标保证金支付凭证银行汇款底单（复印件加盖公章，原件随身携带，以备查核）和投标保证金汇入情况说明（加盖公章）。投标人的法定代表人参加投标时，须开具法定代表人证明书，按上述要求与开标一览表一并密封提交。“唱标信封”份数及签章等要求与投标文件正本相同（1份）。</w:t>
      </w:r>
    </w:p>
    <w:p w14:paraId="7E468E5D">
      <w:pPr>
        <w:pageBreakBefore w:val="0"/>
        <w:widowControl w:val="0"/>
        <w:numPr>
          <w:ilvl w:val="1"/>
          <w:numId w:val="2"/>
        </w:numPr>
        <w:shd w:val="clear"/>
        <w:overflowPunct w:val="0"/>
        <w:topLinePunct w:val="0"/>
        <w:bidi w:val="0"/>
        <w:spacing w:after="0"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未单独提交唱标信封的投标人投标文件不进行唱标，投标文件作无效处理。</w:t>
      </w:r>
    </w:p>
    <w:p w14:paraId="1454F3BA">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所有的信封均应注明： </w:t>
      </w:r>
    </w:p>
    <w:p w14:paraId="61040ECF">
      <w:pPr>
        <w:pageBreakBefore w:val="0"/>
        <w:widowControl w:val="0"/>
        <w:numPr>
          <w:ilvl w:val="0"/>
          <w:numId w:val="4"/>
        </w:numPr>
        <w:shd w:val="clear"/>
        <w:topLinePunct w:val="0"/>
        <w:bidi w:val="0"/>
        <w:spacing w:after="0" w:line="360" w:lineRule="auto"/>
        <w:ind w:left="567"/>
        <w:jc w:val="both"/>
        <w:rPr>
          <w:rFonts w:hint="eastAsia" w:ascii="宋体" w:hAnsi="宋体" w:cs="宋体"/>
          <w:color w:val="auto"/>
          <w:szCs w:val="21"/>
          <w:highlight w:val="none"/>
        </w:rPr>
      </w:pPr>
      <w:r>
        <w:rPr>
          <w:rFonts w:hint="eastAsia" w:ascii="宋体" w:hAnsi="宋体" w:cs="宋体"/>
          <w:color w:val="auto"/>
          <w:szCs w:val="21"/>
          <w:highlight w:val="none"/>
        </w:rPr>
        <w:t xml:space="preserve">收件人： </w:t>
      </w:r>
    </w:p>
    <w:p w14:paraId="441C9902">
      <w:pPr>
        <w:pageBreakBefore w:val="0"/>
        <w:widowControl w:val="0"/>
        <w:numPr>
          <w:ilvl w:val="0"/>
          <w:numId w:val="4"/>
        </w:numPr>
        <w:shd w:val="clear"/>
        <w:topLinePunct w:val="0"/>
        <w:bidi w:val="0"/>
        <w:spacing w:after="0" w:line="360" w:lineRule="auto"/>
        <w:ind w:left="567"/>
        <w:jc w:val="both"/>
        <w:rPr>
          <w:rFonts w:hint="eastAsia" w:ascii="宋体" w:hAnsi="宋体" w:cs="宋体"/>
          <w:color w:val="auto"/>
          <w:szCs w:val="21"/>
          <w:highlight w:val="none"/>
        </w:rPr>
      </w:pPr>
      <w:r>
        <w:rPr>
          <w:rFonts w:hint="eastAsia" w:ascii="宋体" w:hAnsi="宋体" w:cs="宋体"/>
          <w:color w:val="auto"/>
          <w:szCs w:val="21"/>
          <w:highlight w:val="none"/>
        </w:rPr>
        <w:t>投标单位名称：</w:t>
      </w:r>
    </w:p>
    <w:p w14:paraId="7F991808">
      <w:pPr>
        <w:pageBreakBefore w:val="0"/>
        <w:widowControl w:val="0"/>
        <w:numPr>
          <w:ilvl w:val="0"/>
          <w:numId w:val="4"/>
        </w:numPr>
        <w:shd w:val="clear"/>
        <w:topLinePunct w:val="0"/>
        <w:bidi w:val="0"/>
        <w:spacing w:after="0" w:line="360" w:lineRule="auto"/>
        <w:ind w:left="567"/>
        <w:jc w:val="both"/>
        <w:rPr>
          <w:rFonts w:hint="eastAsia" w:ascii="宋体" w:hAnsi="宋体" w:cs="宋体"/>
          <w:color w:val="auto"/>
          <w:szCs w:val="21"/>
          <w:highlight w:val="none"/>
        </w:rPr>
      </w:pPr>
      <w:r>
        <w:rPr>
          <w:rFonts w:hint="eastAsia" w:ascii="宋体" w:hAnsi="宋体" w:cs="宋体"/>
          <w:color w:val="auto"/>
          <w:szCs w:val="21"/>
          <w:highlight w:val="none"/>
        </w:rPr>
        <w:t>项目名称：</w:t>
      </w:r>
    </w:p>
    <w:p w14:paraId="38A6ED7C">
      <w:pPr>
        <w:pageBreakBefore w:val="0"/>
        <w:widowControl w:val="0"/>
        <w:numPr>
          <w:ilvl w:val="0"/>
          <w:numId w:val="4"/>
        </w:numPr>
        <w:shd w:val="clear"/>
        <w:topLinePunct w:val="0"/>
        <w:bidi w:val="0"/>
        <w:spacing w:after="0" w:line="360" w:lineRule="auto"/>
        <w:ind w:left="567"/>
        <w:jc w:val="both"/>
        <w:rPr>
          <w:rFonts w:hint="eastAsia" w:ascii="宋体" w:hAnsi="宋体" w:cs="宋体"/>
          <w:color w:val="auto"/>
          <w:szCs w:val="21"/>
          <w:highlight w:val="none"/>
        </w:rPr>
      </w:pPr>
      <w:r>
        <w:rPr>
          <w:rFonts w:hint="eastAsia" w:ascii="宋体" w:hAnsi="宋体" w:cs="宋体"/>
          <w:color w:val="auto"/>
          <w:szCs w:val="21"/>
          <w:highlight w:val="none"/>
        </w:rPr>
        <w:t>项目采购项目编号：</w:t>
      </w:r>
    </w:p>
    <w:p w14:paraId="2000028F">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密封信封上的项目编号错误或项目名称出现严重歧义的（包括采购内容不符），采购代理机构将拒绝接收。</w:t>
      </w:r>
    </w:p>
    <w:p w14:paraId="6B16A2EE">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采购代理机构对所有投标文件的误投或提前启封概不负责。</w:t>
      </w:r>
    </w:p>
    <w:p w14:paraId="3F88D8E6">
      <w:pPr>
        <w:pageBreakBefore w:val="0"/>
        <w:widowControl w:val="0"/>
        <w:numPr>
          <w:ilvl w:val="1"/>
          <w:numId w:val="2"/>
        </w:numPr>
        <w:shd w:val="clear"/>
        <w:overflowPunct w:val="0"/>
        <w:topLinePunct w:val="0"/>
        <w:bidi w:val="0"/>
        <w:spacing w:after="0"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投标人同时参加几个包投标时必须按采购文件要求按包号分别制作投标文件，分别密封递交。</w:t>
      </w:r>
    </w:p>
    <w:p w14:paraId="6B4AAE66">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传真、电传的投标文件将被拒绝。</w:t>
      </w:r>
    </w:p>
    <w:p w14:paraId="6F310365">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递交的投标文件中所提供的通讯方式应保持联络畅通，因联系不上而导致的所有后果由投标人自行承担。</w:t>
      </w:r>
    </w:p>
    <w:p w14:paraId="60AE28A8">
      <w:pPr>
        <w:pageBreakBefore w:val="0"/>
        <w:shd w:val="clear"/>
        <w:topLinePunct w:val="0"/>
        <w:bidi w:val="0"/>
        <w:spacing w:after="0" w:line="360" w:lineRule="auto"/>
        <w:rPr>
          <w:rFonts w:hint="eastAsia" w:ascii="宋体" w:hAnsi="宋体" w:cs="宋体"/>
          <w:color w:val="auto"/>
          <w:highlight w:val="none"/>
        </w:rPr>
      </w:pPr>
    </w:p>
    <w:p w14:paraId="120A5E97">
      <w:pPr>
        <w:pStyle w:val="6"/>
        <w:pageBreakBefore w:val="0"/>
        <w:widowControl w:val="0"/>
        <w:numPr>
          <w:ilvl w:val="0"/>
          <w:numId w:val="2"/>
        </w:numPr>
        <w:shd w:val="clear"/>
        <w:overflowPunct w:val="0"/>
        <w:topLinePunct w:val="0"/>
        <w:bidi w:val="0"/>
        <w:spacing w:after="0" w:line="360" w:lineRule="auto"/>
        <w:rPr>
          <w:rFonts w:hint="eastAsia" w:ascii="宋体" w:hAnsi="宋体" w:cs="宋体"/>
          <w:color w:val="auto"/>
          <w:sz w:val="21"/>
          <w:szCs w:val="21"/>
          <w:highlight w:val="none"/>
        </w:rPr>
      </w:pPr>
      <w:bookmarkStart w:id="115" w:name="_Toc21651"/>
      <w:bookmarkStart w:id="116" w:name="_Toc3841"/>
      <w:bookmarkStart w:id="117" w:name="_Toc25895"/>
      <w:r>
        <w:rPr>
          <w:rFonts w:hint="eastAsia" w:ascii="宋体" w:hAnsi="宋体" w:cs="宋体"/>
          <w:color w:val="auto"/>
          <w:sz w:val="21"/>
          <w:szCs w:val="21"/>
          <w:highlight w:val="none"/>
        </w:rPr>
        <w:t>迟交的投标文件</w:t>
      </w:r>
      <w:bookmarkEnd w:id="115"/>
      <w:bookmarkEnd w:id="116"/>
      <w:bookmarkEnd w:id="117"/>
    </w:p>
    <w:p w14:paraId="0E816B80">
      <w:pPr>
        <w:pStyle w:val="45"/>
        <w:pageBreakBefore w:val="0"/>
        <w:widowControl w:val="0"/>
        <w:numPr>
          <w:ilvl w:val="0"/>
          <w:numId w:val="3"/>
        </w:numPr>
        <w:shd w:val="clear"/>
        <w:topLinePunct w:val="0"/>
        <w:bidi w:val="0"/>
        <w:adjustRightInd/>
        <w:snapToGrid/>
        <w:spacing w:after="0" w:line="360" w:lineRule="auto"/>
        <w:ind w:firstLineChars="0"/>
        <w:jc w:val="both"/>
        <w:rPr>
          <w:rFonts w:hint="eastAsia" w:ascii="宋体" w:hAnsi="宋体" w:cs="宋体"/>
          <w:vanish/>
          <w:color w:val="auto"/>
          <w:szCs w:val="21"/>
          <w:highlight w:val="none"/>
        </w:rPr>
      </w:pPr>
    </w:p>
    <w:p w14:paraId="4523EAD5">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投标人在投标截止时间之后提交的投标文件，采购代理机构将拒绝接收。</w:t>
      </w:r>
    </w:p>
    <w:p w14:paraId="24351310">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有违反其他法律规定情形的，采购代理机构将拒绝接收。</w:t>
      </w:r>
    </w:p>
    <w:p w14:paraId="41F20203">
      <w:pPr>
        <w:pageBreakBefore w:val="0"/>
        <w:shd w:val="clear"/>
        <w:topLinePunct w:val="0"/>
        <w:bidi w:val="0"/>
        <w:spacing w:after="0" w:line="360" w:lineRule="auto"/>
        <w:rPr>
          <w:rFonts w:hint="eastAsia" w:ascii="宋体" w:hAnsi="宋体" w:cs="宋体"/>
          <w:color w:val="auto"/>
          <w:highlight w:val="none"/>
        </w:rPr>
      </w:pPr>
    </w:p>
    <w:p w14:paraId="4ECE00F6">
      <w:pPr>
        <w:pStyle w:val="6"/>
        <w:pageBreakBefore w:val="0"/>
        <w:widowControl w:val="0"/>
        <w:numPr>
          <w:ilvl w:val="0"/>
          <w:numId w:val="2"/>
        </w:numPr>
        <w:shd w:val="clear"/>
        <w:overflowPunct w:val="0"/>
        <w:topLinePunct w:val="0"/>
        <w:bidi w:val="0"/>
        <w:spacing w:after="0" w:line="360" w:lineRule="auto"/>
        <w:rPr>
          <w:rFonts w:hint="eastAsia" w:ascii="宋体" w:hAnsi="宋体" w:cs="宋体"/>
          <w:color w:val="auto"/>
          <w:sz w:val="21"/>
          <w:szCs w:val="21"/>
          <w:highlight w:val="none"/>
        </w:rPr>
      </w:pPr>
      <w:bookmarkStart w:id="118" w:name="_Toc23417"/>
      <w:bookmarkStart w:id="119" w:name="_Toc9143"/>
      <w:bookmarkStart w:id="120" w:name="_Toc17110"/>
      <w:r>
        <w:rPr>
          <w:rFonts w:hint="eastAsia" w:ascii="宋体" w:hAnsi="宋体" w:cs="宋体"/>
          <w:color w:val="auto"/>
          <w:sz w:val="21"/>
          <w:szCs w:val="21"/>
          <w:highlight w:val="none"/>
        </w:rPr>
        <w:t>投标样品（如需提交）</w:t>
      </w:r>
      <w:bookmarkEnd w:id="118"/>
      <w:bookmarkEnd w:id="119"/>
      <w:bookmarkEnd w:id="120"/>
    </w:p>
    <w:p w14:paraId="5D3FC5DB">
      <w:pPr>
        <w:pStyle w:val="45"/>
        <w:pageBreakBefore w:val="0"/>
        <w:widowControl w:val="0"/>
        <w:numPr>
          <w:ilvl w:val="0"/>
          <w:numId w:val="3"/>
        </w:numPr>
        <w:shd w:val="clear"/>
        <w:topLinePunct w:val="0"/>
        <w:bidi w:val="0"/>
        <w:adjustRightInd/>
        <w:snapToGrid/>
        <w:spacing w:after="0" w:line="360" w:lineRule="auto"/>
        <w:ind w:firstLineChars="0"/>
        <w:jc w:val="both"/>
        <w:rPr>
          <w:rFonts w:hint="eastAsia" w:ascii="宋体" w:hAnsi="宋体" w:cs="宋体"/>
          <w:vanish/>
          <w:color w:val="auto"/>
          <w:szCs w:val="21"/>
          <w:highlight w:val="none"/>
        </w:rPr>
      </w:pPr>
    </w:p>
    <w:p w14:paraId="62EC4047">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如有必要，采购代理机构可以要求投标人提供本服务项目涉及的部分设备或产品样品，投标人在投标时应提交《样品清单》。</w:t>
      </w:r>
    </w:p>
    <w:p w14:paraId="2194C2B9">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为方便评标，投标人在提供样品时，应在所提供的样品表面显著位置标注投标人的名称、包号、样品名称、采购文件规定的服务或货物编号。</w:t>
      </w:r>
    </w:p>
    <w:p w14:paraId="526FB101">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样品作为投标文件的一部分，除非另有说明，中标单位的样品将作为履约验收标准的参考不再退还，未中标单位须在中标公告发布后五个工作日内，前往采购代理机构领取投标样品，逾期不领，采购代理机构将不承担样品的保管责任，由此引发的样品丢失、毁损，采购代理机构不予负责。</w:t>
      </w:r>
    </w:p>
    <w:p w14:paraId="7528D649">
      <w:pPr>
        <w:pageBreakBefore w:val="0"/>
        <w:shd w:val="clear"/>
        <w:topLinePunct w:val="0"/>
        <w:bidi w:val="0"/>
        <w:spacing w:after="0" w:line="360" w:lineRule="auto"/>
        <w:rPr>
          <w:rFonts w:hint="eastAsia" w:ascii="宋体" w:hAnsi="宋体" w:cs="宋体"/>
          <w:color w:val="auto"/>
          <w:highlight w:val="none"/>
        </w:rPr>
      </w:pPr>
    </w:p>
    <w:p w14:paraId="40B70FF3">
      <w:pPr>
        <w:pStyle w:val="6"/>
        <w:pageBreakBefore w:val="0"/>
        <w:widowControl w:val="0"/>
        <w:numPr>
          <w:ilvl w:val="0"/>
          <w:numId w:val="2"/>
        </w:numPr>
        <w:shd w:val="clear"/>
        <w:overflowPunct w:val="0"/>
        <w:topLinePunct w:val="0"/>
        <w:bidi w:val="0"/>
        <w:spacing w:after="0" w:line="360" w:lineRule="auto"/>
        <w:rPr>
          <w:rFonts w:hint="eastAsia" w:ascii="宋体" w:hAnsi="宋体" w:cs="宋体"/>
          <w:color w:val="auto"/>
          <w:sz w:val="21"/>
          <w:szCs w:val="21"/>
          <w:highlight w:val="none"/>
        </w:rPr>
      </w:pPr>
      <w:bookmarkStart w:id="121" w:name="_Toc303084265"/>
      <w:bookmarkStart w:id="122" w:name="_Toc6206"/>
      <w:bookmarkStart w:id="123" w:name="_Toc382049112"/>
      <w:bookmarkStart w:id="124" w:name="_Toc9777"/>
      <w:bookmarkStart w:id="125" w:name="_Toc1712"/>
      <w:bookmarkStart w:id="126" w:name="_Toc2550"/>
      <w:r>
        <w:rPr>
          <w:rFonts w:hint="eastAsia" w:ascii="宋体" w:hAnsi="宋体" w:cs="宋体"/>
          <w:color w:val="auto"/>
          <w:sz w:val="21"/>
          <w:szCs w:val="21"/>
          <w:highlight w:val="none"/>
        </w:rPr>
        <w:t>投标截止期</w:t>
      </w:r>
      <w:bookmarkEnd w:id="121"/>
      <w:bookmarkEnd w:id="122"/>
      <w:bookmarkEnd w:id="123"/>
      <w:bookmarkEnd w:id="124"/>
      <w:bookmarkEnd w:id="125"/>
      <w:bookmarkEnd w:id="126"/>
    </w:p>
    <w:p w14:paraId="5CA77EEC">
      <w:pPr>
        <w:pStyle w:val="45"/>
        <w:pageBreakBefore w:val="0"/>
        <w:widowControl w:val="0"/>
        <w:numPr>
          <w:ilvl w:val="0"/>
          <w:numId w:val="3"/>
        </w:numPr>
        <w:shd w:val="clear"/>
        <w:topLinePunct w:val="0"/>
        <w:bidi w:val="0"/>
        <w:adjustRightInd/>
        <w:snapToGrid/>
        <w:spacing w:after="0" w:line="360" w:lineRule="auto"/>
        <w:ind w:firstLineChars="0"/>
        <w:jc w:val="both"/>
        <w:rPr>
          <w:rFonts w:hint="eastAsia" w:ascii="宋体" w:hAnsi="宋体" w:cs="宋体"/>
          <w:vanish/>
          <w:color w:val="auto"/>
          <w:szCs w:val="21"/>
          <w:highlight w:val="none"/>
        </w:rPr>
      </w:pPr>
    </w:p>
    <w:p w14:paraId="2D6C4CE3">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投标人应在采购文件规定的截止日期和时间内，将投标文件送达到指定地点。</w:t>
      </w:r>
    </w:p>
    <w:p w14:paraId="1C82B427">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采购代理机构可按本须知规定以澄清或修改通知的方式，酌情延长递交投标文件的截止时间。在此情况下，投标人的所有权利和义务以及投标人受制约的截止时间，均以延长后新的投标截止时间为准。</w:t>
      </w:r>
    </w:p>
    <w:p w14:paraId="7465238F">
      <w:pPr>
        <w:pageBreakBefore w:val="0"/>
        <w:shd w:val="clear"/>
        <w:topLinePunct w:val="0"/>
        <w:bidi w:val="0"/>
        <w:spacing w:after="0" w:line="360" w:lineRule="auto"/>
        <w:rPr>
          <w:rFonts w:hint="eastAsia" w:ascii="宋体" w:hAnsi="宋体" w:cs="宋体"/>
          <w:color w:val="auto"/>
          <w:highlight w:val="none"/>
        </w:rPr>
      </w:pPr>
    </w:p>
    <w:p w14:paraId="1FF4403D">
      <w:pPr>
        <w:pStyle w:val="6"/>
        <w:pageBreakBefore w:val="0"/>
        <w:widowControl w:val="0"/>
        <w:numPr>
          <w:ilvl w:val="0"/>
          <w:numId w:val="2"/>
        </w:numPr>
        <w:shd w:val="clear"/>
        <w:overflowPunct w:val="0"/>
        <w:topLinePunct w:val="0"/>
        <w:bidi w:val="0"/>
        <w:spacing w:after="0" w:line="360" w:lineRule="auto"/>
        <w:rPr>
          <w:rFonts w:hint="eastAsia" w:ascii="宋体" w:hAnsi="宋体" w:cs="宋体"/>
          <w:color w:val="auto"/>
          <w:sz w:val="21"/>
          <w:szCs w:val="21"/>
          <w:highlight w:val="none"/>
        </w:rPr>
      </w:pPr>
      <w:bookmarkStart w:id="127" w:name="_Toc27263"/>
      <w:bookmarkStart w:id="128" w:name="_Toc15202"/>
      <w:bookmarkStart w:id="129" w:name="_Toc31417"/>
      <w:r>
        <w:rPr>
          <w:rFonts w:hint="eastAsia" w:ascii="宋体" w:hAnsi="宋体" w:cs="宋体"/>
          <w:color w:val="auto"/>
          <w:sz w:val="21"/>
          <w:szCs w:val="21"/>
          <w:highlight w:val="none"/>
        </w:rPr>
        <w:t>投标文件的补充、修改与撤回</w:t>
      </w:r>
      <w:bookmarkEnd w:id="127"/>
      <w:bookmarkEnd w:id="128"/>
      <w:bookmarkEnd w:id="129"/>
    </w:p>
    <w:p w14:paraId="51CD7B16">
      <w:pPr>
        <w:pStyle w:val="45"/>
        <w:pageBreakBefore w:val="0"/>
        <w:widowControl w:val="0"/>
        <w:numPr>
          <w:ilvl w:val="0"/>
          <w:numId w:val="3"/>
        </w:numPr>
        <w:shd w:val="clear"/>
        <w:topLinePunct w:val="0"/>
        <w:bidi w:val="0"/>
        <w:adjustRightInd/>
        <w:snapToGrid/>
        <w:spacing w:after="0" w:line="360" w:lineRule="auto"/>
        <w:ind w:firstLineChars="0"/>
        <w:jc w:val="both"/>
        <w:rPr>
          <w:rFonts w:hint="eastAsia" w:ascii="宋体" w:hAnsi="宋体" w:cs="宋体"/>
          <w:vanish/>
          <w:color w:val="auto"/>
          <w:szCs w:val="21"/>
          <w:highlight w:val="none"/>
        </w:rPr>
      </w:pPr>
    </w:p>
    <w:p w14:paraId="53B1A74A">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投标人在提交投标文件截止时间前，可以对所提交的投标文件进行补充、修改或撤回，并以纸质版形式通知采购代理机构。在提交投标文件截止时间之后，投标人不得对其投标文件做出任何的补充和修改。</w:t>
      </w:r>
    </w:p>
    <w:p w14:paraId="5F851D0A">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投标人对投标文件的补充、修改的内容应当按采购文件要求的签署、盖章、密封后，作为投标文件的组成部分。并按照采购文件规定密封和标记的要求提交，并在投标文件密封袋上标明“补充、修改”字样。</w:t>
      </w:r>
    </w:p>
    <w:p w14:paraId="15906213">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投标文件一经递交不予退还。</w:t>
      </w:r>
    </w:p>
    <w:p w14:paraId="20E73F6F">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在提交投标文件截止时间至投标有效期满之前，投标人不得撤回其投标，否则其投标保证金将不予退还。</w:t>
      </w:r>
    </w:p>
    <w:p w14:paraId="724A942A">
      <w:pPr>
        <w:pStyle w:val="10"/>
        <w:pageBreakBefore w:val="0"/>
        <w:shd w:val="clear"/>
        <w:topLinePunct w:val="0"/>
        <w:bidi w:val="0"/>
        <w:spacing w:before="0" w:after="0" w:line="360" w:lineRule="auto"/>
        <w:rPr>
          <w:rFonts w:hint="eastAsia"/>
          <w:color w:val="auto"/>
          <w:highlight w:val="none"/>
        </w:rPr>
      </w:pPr>
    </w:p>
    <w:p w14:paraId="04183836">
      <w:pPr>
        <w:pStyle w:val="5"/>
        <w:pageBreakBefore w:val="0"/>
        <w:numPr>
          <w:ilvl w:val="0"/>
          <w:numId w:val="1"/>
        </w:numPr>
        <w:shd w:val="clear"/>
        <w:topLinePunct w:val="0"/>
        <w:bidi w:val="0"/>
        <w:spacing w:before="0" w:after="0" w:line="360" w:lineRule="auto"/>
        <w:jc w:val="center"/>
        <w:rPr>
          <w:rFonts w:hint="eastAsia" w:ascii="宋体" w:hAnsi="宋体" w:cs="宋体"/>
          <w:color w:val="auto"/>
          <w:highlight w:val="none"/>
        </w:rPr>
      </w:pPr>
      <w:bookmarkStart w:id="130" w:name="_Toc7460"/>
      <w:bookmarkStart w:id="131" w:name="_Toc19649"/>
      <w:bookmarkStart w:id="132" w:name="_Toc7410"/>
      <w:r>
        <w:rPr>
          <w:rFonts w:hint="eastAsia" w:ascii="宋体" w:hAnsi="宋体" w:cs="宋体"/>
          <w:color w:val="auto"/>
          <w:highlight w:val="none"/>
        </w:rPr>
        <w:t>开标与评标</w:t>
      </w:r>
      <w:bookmarkEnd w:id="130"/>
      <w:bookmarkEnd w:id="131"/>
      <w:bookmarkEnd w:id="132"/>
    </w:p>
    <w:p w14:paraId="3C0E198D">
      <w:pPr>
        <w:pStyle w:val="6"/>
        <w:pageBreakBefore w:val="0"/>
        <w:widowControl w:val="0"/>
        <w:numPr>
          <w:ilvl w:val="0"/>
          <w:numId w:val="2"/>
        </w:numPr>
        <w:shd w:val="clear"/>
        <w:overflowPunct w:val="0"/>
        <w:topLinePunct w:val="0"/>
        <w:bidi w:val="0"/>
        <w:spacing w:after="0" w:line="360" w:lineRule="auto"/>
        <w:rPr>
          <w:rFonts w:hint="eastAsia" w:ascii="宋体" w:hAnsi="宋体" w:cs="宋体"/>
          <w:color w:val="auto"/>
          <w:sz w:val="21"/>
          <w:szCs w:val="21"/>
          <w:highlight w:val="none"/>
        </w:rPr>
      </w:pPr>
      <w:bookmarkStart w:id="133" w:name="_Toc31671"/>
      <w:bookmarkStart w:id="134" w:name="_Toc27039"/>
      <w:bookmarkStart w:id="135" w:name="_Toc20413"/>
      <w:r>
        <w:rPr>
          <w:rFonts w:hint="eastAsia" w:ascii="宋体" w:hAnsi="宋体" w:cs="宋体"/>
          <w:color w:val="auto"/>
          <w:sz w:val="21"/>
          <w:szCs w:val="21"/>
          <w:highlight w:val="none"/>
        </w:rPr>
        <w:t>开标</w:t>
      </w:r>
      <w:bookmarkEnd w:id="133"/>
      <w:bookmarkEnd w:id="134"/>
      <w:bookmarkEnd w:id="135"/>
    </w:p>
    <w:p w14:paraId="1868595F">
      <w:pPr>
        <w:pStyle w:val="45"/>
        <w:pageBreakBefore w:val="0"/>
        <w:widowControl w:val="0"/>
        <w:numPr>
          <w:ilvl w:val="0"/>
          <w:numId w:val="3"/>
        </w:numPr>
        <w:shd w:val="clear"/>
        <w:topLinePunct w:val="0"/>
        <w:bidi w:val="0"/>
        <w:adjustRightInd/>
        <w:snapToGrid/>
        <w:spacing w:after="0" w:line="360" w:lineRule="auto"/>
        <w:ind w:firstLineChars="0"/>
        <w:jc w:val="both"/>
        <w:rPr>
          <w:rFonts w:hint="eastAsia" w:ascii="宋体" w:hAnsi="宋体" w:cs="宋体"/>
          <w:vanish/>
          <w:color w:val="auto"/>
          <w:szCs w:val="21"/>
          <w:highlight w:val="none"/>
        </w:rPr>
      </w:pPr>
    </w:p>
    <w:p w14:paraId="5F575551">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采购代理机构按本采购文件所规定的时间和地点公开开标，并邀请所有投标人代表参加。</w:t>
      </w:r>
    </w:p>
    <w:p w14:paraId="3EA3E95D">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开标程序：</w:t>
      </w:r>
    </w:p>
    <w:p w14:paraId="324CCE60">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开标会由采购代理机构主持，投标人的法定代表人或其授权代表携带有效身份证明准时参加开标会并签名报到。</w:t>
      </w:r>
    </w:p>
    <w:p w14:paraId="0E413052">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开标时，由投标人或者其推选的代表检查投标文件的密封情况；经确认无误后，由采购人或者采购代理机构工作人员当众拆封，宣布投标人名称、投标价格和采购文件规定的需要宣布的其他内容；</w:t>
      </w:r>
    </w:p>
    <w:p w14:paraId="7F542DFA">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投标人代表对开标过程和开标记录有异议，以及认为采购人、采购代理机构相关工作人员有需要回避的情形的，应当场提出询问或者回避申请。开标现场未提出异议的视为认同开标结果。开标结束后，投标人对开标过程和开标记录不得再提出异议。</w:t>
      </w:r>
    </w:p>
    <w:p w14:paraId="24ECF148">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投标人未参加开标的，视同认可开标结果。</w:t>
      </w:r>
    </w:p>
    <w:p w14:paraId="618A467C">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合格投标人不足3家的，不得开标；</w:t>
      </w:r>
    </w:p>
    <w:p w14:paraId="7A6971DB">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开标过程应当由采购人或者采购代理机构负责记录，由参加开标的各投标人代表和相关工作人员签字确认。</w:t>
      </w:r>
    </w:p>
    <w:p w14:paraId="75D07DD3">
      <w:pPr>
        <w:pageBreakBefore w:val="0"/>
        <w:widowControl w:val="0"/>
        <w:shd w:val="clear"/>
        <w:topLinePunct w:val="0"/>
        <w:bidi w:val="0"/>
        <w:adjustRightInd/>
        <w:snapToGrid/>
        <w:spacing w:after="0" w:line="360" w:lineRule="auto"/>
        <w:ind w:left="567"/>
        <w:jc w:val="both"/>
        <w:rPr>
          <w:rFonts w:hint="eastAsia" w:ascii="宋体" w:hAnsi="宋体" w:cs="宋体"/>
          <w:color w:val="auto"/>
          <w:highlight w:val="none"/>
        </w:rPr>
      </w:pPr>
    </w:p>
    <w:p w14:paraId="5EF87979">
      <w:pPr>
        <w:pStyle w:val="6"/>
        <w:pageBreakBefore w:val="0"/>
        <w:widowControl w:val="0"/>
        <w:numPr>
          <w:ilvl w:val="0"/>
          <w:numId w:val="2"/>
        </w:numPr>
        <w:shd w:val="clear"/>
        <w:overflowPunct w:val="0"/>
        <w:topLinePunct w:val="0"/>
        <w:bidi w:val="0"/>
        <w:spacing w:after="0" w:line="360" w:lineRule="auto"/>
        <w:rPr>
          <w:rFonts w:hint="eastAsia" w:ascii="宋体" w:hAnsi="宋体" w:cs="宋体"/>
          <w:color w:val="auto"/>
          <w:sz w:val="21"/>
          <w:szCs w:val="21"/>
          <w:highlight w:val="none"/>
        </w:rPr>
      </w:pPr>
      <w:bookmarkStart w:id="136" w:name="_Toc7174"/>
      <w:bookmarkStart w:id="137" w:name="_Toc17030"/>
      <w:bookmarkStart w:id="138" w:name="_Toc3528"/>
      <w:r>
        <w:rPr>
          <w:rFonts w:hint="eastAsia" w:ascii="宋体" w:hAnsi="宋体" w:cs="宋体"/>
          <w:color w:val="auto"/>
          <w:sz w:val="21"/>
          <w:szCs w:val="21"/>
          <w:highlight w:val="none"/>
        </w:rPr>
        <w:t>评标委员会及评标方法</w:t>
      </w:r>
      <w:bookmarkEnd w:id="136"/>
      <w:bookmarkEnd w:id="137"/>
      <w:bookmarkEnd w:id="138"/>
    </w:p>
    <w:p w14:paraId="3F804481">
      <w:pPr>
        <w:pStyle w:val="45"/>
        <w:pageBreakBefore w:val="0"/>
        <w:widowControl w:val="0"/>
        <w:numPr>
          <w:ilvl w:val="0"/>
          <w:numId w:val="3"/>
        </w:numPr>
        <w:shd w:val="clear"/>
        <w:topLinePunct w:val="0"/>
        <w:bidi w:val="0"/>
        <w:adjustRightInd/>
        <w:snapToGrid/>
        <w:spacing w:after="0" w:line="360" w:lineRule="auto"/>
        <w:ind w:firstLineChars="0"/>
        <w:jc w:val="both"/>
        <w:rPr>
          <w:rFonts w:hint="eastAsia" w:ascii="宋体" w:hAnsi="宋体" w:cs="宋体"/>
          <w:vanish/>
          <w:color w:val="auto"/>
          <w:szCs w:val="21"/>
          <w:highlight w:val="none"/>
        </w:rPr>
      </w:pPr>
    </w:p>
    <w:p w14:paraId="0E13D54E">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依法组成评标委员会，评标委员会由采购人和有关技术、经济等方面的专家组成，成员人数为七人或七人以上单数，其中技术、经济等方面的专家不少于成员总数的三分之二，并负责评标工作。</w:t>
      </w:r>
    </w:p>
    <w:p w14:paraId="0CE6A338">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评审方法：本次采购的评审方法采用综合评分法。</w:t>
      </w:r>
    </w:p>
    <w:p w14:paraId="36A2C418">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定标原则：在最大限度满足采购文件实质性要求前提下，按照采购文件规定的各项评价因素进行量化打分，以评标总得分最高的投标人作为中标候选人或中标人。</w:t>
      </w:r>
    </w:p>
    <w:p w14:paraId="3C2199F0">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评标委员会对投标文件的评审内容，分为商务评议、技术评议和价格评议。评审流程包括符合性检查、澄清问题、比较与评价、推荐中标候选人或确定中标人、编写评标报告等步骤。</w:t>
      </w:r>
    </w:p>
    <w:p w14:paraId="5DE7B242">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在评标期间，评标委员会可要求投标人对其投标文件进行澄清，但不得寻求、提供或允许对投标价格等实质性内容做任何更改。有关澄清的要求和答复均应以纸质版形式提交，如投标人拒绝评标委员会要求对其投标文件进行澄清的要求，所造成的后果由投标人自行承担。</w:t>
      </w:r>
    </w:p>
    <w:p w14:paraId="3EEE78D3">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评标委员会和采购人在评审过程中有权核对投标文件中相关材料的原件，投标人在接到通知后应在评标委员会规定的时间内提交原件核查。</w:t>
      </w:r>
    </w:p>
    <w:p w14:paraId="0F994F5C">
      <w:pPr>
        <w:pageBreakBefore w:val="0"/>
        <w:shd w:val="clear"/>
        <w:topLinePunct w:val="0"/>
        <w:bidi w:val="0"/>
        <w:spacing w:after="0" w:line="360" w:lineRule="auto"/>
        <w:rPr>
          <w:rFonts w:hint="eastAsia" w:ascii="宋体" w:hAnsi="宋体" w:cs="宋体"/>
          <w:color w:val="auto"/>
          <w:highlight w:val="none"/>
        </w:rPr>
      </w:pPr>
    </w:p>
    <w:p w14:paraId="7BF78A05">
      <w:pPr>
        <w:pStyle w:val="6"/>
        <w:pageBreakBefore w:val="0"/>
        <w:widowControl w:val="0"/>
        <w:numPr>
          <w:ilvl w:val="0"/>
          <w:numId w:val="2"/>
        </w:numPr>
        <w:shd w:val="clear"/>
        <w:overflowPunct w:val="0"/>
        <w:topLinePunct w:val="0"/>
        <w:bidi w:val="0"/>
        <w:spacing w:after="0" w:line="360" w:lineRule="auto"/>
        <w:rPr>
          <w:rFonts w:hint="eastAsia" w:ascii="宋体" w:hAnsi="宋体" w:cs="宋体"/>
          <w:color w:val="auto"/>
          <w:sz w:val="21"/>
          <w:szCs w:val="21"/>
          <w:highlight w:val="none"/>
        </w:rPr>
      </w:pPr>
      <w:bookmarkStart w:id="139" w:name="_Toc21473"/>
      <w:bookmarkStart w:id="140" w:name="_Toc11769"/>
      <w:bookmarkStart w:id="141" w:name="_Toc4198"/>
      <w:r>
        <w:rPr>
          <w:rFonts w:hint="eastAsia" w:ascii="宋体" w:hAnsi="宋体" w:cs="宋体"/>
          <w:color w:val="auto"/>
          <w:sz w:val="21"/>
          <w:szCs w:val="21"/>
          <w:highlight w:val="none"/>
        </w:rPr>
        <w:t>评审原则及评标过程的保密</w:t>
      </w:r>
      <w:bookmarkEnd w:id="139"/>
      <w:bookmarkEnd w:id="140"/>
      <w:bookmarkEnd w:id="141"/>
    </w:p>
    <w:p w14:paraId="76A4AD77">
      <w:pPr>
        <w:pStyle w:val="45"/>
        <w:pageBreakBefore w:val="0"/>
        <w:widowControl w:val="0"/>
        <w:numPr>
          <w:ilvl w:val="0"/>
          <w:numId w:val="3"/>
        </w:numPr>
        <w:shd w:val="clear"/>
        <w:topLinePunct w:val="0"/>
        <w:bidi w:val="0"/>
        <w:adjustRightInd/>
        <w:snapToGrid/>
        <w:spacing w:after="0" w:line="360" w:lineRule="auto"/>
        <w:ind w:firstLineChars="0"/>
        <w:jc w:val="both"/>
        <w:rPr>
          <w:rFonts w:hint="eastAsia" w:ascii="宋体" w:hAnsi="宋体" w:cs="宋体"/>
          <w:vanish/>
          <w:color w:val="auto"/>
          <w:szCs w:val="21"/>
          <w:highlight w:val="none"/>
        </w:rPr>
      </w:pPr>
    </w:p>
    <w:p w14:paraId="466A009C">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评审的基本原则：评标委员会将依据采购文件的规定，遵循“公开、公平、公正、择优、信用”的原则进行评审工作。</w:t>
      </w:r>
    </w:p>
    <w:p w14:paraId="39E120CB">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从公开开标到签订合同，凡与审查、澄清、评审和投标有关的资料以及定标意见相关的事项，均不得向投标人及与评标无关的其他人透露。</w:t>
      </w:r>
    </w:p>
    <w:p w14:paraId="2F6BE103">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任何单位和个人不得非法干预、影响评标的过程和结果。</w:t>
      </w:r>
    </w:p>
    <w:p w14:paraId="28DD6423">
      <w:pPr>
        <w:pageBreakBefore w:val="0"/>
        <w:shd w:val="clear"/>
        <w:topLinePunct w:val="0"/>
        <w:bidi w:val="0"/>
        <w:spacing w:after="0" w:line="360" w:lineRule="auto"/>
        <w:rPr>
          <w:rFonts w:hint="eastAsia" w:ascii="宋体" w:hAnsi="宋体" w:cs="宋体"/>
          <w:color w:val="auto"/>
          <w:highlight w:val="none"/>
        </w:rPr>
      </w:pPr>
    </w:p>
    <w:p w14:paraId="7FD35BE7">
      <w:pPr>
        <w:pStyle w:val="6"/>
        <w:pageBreakBefore w:val="0"/>
        <w:widowControl w:val="0"/>
        <w:numPr>
          <w:ilvl w:val="0"/>
          <w:numId w:val="2"/>
        </w:numPr>
        <w:shd w:val="clear"/>
        <w:overflowPunct w:val="0"/>
        <w:topLinePunct w:val="0"/>
        <w:bidi w:val="0"/>
        <w:spacing w:after="0" w:line="360" w:lineRule="auto"/>
        <w:rPr>
          <w:rFonts w:hint="eastAsia" w:ascii="宋体" w:hAnsi="宋体" w:cs="宋体"/>
          <w:color w:val="auto"/>
          <w:sz w:val="21"/>
          <w:szCs w:val="21"/>
          <w:highlight w:val="none"/>
        </w:rPr>
      </w:pPr>
      <w:bookmarkStart w:id="142" w:name="_Toc1632"/>
      <w:bookmarkStart w:id="143" w:name="_Toc28702"/>
      <w:r>
        <w:rPr>
          <w:rFonts w:hint="eastAsia" w:ascii="宋体" w:hAnsi="宋体" w:cs="宋体"/>
          <w:color w:val="auto"/>
          <w:sz w:val="21"/>
          <w:szCs w:val="21"/>
          <w:highlight w:val="none"/>
        </w:rPr>
        <w:t>评标程序</w:t>
      </w:r>
      <w:bookmarkEnd w:id="142"/>
      <w:bookmarkEnd w:id="143"/>
    </w:p>
    <w:p w14:paraId="5281B701">
      <w:pPr>
        <w:pageBreakBefore w:val="0"/>
        <w:widowControl w:val="0"/>
        <w:numPr>
          <w:ilvl w:val="1"/>
          <w:numId w:val="2"/>
        </w:numPr>
        <w:shd w:val="clear"/>
        <w:overflowPunct w:val="0"/>
        <w:topLinePunct w:val="0"/>
        <w:bidi w:val="0"/>
        <w:spacing w:after="0"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资格性、符合性审查</w:t>
      </w:r>
    </w:p>
    <w:p w14:paraId="6F7D7853">
      <w:pPr>
        <w:pageBreakBefore w:val="0"/>
        <w:widowControl w:val="0"/>
        <w:shd w:val="clear"/>
        <w:overflowPunct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公开采购项目开标结束后，评标委员会根据《资格性、符合性审查表》将依法对投标人进行资格性、符合性审查。投标人必须严格按照《资格性、符合性审查表》的评审内容的要求如实提供证明材料并应加盖投标人公章，对缺漏或不符合项将直接导致无效投标。合格投标人不足3家的，不得评标。未通过资格性、符合性审查的投标人不进入评标阶段的评审。</w:t>
      </w:r>
    </w:p>
    <w:p w14:paraId="32766B45">
      <w:pPr>
        <w:pageBreakBefore w:val="0"/>
        <w:shd w:val="clear"/>
        <w:topLinePunct w:val="0"/>
        <w:bidi w:val="0"/>
        <w:spacing w:after="0" w:line="360" w:lineRule="auto"/>
        <w:jc w:val="center"/>
        <w:rPr>
          <w:rFonts w:hint="eastAsia" w:ascii="宋体" w:hAnsi="宋体" w:cs="宋体"/>
          <w:b/>
          <w:bCs/>
          <w:color w:val="auto"/>
          <w:highlight w:val="none"/>
        </w:rPr>
      </w:pPr>
      <w:r>
        <w:rPr>
          <w:rFonts w:hint="eastAsia" w:ascii="宋体" w:hAnsi="宋体" w:cs="宋体"/>
          <w:b/>
          <w:bCs/>
          <w:color w:val="auto"/>
          <w:highlight w:val="none"/>
        </w:rPr>
        <w:t>《资格性、符合性审查表》</w:t>
      </w:r>
    </w:p>
    <w:tbl>
      <w:tblPr>
        <w:tblStyle w:val="32"/>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7823"/>
      </w:tblGrid>
      <w:tr w14:paraId="3C942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tcBorders>
              <w:top w:val="single" w:color="auto" w:sz="4" w:space="0"/>
              <w:left w:val="single" w:color="auto" w:sz="4" w:space="0"/>
              <w:bottom w:val="single" w:color="auto" w:sz="4" w:space="0"/>
              <w:right w:val="single" w:color="auto" w:sz="4" w:space="0"/>
              <w:tl2br w:val="nil"/>
              <w:tr2bl w:val="nil"/>
            </w:tcBorders>
            <w:vAlign w:val="center"/>
          </w:tcPr>
          <w:p w14:paraId="60C5A9CB">
            <w:pPr>
              <w:pageBreakBefore w:val="0"/>
              <w:shd w:val="clear"/>
              <w:topLinePunct w:val="0"/>
              <w:bidi w:val="0"/>
              <w:spacing w:after="0"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序号</w:t>
            </w:r>
          </w:p>
        </w:tc>
        <w:tc>
          <w:tcPr>
            <w:tcW w:w="7823" w:type="dxa"/>
            <w:tcBorders>
              <w:top w:val="single" w:color="auto" w:sz="4" w:space="0"/>
              <w:left w:val="single" w:color="auto" w:sz="4" w:space="0"/>
              <w:bottom w:val="single" w:color="auto" w:sz="4" w:space="0"/>
              <w:right w:val="single" w:color="auto" w:sz="4" w:space="0"/>
              <w:tl2br w:val="nil"/>
              <w:tr2bl w:val="nil"/>
            </w:tcBorders>
            <w:vAlign w:val="center"/>
          </w:tcPr>
          <w:p w14:paraId="0C1A8F40">
            <w:pPr>
              <w:pageBreakBefore w:val="0"/>
              <w:shd w:val="clear"/>
              <w:topLinePunct w:val="0"/>
              <w:bidi w:val="0"/>
              <w:spacing w:after="0"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评 审 内 容</w:t>
            </w:r>
          </w:p>
        </w:tc>
      </w:tr>
      <w:tr w14:paraId="09CA3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vMerge w:val="restart"/>
            <w:tcBorders>
              <w:top w:val="single" w:color="auto" w:sz="4" w:space="0"/>
              <w:left w:val="single" w:color="auto" w:sz="4" w:space="0"/>
              <w:right w:val="single" w:color="auto" w:sz="4" w:space="0"/>
              <w:tl2br w:val="nil"/>
              <w:tr2bl w:val="nil"/>
            </w:tcBorders>
            <w:vAlign w:val="center"/>
          </w:tcPr>
          <w:p w14:paraId="6AD742AE">
            <w:pPr>
              <w:pageBreakBefore w:val="0"/>
              <w:numPr>
                <w:ilvl w:val="0"/>
                <w:numId w:val="5"/>
              </w:numPr>
              <w:shd w:val="clear"/>
              <w:tabs>
                <w:tab w:val="left" w:pos="176"/>
                <w:tab w:val="left" w:pos="612"/>
              </w:tabs>
              <w:topLinePunct w:val="0"/>
              <w:bidi w:val="0"/>
              <w:spacing w:after="0" w:line="360" w:lineRule="auto"/>
              <w:jc w:val="center"/>
              <w:rPr>
                <w:rFonts w:hint="eastAsia" w:ascii="宋体" w:hAnsi="宋体" w:cs="宋体"/>
                <w:color w:val="auto"/>
                <w:szCs w:val="21"/>
                <w:highlight w:val="none"/>
              </w:rPr>
            </w:pPr>
          </w:p>
        </w:tc>
        <w:tc>
          <w:tcPr>
            <w:tcW w:w="7823" w:type="dxa"/>
            <w:tcBorders>
              <w:top w:val="single" w:color="auto" w:sz="4" w:space="0"/>
              <w:left w:val="single" w:color="auto" w:sz="4" w:space="0"/>
              <w:bottom w:val="single" w:color="auto" w:sz="4" w:space="0"/>
              <w:right w:val="single" w:color="auto" w:sz="4" w:space="0"/>
              <w:tl2br w:val="nil"/>
              <w:tr2bl w:val="nil"/>
            </w:tcBorders>
            <w:vAlign w:val="center"/>
          </w:tcPr>
          <w:p w14:paraId="4D06D3F3">
            <w:pPr>
              <w:pageBreakBefore w:val="0"/>
              <w:shd w:val="clear"/>
              <w:tabs>
                <w:tab w:val="left" w:pos="612"/>
              </w:tabs>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1）投标人须为在中华人民共和国境内登记注册的具有独立承担民事责任能力的法人或其他组织【提供《营业执照》复印件（加盖公章）或《事业单位法人证书》复印件（加盖公章）或其他主体证书复印件（加盖公章）】；</w:t>
            </w:r>
          </w:p>
        </w:tc>
      </w:tr>
      <w:tr w14:paraId="6A987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vMerge w:val="continue"/>
            <w:tcBorders>
              <w:left w:val="single" w:color="auto" w:sz="4" w:space="0"/>
              <w:right w:val="single" w:color="auto" w:sz="4" w:space="0"/>
              <w:tl2br w:val="nil"/>
              <w:tr2bl w:val="nil"/>
            </w:tcBorders>
            <w:vAlign w:val="center"/>
          </w:tcPr>
          <w:p w14:paraId="3BBB20B7">
            <w:pPr>
              <w:pageBreakBefore w:val="0"/>
              <w:shd w:val="clear"/>
              <w:tabs>
                <w:tab w:val="left" w:pos="176"/>
                <w:tab w:val="left" w:pos="420"/>
                <w:tab w:val="left" w:pos="612"/>
              </w:tabs>
              <w:topLinePunct w:val="0"/>
              <w:bidi w:val="0"/>
              <w:spacing w:after="0" w:line="360" w:lineRule="auto"/>
              <w:jc w:val="center"/>
              <w:rPr>
                <w:rFonts w:hint="eastAsia" w:ascii="宋体" w:hAnsi="宋体" w:cs="宋体"/>
                <w:color w:val="auto"/>
                <w:szCs w:val="21"/>
                <w:highlight w:val="none"/>
              </w:rPr>
            </w:pPr>
          </w:p>
        </w:tc>
        <w:tc>
          <w:tcPr>
            <w:tcW w:w="7823" w:type="dxa"/>
            <w:tcBorders>
              <w:top w:val="single" w:color="auto" w:sz="4" w:space="0"/>
              <w:left w:val="single" w:color="auto" w:sz="4" w:space="0"/>
              <w:bottom w:val="single" w:color="auto" w:sz="4" w:space="0"/>
              <w:right w:val="single" w:color="auto" w:sz="4" w:space="0"/>
              <w:tl2br w:val="nil"/>
              <w:tr2bl w:val="nil"/>
            </w:tcBorders>
            <w:vAlign w:val="center"/>
          </w:tcPr>
          <w:p w14:paraId="628EBAD1">
            <w:pPr>
              <w:pageBreakBefore w:val="0"/>
              <w:shd w:val="clear"/>
              <w:tabs>
                <w:tab w:val="left" w:pos="612"/>
              </w:tabs>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（2）参加采购活动前三年内，在经营活动中没有重大违法记录（须提供书面声明）；</w:t>
            </w:r>
          </w:p>
        </w:tc>
      </w:tr>
      <w:tr w14:paraId="287DD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vMerge w:val="continue"/>
            <w:tcBorders>
              <w:left w:val="single" w:color="auto" w:sz="4" w:space="0"/>
              <w:right w:val="single" w:color="auto" w:sz="4" w:space="0"/>
              <w:tl2br w:val="nil"/>
              <w:tr2bl w:val="nil"/>
            </w:tcBorders>
            <w:vAlign w:val="center"/>
          </w:tcPr>
          <w:p w14:paraId="2A490503">
            <w:pPr>
              <w:pageBreakBefore w:val="0"/>
              <w:shd w:val="clear"/>
              <w:tabs>
                <w:tab w:val="left" w:pos="176"/>
                <w:tab w:val="left" w:pos="420"/>
                <w:tab w:val="left" w:pos="612"/>
              </w:tabs>
              <w:topLinePunct w:val="0"/>
              <w:bidi w:val="0"/>
              <w:spacing w:after="0" w:line="360" w:lineRule="auto"/>
              <w:jc w:val="center"/>
              <w:rPr>
                <w:rFonts w:hint="eastAsia" w:ascii="宋体" w:hAnsi="宋体" w:cs="宋体"/>
                <w:color w:val="auto"/>
                <w:szCs w:val="21"/>
                <w:highlight w:val="none"/>
              </w:rPr>
            </w:pPr>
          </w:p>
        </w:tc>
        <w:tc>
          <w:tcPr>
            <w:tcW w:w="7823" w:type="dxa"/>
            <w:tcBorders>
              <w:top w:val="single" w:color="auto" w:sz="4" w:space="0"/>
              <w:left w:val="single" w:color="auto" w:sz="4" w:space="0"/>
              <w:bottom w:val="single" w:color="auto" w:sz="4" w:space="0"/>
              <w:right w:val="single" w:color="auto" w:sz="4" w:space="0"/>
              <w:tl2br w:val="nil"/>
              <w:tr2bl w:val="nil"/>
            </w:tcBorders>
            <w:vAlign w:val="center"/>
          </w:tcPr>
          <w:p w14:paraId="489D57A9">
            <w:pPr>
              <w:pageBreakBefore w:val="0"/>
              <w:shd w:val="clear"/>
              <w:tabs>
                <w:tab w:val="left" w:pos="612"/>
              </w:tabs>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（3）投标人的单位负责人为同一人或者存在直接控股、管理关系的不同投标人，不得参加同一合同项下的采购活动；</w:t>
            </w:r>
          </w:p>
        </w:tc>
      </w:tr>
      <w:tr w14:paraId="593D9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vMerge w:val="continue"/>
            <w:tcBorders>
              <w:left w:val="single" w:color="auto" w:sz="4" w:space="0"/>
              <w:right w:val="single" w:color="auto" w:sz="4" w:space="0"/>
              <w:tl2br w:val="nil"/>
              <w:tr2bl w:val="nil"/>
            </w:tcBorders>
            <w:vAlign w:val="center"/>
          </w:tcPr>
          <w:p w14:paraId="24726754">
            <w:pPr>
              <w:pageBreakBefore w:val="0"/>
              <w:shd w:val="clear"/>
              <w:tabs>
                <w:tab w:val="left" w:pos="176"/>
                <w:tab w:val="left" w:pos="420"/>
                <w:tab w:val="left" w:pos="612"/>
              </w:tabs>
              <w:topLinePunct w:val="0"/>
              <w:bidi w:val="0"/>
              <w:spacing w:after="0" w:line="360" w:lineRule="auto"/>
              <w:jc w:val="center"/>
              <w:rPr>
                <w:rFonts w:hint="eastAsia" w:ascii="宋体" w:hAnsi="宋体" w:cs="宋体"/>
                <w:color w:val="auto"/>
                <w:szCs w:val="21"/>
                <w:highlight w:val="none"/>
              </w:rPr>
            </w:pPr>
          </w:p>
        </w:tc>
        <w:tc>
          <w:tcPr>
            <w:tcW w:w="7823" w:type="dxa"/>
            <w:tcBorders>
              <w:top w:val="single" w:color="auto" w:sz="4" w:space="0"/>
              <w:left w:val="single" w:color="auto" w:sz="4" w:space="0"/>
              <w:bottom w:val="single" w:color="auto" w:sz="4" w:space="0"/>
              <w:right w:val="single" w:color="auto" w:sz="4" w:space="0"/>
              <w:tl2br w:val="nil"/>
              <w:tr2bl w:val="nil"/>
            </w:tcBorders>
            <w:vAlign w:val="center"/>
          </w:tcPr>
          <w:p w14:paraId="7278952D">
            <w:pPr>
              <w:pageBreakBefore w:val="0"/>
              <w:shd w:val="clear"/>
              <w:tabs>
                <w:tab w:val="left" w:pos="612"/>
              </w:tabs>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（4）未被列入“信用中国”网站(www.creditchina.gov.cn )“记录失信被执行人或重大税收违法失信主体或政府采购严重违法失信行为”记录名单。以代理机构于投标截止日当天在“信用中国”网站查询结果为准，如相关失信记录已失效，投标人需提供相关证明资料；</w:t>
            </w:r>
          </w:p>
        </w:tc>
      </w:tr>
      <w:tr w14:paraId="1AF2C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vMerge w:val="continue"/>
            <w:tcBorders>
              <w:left w:val="single" w:color="auto" w:sz="4" w:space="0"/>
              <w:right w:val="single" w:color="auto" w:sz="4" w:space="0"/>
              <w:tl2br w:val="nil"/>
              <w:tr2bl w:val="nil"/>
            </w:tcBorders>
            <w:vAlign w:val="center"/>
          </w:tcPr>
          <w:p w14:paraId="7C25E291">
            <w:pPr>
              <w:pageBreakBefore w:val="0"/>
              <w:shd w:val="clear"/>
              <w:tabs>
                <w:tab w:val="left" w:pos="176"/>
                <w:tab w:val="left" w:pos="420"/>
                <w:tab w:val="left" w:pos="612"/>
              </w:tabs>
              <w:topLinePunct w:val="0"/>
              <w:bidi w:val="0"/>
              <w:spacing w:after="0" w:line="360" w:lineRule="auto"/>
              <w:jc w:val="center"/>
              <w:rPr>
                <w:rFonts w:hint="eastAsia" w:ascii="宋体" w:hAnsi="宋体" w:cs="宋体"/>
                <w:color w:val="auto"/>
                <w:szCs w:val="21"/>
                <w:highlight w:val="none"/>
              </w:rPr>
            </w:pPr>
          </w:p>
        </w:tc>
        <w:tc>
          <w:tcPr>
            <w:tcW w:w="7823" w:type="dxa"/>
            <w:tcBorders>
              <w:top w:val="single" w:color="auto" w:sz="4" w:space="0"/>
              <w:left w:val="single" w:color="auto" w:sz="4" w:space="0"/>
              <w:bottom w:val="single" w:color="auto" w:sz="4" w:space="0"/>
              <w:right w:val="single" w:color="auto" w:sz="4" w:space="0"/>
              <w:tl2br w:val="nil"/>
              <w:tr2bl w:val="nil"/>
            </w:tcBorders>
            <w:vAlign w:val="center"/>
          </w:tcPr>
          <w:p w14:paraId="6205312F">
            <w:pPr>
              <w:pageBreakBefore w:val="0"/>
              <w:shd w:val="clear"/>
              <w:tabs>
                <w:tab w:val="left" w:pos="612"/>
              </w:tabs>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（5）未被列入东实集团及下属企业相关领域黑名单。【以</w:t>
            </w:r>
            <w:r>
              <w:rPr>
                <w:rFonts w:hint="eastAsia" w:ascii="宋体" w:hAnsi="宋体" w:cs="宋体"/>
                <w:color w:val="auto"/>
                <w:kern w:val="2"/>
                <w:szCs w:val="21"/>
                <w:highlight w:val="none"/>
                <w:lang w:val="zh-CN"/>
              </w:rPr>
              <w:t>东莞实业投资控股集团有限公司</w:t>
            </w:r>
            <w:r>
              <w:rPr>
                <w:rFonts w:hint="eastAsia" w:ascii="宋体" w:hAnsi="宋体" w:cs="宋体"/>
                <w:color w:val="auto"/>
                <w:szCs w:val="21"/>
                <w:highlight w:val="none"/>
              </w:rPr>
              <w:t>发文（东实通〔2021〕44号）、（东实通〔2021〕98号）、（东实通〔2022〕75号）、（东实通〔2023〕37号）、（东实通〔2024〕163号）、（东实通〔2024〕195号）及下属企业发文为准，如有最新发文通知，按最新文件执行。。</w:t>
            </w:r>
          </w:p>
        </w:tc>
      </w:tr>
      <w:tr w14:paraId="11320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vMerge w:val="continue"/>
            <w:tcBorders>
              <w:left w:val="single" w:color="auto" w:sz="4" w:space="0"/>
              <w:bottom w:val="single" w:color="auto" w:sz="4" w:space="0"/>
              <w:right w:val="single" w:color="auto" w:sz="4" w:space="0"/>
              <w:tl2br w:val="nil"/>
              <w:tr2bl w:val="nil"/>
            </w:tcBorders>
            <w:vAlign w:val="center"/>
          </w:tcPr>
          <w:p w14:paraId="07325173">
            <w:pPr>
              <w:pageBreakBefore w:val="0"/>
              <w:shd w:val="clear"/>
              <w:tabs>
                <w:tab w:val="left" w:pos="176"/>
                <w:tab w:val="left" w:pos="420"/>
                <w:tab w:val="left" w:pos="612"/>
              </w:tabs>
              <w:topLinePunct w:val="0"/>
              <w:bidi w:val="0"/>
              <w:spacing w:after="0" w:line="360" w:lineRule="auto"/>
              <w:jc w:val="center"/>
              <w:rPr>
                <w:rFonts w:hint="eastAsia" w:ascii="宋体" w:hAnsi="宋体" w:cs="宋体"/>
                <w:color w:val="auto"/>
                <w:szCs w:val="21"/>
                <w:highlight w:val="none"/>
              </w:rPr>
            </w:pPr>
          </w:p>
        </w:tc>
        <w:tc>
          <w:tcPr>
            <w:tcW w:w="7823" w:type="dxa"/>
            <w:tcBorders>
              <w:top w:val="single" w:color="auto" w:sz="4" w:space="0"/>
              <w:left w:val="single" w:color="auto" w:sz="4" w:space="0"/>
              <w:bottom w:val="single" w:color="auto" w:sz="4" w:space="0"/>
              <w:right w:val="single" w:color="auto" w:sz="4" w:space="0"/>
              <w:tl2br w:val="nil"/>
              <w:tr2bl w:val="nil"/>
            </w:tcBorders>
            <w:vAlign w:val="center"/>
          </w:tcPr>
          <w:p w14:paraId="7E0158E5">
            <w:pPr>
              <w:pageBreakBefore w:val="0"/>
              <w:shd w:val="clear"/>
              <w:tabs>
                <w:tab w:val="left" w:pos="612"/>
              </w:tabs>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（6）符合投标人资格要求中其他要求（如有）。（提供《附件8.相关资质证明文件》中对应证明文件。）</w:t>
            </w:r>
          </w:p>
        </w:tc>
      </w:tr>
      <w:tr w14:paraId="40FFE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tcBorders>
              <w:top w:val="single" w:color="auto" w:sz="4" w:space="0"/>
              <w:left w:val="single" w:color="auto" w:sz="4" w:space="0"/>
              <w:bottom w:val="single" w:color="auto" w:sz="4" w:space="0"/>
              <w:right w:val="single" w:color="auto" w:sz="4" w:space="0"/>
              <w:tl2br w:val="nil"/>
              <w:tr2bl w:val="nil"/>
            </w:tcBorders>
            <w:vAlign w:val="center"/>
          </w:tcPr>
          <w:p w14:paraId="6C91276C">
            <w:pPr>
              <w:pageBreakBefore w:val="0"/>
              <w:numPr>
                <w:ilvl w:val="0"/>
                <w:numId w:val="5"/>
              </w:numPr>
              <w:shd w:val="clear"/>
              <w:tabs>
                <w:tab w:val="left" w:pos="176"/>
                <w:tab w:val="left" w:pos="612"/>
              </w:tabs>
              <w:topLinePunct w:val="0"/>
              <w:bidi w:val="0"/>
              <w:spacing w:after="0" w:line="360" w:lineRule="auto"/>
              <w:jc w:val="center"/>
              <w:rPr>
                <w:rFonts w:hint="eastAsia" w:ascii="宋体" w:hAnsi="宋体" w:cs="宋体"/>
                <w:color w:val="auto"/>
                <w:szCs w:val="21"/>
                <w:highlight w:val="none"/>
              </w:rPr>
            </w:pPr>
          </w:p>
        </w:tc>
        <w:tc>
          <w:tcPr>
            <w:tcW w:w="7823" w:type="dxa"/>
            <w:tcBorders>
              <w:top w:val="single" w:color="auto" w:sz="4" w:space="0"/>
              <w:left w:val="single" w:color="auto" w:sz="4" w:space="0"/>
              <w:bottom w:val="single" w:color="auto" w:sz="4" w:space="0"/>
              <w:right w:val="single" w:color="auto" w:sz="4" w:space="0"/>
              <w:tl2br w:val="nil"/>
              <w:tr2bl w:val="nil"/>
            </w:tcBorders>
            <w:vAlign w:val="center"/>
          </w:tcPr>
          <w:p w14:paraId="6B70B52F">
            <w:pPr>
              <w:pageBreakBefore w:val="0"/>
              <w:shd w:val="clear"/>
              <w:topLinePunct w:val="0"/>
              <w:bidi w:val="0"/>
              <w:spacing w:after="0" w:line="360" w:lineRule="auto"/>
              <w:textAlignment w:val="center"/>
              <w:rPr>
                <w:rFonts w:hint="eastAsia" w:ascii="宋体" w:hAnsi="宋体" w:cs="宋体"/>
                <w:color w:val="auto"/>
                <w:szCs w:val="21"/>
                <w:highlight w:val="none"/>
                <w:lang w:bidi="ar"/>
              </w:rPr>
            </w:pPr>
            <w:r>
              <w:rPr>
                <w:rFonts w:hint="eastAsia" w:ascii="宋体" w:hAnsi="宋体" w:cs="宋体"/>
                <w:color w:val="auto"/>
                <w:szCs w:val="21"/>
                <w:highlight w:val="none"/>
                <w:lang w:bidi="ar"/>
              </w:rPr>
              <w:t>投标人按照采购文件要求提交投标保证金；</w:t>
            </w:r>
          </w:p>
        </w:tc>
      </w:tr>
      <w:tr w14:paraId="65BF5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tcBorders>
              <w:top w:val="single" w:color="auto" w:sz="4" w:space="0"/>
              <w:left w:val="single" w:color="auto" w:sz="4" w:space="0"/>
              <w:bottom w:val="single" w:color="auto" w:sz="4" w:space="0"/>
              <w:right w:val="single" w:color="auto" w:sz="4" w:space="0"/>
              <w:tl2br w:val="nil"/>
              <w:tr2bl w:val="nil"/>
            </w:tcBorders>
            <w:vAlign w:val="center"/>
          </w:tcPr>
          <w:p w14:paraId="1A3ED421">
            <w:pPr>
              <w:pageBreakBefore w:val="0"/>
              <w:numPr>
                <w:ilvl w:val="0"/>
                <w:numId w:val="5"/>
              </w:numPr>
              <w:shd w:val="clear"/>
              <w:tabs>
                <w:tab w:val="left" w:pos="176"/>
                <w:tab w:val="left" w:pos="612"/>
              </w:tabs>
              <w:topLinePunct w:val="0"/>
              <w:bidi w:val="0"/>
              <w:spacing w:after="0" w:line="360" w:lineRule="auto"/>
              <w:jc w:val="center"/>
              <w:rPr>
                <w:rFonts w:hint="eastAsia" w:ascii="宋体" w:hAnsi="宋体" w:cs="宋体"/>
                <w:color w:val="auto"/>
                <w:szCs w:val="21"/>
                <w:highlight w:val="none"/>
              </w:rPr>
            </w:pPr>
          </w:p>
        </w:tc>
        <w:tc>
          <w:tcPr>
            <w:tcW w:w="7823" w:type="dxa"/>
            <w:tcBorders>
              <w:top w:val="single" w:color="auto" w:sz="4" w:space="0"/>
              <w:left w:val="single" w:color="auto" w:sz="4" w:space="0"/>
              <w:bottom w:val="single" w:color="auto" w:sz="4" w:space="0"/>
              <w:right w:val="single" w:color="auto" w:sz="4" w:space="0"/>
              <w:tl2br w:val="nil"/>
              <w:tr2bl w:val="nil"/>
            </w:tcBorders>
            <w:vAlign w:val="center"/>
          </w:tcPr>
          <w:p w14:paraId="549618D6">
            <w:pPr>
              <w:pageBreakBefore w:val="0"/>
              <w:shd w:val="clear"/>
              <w:topLinePunct w:val="0"/>
              <w:bidi w:val="0"/>
              <w:spacing w:after="0" w:line="360" w:lineRule="auto"/>
              <w:textAlignment w:val="center"/>
              <w:rPr>
                <w:rFonts w:hint="eastAsia" w:ascii="宋体" w:hAnsi="宋体" w:cs="宋体"/>
                <w:color w:val="auto"/>
                <w:szCs w:val="21"/>
                <w:highlight w:val="none"/>
              </w:rPr>
            </w:pPr>
            <w:r>
              <w:rPr>
                <w:rFonts w:hint="eastAsia" w:ascii="宋体" w:hAnsi="宋体" w:cs="宋体"/>
                <w:color w:val="auto"/>
                <w:szCs w:val="21"/>
                <w:highlight w:val="none"/>
                <w:lang w:bidi="ar"/>
              </w:rPr>
              <w:t>投标文件按照采购文件要求签署盖章；</w:t>
            </w:r>
          </w:p>
        </w:tc>
      </w:tr>
      <w:tr w14:paraId="6CB68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tcBorders>
              <w:top w:val="single" w:color="auto" w:sz="4" w:space="0"/>
              <w:left w:val="single" w:color="auto" w:sz="4" w:space="0"/>
              <w:bottom w:val="single" w:color="auto" w:sz="4" w:space="0"/>
              <w:right w:val="single" w:color="auto" w:sz="4" w:space="0"/>
              <w:tl2br w:val="nil"/>
              <w:tr2bl w:val="nil"/>
            </w:tcBorders>
            <w:vAlign w:val="center"/>
          </w:tcPr>
          <w:p w14:paraId="34ADFF22">
            <w:pPr>
              <w:pageBreakBefore w:val="0"/>
              <w:numPr>
                <w:ilvl w:val="0"/>
                <w:numId w:val="5"/>
              </w:numPr>
              <w:shd w:val="clear"/>
              <w:tabs>
                <w:tab w:val="left" w:pos="176"/>
                <w:tab w:val="left" w:pos="612"/>
              </w:tabs>
              <w:topLinePunct w:val="0"/>
              <w:bidi w:val="0"/>
              <w:spacing w:after="0" w:line="360" w:lineRule="auto"/>
              <w:jc w:val="center"/>
              <w:rPr>
                <w:rFonts w:hint="eastAsia" w:ascii="宋体" w:hAnsi="宋体" w:cs="宋体"/>
                <w:color w:val="auto"/>
                <w:szCs w:val="21"/>
                <w:highlight w:val="none"/>
              </w:rPr>
            </w:pPr>
          </w:p>
        </w:tc>
        <w:tc>
          <w:tcPr>
            <w:tcW w:w="7823" w:type="dxa"/>
            <w:tcBorders>
              <w:top w:val="single" w:color="auto" w:sz="4" w:space="0"/>
              <w:left w:val="single" w:color="auto" w:sz="4" w:space="0"/>
              <w:bottom w:val="single" w:color="auto" w:sz="4" w:space="0"/>
              <w:right w:val="single" w:color="auto" w:sz="4" w:space="0"/>
              <w:tl2br w:val="nil"/>
              <w:tr2bl w:val="nil"/>
            </w:tcBorders>
            <w:vAlign w:val="center"/>
          </w:tcPr>
          <w:p w14:paraId="0BC74861">
            <w:pPr>
              <w:pageBreakBefore w:val="0"/>
              <w:shd w:val="clear"/>
              <w:topLinePunct w:val="0"/>
              <w:bidi w:val="0"/>
              <w:spacing w:after="0" w:line="360" w:lineRule="auto"/>
              <w:textAlignment w:val="center"/>
              <w:rPr>
                <w:rFonts w:hint="eastAsia" w:ascii="宋体" w:hAnsi="宋体" w:cs="宋体"/>
                <w:color w:val="auto"/>
                <w:szCs w:val="21"/>
                <w:highlight w:val="none"/>
              </w:rPr>
            </w:pPr>
            <w:r>
              <w:rPr>
                <w:rFonts w:hint="eastAsia" w:ascii="宋体" w:hAnsi="宋体" w:cs="宋体"/>
                <w:color w:val="auto"/>
                <w:szCs w:val="21"/>
                <w:highlight w:val="none"/>
                <w:lang w:bidi="ar"/>
              </w:rPr>
              <w:t>投标报价按照采购文件要求进行报价；</w:t>
            </w:r>
          </w:p>
        </w:tc>
      </w:tr>
      <w:tr w14:paraId="15CA3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tcBorders>
              <w:top w:val="single" w:color="auto" w:sz="4" w:space="0"/>
              <w:left w:val="single" w:color="auto" w:sz="4" w:space="0"/>
              <w:bottom w:val="single" w:color="auto" w:sz="4" w:space="0"/>
              <w:right w:val="single" w:color="auto" w:sz="4" w:space="0"/>
              <w:tl2br w:val="nil"/>
              <w:tr2bl w:val="nil"/>
            </w:tcBorders>
            <w:vAlign w:val="center"/>
          </w:tcPr>
          <w:p w14:paraId="43D78974">
            <w:pPr>
              <w:pageBreakBefore w:val="0"/>
              <w:shd w:val="clear"/>
              <w:tabs>
                <w:tab w:val="left" w:pos="176"/>
                <w:tab w:val="left" w:pos="612"/>
              </w:tabs>
              <w:topLinePunct w:val="0"/>
              <w:bidi w:val="0"/>
              <w:spacing w:after="0" w:line="360" w:lineRule="auto"/>
              <w:ind w:firstLine="210" w:firstLineChars="100"/>
              <w:jc w:val="both"/>
              <w:rPr>
                <w:rFonts w:hint="eastAsia" w:ascii="宋体" w:hAnsi="宋体" w:cs="宋体"/>
                <w:color w:val="auto"/>
                <w:szCs w:val="21"/>
                <w:highlight w:val="none"/>
              </w:rPr>
            </w:pPr>
            <w:r>
              <w:rPr>
                <w:rFonts w:hint="eastAsia" w:ascii="宋体" w:hAnsi="宋体" w:cs="宋体"/>
                <w:color w:val="auto"/>
                <w:szCs w:val="21"/>
                <w:highlight w:val="none"/>
              </w:rPr>
              <w:t>5</w:t>
            </w:r>
          </w:p>
        </w:tc>
        <w:tc>
          <w:tcPr>
            <w:tcW w:w="7823" w:type="dxa"/>
            <w:tcBorders>
              <w:top w:val="single" w:color="auto" w:sz="4" w:space="0"/>
              <w:left w:val="single" w:color="auto" w:sz="4" w:space="0"/>
              <w:bottom w:val="single" w:color="auto" w:sz="4" w:space="0"/>
              <w:right w:val="single" w:color="auto" w:sz="4" w:space="0"/>
              <w:tl2br w:val="nil"/>
              <w:tr2bl w:val="nil"/>
            </w:tcBorders>
            <w:vAlign w:val="center"/>
          </w:tcPr>
          <w:p w14:paraId="2729748D">
            <w:pPr>
              <w:pageBreakBefore w:val="0"/>
              <w:shd w:val="clear"/>
              <w:topLinePunct w:val="0"/>
              <w:bidi w:val="0"/>
              <w:spacing w:after="0" w:line="360" w:lineRule="auto"/>
              <w:textAlignment w:val="center"/>
              <w:rPr>
                <w:rFonts w:hint="eastAsia" w:ascii="宋体" w:hAnsi="宋体" w:cs="宋体"/>
                <w:color w:val="auto"/>
                <w:szCs w:val="21"/>
                <w:highlight w:val="none"/>
                <w:lang w:bidi="ar"/>
              </w:rPr>
            </w:pPr>
            <w:r>
              <w:rPr>
                <w:rFonts w:hint="eastAsia" w:ascii="宋体" w:hAnsi="宋体" w:cs="宋体"/>
                <w:color w:val="auto"/>
                <w:szCs w:val="21"/>
                <w:highlight w:val="none"/>
                <w:lang w:bidi="ar"/>
              </w:rPr>
              <w:t>投标文件未含有采购人不能接受的附加条件；</w:t>
            </w:r>
          </w:p>
        </w:tc>
      </w:tr>
      <w:tr w14:paraId="0B0DD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tcBorders>
              <w:top w:val="single" w:color="auto" w:sz="4" w:space="0"/>
              <w:left w:val="single" w:color="auto" w:sz="4" w:space="0"/>
              <w:bottom w:val="single" w:color="auto" w:sz="4" w:space="0"/>
              <w:right w:val="single" w:color="auto" w:sz="4" w:space="0"/>
              <w:tl2br w:val="nil"/>
              <w:tr2bl w:val="nil"/>
            </w:tcBorders>
            <w:vAlign w:val="center"/>
          </w:tcPr>
          <w:p w14:paraId="7C74D676">
            <w:pPr>
              <w:pageBreakBefore w:val="0"/>
              <w:shd w:val="clear"/>
              <w:tabs>
                <w:tab w:val="left" w:pos="176"/>
                <w:tab w:val="left" w:pos="612"/>
              </w:tabs>
              <w:topLinePunct w:val="0"/>
              <w:bidi w:val="0"/>
              <w:spacing w:after="0" w:line="360" w:lineRule="auto"/>
              <w:ind w:firstLine="210" w:firstLineChars="100"/>
              <w:jc w:val="both"/>
              <w:rPr>
                <w:rFonts w:hint="eastAsia" w:ascii="宋体" w:hAnsi="宋体" w:cs="宋体"/>
                <w:color w:val="auto"/>
                <w:szCs w:val="21"/>
                <w:highlight w:val="none"/>
              </w:rPr>
            </w:pPr>
            <w:r>
              <w:rPr>
                <w:rFonts w:hint="eastAsia" w:ascii="宋体" w:hAnsi="宋体" w:cs="宋体"/>
                <w:color w:val="auto"/>
                <w:szCs w:val="21"/>
                <w:highlight w:val="none"/>
              </w:rPr>
              <w:t>6</w:t>
            </w:r>
          </w:p>
        </w:tc>
        <w:tc>
          <w:tcPr>
            <w:tcW w:w="7823" w:type="dxa"/>
            <w:tcBorders>
              <w:top w:val="single" w:color="auto" w:sz="4" w:space="0"/>
              <w:left w:val="single" w:color="auto" w:sz="4" w:space="0"/>
              <w:bottom w:val="single" w:color="auto" w:sz="4" w:space="0"/>
              <w:right w:val="single" w:color="auto" w:sz="4" w:space="0"/>
              <w:tl2br w:val="nil"/>
              <w:tr2bl w:val="nil"/>
            </w:tcBorders>
            <w:vAlign w:val="center"/>
          </w:tcPr>
          <w:p w14:paraId="61C7C9D6">
            <w:pPr>
              <w:pageBreakBefore w:val="0"/>
              <w:shd w:val="clear"/>
              <w:topLinePunct w:val="0"/>
              <w:bidi w:val="0"/>
              <w:spacing w:after="0" w:line="360" w:lineRule="auto"/>
              <w:textAlignment w:val="center"/>
              <w:rPr>
                <w:rFonts w:hint="eastAsia" w:ascii="宋体" w:hAnsi="宋体" w:cs="宋体"/>
                <w:color w:val="auto"/>
                <w:szCs w:val="21"/>
                <w:highlight w:val="none"/>
              </w:rPr>
            </w:pPr>
            <w:r>
              <w:rPr>
                <w:rFonts w:hint="eastAsia" w:ascii="宋体" w:hAnsi="宋体" w:cs="宋体"/>
                <w:color w:val="auto"/>
                <w:szCs w:val="21"/>
                <w:highlight w:val="none"/>
                <w:lang w:bidi="ar"/>
              </w:rPr>
              <w:t>无负偏离标注“★”符号的条款。</w:t>
            </w:r>
          </w:p>
        </w:tc>
      </w:tr>
      <w:tr w14:paraId="6626D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tcBorders>
              <w:top w:val="single" w:color="auto" w:sz="4" w:space="0"/>
              <w:left w:val="single" w:color="auto" w:sz="4" w:space="0"/>
              <w:bottom w:val="single" w:color="auto" w:sz="4" w:space="0"/>
              <w:right w:val="single" w:color="auto" w:sz="4" w:space="0"/>
              <w:tl2br w:val="nil"/>
              <w:tr2bl w:val="nil"/>
            </w:tcBorders>
            <w:vAlign w:val="center"/>
          </w:tcPr>
          <w:p w14:paraId="3EDBA7A3">
            <w:pPr>
              <w:pageBreakBefore w:val="0"/>
              <w:shd w:val="clear"/>
              <w:tabs>
                <w:tab w:val="left" w:pos="176"/>
                <w:tab w:val="left" w:pos="612"/>
              </w:tabs>
              <w:topLinePunct w:val="0"/>
              <w:bidi w:val="0"/>
              <w:spacing w:after="0" w:line="360" w:lineRule="auto"/>
              <w:ind w:firstLine="210" w:firstLineChars="100"/>
              <w:jc w:val="both"/>
              <w:rPr>
                <w:rFonts w:hint="eastAsia" w:ascii="宋体" w:hAnsi="宋体" w:cs="宋体"/>
                <w:color w:val="auto"/>
                <w:szCs w:val="21"/>
                <w:highlight w:val="none"/>
              </w:rPr>
            </w:pPr>
            <w:r>
              <w:rPr>
                <w:rFonts w:hint="eastAsia" w:ascii="宋体" w:hAnsi="宋体" w:cs="宋体"/>
                <w:color w:val="auto"/>
                <w:szCs w:val="21"/>
                <w:highlight w:val="none"/>
              </w:rPr>
              <w:t>7</w:t>
            </w:r>
          </w:p>
        </w:tc>
        <w:tc>
          <w:tcPr>
            <w:tcW w:w="7823" w:type="dxa"/>
            <w:tcBorders>
              <w:top w:val="single" w:color="auto" w:sz="4" w:space="0"/>
              <w:left w:val="single" w:color="auto" w:sz="4" w:space="0"/>
              <w:bottom w:val="single" w:color="auto" w:sz="4" w:space="0"/>
              <w:right w:val="single" w:color="auto" w:sz="4" w:space="0"/>
              <w:tl2br w:val="nil"/>
              <w:tr2bl w:val="nil"/>
            </w:tcBorders>
            <w:vAlign w:val="center"/>
          </w:tcPr>
          <w:p w14:paraId="06FDB4C0">
            <w:pPr>
              <w:pageBreakBefore w:val="0"/>
              <w:shd w:val="clear"/>
              <w:topLinePunct w:val="0"/>
              <w:bidi w:val="0"/>
              <w:spacing w:after="0" w:line="360" w:lineRule="auto"/>
              <w:textAlignment w:val="center"/>
              <w:rPr>
                <w:rFonts w:hint="eastAsia" w:ascii="宋体" w:hAnsi="宋体" w:cs="宋体"/>
                <w:color w:val="auto"/>
                <w:szCs w:val="21"/>
                <w:highlight w:val="none"/>
                <w:lang w:bidi="ar"/>
              </w:rPr>
            </w:pPr>
            <w:r>
              <w:rPr>
                <w:rFonts w:hint="eastAsia" w:ascii="宋体" w:hAnsi="宋体" w:cs="宋体"/>
                <w:color w:val="auto"/>
                <w:szCs w:val="21"/>
                <w:highlight w:val="none"/>
              </w:rPr>
              <w:t>未出现</w:t>
            </w:r>
            <w:r>
              <w:rPr>
                <w:rFonts w:hint="eastAsia" w:ascii="宋体" w:hAnsi="宋体" w:cs="宋体"/>
                <w:color w:val="auto"/>
                <w:szCs w:val="21"/>
                <w:highlight w:val="none"/>
                <w:lang w:bidi="ar"/>
              </w:rPr>
              <w:t>法律、法规和招标文件规定的其他无效情形。</w:t>
            </w:r>
          </w:p>
        </w:tc>
      </w:tr>
    </w:tbl>
    <w:p w14:paraId="2FD5EEE8">
      <w:pPr>
        <w:pageBreakBefore w:val="0"/>
        <w:widowControl w:val="0"/>
        <w:shd w:val="clear"/>
        <w:overflowPunct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以上资格性、符合性审查中带有不合格分项的投标文件，将作无效标处理。经评标委员会确认的无效投标文件，采购人和采购代理机构将予以拒绝，并且不允许通过修正或撤消其不符合要求的差异，使之成为具有符合性的投标文件。经评标委员会资格性、符合性审查确认具有有效投标文件的投标人不足三家时将重新组织采购</w:t>
      </w:r>
    </w:p>
    <w:p w14:paraId="4DD3D9FB">
      <w:pPr>
        <w:pageBreakBefore w:val="0"/>
        <w:widowControl w:val="0"/>
        <w:numPr>
          <w:ilvl w:val="1"/>
          <w:numId w:val="2"/>
        </w:numPr>
        <w:shd w:val="clear"/>
        <w:overflowPunct w:val="0"/>
        <w:topLinePunct w:val="0"/>
        <w:bidi w:val="0"/>
        <w:spacing w:after="0"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投标文件报价出现前后不一致的，评标委员会按照下列规定修正：</w:t>
      </w:r>
    </w:p>
    <w:p w14:paraId="7D4F2848">
      <w:pPr>
        <w:pageBreakBefore w:val="0"/>
        <w:widowControl w:val="0"/>
        <w:numPr>
          <w:ilvl w:val="0"/>
          <w:numId w:val="6"/>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投标文件中开标一览表（报价表）内容与投标文件中相应内容不一致的，以开标一览表（报价表）为准；</w:t>
      </w:r>
    </w:p>
    <w:p w14:paraId="36B5488F">
      <w:pPr>
        <w:pageBreakBefore w:val="0"/>
        <w:widowControl w:val="0"/>
        <w:numPr>
          <w:ilvl w:val="0"/>
          <w:numId w:val="6"/>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大写金额和小写金额不一致的，以大写金额为准；</w:t>
      </w:r>
    </w:p>
    <w:p w14:paraId="4320F19A">
      <w:pPr>
        <w:pageBreakBefore w:val="0"/>
        <w:widowControl w:val="0"/>
        <w:numPr>
          <w:ilvl w:val="0"/>
          <w:numId w:val="6"/>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单价金额小数点或者百分比有明显错位的，以开标一览表的总价为准，并修改单价；</w:t>
      </w:r>
    </w:p>
    <w:p w14:paraId="6013423F">
      <w:pPr>
        <w:pageBreakBefore w:val="0"/>
        <w:widowControl w:val="0"/>
        <w:numPr>
          <w:ilvl w:val="0"/>
          <w:numId w:val="6"/>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总价金额与按单价汇总金额不一致的，以单价金额计算结果为准。</w:t>
      </w:r>
    </w:p>
    <w:p w14:paraId="5CDA63FB">
      <w:pPr>
        <w:pageBreakBefore w:val="0"/>
        <w:widowControl w:val="0"/>
        <w:numPr>
          <w:ilvl w:val="0"/>
          <w:numId w:val="6"/>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同时出现两种以上不一致的，按照前款规定的顺序修正。修正后的报价按照经投标人确认后产生约束力，投标人不确认的，其投标无效。</w:t>
      </w:r>
    </w:p>
    <w:p w14:paraId="21865B6C">
      <w:pPr>
        <w:pageBreakBefore w:val="0"/>
        <w:widowControl w:val="0"/>
        <w:shd w:val="clear"/>
        <w:overflowPunct w:val="0"/>
        <w:topLinePunct w:val="0"/>
        <w:bidi w:val="0"/>
        <w:spacing w:after="0" w:line="360" w:lineRule="auto"/>
        <w:ind w:left="630" w:hanging="630" w:hangingChars="300"/>
        <w:rPr>
          <w:rFonts w:hint="eastAsia" w:ascii="宋体" w:hAnsi="宋体" w:cs="宋体"/>
          <w:color w:val="auto"/>
          <w:szCs w:val="21"/>
          <w:highlight w:val="none"/>
        </w:rPr>
      </w:pPr>
      <w:r>
        <w:rPr>
          <w:rFonts w:hint="eastAsia" w:ascii="宋体" w:hAnsi="宋体" w:cs="宋体"/>
          <w:color w:val="auto"/>
          <w:szCs w:val="21"/>
          <w:highlight w:val="none"/>
        </w:rPr>
        <w:t>26.3  评标委员会认为投标人的报价明显低于其他通过符合性审查投标人的报价，有可能影响产品质量或者不能诚信履约的，应当要求其在评标现场合理的时间内提供书面说明（以现场通知时间为准），必要时提交相关证明材料；投标人不能证明其报价合理性的，评标委员会应当将其作为无效投标处理。</w:t>
      </w:r>
    </w:p>
    <w:p w14:paraId="041C081A">
      <w:pPr>
        <w:pageBreakBefore w:val="0"/>
        <w:widowControl w:val="0"/>
        <w:shd w:val="clear"/>
        <w:overflowPunct w:val="0"/>
        <w:topLinePunct w:val="0"/>
        <w:bidi w:val="0"/>
        <w:spacing w:after="0" w:line="360" w:lineRule="auto"/>
        <w:ind w:left="630" w:hanging="630" w:hangingChars="300"/>
        <w:rPr>
          <w:rFonts w:hint="eastAsia" w:ascii="宋体" w:hAnsi="宋体" w:cs="宋体"/>
          <w:color w:val="auto"/>
          <w:szCs w:val="21"/>
          <w:highlight w:val="none"/>
        </w:rPr>
      </w:pPr>
      <w:r>
        <w:rPr>
          <w:rFonts w:hint="eastAsia" w:ascii="宋体" w:hAnsi="宋体" w:cs="宋体"/>
          <w:color w:val="auto"/>
          <w:szCs w:val="21"/>
          <w:highlight w:val="none"/>
        </w:rPr>
        <w:t>26.4  对于投标文件中不构成实质性偏差的不正规、不一致或不规则，评标委员会可以接受，但这种接受不能损害或影响任何投标人的相对排序。</w:t>
      </w:r>
    </w:p>
    <w:p w14:paraId="168C721C">
      <w:pPr>
        <w:pageBreakBefore w:val="0"/>
        <w:widowControl w:val="0"/>
        <w:shd w:val="clear"/>
        <w:overflowPunct w:val="0"/>
        <w:topLinePunct w:val="0"/>
        <w:bidi w:val="0"/>
        <w:spacing w:after="0" w:line="360" w:lineRule="auto"/>
        <w:ind w:left="630" w:hanging="630" w:hangingChars="300"/>
        <w:rPr>
          <w:rFonts w:hint="eastAsia" w:ascii="宋体" w:hAnsi="宋体" w:cs="宋体"/>
          <w:color w:val="auto"/>
          <w:szCs w:val="21"/>
          <w:highlight w:val="none"/>
        </w:rPr>
      </w:pPr>
      <w:r>
        <w:rPr>
          <w:rFonts w:hint="eastAsia" w:ascii="宋体" w:hAnsi="宋体" w:cs="宋体"/>
          <w:color w:val="auto"/>
          <w:szCs w:val="21"/>
          <w:highlight w:val="none"/>
        </w:rPr>
        <w:t>26.5  在详细评标之前，评标委员会要审查每份投标文件是否实质上响应了采购文件的要求。实质上响应的投标应该是与采购文件要求的全部主要条款（加“★”号）、条件和规格相符，没有重大偏离的投标。对关键条文的偏离、保留或反对，例如关于投标保证金、合同条款的重大偏离将被认为是实质上的偏离。评标委员会决定投标文件的响应性只根据投标文件本身的内容，而不寻求外部的证据。</w:t>
      </w:r>
    </w:p>
    <w:p w14:paraId="1479E7E4">
      <w:pPr>
        <w:pStyle w:val="10"/>
        <w:pageBreakBefore w:val="0"/>
        <w:shd w:val="clear"/>
        <w:topLinePunct w:val="0"/>
        <w:bidi w:val="0"/>
        <w:spacing w:before="0" w:after="0" w:line="360" w:lineRule="auto"/>
        <w:rPr>
          <w:rFonts w:hint="eastAsia"/>
          <w:color w:val="auto"/>
          <w:highlight w:val="none"/>
        </w:rPr>
      </w:pPr>
    </w:p>
    <w:p w14:paraId="6857AED2">
      <w:pPr>
        <w:pStyle w:val="6"/>
        <w:pageBreakBefore w:val="0"/>
        <w:widowControl w:val="0"/>
        <w:numPr>
          <w:ilvl w:val="0"/>
          <w:numId w:val="2"/>
        </w:numPr>
        <w:shd w:val="clear"/>
        <w:overflowPunct w:val="0"/>
        <w:topLinePunct w:val="0"/>
        <w:bidi w:val="0"/>
        <w:spacing w:after="0" w:line="360" w:lineRule="auto"/>
        <w:rPr>
          <w:rFonts w:hint="eastAsia" w:ascii="宋体" w:hAnsi="宋体" w:cs="宋体"/>
          <w:color w:val="auto"/>
          <w:sz w:val="21"/>
          <w:szCs w:val="21"/>
          <w:highlight w:val="none"/>
        </w:rPr>
      </w:pPr>
      <w:bookmarkStart w:id="144" w:name="_Toc4129"/>
      <w:bookmarkStart w:id="145" w:name="_Toc4799"/>
      <w:bookmarkStart w:id="146" w:name="_Toc10084"/>
      <w:r>
        <w:rPr>
          <w:rFonts w:hint="eastAsia" w:ascii="宋体" w:hAnsi="宋体" w:cs="宋体"/>
          <w:color w:val="auto"/>
          <w:sz w:val="21"/>
          <w:szCs w:val="21"/>
          <w:highlight w:val="none"/>
        </w:rPr>
        <w:t>商务、技术、价格评审（具体评审项目详见投标资料表）</w:t>
      </w:r>
      <w:bookmarkEnd w:id="144"/>
      <w:bookmarkEnd w:id="145"/>
      <w:bookmarkEnd w:id="146"/>
    </w:p>
    <w:p w14:paraId="3B2770F4">
      <w:pPr>
        <w:pStyle w:val="45"/>
        <w:pageBreakBefore w:val="0"/>
        <w:widowControl w:val="0"/>
        <w:numPr>
          <w:ilvl w:val="0"/>
          <w:numId w:val="3"/>
        </w:numPr>
        <w:shd w:val="clear"/>
        <w:tabs>
          <w:tab w:val="left" w:pos="907"/>
        </w:tabs>
        <w:topLinePunct w:val="0"/>
        <w:bidi w:val="0"/>
        <w:adjustRightInd/>
        <w:snapToGrid/>
        <w:spacing w:after="0" w:line="360" w:lineRule="auto"/>
        <w:ind w:firstLineChars="0"/>
        <w:jc w:val="both"/>
        <w:rPr>
          <w:rFonts w:hint="eastAsia" w:ascii="宋体" w:hAnsi="宋体" w:cs="宋体"/>
          <w:vanish/>
          <w:color w:val="auto"/>
          <w:szCs w:val="21"/>
          <w:highlight w:val="none"/>
        </w:rPr>
      </w:pPr>
    </w:p>
    <w:p w14:paraId="50F32C18">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对通过资格性、符合性审查的有效供应商方有资格进入综合评审。采购文件中要求投标人提供的相关资质证书证明材料因国家政策变动导致新旧证书名称不一致，旧证书未取消且新旧证书具有同等效力的，投标人提供新证书与提供在有效期内的旧证书给予同等认可。 </w:t>
      </w:r>
    </w:p>
    <w:p w14:paraId="235C3803">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评标委员会对通过资格性、符合性审查的投标文件进行详细评审。评标委员会对每一投标文件进行详细的商务评审、技术评审。按照评审程序的规定和依据评分标准，各位评委就每个投标人的技术、商务状况及其对采购文件要求的响应情况进行评议和比较，评出其技术评分和商务评分。根据采购文件规定评出得分，将价格得分、商务得分、技术得分相加得出最终评标得分。</w:t>
      </w:r>
    </w:p>
    <w:p w14:paraId="4C2AC490">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采用综合评分法的，评标结果按评审后得分由高到低顺序排列。综合得分相同的，按价格评分由高到低顺序排列。综合得分相同且价格评分相同的，按商务评分由高到低顺序排列，得分高的排前，得分低的排后；按上述环节依然存在同分情形而不能确认排名顺序时，由评标委员会进行投票，得票多的排名在先。当第一轮投票结果为投标人得票数相同时，再次进行投票，如此类推，直到能确定排序次序为止。</w:t>
      </w:r>
    </w:p>
    <w:p w14:paraId="114D1F52">
      <w:pPr>
        <w:pageBreakBefore w:val="0"/>
        <w:widowControl w:val="0"/>
        <w:shd w:val="clear"/>
        <w:tabs>
          <w:tab w:val="left" w:pos="907"/>
        </w:tabs>
        <w:topLinePunct w:val="0"/>
        <w:bidi w:val="0"/>
        <w:adjustRightInd/>
        <w:snapToGrid/>
        <w:spacing w:after="0" w:line="360" w:lineRule="auto"/>
        <w:ind w:left="567"/>
        <w:jc w:val="both"/>
        <w:rPr>
          <w:rFonts w:hint="eastAsia" w:ascii="宋体" w:hAnsi="宋体" w:cs="宋体"/>
          <w:color w:val="auto"/>
          <w:szCs w:val="21"/>
          <w:highlight w:val="none"/>
        </w:rPr>
      </w:pPr>
    </w:p>
    <w:p w14:paraId="7BC6E838">
      <w:pPr>
        <w:pStyle w:val="6"/>
        <w:pageBreakBefore w:val="0"/>
        <w:widowControl w:val="0"/>
        <w:numPr>
          <w:ilvl w:val="0"/>
          <w:numId w:val="2"/>
        </w:numPr>
        <w:shd w:val="clear"/>
        <w:overflowPunct w:val="0"/>
        <w:topLinePunct w:val="0"/>
        <w:bidi w:val="0"/>
        <w:spacing w:after="0" w:line="360" w:lineRule="auto"/>
        <w:rPr>
          <w:rFonts w:hint="eastAsia" w:ascii="宋体" w:hAnsi="宋体" w:cs="宋体"/>
          <w:color w:val="auto"/>
          <w:sz w:val="21"/>
          <w:szCs w:val="21"/>
          <w:highlight w:val="none"/>
        </w:rPr>
      </w:pPr>
      <w:bookmarkStart w:id="147" w:name="_Toc316375620"/>
      <w:bookmarkStart w:id="148" w:name="_Toc21663"/>
      <w:bookmarkStart w:id="149" w:name="_Toc382049120"/>
      <w:bookmarkStart w:id="150" w:name="_Toc20563"/>
      <w:bookmarkStart w:id="151" w:name="_Toc20328"/>
      <w:bookmarkStart w:id="152" w:name="_Toc5981"/>
      <w:r>
        <w:rPr>
          <w:rFonts w:hint="eastAsia" w:ascii="宋体" w:hAnsi="宋体" w:cs="宋体"/>
          <w:color w:val="auto"/>
          <w:sz w:val="21"/>
          <w:szCs w:val="21"/>
          <w:highlight w:val="none"/>
        </w:rPr>
        <w:t>纪律和保密</w:t>
      </w:r>
      <w:bookmarkEnd w:id="147"/>
      <w:r>
        <w:rPr>
          <w:rFonts w:hint="eastAsia" w:ascii="宋体" w:hAnsi="宋体" w:cs="宋体"/>
          <w:color w:val="auto"/>
          <w:sz w:val="21"/>
          <w:szCs w:val="21"/>
          <w:highlight w:val="none"/>
        </w:rPr>
        <w:t>事项</w:t>
      </w:r>
      <w:bookmarkEnd w:id="148"/>
      <w:bookmarkEnd w:id="149"/>
      <w:bookmarkEnd w:id="150"/>
      <w:bookmarkEnd w:id="151"/>
      <w:bookmarkEnd w:id="152"/>
    </w:p>
    <w:p w14:paraId="66FCDD30">
      <w:pPr>
        <w:pStyle w:val="45"/>
        <w:pageBreakBefore w:val="0"/>
        <w:widowControl w:val="0"/>
        <w:numPr>
          <w:ilvl w:val="0"/>
          <w:numId w:val="3"/>
        </w:numPr>
        <w:shd w:val="clear"/>
        <w:tabs>
          <w:tab w:val="left" w:pos="907"/>
        </w:tabs>
        <w:topLinePunct w:val="0"/>
        <w:bidi w:val="0"/>
        <w:adjustRightInd/>
        <w:snapToGrid/>
        <w:spacing w:after="0" w:line="360" w:lineRule="auto"/>
        <w:ind w:firstLineChars="0"/>
        <w:jc w:val="both"/>
        <w:rPr>
          <w:rFonts w:hint="eastAsia" w:ascii="宋体" w:hAnsi="宋体" w:cs="宋体"/>
          <w:vanish/>
          <w:color w:val="auto"/>
          <w:szCs w:val="21"/>
          <w:highlight w:val="none"/>
        </w:rPr>
      </w:pPr>
    </w:p>
    <w:p w14:paraId="3FE915DD">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从开标之日起至授予合同期间，在投标文件的审查、澄清、比较和评价阶段，投标人试图对评标委员会和采购代理机构施加任何影响或对采购人的比较及授予合同的决定产生影响，都可能导致其投标文件被拒绝。</w:t>
      </w:r>
    </w:p>
    <w:p w14:paraId="03D074B7">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投标人不得串通作弊，以不正当的手段妨碍、排挤其他投标人，扰乱采购市场，破坏公平竞争原则。否则将按相关法律规定严肃处理。</w:t>
      </w:r>
    </w:p>
    <w:p w14:paraId="183976C3">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获得本采购文件的投标人，应对文件进行保密，不得用作本次投标以外的任何用途。开标后，投标人应归还采购文件中要求保密的文件和资料。</w:t>
      </w:r>
    </w:p>
    <w:p w14:paraId="788855DD">
      <w:pPr>
        <w:pageBreakBefore w:val="0"/>
        <w:shd w:val="clear"/>
        <w:topLinePunct w:val="0"/>
        <w:bidi w:val="0"/>
        <w:spacing w:after="0" w:line="360" w:lineRule="auto"/>
        <w:rPr>
          <w:rFonts w:hint="eastAsia" w:ascii="宋体" w:hAnsi="宋体" w:cs="宋体"/>
          <w:color w:val="auto"/>
          <w:highlight w:val="none"/>
        </w:rPr>
      </w:pPr>
    </w:p>
    <w:p w14:paraId="55C48C76">
      <w:pPr>
        <w:pStyle w:val="5"/>
        <w:pageBreakBefore w:val="0"/>
        <w:numPr>
          <w:ilvl w:val="0"/>
          <w:numId w:val="1"/>
        </w:numPr>
        <w:shd w:val="clear"/>
        <w:topLinePunct w:val="0"/>
        <w:bidi w:val="0"/>
        <w:spacing w:before="0" w:after="0" w:line="360" w:lineRule="auto"/>
        <w:jc w:val="center"/>
        <w:rPr>
          <w:rFonts w:hint="eastAsia" w:ascii="宋体" w:hAnsi="宋体" w:cs="宋体"/>
          <w:color w:val="auto"/>
          <w:highlight w:val="none"/>
        </w:rPr>
      </w:pPr>
      <w:bookmarkStart w:id="153" w:name="_Toc29647"/>
      <w:bookmarkStart w:id="154" w:name="_Toc1109"/>
      <w:bookmarkStart w:id="155" w:name="_Toc6465"/>
      <w:r>
        <w:rPr>
          <w:rFonts w:hint="eastAsia" w:ascii="宋体" w:hAnsi="宋体" w:cs="宋体"/>
          <w:color w:val="auto"/>
          <w:highlight w:val="none"/>
        </w:rPr>
        <w:t>授予合同</w:t>
      </w:r>
      <w:bookmarkEnd w:id="153"/>
      <w:bookmarkEnd w:id="154"/>
      <w:bookmarkEnd w:id="155"/>
    </w:p>
    <w:p w14:paraId="58577734">
      <w:pPr>
        <w:pStyle w:val="6"/>
        <w:pageBreakBefore w:val="0"/>
        <w:widowControl w:val="0"/>
        <w:numPr>
          <w:ilvl w:val="0"/>
          <w:numId w:val="2"/>
        </w:numPr>
        <w:shd w:val="clear"/>
        <w:overflowPunct w:val="0"/>
        <w:topLinePunct w:val="0"/>
        <w:bidi w:val="0"/>
        <w:spacing w:after="0" w:line="360" w:lineRule="auto"/>
        <w:rPr>
          <w:rFonts w:hint="eastAsia" w:ascii="宋体" w:hAnsi="宋体" w:cs="宋体"/>
          <w:color w:val="auto"/>
          <w:sz w:val="21"/>
          <w:szCs w:val="21"/>
          <w:highlight w:val="none"/>
        </w:rPr>
      </w:pPr>
      <w:bookmarkStart w:id="156" w:name="_Toc508284011"/>
      <w:bookmarkStart w:id="157" w:name="_Toc10193"/>
      <w:bookmarkStart w:id="158" w:name="_Toc22623"/>
      <w:bookmarkStart w:id="159" w:name="_Toc9369"/>
      <w:r>
        <w:rPr>
          <w:rFonts w:hint="eastAsia" w:ascii="宋体" w:hAnsi="宋体" w:cs="宋体"/>
          <w:color w:val="auto"/>
          <w:sz w:val="21"/>
          <w:szCs w:val="21"/>
          <w:highlight w:val="none"/>
        </w:rPr>
        <w:t>合同授予标准</w:t>
      </w:r>
      <w:bookmarkEnd w:id="156"/>
      <w:bookmarkEnd w:id="157"/>
      <w:bookmarkEnd w:id="158"/>
      <w:bookmarkEnd w:id="159"/>
    </w:p>
    <w:p w14:paraId="731E4E46">
      <w:pPr>
        <w:pStyle w:val="45"/>
        <w:pageBreakBefore w:val="0"/>
        <w:widowControl w:val="0"/>
        <w:numPr>
          <w:ilvl w:val="0"/>
          <w:numId w:val="3"/>
        </w:numPr>
        <w:shd w:val="clear"/>
        <w:tabs>
          <w:tab w:val="left" w:pos="907"/>
        </w:tabs>
        <w:topLinePunct w:val="0"/>
        <w:bidi w:val="0"/>
        <w:adjustRightInd/>
        <w:snapToGrid/>
        <w:spacing w:after="0" w:line="360" w:lineRule="auto"/>
        <w:ind w:firstLineChars="0"/>
        <w:jc w:val="both"/>
        <w:rPr>
          <w:rFonts w:hint="eastAsia" w:ascii="宋体" w:hAnsi="宋体" w:cs="宋体"/>
          <w:vanish/>
          <w:color w:val="auto"/>
          <w:szCs w:val="21"/>
          <w:highlight w:val="none"/>
        </w:rPr>
      </w:pPr>
    </w:p>
    <w:p w14:paraId="5DC4C1B6">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根据评标委员会的评审结果，采购人按照评审报告推荐的中标候选人中按顺序依法确定中标人。</w:t>
      </w:r>
    </w:p>
    <w:p w14:paraId="75879B0B">
      <w:pPr>
        <w:pageBreakBefore w:val="0"/>
        <w:shd w:val="clear"/>
        <w:topLinePunct w:val="0"/>
        <w:bidi w:val="0"/>
        <w:spacing w:after="0" w:line="360" w:lineRule="auto"/>
        <w:rPr>
          <w:rFonts w:hint="eastAsia" w:ascii="宋体" w:hAnsi="宋体" w:cs="宋体"/>
          <w:color w:val="auto"/>
          <w:highlight w:val="none"/>
        </w:rPr>
      </w:pPr>
    </w:p>
    <w:p w14:paraId="3B366CDF">
      <w:pPr>
        <w:pStyle w:val="6"/>
        <w:pageBreakBefore w:val="0"/>
        <w:widowControl w:val="0"/>
        <w:numPr>
          <w:ilvl w:val="0"/>
          <w:numId w:val="2"/>
        </w:numPr>
        <w:shd w:val="clear"/>
        <w:overflowPunct w:val="0"/>
        <w:topLinePunct w:val="0"/>
        <w:bidi w:val="0"/>
        <w:spacing w:after="0" w:line="360" w:lineRule="auto"/>
        <w:rPr>
          <w:rFonts w:hint="eastAsia" w:ascii="宋体" w:hAnsi="宋体" w:cs="宋体"/>
          <w:color w:val="auto"/>
          <w:sz w:val="21"/>
          <w:szCs w:val="21"/>
          <w:highlight w:val="none"/>
        </w:rPr>
      </w:pPr>
      <w:bookmarkStart w:id="160" w:name="_Toc31798"/>
      <w:bookmarkStart w:id="161" w:name="_Toc4181"/>
      <w:bookmarkStart w:id="162" w:name="_Toc508284013"/>
      <w:bookmarkStart w:id="163" w:name="_Toc10545"/>
      <w:r>
        <w:rPr>
          <w:rFonts w:hint="eastAsia" w:ascii="宋体" w:hAnsi="宋体" w:cs="宋体"/>
          <w:color w:val="auto"/>
          <w:sz w:val="21"/>
          <w:szCs w:val="21"/>
          <w:highlight w:val="none"/>
        </w:rPr>
        <w:t>发布中标结果</w:t>
      </w:r>
      <w:bookmarkEnd w:id="160"/>
      <w:bookmarkEnd w:id="161"/>
      <w:bookmarkEnd w:id="162"/>
      <w:bookmarkEnd w:id="163"/>
    </w:p>
    <w:p w14:paraId="79803515">
      <w:pPr>
        <w:pStyle w:val="45"/>
        <w:pageBreakBefore w:val="0"/>
        <w:widowControl w:val="0"/>
        <w:numPr>
          <w:ilvl w:val="0"/>
          <w:numId w:val="3"/>
        </w:numPr>
        <w:shd w:val="clear"/>
        <w:tabs>
          <w:tab w:val="left" w:pos="907"/>
        </w:tabs>
        <w:topLinePunct w:val="0"/>
        <w:bidi w:val="0"/>
        <w:adjustRightInd/>
        <w:snapToGrid/>
        <w:spacing w:after="0" w:line="360" w:lineRule="auto"/>
        <w:ind w:firstLineChars="0"/>
        <w:jc w:val="both"/>
        <w:rPr>
          <w:rFonts w:hint="eastAsia" w:ascii="宋体" w:hAnsi="宋体" w:cs="宋体"/>
          <w:vanish/>
          <w:color w:val="auto"/>
          <w:szCs w:val="21"/>
          <w:highlight w:val="none"/>
        </w:rPr>
      </w:pPr>
    </w:p>
    <w:p w14:paraId="2C7F7F84">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评标委员会提出评标书面报告和推荐中标意见报采购人确认后，采购代理机构将在指定的信息发布媒体上发布公告。</w:t>
      </w:r>
    </w:p>
    <w:p w14:paraId="71E70DF6">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中标公告期限为一个工作日。</w:t>
      </w:r>
    </w:p>
    <w:p w14:paraId="3ADD0EB6">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《中标通知书》是合同的一个组成部分，《中标通知书》对采购人和中标人均具有同等法律效力。</w:t>
      </w:r>
    </w:p>
    <w:p w14:paraId="716859C3">
      <w:pPr>
        <w:pageBreakBefore w:val="0"/>
        <w:widowControl w:val="0"/>
        <w:shd w:val="clear"/>
        <w:tabs>
          <w:tab w:val="left" w:pos="907"/>
        </w:tabs>
        <w:topLinePunct w:val="0"/>
        <w:bidi w:val="0"/>
        <w:adjustRightInd/>
        <w:snapToGrid/>
        <w:spacing w:after="0" w:line="360" w:lineRule="auto"/>
        <w:jc w:val="both"/>
        <w:rPr>
          <w:rFonts w:hint="eastAsia" w:ascii="宋体" w:hAnsi="宋体" w:cs="宋体"/>
          <w:color w:val="auto"/>
          <w:szCs w:val="21"/>
          <w:highlight w:val="none"/>
        </w:rPr>
      </w:pPr>
    </w:p>
    <w:p w14:paraId="08C4302B">
      <w:pPr>
        <w:pStyle w:val="6"/>
        <w:pageBreakBefore w:val="0"/>
        <w:widowControl w:val="0"/>
        <w:numPr>
          <w:ilvl w:val="0"/>
          <w:numId w:val="2"/>
        </w:numPr>
        <w:shd w:val="clear"/>
        <w:overflowPunct w:val="0"/>
        <w:topLinePunct w:val="0"/>
        <w:bidi w:val="0"/>
        <w:spacing w:after="0" w:line="360" w:lineRule="auto"/>
        <w:rPr>
          <w:rFonts w:hint="eastAsia" w:ascii="宋体" w:hAnsi="宋体" w:cs="宋体"/>
          <w:color w:val="auto"/>
          <w:sz w:val="21"/>
          <w:szCs w:val="21"/>
          <w:highlight w:val="none"/>
        </w:rPr>
      </w:pPr>
      <w:bookmarkStart w:id="164" w:name="_Toc16991"/>
      <w:bookmarkStart w:id="165" w:name="_Toc26971"/>
      <w:bookmarkStart w:id="166" w:name="_Toc11420"/>
      <w:r>
        <w:rPr>
          <w:rFonts w:hint="eastAsia" w:ascii="宋体" w:hAnsi="宋体" w:cs="宋体"/>
          <w:color w:val="auto"/>
          <w:sz w:val="21"/>
          <w:szCs w:val="21"/>
          <w:highlight w:val="none"/>
        </w:rPr>
        <w:t>资格后审</w:t>
      </w:r>
      <w:bookmarkEnd w:id="164"/>
      <w:bookmarkEnd w:id="165"/>
      <w:bookmarkEnd w:id="166"/>
    </w:p>
    <w:p w14:paraId="00B9B3F7">
      <w:pPr>
        <w:pStyle w:val="45"/>
        <w:pageBreakBefore w:val="0"/>
        <w:widowControl w:val="0"/>
        <w:numPr>
          <w:ilvl w:val="0"/>
          <w:numId w:val="3"/>
        </w:numPr>
        <w:shd w:val="clear"/>
        <w:tabs>
          <w:tab w:val="left" w:pos="567"/>
          <w:tab w:val="left" w:pos="907"/>
        </w:tabs>
        <w:topLinePunct w:val="0"/>
        <w:bidi w:val="0"/>
        <w:adjustRightInd/>
        <w:snapToGrid/>
        <w:spacing w:after="0" w:line="360" w:lineRule="auto"/>
        <w:ind w:firstLineChars="0"/>
        <w:jc w:val="both"/>
        <w:rPr>
          <w:rFonts w:hint="eastAsia" w:ascii="宋体" w:hAnsi="宋体" w:cs="宋体"/>
          <w:vanish/>
          <w:color w:val="auto"/>
          <w:szCs w:val="21"/>
          <w:highlight w:val="none"/>
        </w:rPr>
      </w:pPr>
    </w:p>
    <w:p w14:paraId="5CBE4EC4">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采购人将有权根据本文件中的要求，对评委会推荐的中标候选人进行资格后审。</w:t>
      </w:r>
    </w:p>
    <w:p w14:paraId="7AFE2AAD">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中标候选人须无条件配合资格后审，否则采购人有权取消其中标资格，且投标保证金可不予退还。</w:t>
      </w:r>
    </w:p>
    <w:p w14:paraId="60779A27">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资格后审须提供包括但不限于营业执照、税务登记证和在投标文件中提供的资质证明文件、业绩等重要证明文件的原件进行核对，综合考察中标人的履约能力。如采购人要求还须提供业绩证明的其他材料,中标候选人须配合提供。如授权其分支机构进行项目实施或提供售后服务的，亦应提供其与分支机构关系的法律证明材料。</w:t>
      </w:r>
    </w:p>
    <w:p w14:paraId="33BC3DEE">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如发现中标候选人以他人名义投标或者以其他方式弄虚作假，骗取中标的，采购人有权取消其中标资格，且投标保证金可不予退还；给采购人造成损失的，应依法承担赔偿责任。</w:t>
      </w:r>
    </w:p>
    <w:p w14:paraId="0648BB05">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采购人有权审查中标候选人是否具备履行合同的能力，包括但不限于对其规模、人员、场地、生产能力、供货能力等方面的核实或现场考察。如果审查通过，采购人将把合同授予该中标人；如果审查没有通过，采购人有权取消其中标资格，且投标保证金可不予退还，并依次审查下一名中标候选人是否具备履行合同的能力或重新采购。</w:t>
      </w:r>
    </w:p>
    <w:p w14:paraId="37E10E2E">
      <w:pPr>
        <w:pageBreakBefore w:val="0"/>
        <w:shd w:val="clear"/>
        <w:topLinePunct w:val="0"/>
        <w:bidi w:val="0"/>
        <w:spacing w:after="0" w:line="360" w:lineRule="auto"/>
        <w:rPr>
          <w:rFonts w:hint="eastAsia" w:ascii="宋体" w:hAnsi="宋体" w:cs="宋体"/>
          <w:color w:val="auto"/>
          <w:highlight w:val="none"/>
        </w:rPr>
      </w:pPr>
    </w:p>
    <w:p w14:paraId="18D1241A">
      <w:pPr>
        <w:pStyle w:val="6"/>
        <w:pageBreakBefore w:val="0"/>
        <w:widowControl w:val="0"/>
        <w:numPr>
          <w:ilvl w:val="0"/>
          <w:numId w:val="2"/>
        </w:numPr>
        <w:shd w:val="clear"/>
        <w:overflowPunct w:val="0"/>
        <w:topLinePunct w:val="0"/>
        <w:bidi w:val="0"/>
        <w:spacing w:after="0" w:line="360" w:lineRule="auto"/>
        <w:rPr>
          <w:rFonts w:hint="eastAsia" w:ascii="宋体" w:hAnsi="宋体" w:cs="宋体"/>
          <w:color w:val="auto"/>
          <w:sz w:val="21"/>
          <w:szCs w:val="21"/>
          <w:highlight w:val="none"/>
        </w:rPr>
      </w:pPr>
      <w:bookmarkStart w:id="167" w:name="_Toc6936"/>
      <w:bookmarkStart w:id="168" w:name="_Toc1543"/>
      <w:bookmarkStart w:id="169" w:name="_Toc27302"/>
      <w:r>
        <w:rPr>
          <w:rFonts w:hint="eastAsia" w:ascii="宋体" w:hAnsi="宋体" w:cs="宋体"/>
          <w:color w:val="auto"/>
          <w:sz w:val="21"/>
          <w:szCs w:val="21"/>
          <w:highlight w:val="none"/>
        </w:rPr>
        <w:t>合同的签订与履行</w:t>
      </w:r>
      <w:bookmarkEnd w:id="167"/>
      <w:bookmarkEnd w:id="168"/>
      <w:bookmarkEnd w:id="169"/>
    </w:p>
    <w:p w14:paraId="19F6972B">
      <w:pPr>
        <w:pStyle w:val="45"/>
        <w:pageBreakBefore w:val="0"/>
        <w:widowControl w:val="0"/>
        <w:numPr>
          <w:ilvl w:val="0"/>
          <w:numId w:val="3"/>
        </w:numPr>
        <w:shd w:val="clear"/>
        <w:tabs>
          <w:tab w:val="left" w:pos="907"/>
        </w:tabs>
        <w:topLinePunct w:val="0"/>
        <w:bidi w:val="0"/>
        <w:adjustRightInd/>
        <w:snapToGrid/>
        <w:spacing w:after="0" w:line="360" w:lineRule="auto"/>
        <w:ind w:firstLineChars="0"/>
        <w:jc w:val="both"/>
        <w:rPr>
          <w:rFonts w:hint="eastAsia" w:ascii="宋体" w:hAnsi="宋体" w:cs="宋体"/>
          <w:vanish/>
          <w:color w:val="auto"/>
          <w:szCs w:val="21"/>
          <w:highlight w:val="none"/>
        </w:rPr>
      </w:pPr>
    </w:p>
    <w:p w14:paraId="09483478">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中标人应当自采购人发出中标通知书之日起30日内，按照采购文件和中标人投标文件的规定，与采购人签订书面合同，否则采购人有权取消其中标资格。所签订的合同不得对采购文件确定的事项和中标人投标文件作实质性修改。在合同签订时，应注意合同中约定的服务期开始时间不得早于合同签订时间。</w:t>
      </w:r>
    </w:p>
    <w:p w14:paraId="01CD6F74">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采购人与中标人应当根据合同的约定依法履行合同义务。</w:t>
      </w:r>
    </w:p>
    <w:p w14:paraId="7AE367C8">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采购合同的履行、违约责任和解决争议的方法等适用《中华人民共和国民法典》。</w:t>
      </w:r>
    </w:p>
    <w:p w14:paraId="08381186">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中标人在评审结束当天至合同履行结束，若因不可抗力的因素（如国家出台新法律法规等）造成投标人资质的变动，投标人应以纸质版形式通知采购人。若资质变动导致中标人不再具备履行合同资质要求，采购人有权中止合同。</w:t>
      </w:r>
    </w:p>
    <w:p w14:paraId="7A51C8F8">
      <w:pPr>
        <w:pageBreakBefore w:val="0"/>
        <w:widowControl w:val="0"/>
        <w:shd w:val="clear"/>
        <w:tabs>
          <w:tab w:val="left" w:pos="907"/>
        </w:tabs>
        <w:topLinePunct w:val="0"/>
        <w:bidi w:val="0"/>
        <w:adjustRightInd/>
        <w:snapToGrid/>
        <w:spacing w:after="0" w:line="360" w:lineRule="auto"/>
        <w:jc w:val="both"/>
        <w:rPr>
          <w:rFonts w:hint="eastAsia" w:ascii="宋体" w:hAnsi="宋体" w:cs="宋体"/>
          <w:color w:val="auto"/>
          <w:highlight w:val="none"/>
        </w:rPr>
      </w:pPr>
    </w:p>
    <w:p w14:paraId="698978F4">
      <w:pPr>
        <w:pStyle w:val="6"/>
        <w:pageBreakBefore w:val="0"/>
        <w:widowControl w:val="0"/>
        <w:numPr>
          <w:ilvl w:val="0"/>
          <w:numId w:val="2"/>
        </w:numPr>
        <w:shd w:val="clear"/>
        <w:overflowPunct w:val="0"/>
        <w:topLinePunct w:val="0"/>
        <w:bidi w:val="0"/>
        <w:spacing w:after="0" w:line="360" w:lineRule="auto"/>
        <w:rPr>
          <w:rFonts w:hint="eastAsia" w:ascii="宋体" w:hAnsi="宋体" w:cs="宋体"/>
          <w:color w:val="auto"/>
          <w:sz w:val="21"/>
          <w:szCs w:val="21"/>
          <w:highlight w:val="none"/>
        </w:rPr>
      </w:pPr>
      <w:bookmarkStart w:id="170" w:name="_Toc382049124"/>
      <w:bookmarkStart w:id="171" w:name="_Toc29009"/>
      <w:bookmarkStart w:id="172" w:name="_Toc303084277"/>
      <w:bookmarkStart w:id="173" w:name="_Toc6617"/>
      <w:bookmarkStart w:id="174" w:name="_Toc6336"/>
      <w:bookmarkStart w:id="175" w:name="_Toc23165"/>
      <w:r>
        <w:rPr>
          <w:rFonts w:hint="eastAsia" w:ascii="宋体" w:hAnsi="宋体" w:cs="宋体"/>
          <w:color w:val="auto"/>
          <w:sz w:val="21"/>
          <w:szCs w:val="21"/>
          <w:highlight w:val="none"/>
        </w:rPr>
        <w:t>履约</w:t>
      </w:r>
      <w:bookmarkEnd w:id="170"/>
      <w:bookmarkEnd w:id="171"/>
      <w:bookmarkEnd w:id="172"/>
      <w:r>
        <w:rPr>
          <w:rFonts w:hint="eastAsia" w:ascii="宋体" w:hAnsi="宋体" w:cs="宋体"/>
          <w:color w:val="auto"/>
          <w:sz w:val="21"/>
          <w:szCs w:val="21"/>
          <w:highlight w:val="none"/>
        </w:rPr>
        <w:t>担保</w:t>
      </w:r>
      <w:bookmarkEnd w:id="173"/>
      <w:bookmarkEnd w:id="174"/>
      <w:bookmarkEnd w:id="175"/>
    </w:p>
    <w:p w14:paraId="757A128F">
      <w:pPr>
        <w:pStyle w:val="45"/>
        <w:pageBreakBefore w:val="0"/>
        <w:widowControl w:val="0"/>
        <w:numPr>
          <w:ilvl w:val="0"/>
          <w:numId w:val="3"/>
        </w:numPr>
        <w:shd w:val="clear"/>
        <w:tabs>
          <w:tab w:val="left" w:pos="907"/>
        </w:tabs>
        <w:topLinePunct w:val="0"/>
        <w:bidi w:val="0"/>
        <w:adjustRightInd/>
        <w:snapToGrid/>
        <w:spacing w:after="0" w:line="360" w:lineRule="auto"/>
        <w:ind w:firstLineChars="0"/>
        <w:jc w:val="both"/>
        <w:rPr>
          <w:rFonts w:hint="eastAsia" w:ascii="宋体" w:hAnsi="宋体" w:cs="宋体"/>
          <w:vanish/>
          <w:color w:val="auto"/>
          <w:szCs w:val="21"/>
          <w:highlight w:val="none"/>
        </w:rPr>
      </w:pPr>
    </w:p>
    <w:p w14:paraId="20AE69E9">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履约担保金额为：</w:t>
      </w:r>
      <w:r>
        <w:rPr>
          <w:rFonts w:hint="eastAsia" w:ascii="宋体" w:hAnsi="宋体" w:cs="宋体"/>
          <w:color w:val="auto"/>
          <w:szCs w:val="21"/>
          <w:highlight w:val="none"/>
          <w:lang w:val="en-US" w:eastAsia="zh-CN"/>
        </w:rPr>
        <w:t>每个标包</w:t>
      </w:r>
      <w:r>
        <w:rPr>
          <w:rFonts w:hint="eastAsia" w:ascii="宋体" w:hAnsi="宋体" w:eastAsia="宋体" w:cs="宋体"/>
          <w:b w:val="0"/>
          <w:bCs/>
          <w:color w:val="auto"/>
          <w:szCs w:val="21"/>
          <w:highlight w:val="none"/>
          <w:lang w:val="en-US" w:eastAsia="zh-CN"/>
        </w:rPr>
        <w:t>500,000.00</w:t>
      </w:r>
      <w:r>
        <w:rPr>
          <w:rFonts w:hint="eastAsia" w:ascii="宋体" w:hAnsi="宋体" w:eastAsia="宋体" w:cs="宋体"/>
          <w:b w:val="0"/>
          <w:bCs/>
          <w:color w:val="auto"/>
          <w:szCs w:val="21"/>
          <w:highlight w:val="none"/>
        </w:rPr>
        <w:t>元。</w:t>
      </w:r>
      <w:r>
        <w:rPr>
          <w:rFonts w:hint="eastAsia" w:ascii="宋体" w:hAnsi="宋体" w:cs="宋体"/>
          <w:color w:val="auto"/>
          <w:szCs w:val="21"/>
          <w:highlight w:val="none"/>
        </w:rPr>
        <w:t>。</w:t>
      </w:r>
    </w:p>
    <w:p w14:paraId="18F14CED">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履约保证金账户信息：（中标后采购人提供账号信息）</w:t>
      </w:r>
    </w:p>
    <w:p w14:paraId="230C559B">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中标人在采购（合同签署）时提交履约担保，履约担保金额为</w:t>
      </w:r>
      <w:r>
        <w:rPr>
          <w:rFonts w:hint="eastAsia" w:ascii="宋体" w:hAnsi="宋体" w:eastAsia="宋体" w:cs="宋体"/>
          <w:b w:val="0"/>
          <w:bCs/>
          <w:color w:val="auto"/>
          <w:szCs w:val="21"/>
          <w:highlight w:val="none"/>
          <w:lang w:val="en-US" w:eastAsia="zh-CN"/>
        </w:rPr>
        <w:t>500,000.00</w:t>
      </w:r>
      <w:r>
        <w:rPr>
          <w:rFonts w:hint="eastAsia" w:ascii="宋体" w:hAnsi="宋体" w:eastAsia="宋体" w:cs="宋体"/>
          <w:b w:val="0"/>
          <w:bCs/>
          <w:color w:val="auto"/>
          <w:szCs w:val="21"/>
          <w:highlight w:val="none"/>
        </w:rPr>
        <w:t>元</w:t>
      </w:r>
      <w:r>
        <w:rPr>
          <w:rFonts w:hint="eastAsia" w:ascii="宋体" w:hAnsi="宋体" w:cs="宋体"/>
          <w:color w:val="auto"/>
          <w:szCs w:val="21"/>
          <w:highlight w:val="none"/>
        </w:rPr>
        <w:t>，如果中标人提交的履约保函的有效期先于合同要求的履约保函有效期到达，中标人应在原提交的履约保函有效期满前15天，无条件办理保函延期手续。否则，视为中标人违约，采购人可在保函到期前将保函金额转为现金存入履约保证金账户。</w:t>
      </w:r>
    </w:p>
    <w:p w14:paraId="64389877">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履约担保期限从合同签订之日起至项目</w:t>
      </w:r>
      <w:r>
        <w:rPr>
          <w:rFonts w:hint="eastAsia" w:ascii="宋体" w:hAnsi="宋体" w:cs="宋体"/>
          <w:b w:val="0"/>
          <w:bCs/>
          <w:color w:val="auto"/>
          <w:szCs w:val="21"/>
          <w:highlight w:val="none"/>
          <w:lang w:val="en-US" w:eastAsia="zh-CN"/>
        </w:rPr>
        <w:t>合同期限届</w:t>
      </w:r>
      <w:r>
        <w:rPr>
          <w:rFonts w:hint="eastAsia" w:ascii="宋体" w:hAnsi="宋体" w:cs="宋体"/>
          <w:color w:val="auto"/>
          <w:szCs w:val="21"/>
          <w:highlight w:val="none"/>
          <w:lang w:val="en-US" w:eastAsia="zh-CN"/>
        </w:rPr>
        <w:t>满</w:t>
      </w:r>
      <w:r>
        <w:rPr>
          <w:rFonts w:hint="eastAsia" w:ascii="宋体" w:hAnsi="宋体" w:cs="宋体"/>
          <w:color w:val="auto"/>
          <w:szCs w:val="21"/>
          <w:highlight w:val="none"/>
        </w:rPr>
        <w:t>并结算完毕后，经双方签字7天内保持有效。</w:t>
      </w:r>
    </w:p>
    <w:p w14:paraId="1EF7CD38">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履约担保可以采用下列任何一种形式：</w:t>
      </w:r>
    </w:p>
    <w:p w14:paraId="6990FD14">
      <w:pPr>
        <w:pageBreakBefore w:val="0"/>
        <w:widowControl w:val="0"/>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（1）履约保函。如果中标人的履约担保是以银行保函形式提供的，则该银行保函应：</w:t>
      </w:r>
    </w:p>
    <w:p w14:paraId="7DC9A142">
      <w:pPr>
        <w:pageBreakBefore w:val="0"/>
        <w:widowControl w:val="0"/>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①保函应由银行支行或以上银行机构开具。</w:t>
      </w:r>
    </w:p>
    <w:p w14:paraId="1230F200">
      <w:pPr>
        <w:pageBreakBefore w:val="0"/>
        <w:widowControl w:val="0"/>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②保函的格式参考投标文件附件中提供的不可撤销履约保函格式，保函担保期内若项目未能按期提供配送服务，保函必须延期，办理延期手续时在银行方面所产生费用由中标人负责。</w:t>
      </w:r>
    </w:p>
    <w:p w14:paraId="1A39908D">
      <w:pPr>
        <w:pageBreakBefore w:val="0"/>
        <w:widowControl w:val="0"/>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③履约保函必须打印，手写、涂改无效。</w:t>
      </w:r>
    </w:p>
    <w:p w14:paraId="4BC28EC3">
      <w:pPr>
        <w:pageBreakBefore w:val="0"/>
        <w:widowControl w:val="0"/>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（2）履约保证金。可采用电汇、银行汇票等银行转账方式提交，但不可以采用现金方式提交。</w:t>
      </w:r>
    </w:p>
    <w:p w14:paraId="2B8A9A17">
      <w:pPr>
        <w:pageBreakBefore w:val="0"/>
        <w:widowControl w:val="0"/>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①若中标人不能按本采购文件（履约担保形式中第（1）点和第（2）点）的规定提交履约保证金的，采购人将有权取消中标人的中标资格（采购人可以按照评标委员会提出的中标候选人名单排序依次确定其他中标候选人为中标人，也可以重新采购），投标保证金不予退还，给采购人造成的损失如果超过投标保证金数额的，还应当对超过部分予以赔偿。</w:t>
      </w:r>
    </w:p>
    <w:p w14:paraId="48CC9A91">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为取得履约担保所需的费用，由中标人承担；若服务期延误，履约担保时间延长，延长费用由中标人承担。</w:t>
      </w:r>
    </w:p>
    <w:p w14:paraId="023B2435">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若中标人在合同履行过程中出现食品安全事件、违约等情况，采购人在经核查属实后，有权将履约保函金额转为现金存入履约保证金账户</w:t>
      </w:r>
      <w:r>
        <w:rPr>
          <w:rFonts w:hint="eastAsia" w:ascii="宋体" w:hAnsi="宋体" w:cs="宋体"/>
          <w:b w:val="0"/>
          <w:bCs/>
          <w:color w:val="auto"/>
          <w:szCs w:val="21"/>
          <w:highlight w:val="none"/>
          <w:lang w:val="en-US" w:eastAsia="zh-CN"/>
        </w:rPr>
        <w:t>予以没收，或直接没收履约保证金</w:t>
      </w:r>
      <w:r>
        <w:rPr>
          <w:rFonts w:hint="eastAsia" w:ascii="宋体" w:hAnsi="宋体" w:cs="宋体"/>
          <w:color w:val="auto"/>
          <w:szCs w:val="21"/>
          <w:highlight w:val="none"/>
        </w:rPr>
        <w:t>；中标人造成采购人损失的，采购人有权立即没收其履约担保，若造成损失超过履约担保的，还应当对超过部分予以赔偿。</w:t>
      </w:r>
    </w:p>
    <w:p w14:paraId="3B9D1685">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下列任何情况发生时，采购人有权行使享有的担保权利：</w:t>
      </w:r>
    </w:p>
    <w:p w14:paraId="126019D4">
      <w:pPr>
        <w:pageBreakBefore w:val="0"/>
        <w:widowControl w:val="0"/>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（1）中标人将本项目转让给他人，或者在投标文件中未说明，且未经采购人同意，将中标项目分包给他人的；</w:t>
      </w:r>
    </w:p>
    <w:p w14:paraId="7B84003D">
      <w:pPr>
        <w:pageBreakBefore w:val="0"/>
        <w:widowControl w:val="0"/>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（2）中标人在履行采购合同期间，违反有关法律法规的规定及合同约定的条款。</w:t>
      </w:r>
    </w:p>
    <w:p w14:paraId="0C1A6DC7">
      <w:pPr>
        <w:pageBreakBefore w:val="0"/>
        <w:widowControl w:val="0"/>
        <w:shd w:val="clear"/>
        <w:tabs>
          <w:tab w:val="left" w:pos="907"/>
        </w:tabs>
        <w:topLinePunct w:val="0"/>
        <w:bidi w:val="0"/>
        <w:adjustRightInd/>
        <w:snapToGrid/>
        <w:spacing w:after="0" w:line="360" w:lineRule="auto"/>
        <w:jc w:val="both"/>
        <w:rPr>
          <w:rFonts w:hint="eastAsia" w:ascii="宋体" w:hAnsi="宋体" w:cs="宋体"/>
          <w:color w:val="auto"/>
          <w:highlight w:val="none"/>
        </w:rPr>
      </w:pPr>
      <w:r>
        <w:rPr>
          <w:rFonts w:hint="eastAsia" w:ascii="宋体" w:hAnsi="宋体" w:cs="宋体"/>
          <w:color w:val="auto"/>
          <w:szCs w:val="21"/>
          <w:highlight w:val="none"/>
        </w:rPr>
        <w:t>在整个项目服务期结束后，中标人向采购人提交退回履约担保的申请，采购人办理履约担保退还手续。</w:t>
      </w:r>
    </w:p>
    <w:p w14:paraId="7742ED8D">
      <w:pPr>
        <w:pStyle w:val="6"/>
        <w:pageBreakBefore w:val="0"/>
        <w:widowControl w:val="0"/>
        <w:numPr>
          <w:ilvl w:val="0"/>
          <w:numId w:val="2"/>
        </w:numPr>
        <w:shd w:val="clear"/>
        <w:overflowPunct w:val="0"/>
        <w:topLinePunct w:val="0"/>
        <w:bidi w:val="0"/>
        <w:spacing w:after="0" w:line="360" w:lineRule="auto"/>
        <w:rPr>
          <w:rFonts w:hint="eastAsia" w:ascii="宋体" w:hAnsi="宋体" w:cs="宋体"/>
          <w:color w:val="auto"/>
          <w:sz w:val="21"/>
          <w:szCs w:val="21"/>
          <w:highlight w:val="none"/>
        </w:rPr>
      </w:pPr>
      <w:bookmarkStart w:id="176" w:name="_Toc11257"/>
      <w:bookmarkStart w:id="177" w:name="_Toc14493"/>
      <w:bookmarkStart w:id="178" w:name="_Toc18880"/>
      <w:r>
        <w:rPr>
          <w:rFonts w:hint="eastAsia" w:ascii="宋体" w:hAnsi="宋体" w:cs="宋体"/>
          <w:color w:val="auto"/>
          <w:sz w:val="21"/>
          <w:szCs w:val="21"/>
          <w:highlight w:val="none"/>
        </w:rPr>
        <w:t>预付款保函（适用于预付款支付）</w:t>
      </w:r>
      <w:bookmarkEnd w:id="176"/>
      <w:bookmarkEnd w:id="177"/>
      <w:bookmarkEnd w:id="178"/>
    </w:p>
    <w:p w14:paraId="36B45E97">
      <w:pPr>
        <w:pStyle w:val="45"/>
        <w:pageBreakBefore w:val="0"/>
        <w:widowControl w:val="0"/>
        <w:numPr>
          <w:ilvl w:val="0"/>
          <w:numId w:val="3"/>
        </w:numPr>
        <w:shd w:val="clear"/>
        <w:tabs>
          <w:tab w:val="left" w:pos="567"/>
          <w:tab w:val="left" w:pos="907"/>
        </w:tabs>
        <w:topLinePunct w:val="0"/>
        <w:bidi w:val="0"/>
        <w:adjustRightInd/>
        <w:snapToGrid/>
        <w:spacing w:after="0" w:line="360" w:lineRule="auto"/>
        <w:ind w:firstLineChars="0"/>
        <w:jc w:val="both"/>
        <w:rPr>
          <w:rFonts w:hint="eastAsia" w:ascii="宋体" w:hAnsi="宋体" w:cs="宋体"/>
          <w:vanish/>
          <w:color w:val="auto"/>
          <w:szCs w:val="21"/>
          <w:highlight w:val="none"/>
        </w:rPr>
      </w:pPr>
    </w:p>
    <w:p w14:paraId="1A75F022">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在签订合同时，中标人应按本须知规定向采购人提交一份合同预付款等额有效的预付款保函。预付款保函有效期从保函开立之日起至采购人向中标人抵扣完所有预付款之日止。如果中标人提交的预付款保函的有效期先于采购文件要求的预付款保函有效期到达，中标人应在原提交的预付款保函有效期前15日内，无条件办理预付款保函延期手续。否则视为中标人违约，采购人可在预付款保函到期前将未抵扣的预付款转为现金存入采购人账户</w:t>
      </w:r>
    </w:p>
    <w:p w14:paraId="2875A2E0">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预付款保函应：</w:t>
      </w:r>
    </w:p>
    <w:p w14:paraId="1B253788">
      <w:pPr>
        <w:pageBreakBefore w:val="0"/>
        <w:widowControl w:val="0"/>
        <w:shd w:val="clear"/>
        <w:tabs>
          <w:tab w:val="left" w:pos="420"/>
        </w:tabs>
        <w:overflowPunct w:val="0"/>
        <w:topLinePunct w:val="0"/>
        <w:bidi w:val="0"/>
        <w:spacing w:after="0" w:line="360" w:lineRule="auto"/>
        <w:ind w:left="436" w:leftChars="200" w:hanging="16" w:hangingChars="8"/>
        <w:rPr>
          <w:rFonts w:hint="eastAsia" w:ascii="宋体" w:hAnsi="宋体" w:cs="宋体"/>
          <w:color w:val="auto"/>
          <w:szCs w:val="21"/>
          <w:highlight w:val="none"/>
        </w:rPr>
      </w:pPr>
      <w:r>
        <w:rPr>
          <w:rFonts w:hint="eastAsia" w:ascii="宋体" w:hAnsi="宋体" w:cs="宋体"/>
          <w:color w:val="auto"/>
          <w:szCs w:val="21"/>
          <w:highlight w:val="none"/>
        </w:rPr>
        <w:t>（1）由东莞市行政区域内的银行支行及以上银行机构开具。非东莞市行政区内的银行开具的保函要由银行所在地公证部门出具的公证书。</w:t>
      </w:r>
    </w:p>
    <w:p w14:paraId="7BAAB164">
      <w:pPr>
        <w:pageBreakBefore w:val="0"/>
        <w:widowControl w:val="0"/>
        <w:shd w:val="clear"/>
        <w:tabs>
          <w:tab w:val="left" w:pos="420"/>
        </w:tabs>
        <w:overflowPunct w:val="0"/>
        <w:topLinePunct w:val="0"/>
        <w:bidi w:val="0"/>
        <w:spacing w:after="0" w:line="360" w:lineRule="auto"/>
        <w:ind w:left="436" w:leftChars="200" w:hanging="16" w:hangingChars="8"/>
        <w:rPr>
          <w:rFonts w:hint="eastAsia" w:ascii="宋体" w:hAnsi="宋体" w:cs="宋体"/>
          <w:color w:val="auto"/>
          <w:szCs w:val="21"/>
          <w:highlight w:val="none"/>
        </w:rPr>
      </w:pPr>
      <w:r>
        <w:rPr>
          <w:rFonts w:hint="eastAsia" w:ascii="宋体" w:hAnsi="宋体" w:cs="宋体"/>
          <w:color w:val="auto"/>
          <w:szCs w:val="21"/>
          <w:highlight w:val="none"/>
        </w:rPr>
        <w:t>（2）必须打印，手写、涂改无效</w:t>
      </w:r>
    </w:p>
    <w:p w14:paraId="5C0C06FC">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若中标人不能按本须知（34.1至34.2）的规定执行，采购人将不予支付预付款。</w:t>
      </w:r>
    </w:p>
    <w:p w14:paraId="0269B50C">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如果中标人提交的预付款保函的有效期先于采购文件要求的预付款保函有效期到达，中标人应在原提交的预付款保函有效期满前15天内，无条件办理预付款保函延期手续。否则视为中标人违约，采购人可在预付款保函到期前将未抵扣的预付款金额转为现金存入采购人账户。</w:t>
      </w:r>
    </w:p>
    <w:p w14:paraId="120E10F0">
      <w:pPr>
        <w:pageBreakBefore w:val="0"/>
        <w:shd w:val="clear"/>
        <w:topLinePunct w:val="0"/>
        <w:bidi w:val="0"/>
        <w:spacing w:after="0" w:line="360" w:lineRule="auto"/>
        <w:rPr>
          <w:rFonts w:hint="eastAsia" w:ascii="宋体" w:hAnsi="宋体" w:cs="宋体"/>
          <w:color w:val="auto"/>
          <w:highlight w:val="none"/>
        </w:rPr>
      </w:pPr>
    </w:p>
    <w:p w14:paraId="706641E6">
      <w:pPr>
        <w:pStyle w:val="5"/>
        <w:pageBreakBefore w:val="0"/>
        <w:numPr>
          <w:ilvl w:val="0"/>
          <w:numId w:val="1"/>
        </w:numPr>
        <w:shd w:val="clear"/>
        <w:topLinePunct w:val="0"/>
        <w:bidi w:val="0"/>
        <w:spacing w:before="0" w:after="0" w:line="360" w:lineRule="auto"/>
        <w:jc w:val="center"/>
        <w:rPr>
          <w:rFonts w:hint="eastAsia" w:ascii="宋体" w:hAnsi="宋体" w:cs="宋体"/>
          <w:color w:val="auto"/>
          <w:highlight w:val="none"/>
        </w:rPr>
      </w:pPr>
      <w:bookmarkStart w:id="179" w:name="_Toc15079"/>
      <w:bookmarkStart w:id="180" w:name="_Toc8878"/>
      <w:bookmarkStart w:id="181" w:name="_Toc21814"/>
      <w:r>
        <w:rPr>
          <w:rFonts w:hint="eastAsia" w:ascii="宋体" w:hAnsi="宋体" w:cs="宋体"/>
          <w:color w:val="auto"/>
          <w:highlight w:val="none"/>
        </w:rPr>
        <w:t>异议</w:t>
      </w:r>
      <w:bookmarkEnd w:id="179"/>
      <w:bookmarkEnd w:id="180"/>
      <w:bookmarkEnd w:id="181"/>
    </w:p>
    <w:p w14:paraId="072C05C5">
      <w:pPr>
        <w:pStyle w:val="6"/>
        <w:pageBreakBefore w:val="0"/>
        <w:widowControl w:val="0"/>
        <w:numPr>
          <w:ilvl w:val="0"/>
          <w:numId w:val="2"/>
        </w:numPr>
        <w:shd w:val="clear"/>
        <w:overflowPunct w:val="0"/>
        <w:topLinePunct w:val="0"/>
        <w:bidi w:val="0"/>
        <w:spacing w:after="0" w:line="360" w:lineRule="auto"/>
        <w:rPr>
          <w:rFonts w:hint="eastAsia" w:ascii="宋体" w:hAnsi="宋体" w:cs="宋体"/>
          <w:color w:val="auto"/>
          <w:sz w:val="21"/>
          <w:szCs w:val="21"/>
          <w:highlight w:val="none"/>
        </w:rPr>
      </w:pPr>
      <w:bookmarkStart w:id="182" w:name="_Toc9791"/>
      <w:bookmarkStart w:id="183" w:name="_Toc4220"/>
      <w:bookmarkStart w:id="184" w:name="_Toc28324"/>
      <w:r>
        <w:rPr>
          <w:rFonts w:hint="eastAsia" w:ascii="宋体" w:hAnsi="宋体" w:cs="宋体"/>
          <w:color w:val="auto"/>
          <w:sz w:val="21"/>
          <w:szCs w:val="21"/>
          <w:highlight w:val="none"/>
        </w:rPr>
        <w:t>异议</w:t>
      </w:r>
      <w:bookmarkEnd w:id="182"/>
      <w:bookmarkEnd w:id="183"/>
      <w:bookmarkEnd w:id="184"/>
    </w:p>
    <w:p w14:paraId="427B1F45">
      <w:pPr>
        <w:pStyle w:val="45"/>
        <w:pageBreakBefore w:val="0"/>
        <w:widowControl w:val="0"/>
        <w:numPr>
          <w:ilvl w:val="0"/>
          <w:numId w:val="3"/>
        </w:numPr>
        <w:shd w:val="clear"/>
        <w:tabs>
          <w:tab w:val="left" w:pos="907"/>
        </w:tabs>
        <w:topLinePunct w:val="0"/>
        <w:bidi w:val="0"/>
        <w:adjustRightInd/>
        <w:snapToGrid/>
        <w:spacing w:after="0" w:line="360" w:lineRule="auto"/>
        <w:ind w:firstLineChars="0"/>
        <w:jc w:val="both"/>
        <w:rPr>
          <w:rFonts w:hint="eastAsia" w:ascii="宋体" w:hAnsi="宋体" w:cs="宋体"/>
          <w:vanish/>
          <w:color w:val="auto"/>
          <w:szCs w:val="21"/>
          <w:highlight w:val="none"/>
        </w:rPr>
      </w:pPr>
    </w:p>
    <w:p w14:paraId="53764DDD">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lang w:val="zh-CN"/>
        </w:rPr>
        <w:t>采购文件的异议</w:t>
      </w:r>
      <w:r>
        <w:rPr>
          <w:rFonts w:hint="eastAsia" w:ascii="宋体" w:hAnsi="宋体" w:cs="宋体"/>
          <w:color w:val="auto"/>
          <w:szCs w:val="21"/>
          <w:highlight w:val="none"/>
        </w:rPr>
        <w:t xml:space="preserve">  </w:t>
      </w:r>
    </w:p>
    <w:p w14:paraId="2BEC4189">
      <w:pPr>
        <w:pageBreakBefore w:val="0"/>
        <w:widowControl w:val="0"/>
        <w:shd w:val="clear"/>
        <w:tabs>
          <w:tab w:val="left" w:pos="420"/>
        </w:tabs>
        <w:overflowPunct w:val="0"/>
        <w:topLinePunct w:val="0"/>
        <w:bidi w:val="0"/>
        <w:spacing w:after="0" w:line="360" w:lineRule="auto"/>
        <w:ind w:left="436" w:leftChars="200" w:hanging="16" w:hangingChars="8"/>
        <w:rPr>
          <w:rFonts w:hint="eastAsia" w:ascii="宋体" w:hAnsi="宋体" w:cs="宋体"/>
          <w:color w:val="auto"/>
          <w:szCs w:val="21"/>
          <w:highlight w:val="none"/>
        </w:rPr>
      </w:pPr>
      <w:r>
        <w:rPr>
          <w:rFonts w:hint="eastAsia" w:ascii="宋体" w:hAnsi="宋体" w:cs="宋体"/>
          <w:bCs/>
          <w:color w:val="auto"/>
          <w:kern w:val="2"/>
          <w:szCs w:val="21"/>
          <w:highlight w:val="none"/>
          <w:lang w:val="zh-CN"/>
        </w:rPr>
        <w:t>投标人或者其他利害关系人对采购文件有异议的，应当在投标截止时间10日前</w:t>
      </w:r>
      <w:r>
        <w:rPr>
          <w:rFonts w:hint="eastAsia" w:ascii="宋体" w:hAnsi="宋体" w:cs="宋体"/>
          <w:color w:val="auto"/>
          <w:kern w:val="2"/>
          <w:szCs w:val="21"/>
          <w:highlight w:val="none"/>
          <w:lang w:val="zh-CN"/>
        </w:rPr>
        <w:t>以书面形式向采购代理机构提出，并将材料原件送达采购代理机构，逾期则视为对采购文件所有内容无异议。</w:t>
      </w:r>
      <w:r>
        <w:rPr>
          <w:rFonts w:hint="eastAsia" w:ascii="宋体" w:hAnsi="宋体" w:cs="宋体"/>
          <w:bCs/>
          <w:color w:val="auto"/>
          <w:kern w:val="2"/>
          <w:szCs w:val="21"/>
          <w:highlight w:val="none"/>
          <w:lang w:val="zh-CN"/>
        </w:rPr>
        <w:t>异议</w:t>
      </w:r>
      <w:r>
        <w:rPr>
          <w:rFonts w:hint="eastAsia" w:ascii="宋体" w:hAnsi="宋体" w:cs="宋体"/>
          <w:color w:val="auto"/>
          <w:kern w:val="2"/>
          <w:szCs w:val="21"/>
          <w:highlight w:val="none"/>
          <w:lang w:val="zh-CN"/>
        </w:rPr>
        <w:t>书面材料必须加盖投标人法人公章，并注明联系人、联系电话、联系地址。</w:t>
      </w:r>
      <w:r>
        <w:rPr>
          <w:rFonts w:hint="eastAsia" w:ascii="宋体" w:hAnsi="宋体" w:cs="宋体"/>
          <w:bCs/>
          <w:color w:val="auto"/>
          <w:kern w:val="2"/>
          <w:szCs w:val="21"/>
          <w:highlight w:val="none"/>
          <w:lang w:val="zh-CN"/>
        </w:rPr>
        <w:t>超出</w:t>
      </w:r>
      <w:r>
        <w:rPr>
          <w:rFonts w:hint="eastAsia" w:ascii="宋体" w:hAnsi="宋体" w:cs="宋体"/>
          <w:color w:val="auto"/>
          <w:kern w:val="2"/>
          <w:szCs w:val="21"/>
          <w:highlight w:val="none"/>
          <w:lang w:val="zh-CN"/>
        </w:rPr>
        <w:t>提交接收异议截止时间而</w:t>
      </w:r>
      <w:r>
        <w:rPr>
          <w:rFonts w:hint="eastAsia" w:ascii="宋体" w:hAnsi="宋体" w:cs="宋体"/>
          <w:bCs/>
          <w:color w:val="auto"/>
          <w:kern w:val="2"/>
          <w:szCs w:val="21"/>
          <w:highlight w:val="none"/>
          <w:lang w:val="zh-CN"/>
        </w:rPr>
        <w:t>提出的任何疑问，</w:t>
      </w:r>
      <w:r>
        <w:rPr>
          <w:rFonts w:hint="eastAsia" w:ascii="宋体" w:hAnsi="宋体" w:cs="宋体"/>
          <w:bCs/>
          <w:color w:val="auto"/>
          <w:kern w:val="2"/>
          <w:szCs w:val="21"/>
          <w:highlight w:val="none"/>
        </w:rPr>
        <w:t>采购人或</w:t>
      </w:r>
      <w:r>
        <w:rPr>
          <w:rFonts w:hint="eastAsia" w:ascii="宋体" w:hAnsi="宋体" w:cs="宋体"/>
          <w:bCs/>
          <w:color w:val="auto"/>
          <w:kern w:val="2"/>
          <w:szCs w:val="21"/>
          <w:highlight w:val="none"/>
          <w:lang w:val="zh-CN"/>
        </w:rPr>
        <w:t>采购代理机构可不予答复。</w:t>
      </w:r>
    </w:p>
    <w:p w14:paraId="6C092A57">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lang w:val="zh-CN"/>
        </w:rPr>
        <w:t>评标结果异议</w:t>
      </w:r>
      <w:r>
        <w:rPr>
          <w:rFonts w:hint="eastAsia" w:ascii="宋体" w:hAnsi="宋体" w:cs="宋体"/>
          <w:color w:val="auto"/>
          <w:szCs w:val="21"/>
          <w:highlight w:val="none"/>
        </w:rPr>
        <w:t xml:space="preserve">   </w:t>
      </w:r>
    </w:p>
    <w:p w14:paraId="6A6EC44D">
      <w:pPr>
        <w:pageBreakBefore w:val="0"/>
        <w:widowControl w:val="0"/>
        <w:shd w:val="clear"/>
        <w:tabs>
          <w:tab w:val="left" w:pos="420"/>
        </w:tabs>
        <w:overflowPunct w:val="0"/>
        <w:topLinePunct w:val="0"/>
        <w:bidi w:val="0"/>
        <w:spacing w:after="0" w:line="360" w:lineRule="auto"/>
        <w:ind w:left="436" w:leftChars="200" w:hanging="16" w:hangingChars="8"/>
        <w:rPr>
          <w:rFonts w:hint="eastAsia" w:ascii="宋体" w:hAnsi="宋体" w:cs="宋体"/>
          <w:color w:val="auto"/>
          <w:kern w:val="2"/>
          <w:szCs w:val="21"/>
          <w:highlight w:val="none"/>
          <w:lang w:val="zh-CN"/>
        </w:rPr>
      </w:pPr>
      <w:r>
        <w:rPr>
          <w:rFonts w:hint="eastAsia" w:ascii="宋体" w:hAnsi="宋体" w:cs="宋体"/>
          <w:color w:val="auto"/>
          <w:kern w:val="2"/>
          <w:szCs w:val="21"/>
          <w:highlight w:val="none"/>
          <w:lang w:val="zh-CN"/>
        </w:rPr>
        <w:t>投标人或者其他利害关系人对评标结果有异议的，应当在中标候选人公示期间向采购代理机构以书面的形式提出，并将完整的异议书面材料原件送达采购代理机构，逾期则视为对评标结果无异议。超出提交异议截止时间而提出的任何疑问，采购代理机构可不予答复。</w:t>
      </w:r>
    </w:p>
    <w:p w14:paraId="008A71CD">
      <w:pPr>
        <w:pageBreakBefore w:val="0"/>
        <w:widowControl w:val="0"/>
        <w:shd w:val="clear"/>
        <w:tabs>
          <w:tab w:val="left" w:pos="420"/>
        </w:tabs>
        <w:overflowPunct w:val="0"/>
        <w:topLinePunct w:val="0"/>
        <w:bidi w:val="0"/>
        <w:spacing w:after="0" w:line="360" w:lineRule="auto"/>
        <w:ind w:left="436" w:leftChars="200" w:hanging="16" w:hangingChars="8"/>
        <w:rPr>
          <w:rFonts w:hint="eastAsia" w:ascii="宋体" w:hAnsi="宋体" w:cs="宋体"/>
          <w:color w:val="auto"/>
          <w:kern w:val="2"/>
          <w:szCs w:val="21"/>
          <w:highlight w:val="none"/>
          <w:lang w:val="zh-CN"/>
        </w:rPr>
      </w:pPr>
      <w:r>
        <w:rPr>
          <w:rFonts w:hint="eastAsia" w:ascii="宋体" w:hAnsi="宋体" w:cs="宋体"/>
          <w:color w:val="auto"/>
          <w:kern w:val="2"/>
          <w:szCs w:val="21"/>
          <w:highlight w:val="none"/>
          <w:lang w:val="zh-CN"/>
        </w:rPr>
        <w:t>采购代理机构将拒收未能提供完整异议书面材料的异议，完整的异议书面材料必须同时包含：异议书（加盖法人公章，并注明联系人、联系电话、联系地址）、授权提交异议的法定代表人授权书原件、反映异议人主体资格的营业执照复印件（加盖法人公章）、以及合法来源的证据证明材料。</w:t>
      </w:r>
    </w:p>
    <w:p w14:paraId="18A8DD06">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以联合体形式参加采购活动的，其异议应当由组成联合体的所有投标人共同提出。</w:t>
      </w:r>
    </w:p>
    <w:p w14:paraId="2CBEC66C">
      <w:pPr>
        <w:pageBreakBefore w:val="0"/>
        <w:shd w:val="clear"/>
        <w:topLinePunct w:val="0"/>
        <w:bidi w:val="0"/>
        <w:spacing w:after="0" w:line="360" w:lineRule="auto"/>
        <w:rPr>
          <w:rFonts w:hint="eastAsia" w:ascii="宋体" w:hAnsi="宋体" w:cs="宋体"/>
          <w:color w:val="auto"/>
          <w:highlight w:val="none"/>
        </w:rPr>
      </w:pPr>
    </w:p>
    <w:p w14:paraId="41D729BB">
      <w:pPr>
        <w:pStyle w:val="5"/>
        <w:pageBreakBefore w:val="0"/>
        <w:numPr>
          <w:ilvl w:val="0"/>
          <w:numId w:val="1"/>
        </w:numPr>
        <w:shd w:val="clear"/>
        <w:topLinePunct w:val="0"/>
        <w:bidi w:val="0"/>
        <w:spacing w:before="0" w:after="0" w:line="360" w:lineRule="auto"/>
        <w:jc w:val="center"/>
        <w:rPr>
          <w:rFonts w:hint="eastAsia" w:ascii="宋体" w:hAnsi="宋体" w:cs="宋体"/>
          <w:color w:val="auto"/>
          <w:highlight w:val="none"/>
        </w:rPr>
      </w:pPr>
      <w:bookmarkStart w:id="185" w:name="_Toc18965"/>
      <w:bookmarkStart w:id="186" w:name="_Toc8981"/>
      <w:bookmarkStart w:id="187" w:name="_Toc30453"/>
      <w:r>
        <w:rPr>
          <w:rFonts w:hint="eastAsia" w:ascii="宋体" w:hAnsi="宋体" w:cs="宋体"/>
          <w:color w:val="auto"/>
          <w:highlight w:val="none"/>
        </w:rPr>
        <w:t>其他</w:t>
      </w:r>
      <w:bookmarkEnd w:id="185"/>
      <w:bookmarkEnd w:id="186"/>
      <w:bookmarkEnd w:id="187"/>
    </w:p>
    <w:p w14:paraId="4A46B563">
      <w:pPr>
        <w:pStyle w:val="6"/>
        <w:pageBreakBefore w:val="0"/>
        <w:widowControl w:val="0"/>
        <w:numPr>
          <w:ilvl w:val="0"/>
          <w:numId w:val="2"/>
        </w:numPr>
        <w:shd w:val="clear"/>
        <w:overflowPunct w:val="0"/>
        <w:topLinePunct w:val="0"/>
        <w:bidi w:val="0"/>
        <w:spacing w:after="0" w:line="360" w:lineRule="auto"/>
        <w:rPr>
          <w:rFonts w:hint="eastAsia" w:ascii="宋体" w:hAnsi="宋体" w:cs="宋体"/>
          <w:color w:val="auto"/>
          <w:sz w:val="21"/>
          <w:szCs w:val="21"/>
          <w:highlight w:val="none"/>
        </w:rPr>
      </w:pPr>
      <w:bookmarkStart w:id="188" w:name="_Toc30511"/>
      <w:bookmarkStart w:id="189" w:name="_Toc25623"/>
      <w:bookmarkStart w:id="190" w:name="_Toc1587"/>
      <w:r>
        <w:rPr>
          <w:rFonts w:hint="eastAsia" w:ascii="宋体" w:hAnsi="宋体" w:cs="宋体"/>
          <w:color w:val="auto"/>
          <w:sz w:val="21"/>
          <w:szCs w:val="21"/>
          <w:highlight w:val="none"/>
        </w:rPr>
        <w:t>采购文件的解释权</w:t>
      </w:r>
      <w:bookmarkEnd w:id="188"/>
      <w:bookmarkEnd w:id="189"/>
      <w:bookmarkEnd w:id="190"/>
    </w:p>
    <w:p w14:paraId="0CE41A0B">
      <w:pPr>
        <w:pStyle w:val="45"/>
        <w:pageBreakBefore w:val="0"/>
        <w:widowControl w:val="0"/>
        <w:numPr>
          <w:ilvl w:val="0"/>
          <w:numId w:val="3"/>
        </w:numPr>
        <w:shd w:val="clear"/>
        <w:tabs>
          <w:tab w:val="left" w:pos="907"/>
        </w:tabs>
        <w:topLinePunct w:val="0"/>
        <w:bidi w:val="0"/>
        <w:adjustRightInd/>
        <w:snapToGrid/>
        <w:spacing w:after="0" w:line="360" w:lineRule="auto"/>
        <w:ind w:firstLineChars="0"/>
        <w:jc w:val="both"/>
        <w:rPr>
          <w:rFonts w:hint="eastAsia" w:ascii="宋体" w:hAnsi="宋体" w:cs="宋体"/>
          <w:vanish/>
          <w:color w:val="auto"/>
          <w:szCs w:val="21"/>
          <w:highlight w:val="none"/>
        </w:rPr>
      </w:pPr>
    </w:p>
    <w:p w14:paraId="4333D5AD">
      <w:pPr>
        <w:pageBreakBefore w:val="0"/>
        <w:widowControl w:val="0"/>
        <w:numPr>
          <w:ilvl w:val="1"/>
          <w:numId w:val="2"/>
        </w:numPr>
        <w:shd w:val="clear"/>
        <w:overflowPunct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本采购文件是根据国家有关法律、法规以及采购管理有关规定和参照国际惯例编制，解释权属本采购代理机构。</w:t>
      </w:r>
    </w:p>
    <w:p w14:paraId="66A1317E">
      <w:pPr>
        <w:pageBreakBefore w:val="0"/>
        <w:widowControl w:val="0"/>
        <w:numPr>
          <w:ilvl w:val="1"/>
          <w:numId w:val="7"/>
        </w:numPr>
        <w:shd w:val="clear"/>
        <w:tabs>
          <w:tab w:val="left" w:pos="907"/>
        </w:tabs>
        <w:topLinePunct w:val="0"/>
        <w:bidi w:val="0"/>
        <w:adjustRightInd/>
        <w:snapToGrid/>
        <w:spacing w:after="0" w:line="360" w:lineRule="auto"/>
        <w:jc w:val="both"/>
        <w:rPr>
          <w:rFonts w:hint="eastAsia" w:ascii="宋体" w:hAnsi="宋体" w:cs="宋体"/>
          <w:color w:val="auto"/>
          <w:szCs w:val="21"/>
          <w:highlight w:val="none"/>
        </w:rPr>
      </w:pPr>
      <w:r>
        <w:rPr>
          <w:rFonts w:hint="eastAsia" w:ascii="宋体" w:hAnsi="宋体" w:cs="宋体"/>
          <w:color w:val="auto"/>
          <w:szCs w:val="21"/>
          <w:highlight w:val="none"/>
        </w:rPr>
        <w:br w:type="page"/>
      </w:r>
    </w:p>
    <w:p w14:paraId="465656B1">
      <w:pPr>
        <w:pStyle w:val="4"/>
        <w:pageBreakBefore w:val="0"/>
        <w:shd w:val="clear"/>
        <w:topLinePunct w:val="0"/>
        <w:bidi w:val="0"/>
        <w:spacing w:before="0" w:after="0" w:line="360" w:lineRule="auto"/>
        <w:rPr>
          <w:rFonts w:hint="eastAsia" w:ascii="宋体" w:hAnsi="宋体" w:eastAsia="宋体" w:cs="宋体"/>
          <w:color w:val="auto"/>
          <w:sz w:val="28"/>
          <w:szCs w:val="28"/>
          <w:highlight w:val="none"/>
        </w:rPr>
      </w:pPr>
      <w:bookmarkStart w:id="191" w:name="_Toc27228"/>
      <w:bookmarkStart w:id="192" w:name="_Toc17760"/>
      <w:r>
        <w:rPr>
          <w:rFonts w:hint="eastAsia" w:ascii="宋体" w:hAnsi="宋体" w:eastAsia="宋体" w:cs="宋体"/>
          <w:color w:val="auto"/>
          <w:sz w:val="28"/>
          <w:szCs w:val="28"/>
          <w:highlight w:val="none"/>
        </w:rPr>
        <w:t>第五部分  合同条款格式</w:t>
      </w:r>
      <w:bookmarkEnd w:id="191"/>
      <w:bookmarkEnd w:id="192"/>
      <w:bookmarkStart w:id="193" w:name="_Toc15636"/>
    </w:p>
    <w:bookmarkEnd w:id="193"/>
    <w:p w14:paraId="2C70C4C5">
      <w:pPr>
        <w:pageBreakBefore w:val="0"/>
        <w:shd w:val="clear"/>
        <w:topLinePunct w:val="0"/>
        <w:bidi w:val="0"/>
        <w:spacing w:after="0" w:line="360" w:lineRule="auto"/>
        <w:rPr>
          <w:rFonts w:hint="eastAsia" w:ascii="宋体" w:hAnsi="宋体" w:cs="宋体"/>
          <w:color w:val="auto"/>
          <w:highlight w:val="none"/>
          <w:lang w:bidi="zh-CN"/>
        </w:rPr>
      </w:pPr>
      <w:bookmarkStart w:id="194" w:name="_Hlt109815959"/>
      <w:bookmarkEnd w:id="194"/>
    </w:p>
    <w:p w14:paraId="068CF4A1">
      <w:pPr>
        <w:pageBreakBefore w:val="0"/>
        <w:shd w:val="clear"/>
        <w:topLinePunct w:val="0"/>
        <w:bidi w:val="0"/>
        <w:spacing w:after="0"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此仅为合同书样本，中标人需根据实际情况和甲方签订相应的合同！</w:t>
      </w:r>
    </w:p>
    <w:p w14:paraId="1B97ECF3">
      <w:pPr>
        <w:pStyle w:val="10"/>
        <w:pageBreakBefore w:val="0"/>
        <w:shd w:val="clear"/>
        <w:topLinePunct w:val="0"/>
        <w:bidi w:val="0"/>
        <w:spacing w:before="0" w:after="0" w:line="360" w:lineRule="auto"/>
        <w:jc w:val="center"/>
        <w:rPr>
          <w:rFonts w:hint="eastAsia"/>
          <w:b/>
          <w:bCs/>
          <w:color w:val="auto"/>
          <w:highlight w:val="none"/>
          <w:lang w:val="en-US"/>
        </w:rPr>
      </w:pPr>
      <w:bookmarkStart w:id="195" w:name="OLE_LINK5"/>
      <w:r>
        <w:rPr>
          <w:rFonts w:hint="eastAsia"/>
          <w:b/>
          <w:bCs/>
          <w:color w:val="auto"/>
          <w:highlight w:val="none"/>
          <w:lang w:val="en-US"/>
        </w:rPr>
        <w:t>（以下适用包A）</w:t>
      </w:r>
    </w:p>
    <w:p w14:paraId="7348DB64">
      <w:pPr>
        <w:pStyle w:val="5"/>
        <w:pageBreakBefore w:val="0"/>
        <w:shd w:val="clear"/>
        <w:topLinePunct w:val="0"/>
        <w:bidi w:val="0"/>
        <w:spacing w:before="0" w:after="0" w:line="360" w:lineRule="auto"/>
        <w:jc w:val="center"/>
        <w:rPr>
          <w:rFonts w:hint="eastAsia" w:ascii="宋体" w:hAnsi="宋体" w:cs="宋体"/>
          <w:color w:val="auto"/>
          <w:highlight w:val="none"/>
        </w:rPr>
      </w:pPr>
      <w:bookmarkStart w:id="196" w:name="_Toc3183"/>
      <w:bookmarkStart w:id="197" w:name="_Toc18720"/>
      <w:bookmarkStart w:id="198" w:name="_Toc16480"/>
      <w:bookmarkStart w:id="199" w:name="_Toc3775"/>
      <w:r>
        <w:rPr>
          <w:rFonts w:hint="eastAsia" w:ascii="宋体" w:hAnsi="宋体" w:cs="宋体"/>
          <w:color w:val="auto"/>
          <w:highlight w:val="none"/>
        </w:rPr>
        <w:t>合同格式</w:t>
      </w:r>
      <w:bookmarkEnd w:id="196"/>
      <w:bookmarkEnd w:id="197"/>
      <w:bookmarkEnd w:id="198"/>
      <w:bookmarkEnd w:id="199"/>
    </w:p>
    <w:p w14:paraId="7A379A16">
      <w:pPr>
        <w:pageBreakBefore w:val="0"/>
        <w:shd w:val="clear"/>
        <w:topLinePunct w:val="0"/>
        <w:bidi w:val="0"/>
        <w:spacing w:after="0" w:line="360" w:lineRule="auto"/>
        <w:ind w:right="560"/>
        <w:rPr>
          <w:rFonts w:hint="eastAsia" w:ascii="宋体" w:hAnsi="宋体" w:cs="宋体"/>
          <w:color w:val="auto"/>
          <w:szCs w:val="21"/>
          <w:highlight w:val="none"/>
        </w:rPr>
      </w:pPr>
      <w:r>
        <w:rPr>
          <w:rFonts w:hint="eastAsia" w:ascii="宋体" w:hAnsi="宋体" w:cs="宋体"/>
          <w:color w:val="auto"/>
          <w:szCs w:val="21"/>
          <w:highlight w:val="none"/>
        </w:rPr>
        <w:t>合同编号：</w:t>
      </w:r>
    </w:p>
    <w:p w14:paraId="0B908E75">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甲方</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w:t>
      </w:r>
    </w:p>
    <w:p w14:paraId="4CCE4557">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甲方</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w:t>
      </w:r>
    </w:p>
    <w:p w14:paraId="5EB772BF">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乙方：“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”为中标单位</w:t>
      </w:r>
    </w:p>
    <w:p w14:paraId="0962AC4E">
      <w:pPr>
        <w:pageBreakBefore w:val="0"/>
        <w:shd w:val="clear"/>
        <w:topLinePunct w:val="0"/>
        <w:bidi w:val="0"/>
        <w:adjustRightInd/>
        <w:snapToGrid/>
        <w:spacing w:after="0" w:line="360" w:lineRule="auto"/>
        <w:ind w:firstLine="420" w:firstLineChars="200"/>
        <w:rPr>
          <w:rFonts w:hint="eastAsia" w:ascii="宋体" w:hAnsi="宋体" w:cs="宋体"/>
          <w:color w:val="auto"/>
          <w:szCs w:val="21"/>
          <w:highlight w:val="none"/>
        </w:rPr>
      </w:pPr>
    </w:p>
    <w:p w14:paraId="6F865EBB">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受甲方委托，</w:t>
      </w:r>
      <w:r>
        <w:rPr>
          <w:rFonts w:hint="eastAsia" w:ascii="宋体" w:hAnsi="宋体" w:cs="宋体"/>
          <w:color w:val="auto"/>
          <w:szCs w:val="21"/>
          <w:highlight w:val="none"/>
          <w:u w:val="single"/>
        </w:rPr>
        <w:t xml:space="preserve">           (招标代理机构)</w:t>
      </w:r>
      <w:r>
        <w:rPr>
          <w:rFonts w:hint="eastAsia" w:ascii="宋体" w:hAnsi="宋体" w:cs="宋体"/>
          <w:color w:val="auto"/>
          <w:szCs w:val="21"/>
          <w:highlight w:val="none"/>
        </w:rPr>
        <w:t>组织对</w:t>
      </w:r>
      <w:r>
        <w:rPr>
          <w:rFonts w:hint="eastAsia" w:ascii="宋体" w:hAnsi="宋体" w:cs="宋体"/>
          <w:color w:val="auto"/>
          <w:szCs w:val="21"/>
          <w:highlight w:val="none"/>
          <w:u w:val="single"/>
        </w:rPr>
        <w:t xml:space="preserve">         （项目名称）</w:t>
      </w:r>
      <w:r>
        <w:rPr>
          <w:rFonts w:hint="eastAsia" w:ascii="宋体" w:hAnsi="宋体" w:cs="宋体"/>
          <w:color w:val="auto"/>
          <w:szCs w:val="21"/>
          <w:highlight w:val="none"/>
        </w:rPr>
        <w:t>项目（招标项目编号为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）进行招标，于</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日通过公开招标，经评标委员会评定乙方</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为中标单位。为了保护甲、乙双方合法权益，根据《中华人民共和国</w:t>
      </w:r>
      <w:r>
        <w:rPr>
          <w:rFonts w:hint="eastAsia" w:ascii="宋体" w:hAnsi="宋体" w:cs="宋体"/>
          <w:color w:val="auto"/>
          <w:highlight w:val="none"/>
        </w:rPr>
        <w:t>民法典</w:t>
      </w:r>
      <w:r>
        <w:rPr>
          <w:rFonts w:hint="eastAsia" w:ascii="宋体" w:hAnsi="宋体" w:cs="宋体"/>
          <w:color w:val="auto"/>
          <w:szCs w:val="21"/>
          <w:highlight w:val="none"/>
        </w:rPr>
        <w:t>》等相关法律，在平等自愿的基础上，按照下面的条款和条件，签署本合同。</w:t>
      </w:r>
    </w:p>
    <w:p w14:paraId="0E34C70A">
      <w:pPr>
        <w:pageBreakBefore w:val="0"/>
        <w:shd w:val="clear"/>
        <w:kinsoku w:val="0"/>
        <w:wordWrap w:val="0"/>
        <w:topLinePunct w:val="0"/>
        <w:bidi w:val="0"/>
        <w:spacing w:after="0" w:line="360" w:lineRule="auto"/>
        <w:rPr>
          <w:rFonts w:hint="eastAsia" w:ascii="宋体" w:hAnsi="宋体" w:cs="宋体"/>
          <w:b/>
          <w:color w:val="auto"/>
          <w:szCs w:val="21"/>
          <w:highlight w:val="none"/>
        </w:rPr>
      </w:pPr>
      <w:r>
        <w:rPr>
          <w:rFonts w:hint="eastAsia" w:ascii="宋体" w:hAnsi="宋体" w:cs="宋体"/>
          <w:b/>
          <w:color w:val="auto"/>
          <w:szCs w:val="21"/>
          <w:highlight w:val="none"/>
        </w:rPr>
        <w:t>第一条 合同项目</w:t>
      </w:r>
    </w:p>
    <w:p w14:paraId="12899FE7">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1、项目名称：                        ；</w:t>
      </w:r>
    </w:p>
    <w:p w14:paraId="71C0E39D">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2、招标项目编号：                   。</w:t>
      </w:r>
    </w:p>
    <w:p w14:paraId="0645D4BC">
      <w:pPr>
        <w:pageBreakBefore w:val="0"/>
        <w:shd w:val="clear"/>
        <w:kinsoku w:val="0"/>
        <w:wordWrap w:val="0"/>
        <w:topLinePunct w:val="0"/>
        <w:bidi w:val="0"/>
        <w:spacing w:after="0" w:line="360" w:lineRule="auto"/>
        <w:rPr>
          <w:rFonts w:hint="eastAsia" w:ascii="宋体" w:hAnsi="宋体" w:cs="宋体"/>
          <w:b/>
          <w:color w:val="auto"/>
          <w:szCs w:val="21"/>
          <w:highlight w:val="none"/>
        </w:rPr>
      </w:pPr>
      <w:r>
        <w:rPr>
          <w:rFonts w:hint="eastAsia" w:ascii="宋体" w:hAnsi="宋体" w:cs="宋体"/>
          <w:b/>
          <w:color w:val="auto"/>
          <w:szCs w:val="21"/>
          <w:highlight w:val="none"/>
        </w:rPr>
        <w:t>第二条 合同组成</w:t>
      </w:r>
    </w:p>
    <w:p w14:paraId="3F899A05">
      <w:pPr>
        <w:pageBreakBefore w:val="0"/>
        <w:shd w:val="clear"/>
        <w:kinsoku w:val="0"/>
        <w:wordWrap w:val="0"/>
        <w:topLinePunct w:val="0"/>
        <w:bidi w:val="0"/>
        <w:spacing w:after="0"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1、合同文件组成内容包括：本合同书、招标文件（含招标文件澄清通知）、中标通知书、投标</w:t>
      </w:r>
      <w:r>
        <w:rPr>
          <w:rFonts w:hint="eastAsia" w:ascii="宋体" w:hAnsi="宋体" w:cs="宋体"/>
          <w:color w:val="auto"/>
          <w:szCs w:val="21"/>
          <w:highlight w:val="none"/>
        </w:rPr>
        <w:t>文件</w:t>
      </w:r>
      <w:r>
        <w:rPr>
          <w:rFonts w:hint="eastAsia" w:ascii="宋体" w:hAnsi="宋体" w:cs="宋体"/>
          <w:color w:val="auto"/>
          <w:highlight w:val="none"/>
        </w:rPr>
        <w:t>（含澄清内容）等。</w:t>
      </w:r>
    </w:p>
    <w:p w14:paraId="50167DA0">
      <w:pPr>
        <w:pageBreakBefore w:val="0"/>
        <w:shd w:val="clear"/>
        <w:kinsoku w:val="0"/>
        <w:wordWrap w:val="0"/>
        <w:topLinePunct w:val="0"/>
        <w:bidi w:val="0"/>
        <w:spacing w:after="0"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2、当合同文件内容出现含糊不清或不相一致时，应在不影响业务正常进行的情况下，由甲方和</w:t>
      </w:r>
      <w:r>
        <w:rPr>
          <w:rFonts w:hint="eastAsia" w:ascii="宋体" w:hAnsi="宋体" w:cs="宋体"/>
          <w:color w:val="auto"/>
          <w:szCs w:val="21"/>
          <w:highlight w:val="none"/>
        </w:rPr>
        <w:t>乙方</w:t>
      </w:r>
      <w:r>
        <w:rPr>
          <w:rFonts w:hint="eastAsia" w:ascii="宋体" w:hAnsi="宋体" w:cs="宋体"/>
          <w:color w:val="auto"/>
          <w:highlight w:val="none"/>
        </w:rPr>
        <w:t>协商解决。</w:t>
      </w:r>
      <w:r>
        <w:rPr>
          <w:rFonts w:hint="eastAsia" w:ascii="宋体" w:hAnsi="宋体" w:cs="宋体"/>
          <w:color w:val="auto"/>
          <w:szCs w:val="21"/>
          <w:highlight w:val="none"/>
        </w:rPr>
        <w:t>双方</w:t>
      </w:r>
      <w:r>
        <w:rPr>
          <w:rFonts w:hint="eastAsia" w:ascii="宋体" w:hAnsi="宋体" w:cs="宋体"/>
          <w:color w:val="auto"/>
          <w:highlight w:val="none"/>
        </w:rPr>
        <w:t>协商不成时，按本合同第九条关于争议的约定处理。</w:t>
      </w:r>
    </w:p>
    <w:p w14:paraId="690231A2">
      <w:pPr>
        <w:pageBreakBefore w:val="0"/>
        <w:shd w:val="clear"/>
        <w:kinsoku w:val="0"/>
        <w:wordWrap w:val="0"/>
        <w:topLinePunct w:val="0"/>
        <w:bidi w:val="0"/>
        <w:spacing w:after="0" w:line="360" w:lineRule="auto"/>
        <w:rPr>
          <w:rFonts w:hint="eastAsia" w:ascii="宋体" w:hAnsi="宋体" w:cs="宋体"/>
          <w:b/>
          <w:color w:val="auto"/>
          <w:szCs w:val="21"/>
          <w:highlight w:val="none"/>
        </w:rPr>
      </w:pPr>
      <w:r>
        <w:rPr>
          <w:rFonts w:hint="eastAsia" w:ascii="宋体" w:hAnsi="宋体" w:cs="宋体"/>
          <w:b/>
          <w:color w:val="auto"/>
          <w:szCs w:val="21"/>
          <w:highlight w:val="none"/>
        </w:rPr>
        <w:t>第三条 服务内容、标准及要求：</w:t>
      </w:r>
      <w:r>
        <w:rPr>
          <w:rFonts w:hint="eastAsia" w:ascii="宋体" w:hAnsi="宋体" w:cs="宋体"/>
          <w:color w:val="auto"/>
          <w:sz w:val="22"/>
          <w:highlight w:val="none"/>
        </w:rPr>
        <w:t>（按用户需求书要求，详见附件）</w:t>
      </w:r>
    </w:p>
    <w:p w14:paraId="5EC172E2">
      <w:pPr>
        <w:pageBreakBefore w:val="0"/>
        <w:shd w:val="clear"/>
        <w:kinsoku w:val="0"/>
        <w:wordWrap w:val="0"/>
        <w:topLinePunct w:val="0"/>
        <w:bidi w:val="0"/>
        <w:spacing w:after="0" w:line="360" w:lineRule="auto"/>
        <w:rPr>
          <w:rFonts w:hint="eastAsia" w:ascii="宋体" w:hAnsi="宋体" w:cs="宋体"/>
          <w:b/>
          <w:color w:val="auto"/>
          <w:szCs w:val="21"/>
          <w:highlight w:val="none"/>
        </w:rPr>
      </w:pPr>
      <w:r>
        <w:rPr>
          <w:rFonts w:hint="eastAsia" w:ascii="宋体" w:hAnsi="宋体" w:cs="宋体"/>
          <w:b/>
          <w:color w:val="auto"/>
          <w:szCs w:val="21"/>
          <w:highlight w:val="none"/>
        </w:rPr>
        <w:t>第四条 价格</w:t>
      </w:r>
    </w:p>
    <w:p w14:paraId="1E929A27">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shd w:val="clear" w:color="auto" w:fill="FFFFFF"/>
        </w:rPr>
      </w:pPr>
      <w:r>
        <w:rPr>
          <w:rFonts w:hint="eastAsia" w:ascii="宋体" w:hAnsi="宋体" w:cs="宋体"/>
          <w:color w:val="auto"/>
          <w:szCs w:val="21"/>
          <w:highlight w:val="none"/>
          <w:shd w:val="clear" w:color="auto" w:fill="FFFFFF"/>
        </w:rPr>
        <w:t>1、合同</w:t>
      </w:r>
      <w:r>
        <w:rPr>
          <w:rFonts w:hint="eastAsia" w:ascii="宋体" w:hAnsi="宋体" w:cs="宋体"/>
          <w:color w:val="auto"/>
          <w:highlight w:val="none"/>
          <w:lang w:val="en-US" w:eastAsia="zh-CN"/>
        </w:rPr>
        <w:t>含税单</w:t>
      </w:r>
      <w:r>
        <w:rPr>
          <w:rFonts w:hint="eastAsia" w:ascii="宋体" w:hAnsi="宋体" w:cs="宋体"/>
          <w:color w:val="auto"/>
          <w:highlight w:val="none"/>
        </w:rPr>
        <w:t>价</w:t>
      </w:r>
      <w:r>
        <w:rPr>
          <w:rFonts w:hint="eastAsia" w:ascii="宋体" w:hAnsi="宋体" w:cs="宋体"/>
          <w:color w:val="auto"/>
          <w:szCs w:val="21"/>
          <w:highlight w:val="none"/>
          <w:shd w:val="clear" w:color="auto" w:fill="FFFFFF"/>
        </w:rPr>
        <w:t>包含：</w:t>
      </w:r>
      <w:r>
        <w:rPr>
          <w:rFonts w:hint="eastAsia" w:ascii="宋体" w:hAnsi="宋体" w:cs="宋体"/>
          <w:color w:val="auto"/>
          <w:szCs w:val="21"/>
          <w:highlight w:val="none"/>
        </w:rPr>
        <w:t>购货成本、包装配送运输、保险、装卸、退换、雇员费用、损耗费、样品费、包装费、检验检测费、质保期售后服务、全额含税发票、合同实施过程中的应预见和不可预见费用等</w:t>
      </w:r>
      <w:r>
        <w:rPr>
          <w:rFonts w:hint="eastAsia" w:ascii="宋体" w:hAnsi="宋体" w:cs="宋体"/>
          <w:color w:val="auto"/>
          <w:szCs w:val="21"/>
          <w:highlight w:val="none"/>
          <w:shd w:val="clear" w:color="auto" w:fill="FFFFFF"/>
        </w:rPr>
        <w:t>，客用食材配送的每天供货种类和供货量由采购人指定，按实际送货种类和验收合格数量据实结算。</w:t>
      </w:r>
    </w:p>
    <w:p w14:paraId="4A98598D">
      <w:pPr>
        <w:pageBreakBefore w:val="0"/>
        <w:shd w:val="clear"/>
        <w:topLinePunct w:val="0"/>
        <w:bidi w:val="0"/>
        <w:spacing w:after="0" w:line="360" w:lineRule="auto"/>
        <w:ind w:firstLine="422" w:firstLineChars="200"/>
        <w:rPr>
          <w:rFonts w:hint="eastAsia" w:ascii="宋体" w:hAnsi="宋体" w:cs="宋体"/>
          <w:color w:val="auto"/>
          <w:highlight w:val="none"/>
        </w:rPr>
      </w:pPr>
      <w:r>
        <w:rPr>
          <w:rFonts w:hint="eastAsia" w:ascii="宋体" w:hAnsi="宋体" w:cs="宋体"/>
          <w:b/>
          <w:bCs/>
          <w:color w:val="auto"/>
          <w:highlight w:val="none"/>
        </w:rPr>
        <w:t>2、物资明细表（详见附件）</w:t>
      </w:r>
    </w:p>
    <w:p w14:paraId="513E3CAC">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注：①</w:t>
      </w:r>
      <w:r>
        <w:rPr>
          <w:rFonts w:hint="eastAsia" w:asciiTheme="minorEastAsia" w:hAnsiTheme="minorEastAsia" w:eastAsiaTheme="minorEastAsia"/>
          <w:color w:val="auto"/>
          <w:szCs w:val="21"/>
          <w:highlight w:val="none"/>
        </w:rPr>
        <w:t>结算时统一采用以下方式计算费用：当月含税结算总价 = 当月适用的不含税结算单价 × (1 + 增值税</w:t>
      </w:r>
      <w:r>
        <w:rPr>
          <w:rFonts w:hint="eastAsia" w:asciiTheme="minorEastAsia" w:hAnsiTheme="minorEastAsia" w:eastAsiaTheme="minorEastAsia"/>
          <w:color w:val="auto"/>
          <w:szCs w:val="21"/>
          <w:highlight w:val="none"/>
          <w:lang w:val="en-US" w:eastAsia="zh-CN"/>
        </w:rPr>
        <w:t>专票</w:t>
      </w:r>
      <w:r>
        <w:rPr>
          <w:rFonts w:hint="eastAsia" w:asciiTheme="minorEastAsia" w:hAnsiTheme="minorEastAsia" w:eastAsiaTheme="minorEastAsia"/>
          <w:color w:val="auto"/>
          <w:szCs w:val="21"/>
          <w:highlight w:val="none"/>
        </w:rPr>
        <w:t>税率) × 当月实际验收合格数量</w:t>
      </w:r>
    </w:p>
    <w:p w14:paraId="25F18C4B">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Theme="minorEastAsia" w:hAnsiTheme="minorEastAsia" w:eastAsiaTheme="minorEastAsia"/>
          <w:color w:val="auto"/>
          <w:szCs w:val="21"/>
          <w:highlight w:val="none"/>
        </w:rPr>
        <w:t>②</w:t>
      </w:r>
      <w:r>
        <w:rPr>
          <w:rFonts w:hint="eastAsia" w:ascii="宋体" w:hAnsi="宋体" w:cs="宋体"/>
          <w:color w:val="auto"/>
          <w:szCs w:val="21"/>
          <w:highlight w:val="none"/>
        </w:rPr>
        <w:t>甲方需求品种包含但不限于明细表中所列的品种；未列入物资明细表内又需要购买的货品，其单价由甲方及乙方双方以定价原则确定供货价格。</w:t>
      </w:r>
    </w:p>
    <w:p w14:paraId="6441E149">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3、本合同约定增值税</w:t>
      </w:r>
      <w:r>
        <w:rPr>
          <w:rFonts w:hint="eastAsia" w:ascii="宋体" w:hAnsi="宋体" w:cs="宋体"/>
          <w:color w:val="auto"/>
          <w:szCs w:val="21"/>
          <w:highlight w:val="none"/>
          <w:lang w:val="en-US" w:eastAsia="zh-CN"/>
        </w:rPr>
        <w:t>专票</w:t>
      </w:r>
      <w:r>
        <w:rPr>
          <w:rFonts w:hint="eastAsia" w:ascii="宋体" w:hAnsi="宋体" w:cs="宋体"/>
          <w:color w:val="auto"/>
          <w:szCs w:val="21"/>
          <w:highlight w:val="none"/>
        </w:rPr>
        <w:t>税率：为 %（即乙方在中标时申报并承诺可开具的增值税专用发票税率）。此税率在合同期内固定，除非国家税收法律强制调整。</w:t>
      </w:r>
    </w:p>
    <w:p w14:paraId="56A59A81">
      <w:pPr>
        <w:pageBreakBefore w:val="0"/>
        <w:shd w:val="clear"/>
        <w:kinsoku w:val="0"/>
        <w:wordWrap w:val="0"/>
        <w:topLinePunct w:val="0"/>
        <w:bidi w:val="0"/>
        <w:spacing w:after="0" w:line="360" w:lineRule="auto"/>
        <w:rPr>
          <w:rFonts w:hint="eastAsia" w:ascii="宋体" w:hAnsi="宋体" w:cs="宋体"/>
          <w:b/>
          <w:color w:val="auto"/>
          <w:szCs w:val="21"/>
          <w:highlight w:val="none"/>
        </w:rPr>
      </w:pPr>
      <w:r>
        <w:rPr>
          <w:rFonts w:hint="eastAsia" w:ascii="宋体" w:hAnsi="宋体" w:cs="宋体"/>
          <w:b/>
          <w:color w:val="auto"/>
          <w:szCs w:val="21"/>
          <w:highlight w:val="none"/>
        </w:rPr>
        <w:t>第五条 服务期限及地点</w:t>
      </w:r>
    </w:p>
    <w:p w14:paraId="6AC3D20C">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1、服务期：12个月，即自       年  月  日至     年  月  日止。</w:t>
      </w:r>
      <w:r>
        <w:rPr>
          <w:rFonts w:hint="eastAsia" w:ascii="宋体" w:hAnsi="宋体" w:cs="宋体"/>
          <w:color w:val="auto"/>
          <w:szCs w:val="21"/>
          <w:highlight w:val="none"/>
          <w:lang w:eastAsia="zh-CN"/>
        </w:rPr>
        <w:t>（期满后</w:t>
      </w:r>
      <w:r>
        <w:rPr>
          <w:rFonts w:hint="eastAsia" w:ascii="宋体" w:hAnsi="宋体" w:cs="宋体"/>
          <w:color w:val="auto"/>
          <w:szCs w:val="21"/>
          <w:highlight w:val="none"/>
          <w:lang w:val="en-US" w:eastAsia="zh-CN"/>
        </w:rPr>
        <w:t>甲方</w:t>
      </w:r>
      <w:r>
        <w:rPr>
          <w:rFonts w:hint="eastAsia" w:ascii="宋体" w:hAnsi="宋体" w:cs="宋体"/>
          <w:color w:val="auto"/>
          <w:szCs w:val="21"/>
          <w:highlight w:val="none"/>
          <w:lang w:eastAsia="zh-CN"/>
        </w:rPr>
        <w:t>结合</w:t>
      </w:r>
      <w:r>
        <w:rPr>
          <w:rFonts w:hint="eastAsia" w:ascii="宋体" w:hAnsi="宋体" w:cs="宋体"/>
          <w:color w:val="auto"/>
          <w:szCs w:val="21"/>
          <w:highlight w:val="none"/>
          <w:lang w:val="en-US" w:eastAsia="zh-CN"/>
        </w:rPr>
        <w:t>乙方</w:t>
      </w:r>
      <w:r>
        <w:rPr>
          <w:rFonts w:hint="eastAsia" w:ascii="宋体" w:hAnsi="宋体" w:cs="宋体"/>
          <w:color w:val="auto"/>
          <w:szCs w:val="21"/>
          <w:highlight w:val="none"/>
          <w:lang w:eastAsia="zh-CN"/>
        </w:rPr>
        <w:t>履约情况，经综合评定后可考虑续签合同，续签期限最长为一年，服务总期限最长不超过</w:t>
      </w:r>
      <w:r>
        <w:rPr>
          <w:rFonts w:hint="eastAsia" w:ascii="宋体" w:hAnsi="宋体" w:cs="宋体"/>
          <w:color w:val="auto"/>
          <w:szCs w:val="21"/>
          <w:highlight w:val="none"/>
          <w:lang w:val="en-US" w:eastAsia="zh-CN"/>
        </w:rPr>
        <w:t>两</w:t>
      </w:r>
      <w:r>
        <w:rPr>
          <w:rFonts w:hint="eastAsia" w:ascii="宋体" w:hAnsi="宋体" w:cs="宋体"/>
          <w:color w:val="auto"/>
          <w:szCs w:val="21"/>
          <w:highlight w:val="none"/>
          <w:lang w:eastAsia="zh-CN"/>
        </w:rPr>
        <w:t>年）</w:t>
      </w:r>
      <w:r>
        <w:rPr>
          <w:rFonts w:hint="eastAsia" w:ascii="宋体" w:hAnsi="宋体" w:cs="宋体"/>
          <w:color w:val="auto"/>
          <w:szCs w:val="21"/>
          <w:highlight w:val="none"/>
        </w:rPr>
        <w:t>。</w:t>
      </w:r>
    </w:p>
    <w:p w14:paraId="64943D9F">
      <w:pPr>
        <w:pageBreakBefore w:val="0"/>
        <w:shd w:val="clear"/>
        <w:kinsoku w:val="0"/>
        <w:wordWrap w:val="0"/>
        <w:topLinePunct w:val="0"/>
        <w:bidi w:val="0"/>
        <w:spacing w:after="0" w:line="360" w:lineRule="auto"/>
        <w:ind w:firstLine="420" w:firstLineChars="200"/>
        <w:rPr>
          <w:rFonts w:hint="eastAsia" w:ascii="宋体" w:hAnsi="宋体" w:cs="宋体"/>
          <w:color w:val="auto"/>
          <w:highlight w:val="none"/>
        </w:rPr>
      </w:pPr>
      <w:r>
        <w:rPr>
          <w:rFonts w:hint="eastAsia" w:ascii="宋体" w:hAnsi="宋体" w:cs="宋体"/>
          <w:color w:val="auto"/>
          <w:szCs w:val="21"/>
          <w:highlight w:val="none"/>
        </w:rPr>
        <w:t>2、服</w:t>
      </w:r>
      <w:r>
        <w:rPr>
          <w:rFonts w:hint="eastAsia" w:ascii="宋体" w:hAnsi="宋体" w:cs="宋体"/>
          <w:color w:val="auto"/>
          <w:highlight w:val="none"/>
        </w:rPr>
        <w:t>务地点：</w:t>
      </w:r>
      <w:r>
        <w:rPr>
          <w:rFonts w:hint="eastAsia" w:ascii="宋体" w:hAnsi="宋体" w:cs="宋体"/>
          <w:color w:val="auto"/>
          <w:szCs w:val="21"/>
          <w:highlight w:val="none"/>
        </w:rPr>
        <w:t>甲方指定地点分别为东莞迎宾馆（地址：东莞市南城区桃源路1号）；“莞萃园”中餐厅（地址：东莞市南城区簪花路与东莞大道交叉口睿派R&amp;APARK5栋三楼）；东莞松湖迎宾里酒店有限公司湾大分公司（东莞市松山湖大学路南大湾区大学（松山湖校区）-东门）</w:t>
      </w:r>
      <w:r>
        <w:rPr>
          <w:rFonts w:hint="eastAsia"/>
          <w:color w:val="auto"/>
          <w:highlight w:val="none"/>
        </w:rPr>
        <w:t>等。</w:t>
      </w:r>
    </w:p>
    <w:p w14:paraId="327AF2C4">
      <w:pPr>
        <w:pageBreakBefore w:val="0"/>
        <w:shd w:val="clear"/>
        <w:kinsoku w:val="0"/>
        <w:wordWrap w:val="0"/>
        <w:topLinePunct w:val="0"/>
        <w:bidi w:val="0"/>
        <w:spacing w:after="0" w:line="360" w:lineRule="auto"/>
        <w:rPr>
          <w:rFonts w:hint="eastAsia" w:ascii="宋体" w:hAnsi="宋体" w:cs="宋体"/>
          <w:b/>
          <w:color w:val="auto"/>
          <w:szCs w:val="21"/>
          <w:highlight w:val="none"/>
        </w:rPr>
      </w:pPr>
      <w:r>
        <w:rPr>
          <w:rFonts w:hint="eastAsia" w:ascii="宋体" w:hAnsi="宋体" w:cs="宋体"/>
          <w:b/>
          <w:color w:val="auto"/>
          <w:szCs w:val="21"/>
          <w:highlight w:val="none"/>
        </w:rPr>
        <w:t>第六条 付款方式及供货价格要求</w:t>
      </w:r>
    </w:p>
    <w:p w14:paraId="76F1973F">
      <w:pPr>
        <w:pStyle w:val="27"/>
        <w:pageBreakBefore w:val="0"/>
        <w:shd w:val="clear"/>
        <w:kinsoku w:val="0"/>
        <w:wordWrap w:val="0"/>
        <w:topLinePunct w:val="0"/>
        <w:bidi w:val="0"/>
        <w:adjustRightInd w:val="0"/>
        <w:snapToGrid w:val="0"/>
        <w:spacing w:after="0"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一）付款方式：</w:t>
      </w:r>
    </w:p>
    <w:p w14:paraId="497E48BB">
      <w:pPr>
        <w:pStyle w:val="27"/>
        <w:pageBreakBefore w:val="0"/>
        <w:shd w:val="clear"/>
        <w:kinsoku w:val="0"/>
        <w:wordWrap w:val="0"/>
        <w:topLinePunct w:val="0"/>
        <w:bidi w:val="0"/>
        <w:adjustRightInd w:val="0"/>
        <w:snapToGrid w:val="0"/>
        <w:spacing w:after="0"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本合同的付款方式为：采取“先送货后结款”的方式，货款按月进行考核核算，当月含税结算总价 = 当月适用的不含税结算单价 × (1 + 增值税税率) × 当月实际验收合格数量。  </w:t>
      </w:r>
    </w:p>
    <w:p w14:paraId="1E7B2B70">
      <w:pPr>
        <w:pStyle w:val="27"/>
        <w:pageBreakBefore w:val="0"/>
        <w:shd w:val="clear"/>
        <w:kinsoku w:val="0"/>
        <w:wordWrap w:val="0"/>
        <w:topLinePunct w:val="0"/>
        <w:bidi w:val="0"/>
        <w:adjustRightInd w:val="0"/>
        <w:snapToGrid w:val="0"/>
        <w:spacing w:after="0"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每月结束后，乙方在10日内根据上月的收货凭证与甲方对上月货款进行确认结算。乙方根据实际结算金额，开具符合法律规定和合同约定的增值税专用发票，并与其他请款资料一并提交给甲方，甲方收到并核对无误后，90日内以银行转账方式支付货款。</w:t>
      </w:r>
    </w:p>
    <w:p w14:paraId="605D4082">
      <w:pPr>
        <w:pStyle w:val="27"/>
        <w:pageBreakBefore w:val="0"/>
        <w:shd w:val="clear"/>
        <w:kinsoku w:val="0"/>
        <w:wordWrap w:val="0"/>
        <w:topLinePunct w:val="0"/>
        <w:bidi w:val="0"/>
        <w:adjustRightInd w:val="0"/>
        <w:snapToGrid w:val="0"/>
        <w:spacing w:after="0"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3、收款方、发票的销售方、合同乙方均必须与乙方名称一致。</w:t>
      </w:r>
    </w:p>
    <w:p w14:paraId="47DE917A">
      <w:pPr>
        <w:pStyle w:val="27"/>
        <w:pageBreakBefore w:val="0"/>
        <w:shd w:val="clear"/>
        <w:kinsoku w:val="0"/>
        <w:wordWrap w:val="0"/>
        <w:topLinePunct w:val="0"/>
        <w:bidi w:val="0"/>
        <w:adjustRightInd w:val="0"/>
        <w:snapToGrid w:val="0"/>
        <w:spacing w:after="0"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4、按照现行税收政策规定，每次付款前，乙方必须提供合法有效、与本合同总价款条款中增值税税率一致（税收政策变化导致税率发生变化的除外）的增值税发票给甲方，否则甲方有权拒绝付款且不构成违约。</w:t>
      </w:r>
    </w:p>
    <w:p w14:paraId="58DB8B81">
      <w:pPr>
        <w:pStyle w:val="27"/>
        <w:pageBreakBefore w:val="0"/>
        <w:shd w:val="clear"/>
        <w:kinsoku w:val="0"/>
        <w:wordWrap w:val="0"/>
        <w:topLinePunct w:val="0"/>
        <w:bidi w:val="0"/>
        <w:adjustRightInd w:val="0"/>
        <w:snapToGrid w:val="0"/>
        <w:spacing w:after="0"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二）供货价格要求：</w:t>
      </w:r>
    </w:p>
    <w:p w14:paraId="7289F033">
      <w:pPr>
        <w:pStyle w:val="27"/>
        <w:pageBreakBefore w:val="0"/>
        <w:shd w:val="clear"/>
        <w:kinsoku w:val="0"/>
        <w:wordWrap w:val="0"/>
        <w:topLinePunct w:val="0"/>
        <w:bidi w:val="0"/>
        <w:adjustRightInd w:val="0"/>
        <w:snapToGrid w:val="0"/>
        <w:spacing w:after="0"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本项目的供货价格形式为不含税单价，为甲方指定目的地交货价。包含：购货成本、包装配送运输、保险、装卸、退换、雇员费用、损耗费、样品费、包装费、检验检测费、质保期售后服务等所有成本及合理利润，但不包含增值税。合同实施过程中的应预见和不可预见费用已包含在内，甲方将拒绝支付合同约定价格之外的任何费用和补偿。</w:t>
      </w:r>
    </w:p>
    <w:p w14:paraId="7E65BAA5">
      <w:pPr>
        <w:pStyle w:val="27"/>
        <w:pageBreakBefore w:val="0"/>
        <w:shd w:val="clear"/>
        <w:kinsoku w:val="0"/>
        <w:wordWrap w:val="0"/>
        <w:topLinePunct w:val="0"/>
        <w:bidi w:val="0"/>
        <w:adjustRightInd w:val="0"/>
        <w:snapToGrid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 w:val="21"/>
          <w:szCs w:val="21"/>
          <w:highlight w:val="none"/>
        </w:rPr>
        <w:t>2、中标后，建立价格调整机制。签订合同后前3个月内定价不变，以乙方投标</w:t>
      </w:r>
      <w:r>
        <w:rPr>
          <w:rFonts w:hint="eastAsia" w:ascii="宋体" w:hAnsi="宋体" w:cs="宋体"/>
          <w:color w:val="auto"/>
          <w:sz w:val="21"/>
          <w:szCs w:val="21"/>
          <w:highlight w:val="none"/>
          <w:lang w:val="en-US" w:eastAsia="zh-CN"/>
        </w:rPr>
        <w:t>不含税</w:t>
      </w:r>
      <w:r>
        <w:rPr>
          <w:rFonts w:hint="eastAsia" w:ascii="宋体" w:hAnsi="宋体" w:cs="宋体"/>
          <w:color w:val="auto"/>
          <w:sz w:val="21"/>
          <w:szCs w:val="21"/>
          <w:highlight w:val="none"/>
        </w:rPr>
        <w:t>单价报价为准；3个月后每月可重新定价一次。</w:t>
      </w:r>
      <w:bookmarkStart w:id="200" w:name="OLE_LINK6"/>
      <w:r>
        <w:rPr>
          <w:rFonts w:hint="eastAsia" w:ascii="宋体" w:hAnsi="宋体" w:cs="宋体"/>
          <w:color w:val="auto"/>
          <w:sz w:val="21"/>
          <w:szCs w:val="21"/>
          <w:highlight w:val="none"/>
        </w:rPr>
        <w:t>除出现市场上价格涨跌幅超过20%的情况外，原则上双方后续每个价格周期的结算价（不含税价）不得高于首个价格周期的结算单价（不含税价）。市场价抽样调查基准价=市场平均价=市场抽样价格之和/价格样本数，原则上价格样本数为3个或以上，但市调时提供该商品的市场商家不足3家除外。</w:t>
      </w:r>
      <w:r>
        <w:rPr>
          <w:rFonts w:hint="eastAsia" w:ascii="宋体" w:hAnsi="宋体" w:cs="宋体"/>
          <w:color w:val="auto"/>
          <w:sz w:val="21"/>
          <w:szCs w:val="21"/>
          <w:highlight w:val="none"/>
          <w:lang w:eastAsia="zh-CN"/>
        </w:rPr>
        <w:t>海鲜水产类</w:t>
      </w:r>
      <w:r>
        <w:rPr>
          <w:rFonts w:hint="eastAsia" w:ascii="宋体" w:hAnsi="宋体" w:cs="宋体"/>
          <w:color w:val="auto"/>
          <w:sz w:val="21"/>
          <w:szCs w:val="21"/>
          <w:highlight w:val="none"/>
        </w:rPr>
        <w:t>市场价抽样调查，可选择大型综合超市或在东莞虎门海鲜市场、广州黄沙水产中心、深圳蛇口海鲜市场等，进行市场价抽样调查；核定相同货品的市场平均价格。新的不含税结算单价按以下公式核定:新的不含税结算单价=新的含税市场基准价/(1+增值税专票税率)。市场抽样调查的样本应当具有广泛的代表性，且抽样价格明显异常的（如偏离市场平均水平过大）应予剔除。市场价抽样调查由</w:t>
      </w:r>
      <w:r>
        <w:rPr>
          <w:rFonts w:hint="eastAsia" w:ascii="宋体" w:hAnsi="宋体" w:cs="宋体"/>
          <w:color w:val="auto"/>
          <w:sz w:val="21"/>
          <w:szCs w:val="21"/>
          <w:highlight w:val="none"/>
          <w:lang w:eastAsia="zh-CN"/>
        </w:rPr>
        <w:t>甲方</w:t>
      </w:r>
      <w:r>
        <w:rPr>
          <w:rFonts w:hint="eastAsia" w:ascii="宋体" w:hAnsi="宋体" w:cs="宋体"/>
          <w:color w:val="auto"/>
          <w:sz w:val="21"/>
          <w:szCs w:val="21"/>
          <w:highlight w:val="none"/>
        </w:rPr>
        <w:t>组织，</w:t>
      </w:r>
      <w:r>
        <w:rPr>
          <w:rFonts w:hint="eastAsia" w:ascii="宋体" w:hAnsi="宋体" w:cs="宋体"/>
          <w:color w:val="auto"/>
          <w:sz w:val="21"/>
          <w:szCs w:val="21"/>
          <w:highlight w:val="none"/>
          <w:lang w:eastAsia="zh-CN"/>
        </w:rPr>
        <w:t>乙方</w:t>
      </w:r>
      <w:r>
        <w:rPr>
          <w:rFonts w:hint="eastAsia" w:ascii="宋体" w:hAnsi="宋体" w:cs="宋体"/>
          <w:color w:val="auto"/>
          <w:sz w:val="21"/>
          <w:szCs w:val="21"/>
          <w:highlight w:val="none"/>
        </w:rPr>
        <w:t>可派员参与见证。双方对抽样调查结果有争议的，应当在收到结果后2个工作日内提出复核，复核仍不成的，以</w:t>
      </w:r>
      <w:r>
        <w:rPr>
          <w:rFonts w:hint="eastAsia" w:ascii="宋体" w:hAnsi="宋体" w:cs="宋体"/>
          <w:color w:val="auto"/>
          <w:sz w:val="21"/>
          <w:szCs w:val="21"/>
          <w:highlight w:val="none"/>
          <w:lang w:eastAsia="zh-CN"/>
        </w:rPr>
        <w:t>甲方</w:t>
      </w:r>
      <w:r>
        <w:rPr>
          <w:rFonts w:hint="eastAsia" w:ascii="宋体" w:hAnsi="宋体" w:cs="宋体"/>
          <w:color w:val="auto"/>
          <w:sz w:val="21"/>
          <w:szCs w:val="21"/>
          <w:highlight w:val="none"/>
        </w:rPr>
        <w:t>最终核定的市场基准价为准执行，</w:t>
      </w:r>
      <w:r>
        <w:rPr>
          <w:rFonts w:hint="eastAsia" w:ascii="宋体" w:hAnsi="宋体" w:cs="宋体"/>
          <w:color w:val="auto"/>
          <w:sz w:val="21"/>
          <w:szCs w:val="21"/>
          <w:highlight w:val="none"/>
          <w:lang w:eastAsia="zh-CN"/>
        </w:rPr>
        <w:t>乙方</w:t>
      </w:r>
      <w:r>
        <w:rPr>
          <w:rFonts w:hint="eastAsia" w:ascii="宋体" w:hAnsi="宋体" w:cs="宋体"/>
          <w:color w:val="auto"/>
          <w:sz w:val="21"/>
          <w:szCs w:val="21"/>
          <w:highlight w:val="none"/>
        </w:rPr>
        <w:t>不得以此拒绝供货。</w:t>
      </w:r>
      <w:bookmarkEnd w:id="200"/>
    </w:p>
    <w:p w14:paraId="7A3A41D9">
      <w:pPr>
        <w:pStyle w:val="27"/>
        <w:pageBreakBefore w:val="0"/>
        <w:shd w:val="clear"/>
        <w:kinsoku w:val="0"/>
        <w:wordWrap w:val="0"/>
        <w:topLinePunct w:val="0"/>
        <w:bidi w:val="0"/>
        <w:adjustRightInd w:val="0"/>
        <w:snapToGrid w:val="0"/>
        <w:spacing w:after="0"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3、甲方临时需求货品不在核定的供货价格清单内的，乙方必须按甲方要求供货，供货价格由双方采用市场抽样调查的方式确定供货价格。</w:t>
      </w:r>
    </w:p>
    <w:p w14:paraId="228BCAFC">
      <w:pPr>
        <w:pStyle w:val="27"/>
        <w:pageBreakBefore w:val="0"/>
        <w:shd w:val="clear"/>
        <w:kinsoku w:val="0"/>
        <w:wordWrap w:val="0"/>
        <w:topLinePunct w:val="0"/>
        <w:bidi w:val="0"/>
        <w:adjustRightInd w:val="0"/>
        <w:snapToGrid w:val="0"/>
        <w:spacing w:after="0"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4、乙方不得擅自变更货物品种及产地、包装、规格和重量等，严格按甲方要求供应，否则甲方有权拒收。对不易购买或暂时短缺的品种，经甲方同意，可由乙方通过其它途径采购或使用指定替代品替换，价格按上述规定的市场价抽样调查平均价确定。</w:t>
      </w:r>
    </w:p>
    <w:p w14:paraId="0F96502F">
      <w:pPr>
        <w:pStyle w:val="27"/>
        <w:pageBreakBefore w:val="0"/>
        <w:shd w:val="clear"/>
        <w:kinsoku w:val="0"/>
        <w:wordWrap w:val="0"/>
        <w:topLinePunct w:val="0"/>
        <w:bidi w:val="0"/>
        <w:adjustRightInd w:val="0"/>
        <w:snapToGrid w:val="0"/>
        <w:spacing w:after="0"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5、甲方根据自身的需求，有权终止某类中的某些商品的采购或变更某类商品的采购。</w:t>
      </w:r>
    </w:p>
    <w:p w14:paraId="2C6A7D97">
      <w:pPr>
        <w:pStyle w:val="27"/>
        <w:pageBreakBefore w:val="0"/>
        <w:shd w:val="clear"/>
        <w:kinsoku w:val="0"/>
        <w:wordWrap w:val="0"/>
        <w:topLinePunct w:val="0"/>
        <w:bidi w:val="0"/>
        <w:adjustRightInd w:val="0"/>
        <w:snapToGrid w:val="0"/>
        <w:spacing w:after="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r>
        <w:rPr>
          <w:rFonts w:hint="eastAsia" w:ascii="宋体" w:hAnsi="宋体" w:eastAsia="宋体" w:cs="宋体"/>
          <w:color w:val="auto"/>
          <w:sz w:val="21"/>
          <w:szCs w:val="21"/>
          <w:highlight w:val="none"/>
          <w:lang w:val="en-US" w:eastAsia="zh-CN"/>
        </w:rPr>
        <w:t>乙方在</w:t>
      </w:r>
      <w:r>
        <w:rPr>
          <w:rFonts w:hint="eastAsia" w:ascii="宋体" w:hAnsi="宋体" w:eastAsia="宋体" w:cs="宋体"/>
          <w:color w:val="auto"/>
          <w:sz w:val="21"/>
          <w:szCs w:val="21"/>
          <w:highlight w:val="none"/>
        </w:rPr>
        <w:t>每个价格周期前</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个工作日报价给</w:t>
      </w:r>
      <w:r>
        <w:rPr>
          <w:rFonts w:hint="eastAsia" w:ascii="宋体" w:hAnsi="宋体" w:eastAsia="宋体" w:cs="宋体"/>
          <w:color w:val="auto"/>
          <w:sz w:val="21"/>
          <w:szCs w:val="21"/>
          <w:highlight w:val="none"/>
          <w:lang w:val="en-US" w:eastAsia="zh-CN"/>
        </w:rPr>
        <w:t>甲方</w:t>
      </w:r>
      <w:r>
        <w:rPr>
          <w:rFonts w:hint="eastAsia" w:ascii="宋体" w:hAnsi="宋体" w:eastAsia="宋体" w:cs="宋体"/>
          <w:color w:val="auto"/>
          <w:sz w:val="21"/>
          <w:szCs w:val="21"/>
          <w:highlight w:val="none"/>
        </w:rPr>
        <w:t>审核，</w:t>
      </w:r>
      <w:r>
        <w:rPr>
          <w:rFonts w:hint="eastAsia" w:ascii="宋体" w:hAnsi="宋体" w:eastAsia="宋体" w:cs="宋体"/>
          <w:color w:val="auto"/>
          <w:sz w:val="21"/>
          <w:szCs w:val="21"/>
          <w:highlight w:val="none"/>
          <w:lang w:val="en-US" w:eastAsia="zh-CN"/>
        </w:rPr>
        <w:t>甲方结合</w:t>
      </w:r>
      <w:r>
        <w:rPr>
          <w:rFonts w:hint="eastAsia" w:ascii="宋体" w:hAnsi="宋体" w:eastAsia="宋体" w:cs="宋体"/>
          <w:color w:val="auto"/>
          <w:sz w:val="21"/>
          <w:szCs w:val="21"/>
          <w:highlight w:val="none"/>
        </w:rPr>
        <w:t>市场价</w:t>
      </w:r>
      <w:r>
        <w:rPr>
          <w:rFonts w:hint="eastAsia" w:ascii="宋体" w:hAnsi="宋体" w:eastAsia="宋体" w:cs="宋体"/>
          <w:color w:val="auto"/>
          <w:sz w:val="21"/>
          <w:szCs w:val="21"/>
          <w:highlight w:val="none"/>
          <w:lang w:val="en-US" w:eastAsia="zh-CN"/>
        </w:rPr>
        <w:t>格</w:t>
      </w:r>
      <w:r>
        <w:rPr>
          <w:rFonts w:hint="eastAsia" w:ascii="宋体" w:hAnsi="宋体" w:eastAsia="宋体" w:cs="宋体"/>
          <w:color w:val="auto"/>
          <w:sz w:val="21"/>
          <w:szCs w:val="21"/>
          <w:highlight w:val="none"/>
        </w:rPr>
        <w:t>抽样调查结果审核同意</w:t>
      </w:r>
      <w:r>
        <w:rPr>
          <w:rFonts w:hint="eastAsia" w:ascii="宋体" w:hAnsi="宋体" w:eastAsia="宋体" w:cs="宋体"/>
          <w:color w:val="auto"/>
          <w:sz w:val="21"/>
          <w:szCs w:val="21"/>
          <w:highlight w:val="none"/>
          <w:lang w:val="en-US" w:eastAsia="zh-CN"/>
        </w:rPr>
        <w:t>并完成相关审批流程后生效</w:t>
      </w:r>
      <w:r>
        <w:rPr>
          <w:rFonts w:hint="eastAsia" w:ascii="宋体" w:hAnsi="宋体" w:eastAsia="宋体" w:cs="宋体"/>
          <w:color w:val="auto"/>
          <w:sz w:val="21"/>
          <w:szCs w:val="21"/>
          <w:highlight w:val="none"/>
        </w:rPr>
        <w:t>。若通过市场调查确定基准价的，则由</w:t>
      </w:r>
      <w:r>
        <w:rPr>
          <w:rFonts w:hint="eastAsia" w:ascii="宋体" w:hAnsi="宋体" w:eastAsia="宋体" w:cs="宋体"/>
          <w:color w:val="auto"/>
          <w:sz w:val="21"/>
          <w:szCs w:val="21"/>
          <w:highlight w:val="none"/>
          <w:lang w:val="en-US" w:eastAsia="zh-CN"/>
        </w:rPr>
        <w:t>甲方</w:t>
      </w:r>
      <w:r>
        <w:rPr>
          <w:rFonts w:hint="eastAsia" w:ascii="宋体" w:hAnsi="宋体" w:eastAsia="宋体" w:cs="宋体"/>
          <w:color w:val="auto"/>
          <w:sz w:val="21"/>
          <w:szCs w:val="21"/>
          <w:highlight w:val="none"/>
        </w:rPr>
        <w:t>按上述方式进行市场抽样调查并将调查价格报</w:t>
      </w:r>
      <w:r>
        <w:rPr>
          <w:rFonts w:hint="eastAsia" w:ascii="宋体" w:hAnsi="宋体" w:eastAsia="宋体" w:cs="宋体"/>
          <w:color w:val="auto"/>
          <w:sz w:val="21"/>
          <w:szCs w:val="21"/>
          <w:highlight w:val="none"/>
          <w:lang w:val="en-US" w:eastAsia="zh-CN"/>
        </w:rPr>
        <w:t>乙方</w:t>
      </w:r>
      <w:r>
        <w:rPr>
          <w:rFonts w:hint="eastAsia" w:ascii="宋体" w:hAnsi="宋体" w:eastAsia="宋体" w:cs="宋体"/>
          <w:color w:val="auto"/>
          <w:sz w:val="21"/>
          <w:szCs w:val="21"/>
          <w:highlight w:val="none"/>
        </w:rPr>
        <w:t>确认。</w:t>
      </w:r>
    </w:p>
    <w:p w14:paraId="4E15ABCB">
      <w:pPr>
        <w:pStyle w:val="27"/>
        <w:pageBreakBefore w:val="0"/>
        <w:shd w:val="clear"/>
        <w:kinsoku w:val="0"/>
        <w:wordWrap w:val="0"/>
        <w:topLinePunct w:val="0"/>
        <w:bidi w:val="0"/>
        <w:adjustRightInd w:val="0"/>
        <w:snapToGrid w:val="0"/>
        <w:spacing w:after="0"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7、核定价格后，若供货期间市场商品价格涨跌幅度达到20%及以上的，双方任一方均有权以书面形式提出价格调整请求（未提出价格调整请求的物资，仍按原核定价格执行）。一方提出调价请求后，双方开展市场调查核实，按照定价原则重新确定价格，并应于3 个工作日内予以书面函复。新价格经双方确认生效后执行，调价生效前已发生的供货仍按原核定价格执行。若收到调价请求一方在上述 3 个工作日期限内未予以书面函复的，默认认可调价请求，双方按新价格执行。除前述情形外，双方约定的供货物资价格在有效期内，任何一方不得随意变更。</w:t>
      </w:r>
    </w:p>
    <w:p w14:paraId="70742435">
      <w:pPr>
        <w:pStyle w:val="27"/>
        <w:pageBreakBefore w:val="0"/>
        <w:shd w:val="clear"/>
        <w:kinsoku w:val="0"/>
        <w:wordWrap w:val="0"/>
        <w:topLinePunct w:val="0"/>
        <w:bidi w:val="0"/>
        <w:adjustRightInd w:val="0"/>
        <w:snapToGrid w:val="0"/>
        <w:spacing w:after="0" w:line="360" w:lineRule="auto"/>
        <w:ind w:firstLine="420" w:firstLineChars="200"/>
        <w:rPr>
          <w:rFonts w:hint="eastAsia" w:ascii="宋体" w:hAnsi="宋体" w:cs="宋体"/>
          <w:color w:val="auto"/>
          <w:sz w:val="21"/>
          <w:szCs w:val="21"/>
          <w:highlight w:val="none"/>
        </w:rPr>
      </w:pPr>
      <w:bookmarkStart w:id="201" w:name="OLE_LINK14"/>
      <w:r>
        <w:rPr>
          <w:rFonts w:hint="eastAsia" w:ascii="宋体" w:hAnsi="宋体" w:cs="宋体"/>
          <w:color w:val="auto"/>
          <w:sz w:val="21"/>
          <w:szCs w:val="21"/>
          <w:highlight w:val="none"/>
          <w:lang w:val="en-US" w:eastAsia="zh-CN"/>
        </w:rPr>
        <w:t>8、甲方发现乙方的供货价格高于市场价20%且未通知甲方进行价格调整的，甲方有权要求从指定时间开始按市调价格结算，如当月已结算的金额须在后续结算金额中扣除，并且每次处以违约金2000元</w:t>
      </w:r>
      <w:r>
        <w:rPr>
          <w:rFonts w:hint="eastAsia" w:ascii="宋体" w:hAnsi="宋体" w:cs="宋体"/>
          <w:color w:val="auto"/>
          <w:sz w:val="21"/>
          <w:szCs w:val="21"/>
          <w:highlight w:val="none"/>
        </w:rPr>
        <w:t>。</w:t>
      </w:r>
    </w:p>
    <w:bookmarkEnd w:id="201"/>
    <w:p w14:paraId="3D803A39">
      <w:pPr>
        <w:pStyle w:val="27"/>
        <w:pageBreakBefore w:val="0"/>
        <w:shd w:val="clear"/>
        <w:kinsoku w:val="0"/>
        <w:wordWrap w:val="0"/>
        <w:topLinePunct w:val="0"/>
        <w:bidi w:val="0"/>
        <w:adjustRightInd w:val="0"/>
        <w:snapToGrid w:val="0"/>
        <w:spacing w:after="0" w:line="360" w:lineRule="auto"/>
        <w:ind w:firstLine="420" w:firstLineChars="200"/>
        <w:rPr>
          <w:color w:val="auto"/>
          <w:sz w:val="21"/>
          <w:szCs w:val="21"/>
          <w:highlight w:val="none"/>
        </w:rPr>
      </w:pPr>
      <w:r>
        <w:rPr>
          <w:rFonts w:hint="eastAsia" w:ascii="宋体" w:hAnsi="宋体" w:cs="宋体"/>
          <w:color w:val="auto"/>
          <w:sz w:val="21"/>
          <w:szCs w:val="21"/>
          <w:highlight w:val="none"/>
          <w:lang w:val="en-US" w:eastAsia="zh-CN"/>
        </w:rPr>
        <w:t>9</w:t>
      </w:r>
      <w:r>
        <w:rPr>
          <w:rFonts w:hint="eastAsia" w:ascii="宋体" w:hAnsi="宋体" w:cs="宋体"/>
          <w:color w:val="auto"/>
          <w:sz w:val="21"/>
          <w:szCs w:val="21"/>
          <w:highlight w:val="none"/>
        </w:rPr>
        <w:t>、履约担保金额为：     元 。</w:t>
      </w:r>
    </w:p>
    <w:p w14:paraId="5DE673A3">
      <w:pPr>
        <w:pStyle w:val="27"/>
        <w:pageBreakBefore w:val="0"/>
        <w:shd w:val="clear"/>
        <w:kinsoku w:val="0"/>
        <w:wordWrap w:val="0"/>
        <w:topLinePunct w:val="0"/>
        <w:bidi w:val="0"/>
        <w:adjustRightInd w:val="0"/>
        <w:snapToGrid w:val="0"/>
        <w:spacing w:after="0" w:line="360" w:lineRule="auto"/>
        <w:ind w:firstLine="420" w:firstLineChars="200"/>
        <w:rPr>
          <w:color w:val="auto"/>
          <w:sz w:val="21"/>
          <w:szCs w:val="21"/>
          <w:highlight w:val="none"/>
        </w:rPr>
      </w:pPr>
      <w:r>
        <w:rPr>
          <w:rFonts w:hint="eastAsia"/>
          <w:color w:val="auto"/>
          <w:sz w:val="21"/>
          <w:szCs w:val="21"/>
          <w:highlight w:val="none"/>
          <w:lang w:val="en-US" w:eastAsia="zh-CN"/>
        </w:rPr>
        <w:t>9</w:t>
      </w:r>
      <w:r>
        <w:rPr>
          <w:rFonts w:hint="eastAsia"/>
          <w:color w:val="auto"/>
          <w:sz w:val="21"/>
          <w:szCs w:val="21"/>
          <w:highlight w:val="none"/>
        </w:rPr>
        <w:t>.1.乙方在采购（合同签署）时提交履约保证金</w:t>
      </w:r>
      <w:r>
        <w:rPr>
          <w:rFonts w:hint="eastAsia"/>
          <w:color w:val="auto"/>
          <w:sz w:val="21"/>
          <w:szCs w:val="21"/>
          <w:highlight w:val="none"/>
          <w:lang w:val="en-US" w:eastAsia="zh-CN"/>
        </w:rPr>
        <w:t>的</w:t>
      </w:r>
      <w:r>
        <w:rPr>
          <w:rFonts w:hint="eastAsia"/>
          <w:color w:val="auto"/>
          <w:sz w:val="21"/>
          <w:szCs w:val="21"/>
          <w:highlight w:val="none"/>
          <w:lang w:eastAsia="zh-CN"/>
        </w:rPr>
        <w:t>，</w:t>
      </w:r>
      <w:r>
        <w:rPr>
          <w:rFonts w:hint="eastAsia"/>
          <w:color w:val="auto"/>
          <w:sz w:val="21"/>
          <w:szCs w:val="21"/>
          <w:highlight w:val="none"/>
          <w:lang w:val="en-US" w:eastAsia="zh-CN"/>
        </w:rPr>
        <w:t>收款</w:t>
      </w:r>
      <w:r>
        <w:rPr>
          <w:rFonts w:hint="eastAsia"/>
          <w:color w:val="auto"/>
          <w:sz w:val="21"/>
          <w:szCs w:val="21"/>
          <w:highlight w:val="none"/>
        </w:rPr>
        <w:t>账户信息</w:t>
      </w:r>
      <w:r>
        <w:rPr>
          <w:rFonts w:hint="eastAsia"/>
          <w:color w:val="auto"/>
          <w:sz w:val="21"/>
          <w:szCs w:val="21"/>
          <w:highlight w:val="none"/>
          <w:lang w:val="en-US" w:eastAsia="zh-CN"/>
        </w:rPr>
        <w:t>如下</w:t>
      </w:r>
      <w:r>
        <w:rPr>
          <w:rFonts w:hint="eastAsia"/>
          <w:color w:val="auto"/>
          <w:sz w:val="21"/>
          <w:szCs w:val="21"/>
          <w:highlight w:val="none"/>
        </w:rPr>
        <w:t>：</w:t>
      </w:r>
    </w:p>
    <w:p w14:paraId="5B48E9C7">
      <w:pPr>
        <w:pStyle w:val="27"/>
        <w:pageBreakBefore w:val="0"/>
        <w:shd w:val="clear"/>
        <w:kinsoku w:val="0"/>
        <w:wordWrap w:val="0"/>
        <w:topLinePunct w:val="0"/>
        <w:bidi w:val="0"/>
        <w:adjustRightInd w:val="0"/>
        <w:snapToGrid w:val="0"/>
        <w:spacing w:after="0" w:line="360" w:lineRule="auto"/>
        <w:ind w:firstLine="420" w:firstLineChars="200"/>
        <w:rPr>
          <w:color w:val="auto"/>
          <w:sz w:val="21"/>
          <w:szCs w:val="21"/>
          <w:highlight w:val="none"/>
        </w:rPr>
      </w:pPr>
      <w:r>
        <w:rPr>
          <w:rFonts w:hint="eastAsia"/>
          <w:color w:val="auto"/>
          <w:sz w:val="21"/>
          <w:szCs w:val="21"/>
          <w:highlight w:val="none"/>
        </w:rPr>
        <w:t>账户：</w:t>
      </w:r>
    </w:p>
    <w:p w14:paraId="5EF4E360">
      <w:pPr>
        <w:pStyle w:val="27"/>
        <w:pageBreakBefore w:val="0"/>
        <w:shd w:val="clear"/>
        <w:kinsoku w:val="0"/>
        <w:wordWrap w:val="0"/>
        <w:topLinePunct w:val="0"/>
        <w:bidi w:val="0"/>
        <w:adjustRightInd w:val="0"/>
        <w:snapToGrid w:val="0"/>
        <w:spacing w:after="0" w:line="360" w:lineRule="auto"/>
        <w:ind w:firstLine="420" w:firstLineChars="200"/>
        <w:rPr>
          <w:color w:val="auto"/>
          <w:sz w:val="21"/>
          <w:szCs w:val="21"/>
          <w:highlight w:val="none"/>
        </w:rPr>
      </w:pPr>
      <w:r>
        <w:rPr>
          <w:rFonts w:hint="eastAsia"/>
          <w:color w:val="auto"/>
          <w:sz w:val="21"/>
          <w:szCs w:val="21"/>
          <w:highlight w:val="none"/>
        </w:rPr>
        <w:t>账号：</w:t>
      </w:r>
    </w:p>
    <w:p w14:paraId="7C761745">
      <w:pPr>
        <w:pStyle w:val="27"/>
        <w:pageBreakBefore w:val="0"/>
        <w:shd w:val="clear"/>
        <w:kinsoku w:val="0"/>
        <w:wordWrap w:val="0"/>
        <w:topLinePunct w:val="0"/>
        <w:bidi w:val="0"/>
        <w:adjustRightInd w:val="0"/>
        <w:snapToGrid w:val="0"/>
        <w:spacing w:after="0" w:line="360" w:lineRule="auto"/>
        <w:ind w:firstLine="420" w:firstLineChars="200"/>
        <w:rPr>
          <w:color w:val="auto"/>
          <w:sz w:val="21"/>
          <w:szCs w:val="21"/>
          <w:highlight w:val="none"/>
        </w:rPr>
      </w:pPr>
      <w:r>
        <w:rPr>
          <w:rFonts w:hint="eastAsia"/>
          <w:color w:val="auto"/>
          <w:sz w:val="21"/>
          <w:szCs w:val="21"/>
          <w:highlight w:val="none"/>
        </w:rPr>
        <w:t>开户行：</w:t>
      </w:r>
    </w:p>
    <w:p w14:paraId="558F9C3A">
      <w:pPr>
        <w:pStyle w:val="27"/>
        <w:pageBreakBefore w:val="0"/>
        <w:shd w:val="clear"/>
        <w:kinsoku w:val="0"/>
        <w:wordWrap w:val="0"/>
        <w:topLinePunct w:val="0"/>
        <w:bidi w:val="0"/>
        <w:adjustRightInd w:val="0"/>
        <w:snapToGrid w:val="0"/>
        <w:spacing w:after="0" w:line="360" w:lineRule="auto"/>
        <w:ind w:firstLine="420" w:firstLineChars="200"/>
        <w:rPr>
          <w:color w:val="auto"/>
          <w:sz w:val="21"/>
          <w:szCs w:val="21"/>
          <w:highlight w:val="none"/>
        </w:rPr>
      </w:pPr>
      <w:r>
        <w:rPr>
          <w:rFonts w:hint="eastAsia"/>
          <w:color w:val="auto"/>
          <w:sz w:val="21"/>
          <w:szCs w:val="21"/>
          <w:highlight w:val="none"/>
          <w:lang w:val="en-US" w:eastAsia="zh-CN"/>
        </w:rPr>
        <w:t>9</w:t>
      </w:r>
      <w:r>
        <w:rPr>
          <w:rFonts w:hint="eastAsia"/>
          <w:color w:val="auto"/>
          <w:sz w:val="21"/>
          <w:szCs w:val="21"/>
          <w:highlight w:val="none"/>
        </w:rPr>
        <w:t>.2乙方在采购（合同签署）时提交履约担保</w:t>
      </w:r>
      <w:r>
        <w:rPr>
          <w:rFonts w:hint="eastAsia"/>
          <w:color w:val="auto"/>
          <w:sz w:val="21"/>
          <w:szCs w:val="21"/>
          <w:highlight w:val="none"/>
          <w:lang w:val="en-US" w:eastAsia="zh-CN"/>
        </w:rPr>
        <w:t>的</w:t>
      </w:r>
      <w:r>
        <w:rPr>
          <w:rFonts w:hint="eastAsia"/>
          <w:color w:val="auto"/>
          <w:sz w:val="21"/>
          <w:szCs w:val="21"/>
          <w:highlight w:val="none"/>
        </w:rPr>
        <w:t>，如果乙方提交的履约保函的有效期先于合同要求的履约保函有效期到达，乙方应在原提交的履约保函有效期满前15天，无条件办理保函延期手续。否则，视为乙方违约，甲方可在保函到期前将保函金额转为现金存入履约保证金账户。</w:t>
      </w:r>
    </w:p>
    <w:p w14:paraId="7D98CB26">
      <w:pPr>
        <w:pStyle w:val="27"/>
        <w:pageBreakBefore w:val="0"/>
        <w:shd w:val="clear"/>
        <w:kinsoku w:val="0"/>
        <w:wordWrap w:val="0"/>
        <w:topLinePunct w:val="0"/>
        <w:bidi w:val="0"/>
        <w:adjustRightInd w:val="0"/>
        <w:snapToGrid w:val="0"/>
        <w:spacing w:after="0" w:line="360" w:lineRule="auto"/>
        <w:ind w:firstLine="420" w:firstLineChars="200"/>
        <w:rPr>
          <w:color w:val="auto"/>
          <w:sz w:val="21"/>
          <w:szCs w:val="21"/>
          <w:highlight w:val="none"/>
        </w:rPr>
      </w:pPr>
      <w:r>
        <w:rPr>
          <w:rFonts w:hint="eastAsia"/>
          <w:color w:val="auto"/>
          <w:sz w:val="21"/>
          <w:szCs w:val="21"/>
          <w:highlight w:val="none"/>
          <w:lang w:val="en-US" w:eastAsia="zh-CN"/>
        </w:rPr>
        <w:t>9.</w:t>
      </w:r>
      <w:r>
        <w:rPr>
          <w:rFonts w:hint="eastAsia"/>
          <w:color w:val="auto"/>
          <w:sz w:val="21"/>
          <w:szCs w:val="21"/>
          <w:highlight w:val="none"/>
        </w:rPr>
        <w:t>3履约担保期限从合同签订之日起至</w:t>
      </w:r>
      <w:r>
        <w:rPr>
          <w:rFonts w:hint="eastAsia"/>
          <w:color w:val="auto"/>
          <w:sz w:val="21"/>
          <w:szCs w:val="21"/>
          <w:highlight w:val="none"/>
          <w:lang w:val="en-US" w:eastAsia="zh-CN"/>
        </w:rPr>
        <w:t>合同期满</w:t>
      </w:r>
      <w:r>
        <w:rPr>
          <w:rFonts w:hint="eastAsia"/>
          <w:color w:val="auto"/>
          <w:sz w:val="21"/>
          <w:szCs w:val="21"/>
          <w:highlight w:val="none"/>
        </w:rPr>
        <w:t>并结算完毕后，经双方签字7天内保持有效。</w:t>
      </w:r>
    </w:p>
    <w:p w14:paraId="416D8869">
      <w:pPr>
        <w:pStyle w:val="27"/>
        <w:pageBreakBefore w:val="0"/>
        <w:shd w:val="clear"/>
        <w:kinsoku w:val="0"/>
        <w:wordWrap w:val="0"/>
        <w:topLinePunct w:val="0"/>
        <w:bidi w:val="0"/>
        <w:adjustRightInd w:val="0"/>
        <w:snapToGrid w:val="0"/>
        <w:spacing w:after="0" w:line="360" w:lineRule="auto"/>
        <w:ind w:firstLine="420" w:firstLineChars="200"/>
        <w:rPr>
          <w:color w:val="auto"/>
          <w:sz w:val="21"/>
          <w:szCs w:val="21"/>
          <w:highlight w:val="none"/>
        </w:rPr>
      </w:pPr>
      <w:r>
        <w:rPr>
          <w:rFonts w:hint="eastAsia"/>
          <w:color w:val="auto"/>
          <w:sz w:val="21"/>
          <w:szCs w:val="21"/>
          <w:highlight w:val="none"/>
          <w:lang w:val="en-US" w:eastAsia="zh-CN"/>
        </w:rPr>
        <w:t>9.4</w:t>
      </w:r>
      <w:r>
        <w:rPr>
          <w:rFonts w:hint="eastAsia"/>
          <w:color w:val="auto"/>
          <w:sz w:val="21"/>
          <w:szCs w:val="21"/>
          <w:highlight w:val="none"/>
        </w:rPr>
        <w:t>若乙方在合同履行过程中出现食品安全事件、违约等情况，甲方在经核查属实后，有权将履约保函金额转为现金存入履约保证金账户；乙方造成甲方损失的，甲方有权立即没收其履约担保，若造成损失超过履约担保的，还应当对超过部分予以赔偿。</w:t>
      </w:r>
    </w:p>
    <w:p w14:paraId="208FF67F">
      <w:pPr>
        <w:pStyle w:val="27"/>
        <w:pageBreakBefore w:val="0"/>
        <w:shd w:val="clear"/>
        <w:kinsoku w:val="0"/>
        <w:wordWrap w:val="0"/>
        <w:topLinePunct w:val="0"/>
        <w:bidi w:val="0"/>
        <w:adjustRightInd w:val="0"/>
        <w:snapToGrid w:val="0"/>
        <w:spacing w:after="0" w:line="360" w:lineRule="auto"/>
        <w:ind w:firstLine="420" w:firstLineChars="200"/>
        <w:rPr>
          <w:color w:val="auto"/>
          <w:sz w:val="21"/>
          <w:szCs w:val="21"/>
          <w:highlight w:val="none"/>
        </w:rPr>
      </w:pPr>
      <w:r>
        <w:rPr>
          <w:rFonts w:hint="eastAsia"/>
          <w:color w:val="auto"/>
          <w:sz w:val="21"/>
          <w:szCs w:val="21"/>
          <w:highlight w:val="none"/>
          <w:lang w:val="en-US" w:eastAsia="zh-CN"/>
        </w:rPr>
        <w:t>9.5</w:t>
      </w:r>
      <w:r>
        <w:rPr>
          <w:rFonts w:hint="eastAsia"/>
          <w:color w:val="auto"/>
          <w:sz w:val="21"/>
          <w:szCs w:val="21"/>
          <w:highlight w:val="none"/>
        </w:rPr>
        <w:t>下列任何情况发生时，甲方有权行使享有的担保权利：</w:t>
      </w:r>
    </w:p>
    <w:p w14:paraId="44DB58E8">
      <w:pPr>
        <w:pStyle w:val="27"/>
        <w:pageBreakBefore w:val="0"/>
        <w:shd w:val="clear"/>
        <w:kinsoku w:val="0"/>
        <w:wordWrap w:val="0"/>
        <w:topLinePunct w:val="0"/>
        <w:bidi w:val="0"/>
        <w:adjustRightInd w:val="0"/>
        <w:snapToGrid w:val="0"/>
        <w:spacing w:after="0" w:line="360" w:lineRule="auto"/>
        <w:ind w:firstLine="420" w:firstLineChars="200"/>
        <w:rPr>
          <w:color w:val="auto"/>
          <w:sz w:val="21"/>
          <w:szCs w:val="21"/>
          <w:highlight w:val="none"/>
        </w:rPr>
      </w:pPr>
      <w:r>
        <w:rPr>
          <w:rFonts w:hint="eastAsia"/>
          <w:color w:val="auto"/>
          <w:sz w:val="21"/>
          <w:szCs w:val="21"/>
          <w:highlight w:val="none"/>
        </w:rPr>
        <w:t>（1）乙方将本项目转让给他人，或者在投标文件中未说明，且未经甲方同意，将中标项目分包给他人的；</w:t>
      </w:r>
    </w:p>
    <w:p w14:paraId="4B5DDAF0">
      <w:pPr>
        <w:pStyle w:val="27"/>
        <w:pageBreakBefore w:val="0"/>
        <w:shd w:val="clear"/>
        <w:kinsoku w:val="0"/>
        <w:wordWrap w:val="0"/>
        <w:topLinePunct w:val="0"/>
        <w:bidi w:val="0"/>
        <w:adjustRightInd w:val="0"/>
        <w:snapToGrid w:val="0"/>
        <w:spacing w:after="0" w:line="360" w:lineRule="auto"/>
        <w:ind w:firstLine="420" w:firstLineChars="200"/>
        <w:rPr>
          <w:color w:val="auto"/>
          <w:sz w:val="21"/>
          <w:szCs w:val="21"/>
          <w:highlight w:val="none"/>
        </w:rPr>
      </w:pPr>
      <w:r>
        <w:rPr>
          <w:rFonts w:hint="eastAsia"/>
          <w:color w:val="auto"/>
          <w:sz w:val="21"/>
          <w:szCs w:val="21"/>
          <w:highlight w:val="none"/>
        </w:rPr>
        <w:t>（2）乙方在履行合同期间，违反有关法律法规的规定或合同约定。</w:t>
      </w:r>
    </w:p>
    <w:p w14:paraId="0A9BD713">
      <w:pPr>
        <w:pStyle w:val="27"/>
        <w:pageBreakBefore w:val="0"/>
        <w:shd w:val="clear"/>
        <w:kinsoku w:val="0"/>
        <w:wordWrap w:val="0"/>
        <w:topLinePunct w:val="0"/>
        <w:bidi w:val="0"/>
        <w:adjustRightInd w:val="0"/>
        <w:snapToGrid w:val="0"/>
        <w:spacing w:after="0" w:line="360" w:lineRule="auto"/>
        <w:ind w:firstLine="420" w:firstLineChars="200"/>
        <w:rPr>
          <w:color w:val="auto"/>
          <w:sz w:val="21"/>
          <w:szCs w:val="21"/>
          <w:highlight w:val="none"/>
        </w:rPr>
      </w:pPr>
      <w:r>
        <w:rPr>
          <w:rFonts w:hint="eastAsia"/>
          <w:color w:val="auto"/>
          <w:sz w:val="21"/>
          <w:szCs w:val="21"/>
          <w:highlight w:val="none"/>
          <w:lang w:val="en-US" w:eastAsia="zh-CN"/>
        </w:rPr>
        <w:t>9.6</w:t>
      </w:r>
      <w:r>
        <w:rPr>
          <w:rFonts w:hint="eastAsia"/>
          <w:color w:val="auto"/>
          <w:sz w:val="21"/>
          <w:szCs w:val="21"/>
          <w:highlight w:val="none"/>
        </w:rPr>
        <w:t>无论因何种原因导致履约担保被甲方扣收，乙方均应在收到甲方书面通知后5个工作日内，向甲方重新足额提交符合本合同要求的履约担保。若乙方未按时补足，甲方有权在未付款项中扣收差额部分。</w:t>
      </w:r>
    </w:p>
    <w:p w14:paraId="3BBA0E51">
      <w:pPr>
        <w:pStyle w:val="27"/>
        <w:pageBreakBefore w:val="0"/>
        <w:shd w:val="clear"/>
        <w:kinsoku w:val="0"/>
        <w:wordWrap w:val="0"/>
        <w:topLinePunct w:val="0"/>
        <w:bidi w:val="0"/>
        <w:adjustRightInd w:val="0"/>
        <w:snapToGrid w:val="0"/>
        <w:spacing w:after="0" w:line="360" w:lineRule="auto"/>
        <w:ind w:firstLine="420" w:firstLineChars="200"/>
        <w:rPr>
          <w:rFonts w:hint="eastAsia" w:ascii="宋体" w:hAnsi="宋体" w:cs="宋体"/>
          <w:color w:val="auto"/>
          <w:sz w:val="21"/>
          <w:szCs w:val="21"/>
          <w:highlight w:val="none"/>
        </w:rPr>
      </w:pPr>
      <w:r>
        <w:rPr>
          <w:rFonts w:hint="eastAsia"/>
          <w:color w:val="auto"/>
          <w:sz w:val="21"/>
          <w:szCs w:val="21"/>
          <w:highlight w:val="none"/>
          <w:lang w:val="en-US" w:eastAsia="zh-CN"/>
        </w:rPr>
        <w:t>9.7</w:t>
      </w:r>
      <w:r>
        <w:rPr>
          <w:rFonts w:hint="eastAsia"/>
          <w:color w:val="auto"/>
          <w:sz w:val="21"/>
          <w:szCs w:val="21"/>
          <w:highlight w:val="none"/>
        </w:rPr>
        <w:t>在整个项目服务期结束</w:t>
      </w:r>
      <w:bookmarkStart w:id="202" w:name="OLE_LINK9"/>
      <w:r>
        <w:rPr>
          <w:color w:val="auto"/>
          <w:sz w:val="21"/>
          <w:szCs w:val="21"/>
          <w:highlight w:val="none"/>
        </w:rPr>
        <w:t>且</w:t>
      </w:r>
      <w:r>
        <w:rPr>
          <w:rFonts w:hint="eastAsia"/>
          <w:color w:val="auto"/>
          <w:sz w:val="21"/>
          <w:szCs w:val="21"/>
          <w:highlight w:val="none"/>
        </w:rPr>
        <w:t>甲方</w:t>
      </w:r>
      <w:r>
        <w:rPr>
          <w:color w:val="auto"/>
          <w:sz w:val="21"/>
          <w:szCs w:val="21"/>
          <w:highlight w:val="none"/>
        </w:rPr>
        <w:t>扣除乙方应向</w:t>
      </w:r>
      <w:r>
        <w:rPr>
          <w:rFonts w:hint="eastAsia"/>
          <w:color w:val="auto"/>
          <w:sz w:val="21"/>
          <w:szCs w:val="21"/>
          <w:highlight w:val="none"/>
          <w:lang w:val="en-US" w:eastAsia="zh-CN"/>
        </w:rPr>
        <w:t>甲方</w:t>
      </w:r>
      <w:r>
        <w:rPr>
          <w:color w:val="auto"/>
          <w:sz w:val="21"/>
          <w:szCs w:val="21"/>
          <w:highlight w:val="none"/>
        </w:rPr>
        <w:t>支付的违约金、赔偿金及所有未结费用</w:t>
      </w:r>
      <w:bookmarkEnd w:id="202"/>
      <w:r>
        <w:rPr>
          <w:rFonts w:hint="eastAsia"/>
          <w:color w:val="auto"/>
          <w:sz w:val="21"/>
          <w:szCs w:val="21"/>
          <w:highlight w:val="none"/>
        </w:rPr>
        <w:t>后，乙方向甲方提交退回履约担保的申请，甲方办理履约担保退还手续。</w:t>
      </w:r>
    </w:p>
    <w:p w14:paraId="7A6D82D1">
      <w:pPr>
        <w:pStyle w:val="27"/>
        <w:pageBreakBefore w:val="0"/>
        <w:shd w:val="clear"/>
        <w:kinsoku w:val="0"/>
        <w:wordWrap w:val="0"/>
        <w:topLinePunct w:val="0"/>
        <w:bidi w:val="0"/>
        <w:adjustRightInd w:val="0"/>
        <w:snapToGrid w:val="0"/>
        <w:spacing w:after="0" w:line="360" w:lineRule="auto"/>
        <w:rPr>
          <w:rFonts w:hint="eastAsia" w:ascii="宋体" w:hAnsi="宋体" w:cs="宋体"/>
          <w:b/>
          <w:color w:val="auto"/>
          <w:sz w:val="21"/>
          <w:szCs w:val="21"/>
          <w:highlight w:val="none"/>
        </w:rPr>
      </w:pPr>
      <w:r>
        <w:rPr>
          <w:rFonts w:hint="eastAsia" w:ascii="宋体" w:hAnsi="宋体" w:cs="宋体"/>
          <w:b/>
          <w:color w:val="auto"/>
          <w:sz w:val="21"/>
          <w:szCs w:val="21"/>
          <w:highlight w:val="none"/>
        </w:rPr>
        <w:t>第七条  其它约定及验收标准</w:t>
      </w:r>
    </w:p>
    <w:p w14:paraId="13DA7932">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一）验收标准：</w:t>
      </w:r>
    </w:p>
    <w:p w14:paraId="3CDF5BB4">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1.项目验收依次序对照执行标准：</w:t>
      </w:r>
    </w:p>
    <w:p w14:paraId="701A078B">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1.1符合中华人民共和国国家和履约地相关安全质量标准、行业技术规范标准；</w:t>
      </w:r>
    </w:p>
    <w:p w14:paraId="5765A125">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1.2符合招标文件和响应承诺中各方共同认可的各项要求；</w:t>
      </w:r>
    </w:p>
    <w:p w14:paraId="7930A812">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1.3符合货物来源国官方颁布标准。</w:t>
      </w:r>
    </w:p>
    <w:p w14:paraId="590D3790">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1.4上述各类标准与法规必须是有关官方机构最新发布的现行标准版本。 </w:t>
      </w:r>
    </w:p>
    <w:p w14:paraId="603E7890">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做好卸货前的检查：甲方和乙方双方的验收人员卸货前应对场地和验收设备做好准备，并对商品的外观质量进行初步了解。如发现食品有损坏情况等，应在相关单据上记录损坏情况，建议对损坏情况进行拍照存档。保证斤两的准确性，经甲方的验货数量为准，乙方每次随货送上一式两份的送货单，甲方验货后签订确认，甲方、乙方双方各持一份，作为收货、结算的凭证。</w:t>
      </w:r>
    </w:p>
    <w:p w14:paraId="69ACE59B">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3.食品运输采用符合国家标准的外包装和运输工具：保持清洁和定期消毒，车厢内无不良气味、异味。采用专用载具运输，在运输过程中保持安全的温度</w:t>
      </w:r>
      <w:r>
        <w:rPr>
          <w:rFonts w:hint="eastAsia" w:ascii="宋体" w:hAnsi="宋体" w:cs="宋体"/>
          <w:color w:val="auto"/>
          <w:szCs w:val="21"/>
          <w:highlight w:val="none"/>
          <w:lang w:val="en-US" w:eastAsia="zh-CN"/>
        </w:rPr>
        <w:t>和湿度</w:t>
      </w:r>
      <w:r>
        <w:rPr>
          <w:rFonts w:hint="eastAsia" w:ascii="宋体" w:hAnsi="宋体" w:cs="宋体"/>
          <w:color w:val="auto"/>
          <w:szCs w:val="21"/>
          <w:highlight w:val="none"/>
        </w:rPr>
        <w:t>。食品应清洁，无损伤、腐烂现象，外包装完整，无寄生虫或</w:t>
      </w:r>
      <w:r>
        <w:rPr>
          <w:rFonts w:hint="eastAsia" w:ascii="宋体" w:hAnsi="宋体" w:cs="宋体"/>
          <w:color w:val="auto"/>
          <w:szCs w:val="21"/>
          <w:highlight w:val="none"/>
          <w:lang w:val="en-US" w:eastAsia="zh-CN"/>
        </w:rPr>
        <w:t>病害</w:t>
      </w:r>
      <w:r>
        <w:rPr>
          <w:rFonts w:hint="eastAsia" w:ascii="宋体" w:hAnsi="宋体" w:cs="宋体"/>
          <w:color w:val="auto"/>
          <w:szCs w:val="21"/>
          <w:highlight w:val="none"/>
        </w:rPr>
        <w:t>现象。</w:t>
      </w:r>
    </w:p>
    <w:p w14:paraId="35E0636D">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4.采取现场验收的方式：验收人员应认真检查物资的质量，按索票—验证—抽查—过磅—入库的程序完成验收，乙方可提供原件的留原件，原件只有一份而无法提供给甲方的查验原件后索取复印件留存。</w:t>
      </w:r>
    </w:p>
    <w:p w14:paraId="51473D62">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5.每批次每种货物均抽查验收。</w:t>
      </w:r>
    </w:p>
    <w:p w14:paraId="039B9F79">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6.按项目需求的描述要求对货物质量进行抽查。</w:t>
      </w:r>
    </w:p>
    <w:p w14:paraId="20D63F40">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7.抽查发现食品安全质量问题的处理：</w:t>
      </w:r>
    </w:p>
    <w:p w14:paraId="6B27CEA8">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7.1对危及人身安全的食品质量问题采取零容忍措施，一经发现，当日所送同批次产品全部退货，如水产品中发现河豚鱼，发现腐败变质肉类等；</w:t>
      </w:r>
    </w:p>
    <w:p w14:paraId="453C4A97">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7.2若抽查未发现问题，而在加工食用前发现部分产品质量问题，品质不达标问题，应立即通知</w:t>
      </w:r>
      <w:r>
        <w:rPr>
          <w:rFonts w:hint="eastAsia"/>
          <w:color w:val="auto"/>
          <w:highlight w:val="none"/>
          <w:lang w:val="en-US" w:eastAsia="zh-CN"/>
        </w:rPr>
        <w:t>采购人需求部门、财务部（仓库）</w:t>
      </w:r>
      <w:r>
        <w:rPr>
          <w:rFonts w:hint="eastAsia" w:ascii="宋体" w:hAnsi="宋体" w:cs="宋体"/>
          <w:color w:val="auto"/>
          <w:szCs w:val="21"/>
          <w:highlight w:val="none"/>
        </w:rPr>
        <w:t>及乙方，将问题产品退货处理。</w:t>
      </w:r>
    </w:p>
    <w:p w14:paraId="2D4955A7">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7.3如有任何货品未能达标，乙方保证收到通知后当天内，全数更换，并承担所有有关费用。如遇紧急情况，乙方应配合酒店及时退换货，如果未及时退换，致使酒店自行采购或者找其他供应商送货，由此产生的差价由乙方承担，如果因此影响酒店运营，造成的经济损失由乙方承担。</w:t>
      </w:r>
    </w:p>
    <w:p w14:paraId="743C3FCC">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甲方</w:t>
      </w:r>
      <w:r>
        <w:rPr>
          <w:rFonts w:hint="eastAsia" w:ascii="宋体" w:hAnsi="宋体" w:cs="宋体"/>
          <w:color w:val="auto"/>
          <w:szCs w:val="21"/>
          <w:highlight w:val="none"/>
        </w:rPr>
        <w:t>抽样送检发现不合格的处理：</w:t>
      </w:r>
    </w:p>
    <w:p w14:paraId="1BB91DF6">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 xml:space="preserve">.1 </w:t>
      </w:r>
      <w:r>
        <w:rPr>
          <w:rFonts w:hint="eastAsia" w:ascii="宋体" w:hAnsi="宋体" w:cs="宋体"/>
          <w:color w:val="auto"/>
          <w:szCs w:val="21"/>
          <w:highlight w:val="none"/>
          <w:lang w:val="en-US" w:eastAsia="zh-CN"/>
        </w:rPr>
        <w:t>甲方</w:t>
      </w:r>
      <w:r>
        <w:rPr>
          <w:rFonts w:hint="eastAsia" w:ascii="宋体" w:hAnsi="宋体" w:cs="宋体"/>
          <w:color w:val="auto"/>
          <w:szCs w:val="21"/>
          <w:highlight w:val="none"/>
        </w:rPr>
        <w:t>有权按照国家及行业相关标准，对</w:t>
      </w:r>
      <w:r>
        <w:rPr>
          <w:rFonts w:hint="eastAsia" w:ascii="宋体" w:hAnsi="宋体" w:cs="宋体"/>
          <w:color w:val="auto"/>
          <w:szCs w:val="21"/>
          <w:highlight w:val="none"/>
          <w:lang w:eastAsia="zh-CN"/>
        </w:rPr>
        <w:t>乙方</w:t>
      </w:r>
      <w:r>
        <w:rPr>
          <w:rFonts w:hint="eastAsia" w:ascii="宋体" w:hAnsi="宋体" w:cs="宋体"/>
          <w:color w:val="auto"/>
          <w:szCs w:val="21"/>
          <w:highlight w:val="none"/>
        </w:rPr>
        <w:t>供应的食材进行现场抽样或送第三方机构检验，抽样检验工作由</w:t>
      </w:r>
      <w:r>
        <w:rPr>
          <w:rFonts w:hint="eastAsia" w:ascii="宋体" w:hAnsi="宋体" w:cs="宋体"/>
          <w:color w:val="auto"/>
          <w:szCs w:val="21"/>
          <w:highlight w:val="none"/>
          <w:lang w:eastAsia="zh-CN"/>
        </w:rPr>
        <w:t>甲方</w:t>
      </w:r>
      <w:r>
        <w:rPr>
          <w:rFonts w:hint="eastAsia" w:ascii="宋体" w:hAnsi="宋体" w:cs="宋体"/>
          <w:color w:val="auto"/>
          <w:szCs w:val="21"/>
          <w:highlight w:val="none"/>
        </w:rPr>
        <w:t>独立实施，</w:t>
      </w:r>
      <w:r>
        <w:rPr>
          <w:rFonts w:hint="eastAsia" w:ascii="宋体" w:hAnsi="宋体" w:cs="宋体"/>
          <w:color w:val="auto"/>
          <w:szCs w:val="21"/>
          <w:highlight w:val="none"/>
          <w:lang w:eastAsia="zh-CN"/>
        </w:rPr>
        <w:t>乙方</w:t>
      </w:r>
      <w:r>
        <w:rPr>
          <w:rFonts w:hint="eastAsia" w:ascii="宋体" w:hAnsi="宋体" w:cs="宋体"/>
          <w:color w:val="auto"/>
          <w:szCs w:val="21"/>
          <w:highlight w:val="none"/>
        </w:rPr>
        <w:t>应予配合，不得阻挠、干扰抽样过程。</w:t>
      </w:r>
    </w:p>
    <w:p w14:paraId="2C7A0ED3">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 xml:space="preserve">.2 </w:t>
      </w:r>
      <w:r>
        <w:rPr>
          <w:rFonts w:hint="eastAsia" w:ascii="宋体" w:hAnsi="宋体" w:cs="宋体"/>
          <w:color w:val="auto"/>
          <w:szCs w:val="21"/>
          <w:highlight w:val="none"/>
          <w:lang w:eastAsia="zh-CN"/>
        </w:rPr>
        <w:t>甲方</w:t>
      </w:r>
      <w:r>
        <w:rPr>
          <w:rFonts w:hint="eastAsia" w:ascii="宋体" w:hAnsi="宋体" w:cs="宋体"/>
          <w:color w:val="auto"/>
          <w:szCs w:val="21"/>
          <w:highlight w:val="none"/>
        </w:rPr>
        <w:t>可自行对货物进行抽样送检，检测报告显示部分产品检测结果不合格的，</w:t>
      </w:r>
      <w:r>
        <w:rPr>
          <w:rFonts w:hint="eastAsia" w:ascii="宋体" w:hAnsi="宋体" w:cs="宋体"/>
          <w:color w:val="auto"/>
          <w:szCs w:val="21"/>
          <w:highlight w:val="none"/>
          <w:lang w:eastAsia="zh-CN"/>
        </w:rPr>
        <w:t>甲方</w:t>
      </w:r>
      <w:r>
        <w:rPr>
          <w:rFonts w:hint="eastAsia" w:ascii="宋体" w:hAnsi="宋体" w:cs="宋体"/>
          <w:color w:val="auto"/>
          <w:szCs w:val="21"/>
          <w:highlight w:val="none"/>
        </w:rPr>
        <w:t>有权对该部分不合格产品作退货处理；并对该批次产品进行追加抽样复检，若第二次抽样的产品检验结果仍有不合格，</w:t>
      </w:r>
      <w:r>
        <w:rPr>
          <w:rFonts w:hint="eastAsia" w:ascii="宋体" w:hAnsi="宋体" w:cs="宋体"/>
          <w:color w:val="auto"/>
          <w:szCs w:val="21"/>
          <w:highlight w:val="none"/>
          <w:lang w:eastAsia="zh-CN"/>
        </w:rPr>
        <w:t>甲方</w:t>
      </w:r>
      <w:r>
        <w:rPr>
          <w:rFonts w:hint="eastAsia" w:ascii="宋体" w:hAnsi="宋体" w:cs="宋体"/>
          <w:color w:val="auto"/>
          <w:szCs w:val="21"/>
          <w:highlight w:val="none"/>
        </w:rPr>
        <w:t>有权对整批产品全部退货，</w:t>
      </w:r>
      <w:r>
        <w:rPr>
          <w:rFonts w:hint="eastAsia" w:ascii="宋体" w:hAnsi="宋体" w:cs="宋体"/>
          <w:color w:val="auto"/>
          <w:szCs w:val="21"/>
          <w:highlight w:val="none"/>
          <w:lang w:eastAsia="zh-CN"/>
        </w:rPr>
        <w:t>乙方</w:t>
      </w:r>
      <w:r>
        <w:rPr>
          <w:rFonts w:hint="eastAsia" w:ascii="宋体" w:hAnsi="宋体" w:cs="宋体"/>
          <w:color w:val="auto"/>
          <w:szCs w:val="21"/>
          <w:highlight w:val="none"/>
        </w:rPr>
        <w:t>须承担由此产生的一切损失。</w:t>
      </w:r>
    </w:p>
    <w:p w14:paraId="6707FB31">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.3 经检验，整批食材检验结果不合格的，甲方有权对该批次全部食材予以退货，</w:t>
      </w:r>
      <w:r>
        <w:rPr>
          <w:rFonts w:hint="eastAsia" w:ascii="宋体" w:hAnsi="宋体" w:cs="宋体"/>
          <w:color w:val="auto"/>
          <w:szCs w:val="21"/>
          <w:highlight w:val="none"/>
          <w:lang w:eastAsia="zh-CN"/>
        </w:rPr>
        <w:t>乙方</w:t>
      </w:r>
      <w:r>
        <w:rPr>
          <w:rFonts w:hint="eastAsia" w:ascii="宋体" w:hAnsi="宋体" w:cs="宋体"/>
          <w:color w:val="auto"/>
          <w:szCs w:val="21"/>
          <w:highlight w:val="none"/>
        </w:rPr>
        <w:t>须承担由此产生的一切损失。</w:t>
      </w:r>
    </w:p>
    <w:p w14:paraId="521AC9A6">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货物的质量问题争议及解决办法：因货物的质量问题发生争议，由东莞市市场监督管理局或国家法定的质量鉴定相关单位进行质量鉴定。货物符合质量标准的，鉴定费由甲方承担；货物不符合质量标准的，鉴定费由乙方承担，并且甲方有权追究乙方的相关责任。</w:t>
      </w:r>
    </w:p>
    <w:p w14:paraId="3394EA2F">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10.若采购的为进口产品，中标人应保证所供产品可履行合法报通关手续进入中国关境内，且需向采购人提供进口食品的合法证明、</w:t>
      </w:r>
      <w:r>
        <w:rPr>
          <w:rFonts w:hint="eastAsia"/>
          <w:color w:val="auto"/>
          <w:highlight w:val="none"/>
        </w:rPr>
        <w:t>检验检疫证明、报关证明、出口国家出境证明等相关证明材料，缺少相关证明的产品，采购人有权拒收</w:t>
      </w:r>
      <w:r>
        <w:rPr>
          <w:rFonts w:hint="eastAsia" w:ascii="宋体" w:hAnsi="宋体" w:cs="宋体"/>
          <w:color w:val="auto"/>
          <w:szCs w:val="21"/>
          <w:highlight w:val="none"/>
        </w:rPr>
        <w:t>。由此产生的费用及损失将由乙方独立承担，甲方对此不负任何责任，也不作任何赔偿，且乙方应赔偿甲方由此造成的所有损失。</w:t>
      </w:r>
    </w:p>
    <w:p w14:paraId="3D8C8D18">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二）其他约定：</w:t>
      </w:r>
    </w:p>
    <w:p w14:paraId="540BB857">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1、严禁转包，未经甲方书面同意不得分包。</w:t>
      </w:r>
    </w:p>
    <w:p w14:paraId="3B7D8E18">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2、乙方全部工作人员，须符合东莞市政府用工标准要求。</w:t>
      </w:r>
    </w:p>
    <w:p w14:paraId="3D30739A">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3、乙方服务人员进行服务期间的过失或故意行为，造成甲方经济损失的，由乙方负责赔偿。</w:t>
      </w:r>
    </w:p>
    <w:p w14:paraId="2943D462">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4、服务人员的劳动关系隶属乙方，乙方负责服务人员的工资、节假日和超时加班补助费、社会保险、住宿、伙食等。</w:t>
      </w:r>
    </w:p>
    <w:p w14:paraId="51D270BD">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5、乙方负责本项目服务人员购买因意外身故或伤残和因意外事故住院治疗保险，并负责办理一切保险赔偿手续。</w:t>
      </w:r>
    </w:p>
    <w:p w14:paraId="3AE80076">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6、乙方须购买食品安全责任险，并在成为甲方正式供应商后于相关采购合同或采购订单的履行期限内始终保持其有效性。</w:t>
      </w:r>
    </w:p>
    <w:p w14:paraId="19AFCAA8">
      <w:pPr>
        <w:pageBreakBefore w:val="0"/>
        <w:shd w:val="clear"/>
        <w:kinsoku w:val="0"/>
        <w:wordWrap w:val="0"/>
        <w:topLinePunct w:val="0"/>
        <w:bidi w:val="0"/>
        <w:spacing w:after="0" w:line="360" w:lineRule="auto"/>
        <w:rPr>
          <w:rFonts w:hint="eastAsia" w:ascii="宋体" w:hAnsi="宋体" w:cs="宋体"/>
          <w:b/>
          <w:color w:val="auto"/>
          <w:szCs w:val="21"/>
          <w:highlight w:val="none"/>
        </w:rPr>
      </w:pPr>
    </w:p>
    <w:p w14:paraId="6B8A3C6F">
      <w:pPr>
        <w:pageBreakBefore w:val="0"/>
        <w:shd w:val="clear"/>
        <w:kinsoku w:val="0"/>
        <w:wordWrap w:val="0"/>
        <w:topLinePunct w:val="0"/>
        <w:bidi w:val="0"/>
        <w:spacing w:after="0" w:line="360" w:lineRule="auto"/>
        <w:rPr>
          <w:rFonts w:hint="eastAsia" w:ascii="宋体" w:hAnsi="宋体" w:cs="宋体"/>
          <w:b/>
          <w:color w:val="auto"/>
          <w:szCs w:val="21"/>
          <w:highlight w:val="none"/>
        </w:rPr>
      </w:pPr>
      <w:r>
        <w:rPr>
          <w:rFonts w:hint="eastAsia" w:ascii="宋体" w:hAnsi="宋体" w:cs="宋体"/>
          <w:b/>
          <w:color w:val="auto"/>
          <w:szCs w:val="21"/>
          <w:highlight w:val="none"/>
        </w:rPr>
        <w:t>第八条 违约责任</w:t>
      </w:r>
    </w:p>
    <w:p w14:paraId="6C23C50B">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合同双方任何一方不履行合同条款或不按合同约定履行条款的其它情况，均属违约，由违约方承担违约责任，除按约定支付违约金外，还需赔偿因其违约造成的损失。该等损失包括但不限于直接经济损失（如采购差价、检验仓储等费用）、对第三方承担的违约责任、因食品安全问题引发的全部赔偿与费用、行政处罚、商誉损失，以及守约方为追究违约方责任所支付的全部合理费用等。</w:t>
      </w:r>
    </w:p>
    <w:p w14:paraId="58163807">
      <w:pPr>
        <w:pageBreakBefore w:val="0"/>
        <w:shd w:val="clear"/>
        <w:kinsoku w:val="0"/>
        <w:wordWrap w:val="0"/>
        <w:topLinePunct w:val="0"/>
        <w:bidi w:val="0"/>
        <w:spacing w:after="0" w:line="360" w:lineRule="auto"/>
        <w:ind w:firstLine="420" w:firstLineChars="200"/>
        <w:jc w:val="both"/>
        <w:rPr>
          <w:rFonts w:hint="eastAsia" w:ascii="宋体" w:hAnsi="宋体" w:cs="宋体"/>
          <w:color w:val="auto"/>
          <w:szCs w:val="21"/>
          <w:highlight w:val="none"/>
        </w:rPr>
      </w:pPr>
      <w:r>
        <w:rPr>
          <w:rFonts w:hint="eastAsia" w:ascii="宋体" w:hAnsi="宋体" w:cs="宋体"/>
          <w:color w:val="auto"/>
          <w:szCs w:val="21"/>
          <w:highlight w:val="none"/>
        </w:rPr>
        <w:t>2、由于乙方的原因，导致双方签订的合同终止，乙方因此而遭受的损失，将由乙方独立承担，甲方对此不负任何责任，也不作任何赔偿，且乙方应赔偿甲方由此造成的所有损失。</w:t>
      </w:r>
    </w:p>
    <w:p w14:paraId="2981D9FF">
      <w:pPr>
        <w:pageBreakBefore w:val="0"/>
        <w:shd w:val="clear"/>
        <w:kinsoku w:val="0"/>
        <w:wordWrap w:val="0"/>
        <w:topLinePunct w:val="0"/>
        <w:bidi w:val="0"/>
        <w:spacing w:after="0" w:line="360" w:lineRule="auto"/>
        <w:ind w:firstLine="420" w:firstLineChars="200"/>
        <w:jc w:val="both"/>
        <w:rPr>
          <w:rFonts w:hint="eastAsia" w:ascii="宋体" w:hAnsi="宋体" w:cs="宋体"/>
          <w:color w:val="auto"/>
          <w:szCs w:val="21"/>
          <w:highlight w:val="none"/>
        </w:rPr>
      </w:pPr>
      <w:r>
        <w:rPr>
          <w:rFonts w:hint="eastAsia" w:ascii="宋体" w:hAnsi="宋体" w:cs="宋体"/>
          <w:color w:val="auto"/>
          <w:szCs w:val="21"/>
          <w:highlight w:val="none"/>
        </w:rPr>
        <w:t>3、如未经甲方书面许可，乙方将本合同项下工作整体或主要部分转包及/或分包给第三方的，甲方有权单方解除本合同，</w:t>
      </w:r>
      <w:r>
        <w:rPr>
          <w:rStyle w:val="39"/>
          <w:rFonts w:hint="eastAsia" w:ascii="宋体" w:hAnsi="宋体" w:cs="宋体"/>
          <w:color w:val="auto"/>
          <w:highlight w:val="none"/>
          <w:lang w:val="en-US" w:eastAsia="zh-CN"/>
        </w:rPr>
        <w:t>没收履约担保</w:t>
      </w:r>
      <w:r>
        <w:rPr>
          <w:rFonts w:hint="eastAsia" w:ascii="宋体" w:hAnsi="宋体" w:cs="宋体"/>
          <w:color w:val="auto"/>
          <w:szCs w:val="21"/>
          <w:highlight w:val="none"/>
        </w:rPr>
        <w:t>，给甲方造成损失的，甲方有权向乙方主张赔偿全部损失。</w:t>
      </w:r>
    </w:p>
    <w:p w14:paraId="10CFA2A2">
      <w:pPr>
        <w:pageBreakBefore w:val="0"/>
        <w:shd w:val="clear"/>
        <w:kinsoku w:val="0"/>
        <w:wordWrap w:val="0"/>
        <w:topLinePunct w:val="0"/>
        <w:bidi w:val="0"/>
        <w:spacing w:after="0" w:line="360" w:lineRule="auto"/>
        <w:ind w:firstLine="420" w:firstLineChars="200"/>
        <w:jc w:val="both"/>
        <w:rPr>
          <w:rFonts w:hint="eastAsia" w:ascii="宋体" w:hAnsi="宋体" w:cs="宋体"/>
          <w:color w:val="auto"/>
          <w:szCs w:val="21"/>
          <w:highlight w:val="none"/>
        </w:rPr>
      </w:pPr>
      <w:r>
        <w:rPr>
          <w:rFonts w:hint="eastAsia" w:ascii="宋体" w:hAnsi="宋体" w:cs="宋体"/>
          <w:color w:val="auto"/>
          <w:szCs w:val="21"/>
          <w:highlight w:val="none"/>
        </w:rPr>
        <w:t>4、乙方应保证提供的食材均符合国家及地方食品安全标准，无任何质量问题(包括但不限于食材的新鲜度、卫生状况、有效期、无有害物质残留等),若乙方提供的食材存在质量问题，乙方应承担相应的赔偿责任，包括但不限于退货、换货、赔偿直接经济损失及因质量问题引发的其他合理费用。</w:t>
      </w:r>
    </w:p>
    <w:p w14:paraId="6E7B57AB">
      <w:pPr>
        <w:pageBreakBefore w:val="0"/>
        <w:shd w:val="clear"/>
        <w:kinsoku w:val="0"/>
        <w:wordWrap w:val="0"/>
        <w:topLinePunct w:val="0"/>
        <w:bidi w:val="0"/>
        <w:spacing w:after="0" w:line="360" w:lineRule="auto"/>
        <w:ind w:firstLine="420" w:firstLineChars="200"/>
        <w:jc w:val="both"/>
        <w:rPr>
          <w:rFonts w:hint="eastAsia" w:ascii="宋体" w:hAnsi="宋体" w:cs="宋体"/>
          <w:color w:val="auto"/>
          <w:szCs w:val="21"/>
          <w:highlight w:val="none"/>
        </w:rPr>
      </w:pPr>
      <w:r>
        <w:rPr>
          <w:rFonts w:hint="eastAsia" w:ascii="宋体" w:hAnsi="宋体" w:cs="宋体"/>
          <w:color w:val="auto"/>
          <w:szCs w:val="21"/>
          <w:highlight w:val="none"/>
        </w:rPr>
        <w:t>5、甲方有权自应付而未付款项中直接抵扣乙方应付之违约金、赔偿款等。</w:t>
      </w:r>
    </w:p>
    <w:p w14:paraId="3933165F">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6、针对</w:t>
      </w:r>
      <w:r>
        <w:rPr>
          <w:rFonts w:hint="eastAsia" w:ascii="宋体" w:hAnsi="宋体" w:cs="宋体"/>
          <w:color w:val="auto"/>
          <w:szCs w:val="21"/>
          <w:highlight w:val="none"/>
          <w:lang w:val="en-US" w:eastAsia="zh-CN"/>
        </w:rPr>
        <w:t>乙方</w:t>
      </w:r>
      <w:r>
        <w:rPr>
          <w:rFonts w:hint="eastAsia" w:ascii="宋体" w:hAnsi="宋体" w:cs="宋体"/>
          <w:color w:val="auto"/>
          <w:szCs w:val="21"/>
          <w:highlight w:val="none"/>
        </w:rPr>
        <w:t>在</w:t>
      </w:r>
      <w:r>
        <w:rPr>
          <w:rFonts w:hint="eastAsia" w:ascii="宋体" w:hAnsi="宋体" w:cs="宋体"/>
          <w:color w:val="auto"/>
          <w:szCs w:val="21"/>
          <w:highlight w:val="none"/>
          <w:lang w:val="en-US" w:eastAsia="zh-CN"/>
        </w:rPr>
        <w:t>合同履行</w:t>
      </w:r>
      <w:r>
        <w:rPr>
          <w:rFonts w:hint="eastAsia" w:ascii="宋体" w:hAnsi="宋体" w:cs="宋体"/>
          <w:color w:val="auto"/>
          <w:szCs w:val="21"/>
          <w:highlight w:val="none"/>
        </w:rPr>
        <w:t>过程中出现的违反采购文件或合同约定的行为，甲方有权对</w:t>
      </w:r>
      <w:r>
        <w:rPr>
          <w:rFonts w:hint="eastAsia" w:ascii="宋体" w:hAnsi="宋体" w:cs="宋体"/>
          <w:color w:val="auto"/>
          <w:szCs w:val="21"/>
          <w:highlight w:val="none"/>
          <w:lang w:val="en-US" w:eastAsia="zh-CN"/>
        </w:rPr>
        <w:t>乙方</w:t>
      </w:r>
      <w:r>
        <w:rPr>
          <w:rFonts w:hint="eastAsia" w:ascii="宋体" w:hAnsi="宋体" w:cs="宋体"/>
          <w:color w:val="auto"/>
          <w:szCs w:val="21"/>
          <w:highlight w:val="none"/>
        </w:rPr>
        <w:t xml:space="preserve">收取违约金，违约金从未结配送费中扣除。情节严重的,甲方有权单方终止合同,并依法追究中标人法律责任。 </w:t>
      </w:r>
    </w:p>
    <w:p w14:paraId="0C2CFBA3">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（1）乙方没有使用专用载具运输配送的，按当批货物货值的5%收取违约金，且甲方有权拒收该批次所有货品。</w:t>
      </w:r>
    </w:p>
    <w:p w14:paraId="3C34DE83">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（2）乙方提供过期、变质货品的，问题产品同批次产品全部予以退货，按当批货物货值的</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%收取违约金，违约金不足以弥补甲方损失的，乙方还需补足。</w:t>
      </w:r>
      <w:r>
        <w:rPr>
          <w:rFonts w:hint="eastAsia" w:ascii="宋体" w:hAnsi="宋体" w:cs="宋体"/>
          <w:color w:val="auto"/>
          <w:szCs w:val="21"/>
          <w:highlight w:val="none"/>
          <w:lang w:val="en-US" w:eastAsia="zh-CN"/>
        </w:rPr>
        <w:t>乙方还须执行甲方的退、换货要求。</w:t>
      </w:r>
      <w:r>
        <w:rPr>
          <w:rFonts w:hint="eastAsia" w:ascii="宋体" w:hAnsi="宋体" w:cs="宋体"/>
          <w:color w:val="auto"/>
          <w:szCs w:val="21"/>
          <w:highlight w:val="none"/>
        </w:rPr>
        <w:t>造成食品安全问题的，乙方应依法承担责任，且甲方有权拒收该批次所有货品。</w:t>
      </w:r>
    </w:p>
    <w:p w14:paraId="3C24D6BB">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（3）乙方供货数量与甲方订单偏差超过±10%但没有事先说明的，每次提交违约金人民币500元。 </w:t>
      </w:r>
    </w:p>
    <w:p w14:paraId="2C92CF1B">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（4）乙方接受了甲方的采购订单，但不能按要求提供配送服务，导致甲方供餐受影响的，每次按货值的</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 xml:space="preserve">%处以违约金。 </w:t>
      </w:r>
    </w:p>
    <w:p w14:paraId="5A3D4FD4">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（5）已经定价的货品，乙方称没货，但甲方能通过常规途径在市场、超市等场所购买到所需数量的，每次按货值的</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 xml:space="preserve">%处以违约金。 </w:t>
      </w:r>
    </w:p>
    <w:p w14:paraId="32B18AE5">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（6）乙方货品溯源制度不落实、进货查验记录不全的，每次按货值的3%处以违约金。</w:t>
      </w:r>
    </w:p>
    <w:p w14:paraId="2E9C4947">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（7）乙方上述违约行为单独累计发生已达3次的，再发生时每次提交违约金人民币1000元(若合同其他地方约定的违约金高于1千元，按高者执行)，且甲方有权单方终止合同。</w:t>
      </w:r>
    </w:p>
    <w:p w14:paraId="1EBEB083">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（8）乙方无故中途退出，</w:t>
      </w:r>
      <w:bookmarkStart w:id="203" w:name="OLE_LINK7"/>
      <w:r>
        <w:rPr>
          <w:rFonts w:hint="eastAsia" w:ascii="宋体" w:hAnsi="宋体" w:cs="宋体"/>
          <w:color w:val="auto"/>
          <w:szCs w:val="21"/>
          <w:highlight w:val="none"/>
          <w:lang w:val="en-US" w:eastAsia="zh-CN"/>
        </w:rPr>
        <w:t>甲方有权</w:t>
      </w:r>
      <w:r>
        <w:rPr>
          <w:rStyle w:val="39"/>
          <w:rFonts w:hint="eastAsia" w:ascii="宋体" w:hAnsi="宋体" w:cs="宋体"/>
          <w:color w:val="auto"/>
          <w:highlight w:val="none"/>
          <w:lang w:val="en-US" w:eastAsia="zh-CN"/>
        </w:rPr>
        <w:t>没收履约担保</w:t>
      </w:r>
      <w:bookmarkEnd w:id="203"/>
      <w:r>
        <w:rPr>
          <w:rFonts w:hint="eastAsia" w:ascii="宋体" w:hAnsi="宋体" w:cs="宋体"/>
          <w:color w:val="auto"/>
          <w:szCs w:val="21"/>
          <w:highlight w:val="none"/>
        </w:rPr>
        <w:t>。</w:t>
      </w:r>
    </w:p>
    <w:p w14:paraId="794EE22C">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（9）本项目服务期间，乙方必须独立经营，不得以挂靠形式经营，不得存在违法分包、转包等情况，一经发现上述任意情况，甲方有权单方无条件终止合同，没收履约</w:t>
      </w:r>
      <w:r>
        <w:rPr>
          <w:rFonts w:hint="eastAsia" w:ascii="宋体" w:hAnsi="宋体" w:cs="宋体"/>
          <w:color w:val="auto"/>
          <w:szCs w:val="21"/>
          <w:highlight w:val="none"/>
          <w:lang w:val="en-US" w:eastAsia="zh-CN"/>
        </w:rPr>
        <w:t>担</w:t>
      </w:r>
      <w:r>
        <w:rPr>
          <w:rFonts w:hint="eastAsia" w:ascii="宋体" w:hAnsi="宋体" w:cs="宋体"/>
          <w:color w:val="auto"/>
          <w:szCs w:val="21"/>
          <w:highlight w:val="none"/>
        </w:rPr>
        <w:t>保，并将乙方纳入合作黑名单，期限为2年，时间以合同终止日起算，被列入黑名单的单位在规定期限内不得参与东实集团项目投标。</w:t>
      </w:r>
    </w:p>
    <w:p w14:paraId="5B174183">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 乙方在投标文件中或本合同项下作出的任何陈述、保证被证实为不真实、不准确或不完整，或其提供的关键资质、许可证明文件失效，且未能在甲方发出书面通知后15个工作日内重新提供有效的文件或令甲方满意的补救措施。在此情况下，</w:t>
      </w:r>
      <w:r>
        <w:rPr>
          <w:rFonts w:hint="eastAsia" w:ascii="宋体" w:hAnsi="宋体" w:cs="宋体"/>
          <w:color w:val="auto"/>
          <w:szCs w:val="21"/>
          <w:highlight w:val="none"/>
          <w:lang w:val="en-US" w:eastAsia="zh-CN"/>
        </w:rPr>
        <w:t>甲方有权</w:t>
      </w:r>
      <w:r>
        <w:rPr>
          <w:rStyle w:val="39"/>
          <w:rFonts w:hint="eastAsia" w:ascii="宋体" w:hAnsi="宋体" w:cs="宋体"/>
          <w:color w:val="auto"/>
          <w:highlight w:val="none"/>
          <w:lang w:val="en-US" w:eastAsia="zh-CN"/>
        </w:rPr>
        <w:t>没收履约担保</w:t>
      </w:r>
      <w:r>
        <w:rPr>
          <w:rFonts w:hint="eastAsia" w:ascii="宋体" w:hAnsi="宋体" w:cs="宋体"/>
          <w:color w:val="auto"/>
          <w:szCs w:val="21"/>
          <w:highlight w:val="none"/>
        </w:rPr>
        <w:t>。</w:t>
      </w:r>
    </w:p>
    <w:p w14:paraId="750A43F8">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（11）乙方进入破产、清算、解散程序，或发生其他严重的经营或财务困难（包括但不限于主要资产被查封、冻结，或停止营业），导致甲方有合理理由认为其无法继续履行本合同主要义务。甲方有权解除合同，</w:t>
      </w:r>
      <w:r>
        <w:rPr>
          <w:rStyle w:val="39"/>
          <w:rFonts w:hint="eastAsia" w:ascii="宋体" w:hAnsi="宋体" w:cs="宋体"/>
          <w:color w:val="auto"/>
          <w:highlight w:val="none"/>
          <w:lang w:val="en-US" w:eastAsia="zh-CN"/>
        </w:rPr>
        <w:t>没收履约担保</w:t>
      </w:r>
      <w:r>
        <w:rPr>
          <w:rFonts w:hint="eastAsia" w:ascii="宋体" w:hAnsi="宋体" w:cs="宋体"/>
          <w:color w:val="auto"/>
          <w:szCs w:val="21"/>
          <w:highlight w:val="none"/>
        </w:rPr>
        <w:t>。</w:t>
      </w:r>
    </w:p>
    <w:p w14:paraId="08B1654E">
      <w:pPr>
        <w:pageBreakBefore w:val="0"/>
        <w:shd w:val="clear"/>
        <w:kinsoku w:val="0"/>
        <w:wordWrap w:val="0"/>
        <w:topLinePunct w:val="0"/>
        <w:bidi w:val="0"/>
        <w:spacing w:after="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（12） 因乙方提供的产品、服务或其行为直接导致发生重大食品安全事故，或因乙方的违法违规经营行为受到市场监管、卫生健康等主管部门作出的责令停产停业、吊销许可证等行政处罚。甲方有权解除合同，</w:t>
      </w:r>
      <w:r>
        <w:rPr>
          <w:rStyle w:val="39"/>
          <w:rFonts w:hint="eastAsia" w:ascii="宋体" w:hAnsi="宋体" w:cs="宋体"/>
          <w:color w:val="auto"/>
          <w:highlight w:val="none"/>
          <w:lang w:val="en-US" w:eastAsia="zh-CN"/>
        </w:rPr>
        <w:t>没收履约担保</w:t>
      </w:r>
      <w:r>
        <w:rPr>
          <w:rFonts w:hint="eastAsia" w:ascii="宋体" w:hAnsi="宋体" w:cs="宋体"/>
          <w:color w:val="auto"/>
          <w:szCs w:val="21"/>
          <w:highlight w:val="none"/>
        </w:rPr>
        <w:t>，并赔偿因此给甲方造成的一切损失。</w:t>
      </w:r>
    </w:p>
    <w:p w14:paraId="4AF31B39">
      <w:pPr>
        <w:pageBreakBefore w:val="0"/>
        <w:shd w:val="clear"/>
        <w:kinsoku w:val="0"/>
        <w:wordWrap w:val="0"/>
        <w:topLinePunct w:val="0"/>
        <w:bidi w:val="0"/>
        <w:spacing w:after="0" w:line="360" w:lineRule="auto"/>
        <w:rPr>
          <w:rFonts w:hint="eastAsia" w:ascii="宋体" w:hAnsi="宋体" w:cs="宋体"/>
          <w:b/>
          <w:color w:val="auto"/>
          <w:szCs w:val="21"/>
          <w:highlight w:val="none"/>
        </w:rPr>
      </w:pPr>
      <w:r>
        <w:rPr>
          <w:rFonts w:hint="eastAsia" w:ascii="宋体" w:hAnsi="宋体" w:cs="宋体"/>
          <w:b/>
          <w:color w:val="auto"/>
          <w:szCs w:val="21"/>
          <w:highlight w:val="none"/>
        </w:rPr>
        <w:t>第九条 争议的解决</w:t>
      </w:r>
    </w:p>
    <w:p w14:paraId="18D2210D">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1、凡与本合同有关而引起的一切争议，甲乙双方应首先通过友好协商解决，如经协商后仍不能达成协议时，任何一方可以向</w:t>
      </w:r>
      <w:r>
        <w:rPr>
          <w:rFonts w:hint="eastAsia" w:ascii="宋体" w:hAnsi="宋体" w:cs="宋体"/>
          <w:color w:val="auto"/>
          <w:spacing w:val="10"/>
          <w:highlight w:val="none"/>
        </w:rPr>
        <w:t>甲方所在地人民</w:t>
      </w:r>
      <w:r>
        <w:rPr>
          <w:rFonts w:hint="eastAsia" w:ascii="宋体" w:hAnsi="宋体" w:cs="宋体"/>
          <w:color w:val="auto"/>
          <w:szCs w:val="21"/>
          <w:highlight w:val="none"/>
        </w:rPr>
        <w:t>法院提出诉讼。守约方为解决争议所支出的包括但不限于诉讼费、保全费、保险费、律师费、担保费、鉴定费、差旅费、</w:t>
      </w:r>
      <w:r>
        <w:rPr>
          <w:rFonts w:ascii="宋体" w:hAnsi="宋体" w:cs="宋体"/>
          <w:color w:val="auto"/>
          <w:szCs w:val="21"/>
          <w:highlight w:val="none"/>
        </w:rPr>
        <w:t>评估费、调查费</w:t>
      </w:r>
      <w:r>
        <w:rPr>
          <w:rFonts w:hint="eastAsia" w:ascii="宋体" w:hAnsi="宋体" w:cs="宋体"/>
          <w:color w:val="auto"/>
          <w:szCs w:val="21"/>
          <w:highlight w:val="none"/>
        </w:rPr>
        <w:t>等维权费用由违约方承担。</w:t>
      </w:r>
    </w:p>
    <w:p w14:paraId="5E35BC53">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2、在进行法院审理期间，除提交法院审理的事项外，合同其他部分仍继续履行。</w:t>
      </w:r>
    </w:p>
    <w:p w14:paraId="617DF324">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shd w:val="clear" w:color="auto" w:fill="FFFFFF"/>
        </w:rPr>
      </w:pPr>
      <w:r>
        <w:rPr>
          <w:rFonts w:hint="eastAsia" w:ascii="宋体" w:hAnsi="宋体" w:cs="宋体"/>
          <w:color w:val="auto"/>
          <w:szCs w:val="21"/>
          <w:highlight w:val="none"/>
        </w:rPr>
        <w:t>3、本合同按照中华人民共和国的法律进行解释</w:t>
      </w:r>
      <w:r>
        <w:rPr>
          <w:rFonts w:hint="eastAsia" w:ascii="宋体" w:hAnsi="宋体" w:cs="宋体"/>
          <w:color w:val="auto"/>
          <w:szCs w:val="21"/>
          <w:highlight w:val="none"/>
          <w:shd w:val="clear" w:color="auto" w:fill="FFFFFF"/>
        </w:rPr>
        <w:t>。</w:t>
      </w:r>
    </w:p>
    <w:p w14:paraId="4C7B8BF9">
      <w:pPr>
        <w:pageBreakBefore w:val="0"/>
        <w:shd w:val="clear"/>
        <w:kinsoku w:val="0"/>
        <w:wordWrap w:val="0"/>
        <w:topLinePunct w:val="0"/>
        <w:bidi w:val="0"/>
        <w:spacing w:after="0" w:line="360" w:lineRule="auto"/>
        <w:rPr>
          <w:rFonts w:hint="eastAsia" w:ascii="宋体" w:hAnsi="宋体" w:cs="宋体"/>
          <w:b/>
          <w:color w:val="auto"/>
          <w:szCs w:val="21"/>
          <w:highlight w:val="none"/>
        </w:rPr>
      </w:pPr>
      <w:r>
        <w:rPr>
          <w:rFonts w:hint="eastAsia" w:ascii="宋体" w:hAnsi="宋体" w:cs="宋体"/>
          <w:b/>
          <w:color w:val="auto"/>
          <w:szCs w:val="21"/>
          <w:highlight w:val="none"/>
        </w:rPr>
        <w:t>第十条 合同生效</w:t>
      </w:r>
    </w:p>
    <w:p w14:paraId="168DF44D">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1、本合同由双方法定代表人或委托代理人签字盖章后立即生效，具有同等法律效力，合同有效期随服务期结束而自然终止。</w:t>
      </w:r>
    </w:p>
    <w:p w14:paraId="23576473">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2、本合同一式    份，其中甲方</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 xml:space="preserve">  份、甲方</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 xml:space="preserve">  份、乙方    份。</w:t>
      </w:r>
    </w:p>
    <w:p w14:paraId="18EFBBC6">
      <w:pPr>
        <w:pageBreakBefore w:val="0"/>
        <w:shd w:val="clear"/>
        <w:kinsoku w:val="0"/>
        <w:wordWrap w:val="0"/>
        <w:topLinePunct w:val="0"/>
        <w:bidi w:val="0"/>
        <w:spacing w:after="0" w:line="360" w:lineRule="auto"/>
        <w:rPr>
          <w:rFonts w:hint="eastAsia" w:ascii="宋体" w:hAnsi="宋体" w:cs="宋体"/>
          <w:b/>
          <w:color w:val="auto"/>
          <w:szCs w:val="21"/>
          <w:highlight w:val="none"/>
        </w:rPr>
      </w:pPr>
      <w:r>
        <w:rPr>
          <w:rFonts w:hint="eastAsia" w:ascii="宋体" w:hAnsi="宋体" w:cs="宋体"/>
          <w:b/>
          <w:color w:val="auto"/>
          <w:szCs w:val="21"/>
          <w:highlight w:val="none"/>
        </w:rPr>
        <w:t>第十一条 其它</w:t>
      </w:r>
    </w:p>
    <w:p w14:paraId="15C0E03E">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1、本合同未尽事宜，双方可签订补充合同，补充合同与所有附件均为合同的有效组成部分，与本合同具有同等法律效力。</w:t>
      </w:r>
    </w:p>
    <w:p w14:paraId="67682DF9">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2、在执行本合同的过程中，所有经甲乙双方签署确认的文件（包括会议纪要、补充协议、往来信函、合同附件等）即成为本合同的有效组成部分，其生效日期为双方签字盖章或确认之日期。</w:t>
      </w:r>
    </w:p>
    <w:p w14:paraId="6477A953">
      <w:pPr>
        <w:pageBreakBefore w:val="0"/>
        <w:shd w:val="clear"/>
        <w:kinsoku w:val="0"/>
        <w:wordWrap w:val="0"/>
        <w:topLinePunct w:val="0"/>
        <w:bidi w:val="0"/>
        <w:spacing w:after="0"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以下无正文</w:t>
      </w:r>
      <w:r>
        <w:rPr>
          <w:rFonts w:hint="eastAsia" w:ascii="宋体" w:hAnsi="宋体" w:cs="宋体"/>
          <w:color w:val="auto"/>
          <w:sz w:val="21"/>
          <w:szCs w:val="21"/>
          <w:highlight w:val="none"/>
          <w:lang w:eastAsia="zh-CN"/>
        </w:rPr>
        <w:t>）</w:t>
      </w:r>
    </w:p>
    <w:p w14:paraId="249DCAC4">
      <w:pPr>
        <w:pageBreakBefore w:val="0"/>
        <w:shd w:val="clear"/>
        <w:kinsoku w:val="0"/>
        <w:wordWrap w:val="0"/>
        <w:topLinePunct w:val="0"/>
        <w:bidi w:val="0"/>
        <w:spacing w:after="0"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附件：</w:t>
      </w:r>
    </w:p>
    <w:p w14:paraId="6E93499B">
      <w:pPr>
        <w:pageBreakBefore w:val="0"/>
        <w:shd w:val="clear"/>
        <w:kinsoku w:val="0"/>
        <w:wordWrap w:val="0"/>
        <w:topLinePunct w:val="0"/>
        <w:bidi w:val="0"/>
        <w:spacing w:after="0"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附件一：供应商评价表</w:t>
      </w:r>
    </w:p>
    <w:p w14:paraId="6DF42DBC">
      <w:pPr>
        <w:pageBreakBefore w:val="0"/>
        <w:shd w:val="clear"/>
        <w:kinsoku w:val="0"/>
        <w:wordWrap w:val="0"/>
        <w:topLinePunct w:val="0"/>
        <w:bidi w:val="0"/>
        <w:spacing w:after="0"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附件二：招标文件（含招标文件澄清通知）</w:t>
      </w:r>
    </w:p>
    <w:p w14:paraId="38D46229">
      <w:pPr>
        <w:pageBreakBefore w:val="0"/>
        <w:shd w:val="clear"/>
        <w:kinsoku w:val="0"/>
        <w:wordWrap w:val="0"/>
        <w:topLinePunct w:val="0"/>
        <w:bidi w:val="0"/>
        <w:spacing w:after="0"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附件三：中标通知书</w:t>
      </w:r>
    </w:p>
    <w:p w14:paraId="3A6E163A">
      <w:pPr>
        <w:pageBreakBefore w:val="0"/>
        <w:shd w:val="clear"/>
        <w:kinsoku w:val="0"/>
        <w:wordWrap w:val="0"/>
        <w:topLinePunct w:val="0"/>
        <w:bidi w:val="0"/>
        <w:spacing w:after="0"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附件四：投标文件（含澄清内容）</w:t>
      </w:r>
    </w:p>
    <w:p w14:paraId="4AAA1B5A">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 w:val="21"/>
          <w:szCs w:val="21"/>
          <w:highlight w:val="none"/>
        </w:rPr>
        <w:t>附件五：阳光合作协议</w:t>
      </w:r>
    </w:p>
    <w:p w14:paraId="235EBD1A">
      <w:pPr>
        <w:pageBreakBefore w:val="0"/>
        <w:shd w:val="clear"/>
        <w:kinsoku w:val="0"/>
        <w:wordWrap w:val="0"/>
        <w:topLinePunct w:val="0"/>
        <w:bidi w:val="0"/>
        <w:spacing w:after="0" w:line="360" w:lineRule="auto"/>
        <w:rPr>
          <w:rFonts w:hint="eastAsia" w:ascii="宋体" w:hAnsi="宋体" w:cs="宋体"/>
          <w:color w:val="auto"/>
          <w:szCs w:val="21"/>
          <w:highlight w:val="none"/>
        </w:rPr>
      </w:pPr>
    </w:p>
    <w:p w14:paraId="1FFB8176">
      <w:pPr>
        <w:pageBreakBefore w:val="0"/>
        <w:shd w:val="clear"/>
        <w:kinsoku w:val="0"/>
        <w:wordWrap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甲方</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 xml:space="preserve">（盖章）：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 xml:space="preserve"> 甲方</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 xml:space="preserve">（盖章）：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 xml:space="preserve">  乙方（盖章）：</w:t>
      </w:r>
    </w:p>
    <w:p w14:paraId="6DAD63D6">
      <w:pPr>
        <w:pageBreakBefore w:val="0"/>
        <w:shd w:val="clear"/>
        <w:kinsoku w:val="0"/>
        <w:wordWrap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法定代表(签字)：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 xml:space="preserve">  法定代表(签字)：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 xml:space="preserve"> 法定代表(签字)：</w:t>
      </w:r>
    </w:p>
    <w:p w14:paraId="1D87E2E1">
      <w:pPr>
        <w:pageBreakBefore w:val="0"/>
        <w:shd w:val="clear"/>
        <w:kinsoku w:val="0"/>
        <w:wordWrap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地址：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 xml:space="preserve">   地址：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 xml:space="preserve"> 地址： </w:t>
      </w:r>
    </w:p>
    <w:p w14:paraId="69205B0C">
      <w:pPr>
        <w:pageBreakBefore w:val="0"/>
        <w:shd w:val="clear"/>
        <w:kinsoku w:val="0"/>
        <w:wordWrap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电话：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 xml:space="preserve">   电话：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电话：</w:t>
      </w:r>
    </w:p>
    <w:p w14:paraId="7DA622BA">
      <w:pPr>
        <w:pageBreakBefore w:val="0"/>
        <w:shd w:val="clear"/>
        <w:kinsoku w:val="0"/>
        <w:wordWrap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传真：</w:t>
      </w:r>
      <w:r>
        <w:rPr>
          <w:rFonts w:hint="eastAsia" w:ascii="宋体" w:hAnsi="宋体" w:cs="宋体"/>
          <w:color w:val="auto"/>
          <w:szCs w:val="21"/>
          <w:highlight w:val="none"/>
        </w:rPr>
        <w:tab/>
      </w:r>
      <w:r>
        <w:rPr>
          <w:rFonts w:hint="eastAsia" w:ascii="宋体" w:hAnsi="宋体" w:cs="宋体"/>
          <w:color w:val="auto"/>
          <w:szCs w:val="21"/>
          <w:highlight w:val="none"/>
        </w:rPr>
        <w:tab/>
      </w:r>
      <w:r>
        <w:rPr>
          <w:rFonts w:hint="eastAsia" w:ascii="宋体" w:hAnsi="宋体" w:cs="宋体"/>
          <w:color w:val="auto"/>
          <w:szCs w:val="21"/>
          <w:highlight w:val="none"/>
        </w:rPr>
        <w:tab/>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传真：</w:t>
      </w:r>
      <w:r>
        <w:rPr>
          <w:rFonts w:hint="eastAsia" w:ascii="宋体" w:hAnsi="宋体" w:cs="宋体"/>
          <w:color w:val="auto"/>
          <w:szCs w:val="21"/>
          <w:highlight w:val="none"/>
        </w:rPr>
        <w:tab/>
      </w: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传真：</w:t>
      </w:r>
    </w:p>
    <w:p w14:paraId="13D63C32">
      <w:pPr>
        <w:pageBreakBefore w:val="0"/>
        <w:shd w:val="clear"/>
        <w:kinsoku w:val="0"/>
        <w:wordWrap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开户银行：</w:t>
      </w:r>
      <w:r>
        <w:rPr>
          <w:rFonts w:hint="eastAsia" w:ascii="宋体" w:hAnsi="宋体" w:cs="宋体"/>
          <w:color w:val="auto"/>
          <w:szCs w:val="21"/>
          <w:highlight w:val="none"/>
        </w:rPr>
        <w:tab/>
      </w: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 xml:space="preserve">   开户银行：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 xml:space="preserve">  开户银行：</w:t>
      </w:r>
    </w:p>
    <w:p w14:paraId="34E0FB82">
      <w:pPr>
        <w:pageBreakBefore w:val="0"/>
        <w:shd w:val="clear"/>
        <w:kinsoku w:val="0"/>
        <w:wordWrap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账号：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 xml:space="preserve">账号：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 xml:space="preserve">  账号：</w:t>
      </w:r>
    </w:p>
    <w:p w14:paraId="4C6F2555">
      <w:pPr>
        <w:pageBreakBefore w:val="0"/>
        <w:shd w:val="clear"/>
        <w:kinsoku w:val="0"/>
        <w:wordWrap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签约时间：</w:t>
      </w:r>
    </w:p>
    <w:p w14:paraId="4A1E6C90">
      <w:pPr>
        <w:pageBreakBefore w:val="0"/>
        <w:shd w:val="clear"/>
        <w:kinsoku w:val="0"/>
        <w:wordWrap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签约地点：</w:t>
      </w:r>
    </w:p>
    <w:bookmarkEnd w:id="195"/>
    <w:p w14:paraId="1DF152C6">
      <w:pPr>
        <w:pageBreakBefore w:val="0"/>
        <w:shd w:val="clear"/>
        <w:topLinePunct w:val="0"/>
        <w:bidi w:val="0"/>
        <w:spacing w:after="0" w:line="360" w:lineRule="auto"/>
        <w:rPr>
          <w:rFonts w:hint="eastAsia" w:ascii="宋体" w:hAnsi="宋体" w:cs="宋体"/>
          <w:b/>
          <w:color w:val="auto"/>
          <w:szCs w:val="21"/>
          <w:highlight w:val="none"/>
        </w:rPr>
      </w:pPr>
      <w:r>
        <w:rPr>
          <w:rFonts w:hint="eastAsia" w:ascii="宋体" w:hAnsi="宋体" w:cs="宋体"/>
          <w:b/>
          <w:color w:val="auto"/>
          <w:szCs w:val="21"/>
          <w:highlight w:val="none"/>
        </w:rPr>
        <w:br w:type="page"/>
      </w:r>
    </w:p>
    <w:p w14:paraId="57DE5369">
      <w:pPr>
        <w:pStyle w:val="10"/>
        <w:pageBreakBefore w:val="0"/>
        <w:shd w:val="clear"/>
        <w:topLinePunct w:val="0"/>
        <w:bidi w:val="0"/>
        <w:spacing w:before="0" w:after="0" w:line="360" w:lineRule="auto"/>
        <w:rPr>
          <w:rFonts w:hint="eastAsia"/>
          <w:b/>
          <w:color w:val="auto"/>
          <w:sz w:val="21"/>
          <w:szCs w:val="21"/>
          <w:highlight w:val="none"/>
        </w:rPr>
      </w:pPr>
      <w:r>
        <w:rPr>
          <w:rFonts w:hint="eastAsia"/>
          <w:b/>
          <w:color w:val="auto"/>
          <w:sz w:val="21"/>
          <w:szCs w:val="21"/>
          <w:highlight w:val="none"/>
        </w:rPr>
        <w:t>附件</w:t>
      </w:r>
      <w:r>
        <w:rPr>
          <w:rFonts w:hint="eastAsia"/>
          <w:b/>
          <w:color w:val="auto"/>
          <w:sz w:val="21"/>
          <w:szCs w:val="21"/>
          <w:highlight w:val="none"/>
          <w:lang w:val="en-US" w:eastAsia="zh-CN"/>
        </w:rPr>
        <w:t>一</w:t>
      </w:r>
      <w:r>
        <w:rPr>
          <w:rFonts w:hint="eastAsia"/>
          <w:b/>
          <w:color w:val="auto"/>
          <w:sz w:val="21"/>
          <w:szCs w:val="21"/>
          <w:highlight w:val="none"/>
        </w:rPr>
        <w:t>：</w:t>
      </w:r>
      <w:r>
        <w:rPr>
          <w:rFonts w:hint="eastAsia"/>
          <w:b/>
          <w:color w:val="auto"/>
          <w:sz w:val="21"/>
          <w:szCs w:val="21"/>
          <w:highlight w:val="none"/>
          <w:lang w:val="en-US"/>
        </w:rPr>
        <w:t>供应商</w:t>
      </w:r>
      <w:r>
        <w:rPr>
          <w:rFonts w:hint="eastAsia"/>
          <w:b/>
          <w:color w:val="auto"/>
          <w:sz w:val="21"/>
          <w:szCs w:val="21"/>
          <w:highlight w:val="none"/>
        </w:rPr>
        <w:t>评价表</w:t>
      </w:r>
    </w:p>
    <w:tbl>
      <w:tblPr>
        <w:tblStyle w:val="32"/>
        <w:tblW w:w="8360" w:type="dxa"/>
        <w:tblInd w:w="93" w:type="dxa"/>
        <w:tblLayout w:type="fixed"/>
        <w:tblCellMar>
          <w:top w:w="0" w:type="dxa"/>
          <w:left w:w="108" w:type="dxa"/>
          <w:bottom w:w="0" w:type="dxa"/>
          <w:right w:w="108" w:type="dxa"/>
        </w:tblCellMar>
      </w:tblPr>
      <w:tblGrid>
        <w:gridCol w:w="974"/>
        <w:gridCol w:w="3515"/>
        <w:gridCol w:w="928"/>
        <w:gridCol w:w="928"/>
        <w:gridCol w:w="928"/>
        <w:gridCol w:w="1087"/>
      </w:tblGrid>
      <w:tr w14:paraId="48606139">
        <w:tblPrEx>
          <w:tblCellMar>
            <w:top w:w="0" w:type="dxa"/>
            <w:left w:w="108" w:type="dxa"/>
            <w:bottom w:w="0" w:type="dxa"/>
            <w:right w:w="108" w:type="dxa"/>
          </w:tblCellMar>
        </w:tblPrEx>
        <w:trPr>
          <w:trHeight w:val="606" w:hRule="atLeast"/>
        </w:trPr>
        <w:tc>
          <w:tcPr>
            <w:tcW w:w="8360" w:type="dxa"/>
            <w:gridSpan w:val="6"/>
            <w:tcBorders>
              <w:top w:val="single" w:color="000000" w:sz="4" w:space="0"/>
              <w:left w:val="single" w:color="000000" w:sz="4" w:space="0"/>
              <w:bottom w:val="single" w:color="000000" w:sz="4" w:space="0"/>
              <w:right w:val="single" w:color="000000" w:sz="4" w:space="0"/>
            </w:tcBorders>
            <w:vAlign w:val="center"/>
          </w:tcPr>
          <w:p w14:paraId="1A0526DE">
            <w:pPr>
              <w:pageBreakBefore w:val="0"/>
              <w:shd w:val="clear"/>
              <w:topLinePunct w:val="0"/>
              <w:bidi w:val="0"/>
              <w:spacing w:after="0" w:line="360" w:lineRule="auto"/>
              <w:jc w:val="center"/>
              <w:textAlignment w:val="center"/>
              <w:rPr>
                <w:rFonts w:hint="eastAsia" w:ascii="宋体" w:hAnsi="宋体" w:cs="宋体"/>
                <w:b/>
                <w:bCs/>
                <w:color w:val="auto"/>
                <w:sz w:val="32"/>
                <w:szCs w:val="32"/>
                <w:highlight w:val="none"/>
              </w:rPr>
            </w:pPr>
            <w:r>
              <w:rPr>
                <w:rFonts w:hint="eastAsia" w:ascii="宋体" w:hAnsi="宋体" w:cs="宋体"/>
                <w:b/>
                <w:bCs/>
                <w:color w:val="auto"/>
                <w:sz w:val="32"/>
                <w:szCs w:val="32"/>
                <w:highlight w:val="none"/>
                <w:u w:val="single"/>
                <w:lang w:bidi="ar"/>
              </w:rPr>
              <w:t xml:space="preserve">            酒店有限公司</w:t>
            </w:r>
          </w:p>
        </w:tc>
      </w:tr>
      <w:tr w14:paraId="6AFF7A8B">
        <w:tblPrEx>
          <w:tblCellMar>
            <w:top w:w="0" w:type="dxa"/>
            <w:left w:w="108" w:type="dxa"/>
            <w:bottom w:w="0" w:type="dxa"/>
            <w:right w:w="108" w:type="dxa"/>
          </w:tblCellMar>
        </w:tblPrEx>
        <w:trPr>
          <w:trHeight w:val="606" w:hRule="atLeast"/>
        </w:trPr>
        <w:tc>
          <w:tcPr>
            <w:tcW w:w="8360" w:type="dxa"/>
            <w:gridSpan w:val="6"/>
            <w:tcBorders>
              <w:top w:val="single" w:color="000000" w:sz="4" w:space="0"/>
              <w:left w:val="single" w:color="000000" w:sz="4" w:space="0"/>
              <w:bottom w:val="single" w:color="000000" w:sz="4" w:space="0"/>
              <w:right w:val="single" w:color="000000" w:sz="4" w:space="0"/>
            </w:tcBorders>
            <w:vAlign w:val="center"/>
          </w:tcPr>
          <w:p w14:paraId="281D6FDD">
            <w:pPr>
              <w:pageBreakBefore w:val="0"/>
              <w:shd w:val="clear"/>
              <w:topLinePunct w:val="0"/>
              <w:bidi w:val="0"/>
              <w:spacing w:after="0" w:line="360" w:lineRule="auto"/>
              <w:jc w:val="center"/>
              <w:textAlignment w:val="center"/>
              <w:rPr>
                <w:rFonts w:hint="eastAsia" w:ascii="宋体" w:hAnsi="宋体" w:cs="宋体"/>
                <w:b/>
                <w:bCs/>
                <w:color w:val="auto"/>
                <w:sz w:val="32"/>
                <w:szCs w:val="32"/>
                <w:highlight w:val="none"/>
              </w:rPr>
            </w:pPr>
            <w:r>
              <w:rPr>
                <w:rFonts w:hint="eastAsia" w:ascii="宋体" w:hAnsi="宋体" w:cs="宋体"/>
                <w:b/>
                <w:bCs/>
                <w:color w:val="auto"/>
                <w:sz w:val="32"/>
                <w:szCs w:val="32"/>
                <w:highlight w:val="none"/>
                <w:lang w:bidi="ar"/>
              </w:rPr>
              <w:t>供应商评价表</w:t>
            </w:r>
          </w:p>
        </w:tc>
      </w:tr>
      <w:tr w14:paraId="15C5B2A1">
        <w:tblPrEx>
          <w:tblCellMar>
            <w:top w:w="0" w:type="dxa"/>
            <w:left w:w="108" w:type="dxa"/>
            <w:bottom w:w="0" w:type="dxa"/>
            <w:right w:w="108" w:type="dxa"/>
          </w:tblCellMar>
        </w:tblPrEx>
        <w:trPr>
          <w:trHeight w:val="427" w:hRule="atLeast"/>
        </w:trPr>
        <w:tc>
          <w:tcPr>
            <w:tcW w:w="974" w:type="dxa"/>
            <w:tcBorders>
              <w:top w:val="single" w:color="000000" w:sz="4" w:space="0"/>
              <w:left w:val="single" w:color="000000" w:sz="4" w:space="0"/>
              <w:bottom w:val="single" w:color="000000" w:sz="4" w:space="0"/>
              <w:right w:val="single" w:color="000000" w:sz="4" w:space="0"/>
            </w:tcBorders>
            <w:vAlign w:val="center"/>
          </w:tcPr>
          <w:p w14:paraId="08A12102">
            <w:pPr>
              <w:pageBreakBefore w:val="0"/>
              <w:shd w:val="clear"/>
              <w:topLinePunct w:val="0"/>
              <w:bidi w:val="0"/>
              <w:spacing w:after="0" w:line="360" w:lineRule="auto"/>
              <w:jc w:val="center"/>
              <w:textAlignment w:val="center"/>
              <w:rPr>
                <w:rFonts w:hint="eastAsia" w:ascii="宋体" w:hAnsi="宋体" w:cs="宋体"/>
                <w:b/>
                <w:bCs/>
                <w:color w:val="auto"/>
                <w:sz w:val="22"/>
                <w:highlight w:val="none"/>
              </w:rPr>
            </w:pPr>
            <w:r>
              <w:rPr>
                <w:rFonts w:hint="eastAsia" w:ascii="宋体" w:hAnsi="宋体" w:cs="宋体"/>
                <w:b/>
                <w:bCs/>
                <w:color w:val="auto"/>
                <w:sz w:val="22"/>
                <w:highlight w:val="none"/>
                <w:lang w:bidi="ar"/>
              </w:rPr>
              <w:t>供应商名称：</w:t>
            </w:r>
          </w:p>
        </w:tc>
        <w:tc>
          <w:tcPr>
            <w:tcW w:w="3515" w:type="dxa"/>
            <w:tcBorders>
              <w:top w:val="single" w:color="000000" w:sz="4" w:space="0"/>
              <w:left w:val="single" w:color="000000" w:sz="4" w:space="0"/>
              <w:bottom w:val="single" w:color="000000" w:sz="4" w:space="0"/>
              <w:right w:val="single" w:color="000000" w:sz="4" w:space="0"/>
            </w:tcBorders>
            <w:vAlign w:val="center"/>
          </w:tcPr>
          <w:p w14:paraId="3E106F27">
            <w:pPr>
              <w:pageBreakBefore w:val="0"/>
              <w:shd w:val="clear"/>
              <w:topLinePunct w:val="0"/>
              <w:bidi w:val="0"/>
              <w:spacing w:after="0" w:line="360" w:lineRule="auto"/>
              <w:rPr>
                <w:rFonts w:hint="eastAsia" w:ascii="宋体" w:hAnsi="宋体" w:cs="宋体"/>
                <w:b/>
                <w:bCs/>
                <w:color w:val="auto"/>
                <w:sz w:val="22"/>
                <w:highlight w:val="none"/>
              </w:rPr>
            </w:pPr>
          </w:p>
        </w:tc>
        <w:tc>
          <w:tcPr>
            <w:tcW w:w="928" w:type="dxa"/>
            <w:tcBorders>
              <w:top w:val="single" w:color="000000" w:sz="4" w:space="0"/>
              <w:left w:val="single" w:color="000000" w:sz="4" w:space="0"/>
              <w:bottom w:val="single" w:color="000000" w:sz="4" w:space="0"/>
              <w:right w:val="single" w:color="000000" w:sz="4" w:space="0"/>
            </w:tcBorders>
            <w:vAlign w:val="center"/>
          </w:tcPr>
          <w:p w14:paraId="2363FF1D">
            <w:pPr>
              <w:pageBreakBefore w:val="0"/>
              <w:shd w:val="clear"/>
              <w:topLinePunct w:val="0"/>
              <w:bidi w:val="0"/>
              <w:spacing w:after="0" w:line="360" w:lineRule="auto"/>
              <w:textAlignment w:val="center"/>
              <w:rPr>
                <w:rFonts w:hint="eastAsia" w:ascii="宋体" w:hAnsi="宋体" w:cs="宋体"/>
                <w:b/>
                <w:bCs/>
                <w:color w:val="auto"/>
                <w:sz w:val="22"/>
                <w:highlight w:val="none"/>
              </w:rPr>
            </w:pPr>
            <w:r>
              <w:rPr>
                <w:rFonts w:hint="eastAsia" w:ascii="宋体" w:hAnsi="宋体" w:cs="宋体"/>
                <w:b/>
                <w:bCs/>
                <w:color w:val="auto"/>
                <w:sz w:val="22"/>
                <w:highlight w:val="none"/>
                <w:lang w:bidi="ar"/>
              </w:rPr>
              <w:t>评价时间：</w:t>
            </w:r>
          </w:p>
        </w:tc>
        <w:tc>
          <w:tcPr>
            <w:tcW w:w="2943" w:type="dxa"/>
            <w:gridSpan w:val="3"/>
            <w:tcBorders>
              <w:top w:val="single" w:color="000000" w:sz="4" w:space="0"/>
              <w:left w:val="single" w:color="000000" w:sz="4" w:space="0"/>
              <w:bottom w:val="single" w:color="000000" w:sz="4" w:space="0"/>
              <w:right w:val="single" w:color="000000" w:sz="4" w:space="0"/>
            </w:tcBorders>
            <w:vAlign w:val="center"/>
          </w:tcPr>
          <w:p w14:paraId="37CFBDBB">
            <w:pPr>
              <w:pageBreakBefore w:val="0"/>
              <w:shd w:val="clear"/>
              <w:topLinePunct w:val="0"/>
              <w:bidi w:val="0"/>
              <w:spacing w:after="0" w:line="360" w:lineRule="auto"/>
              <w:jc w:val="center"/>
              <w:textAlignment w:val="center"/>
              <w:rPr>
                <w:rFonts w:hint="eastAsia" w:ascii="宋体" w:hAnsi="宋体" w:cs="宋体"/>
                <w:b/>
                <w:bCs/>
                <w:color w:val="auto"/>
                <w:sz w:val="22"/>
                <w:highlight w:val="none"/>
              </w:rPr>
            </w:pPr>
            <w:r>
              <w:rPr>
                <w:rFonts w:hint="eastAsia" w:ascii="宋体" w:hAnsi="宋体" w:cs="宋体"/>
                <w:b/>
                <w:bCs/>
                <w:color w:val="auto"/>
                <w:sz w:val="22"/>
                <w:highlight w:val="none"/>
                <w:lang w:bidi="ar"/>
              </w:rPr>
              <w:t>年   月   日</w:t>
            </w:r>
          </w:p>
        </w:tc>
      </w:tr>
      <w:tr w14:paraId="593D5B63">
        <w:tblPrEx>
          <w:tblCellMar>
            <w:top w:w="0" w:type="dxa"/>
            <w:left w:w="108" w:type="dxa"/>
            <w:bottom w:w="0" w:type="dxa"/>
            <w:right w:w="108" w:type="dxa"/>
          </w:tblCellMar>
        </w:tblPrEx>
        <w:trPr>
          <w:trHeight w:val="427" w:hRule="atLeast"/>
        </w:trPr>
        <w:tc>
          <w:tcPr>
            <w:tcW w:w="974" w:type="dxa"/>
            <w:tcBorders>
              <w:top w:val="single" w:color="000000" w:sz="4" w:space="0"/>
              <w:left w:val="single" w:color="000000" w:sz="4" w:space="0"/>
              <w:bottom w:val="single" w:color="000000" w:sz="4" w:space="0"/>
              <w:right w:val="single" w:color="000000" w:sz="4" w:space="0"/>
            </w:tcBorders>
            <w:vAlign w:val="center"/>
          </w:tcPr>
          <w:p w14:paraId="5A19FA7B">
            <w:pPr>
              <w:pageBreakBefore w:val="0"/>
              <w:shd w:val="clear"/>
              <w:topLinePunct w:val="0"/>
              <w:bidi w:val="0"/>
              <w:spacing w:after="0" w:line="360" w:lineRule="auto"/>
              <w:jc w:val="center"/>
              <w:textAlignment w:val="center"/>
              <w:rPr>
                <w:rFonts w:hint="eastAsia" w:ascii="宋体" w:hAnsi="宋体" w:cs="宋体"/>
                <w:b/>
                <w:bCs/>
                <w:color w:val="auto"/>
                <w:sz w:val="22"/>
                <w:highlight w:val="none"/>
              </w:rPr>
            </w:pPr>
            <w:r>
              <w:rPr>
                <w:rFonts w:hint="eastAsia" w:ascii="宋体" w:hAnsi="宋体" w:cs="宋体"/>
                <w:b/>
                <w:bCs/>
                <w:color w:val="auto"/>
                <w:sz w:val="22"/>
                <w:highlight w:val="none"/>
                <w:lang w:bidi="ar"/>
              </w:rPr>
              <w:t>供货品类：</w:t>
            </w:r>
          </w:p>
        </w:tc>
        <w:tc>
          <w:tcPr>
            <w:tcW w:w="3515" w:type="dxa"/>
            <w:tcBorders>
              <w:top w:val="single" w:color="000000" w:sz="4" w:space="0"/>
              <w:left w:val="single" w:color="000000" w:sz="4" w:space="0"/>
              <w:bottom w:val="single" w:color="000000" w:sz="4" w:space="0"/>
              <w:right w:val="single" w:color="000000" w:sz="4" w:space="0"/>
            </w:tcBorders>
            <w:vAlign w:val="center"/>
          </w:tcPr>
          <w:p w14:paraId="0380D8CA">
            <w:pPr>
              <w:pageBreakBefore w:val="0"/>
              <w:shd w:val="clear"/>
              <w:topLinePunct w:val="0"/>
              <w:bidi w:val="0"/>
              <w:spacing w:after="0" w:line="360" w:lineRule="auto"/>
              <w:textAlignment w:val="center"/>
              <w:rPr>
                <w:rFonts w:hint="eastAsia" w:ascii="宋体" w:hAnsi="宋体" w:cs="宋体"/>
                <w:b/>
                <w:bCs/>
                <w:color w:val="auto"/>
                <w:sz w:val="22"/>
                <w:highlight w:val="none"/>
              </w:rPr>
            </w:pPr>
            <w:r>
              <w:rPr>
                <w:rFonts w:hint="eastAsia" w:ascii="宋体" w:hAnsi="宋体" w:cs="宋体"/>
                <w:b/>
                <w:bCs/>
                <w:color w:val="auto"/>
                <w:sz w:val="22"/>
                <w:highlight w:val="none"/>
                <w:lang w:bidi="ar"/>
              </w:rPr>
              <w:t>食品类</w:t>
            </w:r>
          </w:p>
        </w:tc>
        <w:tc>
          <w:tcPr>
            <w:tcW w:w="928" w:type="dxa"/>
            <w:tcBorders>
              <w:top w:val="single" w:color="000000" w:sz="4" w:space="0"/>
              <w:left w:val="single" w:color="000000" w:sz="4" w:space="0"/>
              <w:bottom w:val="single" w:color="000000" w:sz="4" w:space="0"/>
              <w:right w:val="single" w:color="000000" w:sz="4" w:space="0"/>
            </w:tcBorders>
            <w:vAlign w:val="center"/>
          </w:tcPr>
          <w:p w14:paraId="58C116A9">
            <w:pPr>
              <w:pageBreakBefore w:val="0"/>
              <w:shd w:val="clear"/>
              <w:topLinePunct w:val="0"/>
              <w:bidi w:val="0"/>
              <w:spacing w:after="0" w:line="360" w:lineRule="auto"/>
              <w:rPr>
                <w:rFonts w:hint="eastAsia" w:ascii="宋体" w:hAnsi="宋体" w:cs="宋体"/>
                <w:b/>
                <w:bCs/>
                <w:color w:val="auto"/>
                <w:sz w:val="22"/>
                <w:highlight w:val="none"/>
              </w:rPr>
            </w:pPr>
          </w:p>
        </w:tc>
        <w:tc>
          <w:tcPr>
            <w:tcW w:w="2943" w:type="dxa"/>
            <w:gridSpan w:val="3"/>
            <w:tcBorders>
              <w:top w:val="single" w:color="000000" w:sz="4" w:space="0"/>
              <w:left w:val="single" w:color="000000" w:sz="4" w:space="0"/>
              <w:bottom w:val="single" w:color="000000" w:sz="4" w:space="0"/>
              <w:right w:val="single" w:color="000000" w:sz="4" w:space="0"/>
            </w:tcBorders>
            <w:vAlign w:val="center"/>
          </w:tcPr>
          <w:p w14:paraId="015287A4">
            <w:pPr>
              <w:pageBreakBefore w:val="0"/>
              <w:shd w:val="clear"/>
              <w:topLinePunct w:val="0"/>
              <w:bidi w:val="0"/>
              <w:spacing w:after="0" w:line="360" w:lineRule="auto"/>
              <w:jc w:val="center"/>
              <w:textAlignment w:val="center"/>
              <w:rPr>
                <w:rFonts w:hint="eastAsia" w:ascii="宋体" w:hAnsi="宋体" w:cs="宋体"/>
                <w:b/>
                <w:bCs/>
                <w:color w:val="auto"/>
                <w:sz w:val="22"/>
                <w:highlight w:val="none"/>
              </w:rPr>
            </w:pPr>
            <w:r>
              <w:rPr>
                <w:rFonts w:hint="eastAsia" w:ascii="宋体" w:hAnsi="宋体" w:cs="宋体"/>
                <w:b/>
                <w:bCs/>
                <w:color w:val="auto"/>
                <w:sz w:val="22"/>
                <w:highlight w:val="none"/>
                <w:lang w:bidi="ar"/>
              </w:rPr>
              <w:t>评分部门</w:t>
            </w:r>
          </w:p>
        </w:tc>
      </w:tr>
      <w:tr w14:paraId="7838548A">
        <w:tblPrEx>
          <w:tblCellMar>
            <w:top w:w="0" w:type="dxa"/>
            <w:left w:w="108" w:type="dxa"/>
            <w:bottom w:w="0" w:type="dxa"/>
            <w:right w:w="108" w:type="dxa"/>
          </w:tblCellMar>
        </w:tblPrEx>
        <w:trPr>
          <w:trHeight w:val="484" w:hRule="atLeast"/>
        </w:trPr>
        <w:tc>
          <w:tcPr>
            <w:tcW w:w="974" w:type="dxa"/>
            <w:tcBorders>
              <w:top w:val="single" w:color="000000" w:sz="4" w:space="0"/>
              <w:left w:val="single" w:color="000000" w:sz="4" w:space="0"/>
              <w:bottom w:val="single" w:color="000000" w:sz="4" w:space="0"/>
              <w:right w:val="single" w:color="000000" w:sz="4" w:space="0"/>
            </w:tcBorders>
            <w:vAlign w:val="center"/>
          </w:tcPr>
          <w:p w14:paraId="1C483EE1">
            <w:pPr>
              <w:pageBreakBefore w:val="0"/>
              <w:shd w:val="clear"/>
              <w:topLinePunct w:val="0"/>
              <w:bidi w:val="0"/>
              <w:spacing w:after="0" w:line="360" w:lineRule="auto"/>
              <w:rPr>
                <w:rFonts w:hint="eastAsia" w:ascii="宋体" w:hAnsi="宋体" w:cs="宋体"/>
                <w:color w:val="auto"/>
                <w:sz w:val="20"/>
                <w:szCs w:val="20"/>
                <w:highlight w:val="none"/>
              </w:rPr>
            </w:pPr>
          </w:p>
        </w:tc>
        <w:tc>
          <w:tcPr>
            <w:tcW w:w="3515" w:type="dxa"/>
            <w:tcBorders>
              <w:top w:val="single" w:color="000000" w:sz="4" w:space="0"/>
              <w:left w:val="single" w:color="000000" w:sz="4" w:space="0"/>
              <w:bottom w:val="single" w:color="000000" w:sz="4" w:space="0"/>
              <w:right w:val="single" w:color="000000" w:sz="4" w:space="0"/>
            </w:tcBorders>
            <w:vAlign w:val="center"/>
          </w:tcPr>
          <w:p w14:paraId="30B265F5">
            <w:pPr>
              <w:pageBreakBefore w:val="0"/>
              <w:shd w:val="clear"/>
              <w:topLinePunct w:val="0"/>
              <w:bidi w:val="0"/>
              <w:spacing w:after="0" w:line="360" w:lineRule="auto"/>
              <w:jc w:val="center"/>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依据描述</w:t>
            </w:r>
          </w:p>
        </w:tc>
        <w:tc>
          <w:tcPr>
            <w:tcW w:w="928" w:type="dxa"/>
            <w:tcBorders>
              <w:top w:val="single" w:color="000000" w:sz="4" w:space="0"/>
              <w:left w:val="single" w:color="000000" w:sz="4" w:space="0"/>
              <w:bottom w:val="single" w:color="000000" w:sz="4" w:space="0"/>
              <w:right w:val="single" w:color="000000" w:sz="4" w:space="0"/>
            </w:tcBorders>
            <w:vAlign w:val="center"/>
          </w:tcPr>
          <w:p w14:paraId="068C2950">
            <w:pPr>
              <w:pageBreakBefore w:val="0"/>
              <w:shd w:val="clear"/>
              <w:topLinePunct w:val="0"/>
              <w:bidi w:val="0"/>
              <w:spacing w:after="0" w:line="360" w:lineRule="auto"/>
              <w:jc w:val="center"/>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得分范围</w:t>
            </w:r>
          </w:p>
        </w:tc>
        <w:tc>
          <w:tcPr>
            <w:tcW w:w="928" w:type="dxa"/>
            <w:tcBorders>
              <w:top w:val="single" w:color="000000" w:sz="4" w:space="0"/>
              <w:left w:val="single" w:color="000000" w:sz="4" w:space="0"/>
              <w:bottom w:val="single" w:color="000000" w:sz="4" w:space="0"/>
              <w:right w:val="single" w:color="000000" w:sz="4" w:space="0"/>
            </w:tcBorders>
            <w:vAlign w:val="center"/>
          </w:tcPr>
          <w:p w14:paraId="06BCE94F">
            <w:pPr>
              <w:pageBreakBefore w:val="0"/>
              <w:shd w:val="clear"/>
              <w:topLinePunct w:val="0"/>
              <w:bidi w:val="0"/>
              <w:spacing w:after="0" w:line="360" w:lineRule="auto"/>
              <w:jc w:val="center"/>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使用部门</w:t>
            </w:r>
          </w:p>
        </w:tc>
        <w:tc>
          <w:tcPr>
            <w:tcW w:w="928" w:type="dxa"/>
            <w:tcBorders>
              <w:top w:val="single" w:color="000000" w:sz="4" w:space="0"/>
              <w:left w:val="single" w:color="000000" w:sz="4" w:space="0"/>
              <w:bottom w:val="single" w:color="000000" w:sz="4" w:space="0"/>
              <w:right w:val="single" w:color="000000" w:sz="4" w:space="0"/>
            </w:tcBorders>
            <w:vAlign w:val="center"/>
          </w:tcPr>
          <w:p w14:paraId="37F781A2">
            <w:pPr>
              <w:pageBreakBefore w:val="0"/>
              <w:shd w:val="clear"/>
              <w:topLinePunct w:val="0"/>
              <w:bidi w:val="0"/>
              <w:spacing w:after="0" w:line="360" w:lineRule="auto"/>
              <w:jc w:val="center"/>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财务部</w:t>
            </w:r>
          </w:p>
        </w:tc>
        <w:tc>
          <w:tcPr>
            <w:tcW w:w="1087" w:type="dxa"/>
            <w:tcBorders>
              <w:top w:val="single" w:color="000000" w:sz="4" w:space="0"/>
              <w:left w:val="single" w:color="000000" w:sz="4" w:space="0"/>
              <w:bottom w:val="single" w:color="000000" w:sz="4" w:space="0"/>
              <w:right w:val="single" w:color="000000" w:sz="4" w:space="0"/>
            </w:tcBorders>
            <w:vAlign w:val="center"/>
          </w:tcPr>
          <w:p w14:paraId="7D47C8C1">
            <w:pPr>
              <w:pageBreakBefore w:val="0"/>
              <w:shd w:val="clear"/>
              <w:topLinePunct w:val="0"/>
              <w:bidi w:val="0"/>
              <w:spacing w:after="0" w:line="360" w:lineRule="auto"/>
              <w:jc w:val="center"/>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行政综合部</w:t>
            </w:r>
          </w:p>
        </w:tc>
      </w:tr>
      <w:tr w14:paraId="0F747910">
        <w:tblPrEx>
          <w:tblCellMar>
            <w:top w:w="0" w:type="dxa"/>
            <w:left w:w="108" w:type="dxa"/>
            <w:bottom w:w="0" w:type="dxa"/>
            <w:right w:w="108" w:type="dxa"/>
          </w:tblCellMar>
        </w:tblPrEx>
        <w:trPr>
          <w:trHeight w:val="484" w:hRule="atLeast"/>
        </w:trPr>
        <w:tc>
          <w:tcPr>
            <w:tcW w:w="974" w:type="dxa"/>
            <w:vMerge w:val="restart"/>
            <w:tcBorders>
              <w:top w:val="single" w:color="000000" w:sz="4" w:space="0"/>
              <w:left w:val="single" w:color="000000" w:sz="4" w:space="0"/>
              <w:bottom w:val="single" w:color="000000" w:sz="4" w:space="0"/>
              <w:right w:val="single" w:color="000000" w:sz="4" w:space="0"/>
            </w:tcBorders>
            <w:vAlign w:val="center"/>
          </w:tcPr>
          <w:p w14:paraId="004F90CF">
            <w:pPr>
              <w:pageBreakBefore w:val="0"/>
              <w:shd w:val="clear"/>
              <w:topLinePunct w:val="0"/>
              <w:bidi w:val="0"/>
              <w:spacing w:after="0" w:line="360" w:lineRule="auto"/>
              <w:jc w:val="center"/>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1、供货及时性（20分）</w:t>
            </w:r>
          </w:p>
        </w:tc>
        <w:tc>
          <w:tcPr>
            <w:tcW w:w="3515" w:type="dxa"/>
            <w:tcBorders>
              <w:top w:val="single" w:color="000000" w:sz="4" w:space="0"/>
              <w:left w:val="single" w:color="000000" w:sz="4" w:space="0"/>
              <w:bottom w:val="single" w:color="000000" w:sz="4" w:space="0"/>
              <w:right w:val="single" w:color="000000" w:sz="4" w:space="0"/>
            </w:tcBorders>
            <w:vAlign w:val="center"/>
          </w:tcPr>
          <w:p w14:paraId="29B1D3A4">
            <w:pPr>
              <w:pageBreakBefore w:val="0"/>
              <w:shd w:val="clear"/>
              <w:topLinePunct w:val="0"/>
              <w:bidi w:val="0"/>
              <w:spacing w:after="0" w:line="360" w:lineRule="auto"/>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(1)每次均能及时到货，并提供完整检测报告。</w:t>
            </w:r>
          </w:p>
        </w:tc>
        <w:tc>
          <w:tcPr>
            <w:tcW w:w="928" w:type="dxa"/>
            <w:tcBorders>
              <w:top w:val="single" w:color="000000" w:sz="4" w:space="0"/>
              <w:left w:val="single" w:color="000000" w:sz="4" w:space="0"/>
              <w:bottom w:val="single" w:color="000000" w:sz="4" w:space="0"/>
              <w:right w:val="single" w:color="000000" w:sz="4" w:space="0"/>
            </w:tcBorders>
            <w:vAlign w:val="center"/>
          </w:tcPr>
          <w:p w14:paraId="0B3899CB">
            <w:pPr>
              <w:pageBreakBefore w:val="0"/>
              <w:shd w:val="clear"/>
              <w:topLinePunct w:val="0"/>
              <w:bidi w:val="0"/>
              <w:spacing w:after="0" w:line="360" w:lineRule="auto"/>
              <w:jc w:val="center"/>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14-20分</w:t>
            </w:r>
          </w:p>
        </w:tc>
        <w:tc>
          <w:tcPr>
            <w:tcW w:w="928" w:type="dxa"/>
            <w:vMerge w:val="restart"/>
            <w:tcBorders>
              <w:top w:val="single" w:color="000000" w:sz="4" w:space="0"/>
              <w:left w:val="single" w:color="000000" w:sz="4" w:space="0"/>
              <w:bottom w:val="single" w:color="000000" w:sz="4" w:space="0"/>
              <w:right w:val="single" w:color="000000" w:sz="4" w:space="0"/>
            </w:tcBorders>
            <w:vAlign w:val="center"/>
          </w:tcPr>
          <w:p w14:paraId="73332A33">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928" w:type="dxa"/>
            <w:vMerge w:val="restart"/>
            <w:tcBorders>
              <w:top w:val="single" w:color="000000" w:sz="4" w:space="0"/>
              <w:left w:val="single" w:color="000000" w:sz="4" w:space="0"/>
              <w:bottom w:val="single" w:color="000000" w:sz="4" w:space="0"/>
              <w:right w:val="single" w:color="000000" w:sz="4" w:space="0"/>
            </w:tcBorders>
            <w:vAlign w:val="center"/>
          </w:tcPr>
          <w:p w14:paraId="18AA8385">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1087" w:type="dxa"/>
            <w:vMerge w:val="restart"/>
            <w:tcBorders>
              <w:top w:val="single" w:color="000000" w:sz="4" w:space="0"/>
              <w:left w:val="single" w:color="000000" w:sz="4" w:space="0"/>
              <w:bottom w:val="single" w:color="000000" w:sz="4" w:space="0"/>
              <w:right w:val="single" w:color="000000" w:sz="4" w:space="0"/>
            </w:tcBorders>
            <w:vAlign w:val="center"/>
          </w:tcPr>
          <w:p w14:paraId="3AC8117F">
            <w:pPr>
              <w:pageBreakBefore w:val="0"/>
              <w:shd w:val="clear"/>
              <w:topLinePunct w:val="0"/>
              <w:bidi w:val="0"/>
              <w:spacing w:after="0" w:line="360" w:lineRule="auto"/>
              <w:jc w:val="center"/>
              <w:rPr>
                <w:rFonts w:hint="eastAsia" w:ascii="宋体" w:hAnsi="宋体" w:cs="宋体"/>
                <w:color w:val="auto"/>
                <w:sz w:val="20"/>
                <w:szCs w:val="20"/>
                <w:highlight w:val="none"/>
              </w:rPr>
            </w:pPr>
          </w:p>
        </w:tc>
      </w:tr>
      <w:tr w14:paraId="158B659D">
        <w:tblPrEx>
          <w:tblCellMar>
            <w:top w:w="0" w:type="dxa"/>
            <w:left w:w="108" w:type="dxa"/>
            <w:bottom w:w="0" w:type="dxa"/>
            <w:right w:w="108" w:type="dxa"/>
          </w:tblCellMar>
        </w:tblPrEx>
        <w:trPr>
          <w:trHeight w:val="484" w:hRule="atLeast"/>
        </w:trPr>
        <w:tc>
          <w:tcPr>
            <w:tcW w:w="974" w:type="dxa"/>
            <w:vMerge w:val="continue"/>
            <w:tcBorders>
              <w:top w:val="single" w:color="000000" w:sz="4" w:space="0"/>
              <w:left w:val="single" w:color="000000" w:sz="4" w:space="0"/>
              <w:bottom w:val="single" w:color="000000" w:sz="4" w:space="0"/>
              <w:right w:val="single" w:color="000000" w:sz="4" w:space="0"/>
            </w:tcBorders>
            <w:vAlign w:val="center"/>
          </w:tcPr>
          <w:p w14:paraId="02901DD1">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3515" w:type="dxa"/>
            <w:tcBorders>
              <w:top w:val="single" w:color="000000" w:sz="4" w:space="0"/>
              <w:left w:val="single" w:color="000000" w:sz="4" w:space="0"/>
              <w:bottom w:val="single" w:color="000000" w:sz="4" w:space="0"/>
              <w:right w:val="single" w:color="000000" w:sz="4" w:space="0"/>
            </w:tcBorders>
            <w:vAlign w:val="center"/>
          </w:tcPr>
          <w:p w14:paraId="16B47126">
            <w:pPr>
              <w:pageBreakBefore w:val="0"/>
              <w:shd w:val="clear"/>
              <w:topLinePunct w:val="0"/>
              <w:bidi w:val="0"/>
              <w:spacing w:after="0" w:line="360" w:lineRule="auto"/>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(2)偶尔供货及提供检测报告不及时，但对出品造成较小影响。</w:t>
            </w:r>
          </w:p>
        </w:tc>
        <w:tc>
          <w:tcPr>
            <w:tcW w:w="928" w:type="dxa"/>
            <w:tcBorders>
              <w:top w:val="single" w:color="000000" w:sz="4" w:space="0"/>
              <w:left w:val="single" w:color="000000" w:sz="4" w:space="0"/>
              <w:bottom w:val="single" w:color="000000" w:sz="4" w:space="0"/>
              <w:right w:val="single" w:color="000000" w:sz="4" w:space="0"/>
            </w:tcBorders>
            <w:vAlign w:val="center"/>
          </w:tcPr>
          <w:p w14:paraId="4189ECA0">
            <w:pPr>
              <w:pageBreakBefore w:val="0"/>
              <w:shd w:val="clear"/>
              <w:topLinePunct w:val="0"/>
              <w:bidi w:val="0"/>
              <w:spacing w:after="0" w:line="360" w:lineRule="auto"/>
              <w:jc w:val="center"/>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7-13分</w:t>
            </w:r>
          </w:p>
        </w:tc>
        <w:tc>
          <w:tcPr>
            <w:tcW w:w="928" w:type="dxa"/>
            <w:vMerge w:val="continue"/>
            <w:tcBorders>
              <w:top w:val="single" w:color="000000" w:sz="4" w:space="0"/>
              <w:left w:val="single" w:color="000000" w:sz="4" w:space="0"/>
              <w:bottom w:val="single" w:color="000000" w:sz="4" w:space="0"/>
              <w:right w:val="single" w:color="000000" w:sz="4" w:space="0"/>
            </w:tcBorders>
            <w:vAlign w:val="center"/>
          </w:tcPr>
          <w:p w14:paraId="67141C48">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928" w:type="dxa"/>
            <w:vMerge w:val="continue"/>
            <w:tcBorders>
              <w:top w:val="single" w:color="000000" w:sz="4" w:space="0"/>
              <w:left w:val="single" w:color="000000" w:sz="4" w:space="0"/>
              <w:bottom w:val="single" w:color="000000" w:sz="4" w:space="0"/>
              <w:right w:val="single" w:color="000000" w:sz="4" w:space="0"/>
            </w:tcBorders>
            <w:vAlign w:val="center"/>
          </w:tcPr>
          <w:p w14:paraId="6D9C5E40">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1087" w:type="dxa"/>
            <w:vMerge w:val="continue"/>
            <w:tcBorders>
              <w:top w:val="single" w:color="000000" w:sz="4" w:space="0"/>
              <w:left w:val="single" w:color="000000" w:sz="4" w:space="0"/>
              <w:bottom w:val="single" w:color="000000" w:sz="4" w:space="0"/>
              <w:right w:val="single" w:color="000000" w:sz="4" w:space="0"/>
            </w:tcBorders>
            <w:vAlign w:val="center"/>
          </w:tcPr>
          <w:p w14:paraId="66E8EF47">
            <w:pPr>
              <w:pageBreakBefore w:val="0"/>
              <w:shd w:val="clear"/>
              <w:topLinePunct w:val="0"/>
              <w:bidi w:val="0"/>
              <w:spacing w:after="0" w:line="360" w:lineRule="auto"/>
              <w:jc w:val="center"/>
              <w:rPr>
                <w:rFonts w:hint="eastAsia" w:ascii="宋体" w:hAnsi="宋体" w:cs="宋体"/>
                <w:color w:val="auto"/>
                <w:sz w:val="20"/>
                <w:szCs w:val="20"/>
                <w:highlight w:val="none"/>
              </w:rPr>
            </w:pPr>
          </w:p>
        </w:tc>
      </w:tr>
      <w:tr w14:paraId="732CF6F5">
        <w:tblPrEx>
          <w:tblCellMar>
            <w:top w:w="0" w:type="dxa"/>
            <w:left w:w="108" w:type="dxa"/>
            <w:bottom w:w="0" w:type="dxa"/>
            <w:right w:w="108" w:type="dxa"/>
          </w:tblCellMar>
        </w:tblPrEx>
        <w:trPr>
          <w:trHeight w:val="484" w:hRule="atLeast"/>
        </w:trPr>
        <w:tc>
          <w:tcPr>
            <w:tcW w:w="974" w:type="dxa"/>
            <w:vMerge w:val="continue"/>
            <w:tcBorders>
              <w:top w:val="single" w:color="000000" w:sz="4" w:space="0"/>
              <w:left w:val="single" w:color="000000" w:sz="4" w:space="0"/>
              <w:bottom w:val="single" w:color="000000" w:sz="4" w:space="0"/>
              <w:right w:val="single" w:color="000000" w:sz="4" w:space="0"/>
            </w:tcBorders>
            <w:vAlign w:val="center"/>
          </w:tcPr>
          <w:p w14:paraId="428323F0">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3515" w:type="dxa"/>
            <w:tcBorders>
              <w:top w:val="single" w:color="000000" w:sz="4" w:space="0"/>
              <w:left w:val="single" w:color="000000" w:sz="4" w:space="0"/>
              <w:bottom w:val="single" w:color="000000" w:sz="4" w:space="0"/>
              <w:right w:val="single" w:color="000000" w:sz="4" w:space="0"/>
            </w:tcBorders>
            <w:vAlign w:val="center"/>
          </w:tcPr>
          <w:p w14:paraId="5C5B3844">
            <w:pPr>
              <w:pageBreakBefore w:val="0"/>
              <w:shd w:val="clear"/>
              <w:topLinePunct w:val="0"/>
              <w:bidi w:val="0"/>
              <w:spacing w:after="0" w:line="360" w:lineRule="auto"/>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(3)供货及提供检测报告不及时次数过多，且对出品造成较大影响。</w:t>
            </w:r>
          </w:p>
        </w:tc>
        <w:tc>
          <w:tcPr>
            <w:tcW w:w="928" w:type="dxa"/>
            <w:tcBorders>
              <w:top w:val="single" w:color="000000" w:sz="4" w:space="0"/>
              <w:left w:val="single" w:color="000000" w:sz="4" w:space="0"/>
              <w:bottom w:val="single" w:color="000000" w:sz="4" w:space="0"/>
              <w:right w:val="single" w:color="000000" w:sz="4" w:space="0"/>
            </w:tcBorders>
            <w:vAlign w:val="center"/>
          </w:tcPr>
          <w:p w14:paraId="00808821">
            <w:pPr>
              <w:pageBreakBefore w:val="0"/>
              <w:shd w:val="clear"/>
              <w:topLinePunct w:val="0"/>
              <w:bidi w:val="0"/>
              <w:spacing w:after="0" w:line="360" w:lineRule="auto"/>
              <w:jc w:val="center"/>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0-6分</w:t>
            </w:r>
          </w:p>
        </w:tc>
        <w:tc>
          <w:tcPr>
            <w:tcW w:w="928" w:type="dxa"/>
            <w:vMerge w:val="continue"/>
            <w:tcBorders>
              <w:top w:val="single" w:color="000000" w:sz="4" w:space="0"/>
              <w:left w:val="single" w:color="000000" w:sz="4" w:space="0"/>
              <w:bottom w:val="single" w:color="000000" w:sz="4" w:space="0"/>
              <w:right w:val="single" w:color="000000" w:sz="4" w:space="0"/>
            </w:tcBorders>
            <w:vAlign w:val="center"/>
          </w:tcPr>
          <w:p w14:paraId="2E473151">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928" w:type="dxa"/>
            <w:vMerge w:val="continue"/>
            <w:tcBorders>
              <w:top w:val="single" w:color="000000" w:sz="4" w:space="0"/>
              <w:left w:val="single" w:color="000000" w:sz="4" w:space="0"/>
              <w:bottom w:val="single" w:color="000000" w:sz="4" w:space="0"/>
              <w:right w:val="single" w:color="000000" w:sz="4" w:space="0"/>
            </w:tcBorders>
            <w:vAlign w:val="center"/>
          </w:tcPr>
          <w:p w14:paraId="52A07B3F">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1087" w:type="dxa"/>
            <w:vMerge w:val="continue"/>
            <w:tcBorders>
              <w:top w:val="single" w:color="000000" w:sz="4" w:space="0"/>
              <w:left w:val="single" w:color="000000" w:sz="4" w:space="0"/>
              <w:bottom w:val="single" w:color="000000" w:sz="4" w:space="0"/>
              <w:right w:val="single" w:color="000000" w:sz="4" w:space="0"/>
            </w:tcBorders>
            <w:vAlign w:val="center"/>
          </w:tcPr>
          <w:p w14:paraId="161CDDD4">
            <w:pPr>
              <w:pageBreakBefore w:val="0"/>
              <w:shd w:val="clear"/>
              <w:topLinePunct w:val="0"/>
              <w:bidi w:val="0"/>
              <w:spacing w:after="0" w:line="360" w:lineRule="auto"/>
              <w:jc w:val="center"/>
              <w:rPr>
                <w:rFonts w:hint="eastAsia" w:ascii="宋体" w:hAnsi="宋体" w:cs="宋体"/>
                <w:color w:val="auto"/>
                <w:sz w:val="20"/>
                <w:szCs w:val="20"/>
                <w:highlight w:val="none"/>
              </w:rPr>
            </w:pPr>
          </w:p>
        </w:tc>
      </w:tr>
      <w:tr w14:paraId="57B133D9">
        <w:tblPrEx>
          <w:tblCellMar>
            <w:top w:w="0" w:type="dxa"/>
            <w:left w:w="108" w:type="dxa"/>
            <w:bottom w:w="0" w:type="dxa"/>
            <w:right w:w="108" w:type="dxa"/>
          </w:tblCellMar>
        </w:tblPrEx>
        <w:trPr>
          <w:trHeight w:val="484" w:hRule="atLeast"/>
        </w:trPr>
        <w:tc>
          <w:tcPr>
            <w:tcW w:w="974" w:type="dxa"/>
            <w:vMerge w:val="restart"/>
            <w:tcBorders>
              <w:top w:val="single" w:color="000000" w:sz="4" w:space="0"/>
              <w:left w:val="single" w:color="000000" w:sz="4" w:space="0"/>
              <w:bottom w:val="single" w:color="000000" w:sz="4" w:space="0"/>
              <w:right w:val="single" w:color="000000" w:sz="4" w:space="0"/>
            </w:tcBorders>
            <w:vAlign w:val="center"/>
          </w:tcPr>
          <w:p w14:paraId="525E02FC">
            <w:pPr>
              <w:pageBreakBefore w:val="0"/>
              <w:shd w:val="clear"/>
              <w:topLinePunct w:val="0"/>
              <w:bidi w:val="0"/>
              <w:spacing w:after="0" w:line="360" w:lineRule="auto"/>
              <w:jc w:val="center"/>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2、品类齐全度（20分）</w:t>
            </w:r>
          </w:p>
        </w:tc>
        <w:tc>
          <w:tcPr>
            <w:tcW w:w="3515" w:type="dxa"/>
            <w:tcBorders>
              <w:top w:val="single" w:color="000000" w:sz="4" w:space="0"/>
              <w:left w:val="single" w:color="000000" w:sz="4" w:space="0"/>
              <w:bottom w:val="single" w:color="000000" w:sz="4" w:space="0"/>
              <w:right w:val="single" w:color="000000" w:sz="4" w:space="0"/>
            </w:tcBorders>
            <w:vAlign w:val="center"/>
          </w:tcPr>
          <w:p w14:paraId="5406BA46">
            <w:pPr>
              <w:pageBreakBefore w:val="0"/>
              <w:shd w:val="clear"/>
              <w:topLinePunct w:val="0"/>
              <w:bidi w:val="0"/>
              <w:spacing w:after="0" w:line="360" w:lineRule="auto"/>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(1)品类齐全，能充分满足使用要求。</w:t>
            </w:r>
          </w:p>
        </w:tc>
        <w:tc>
          <w:tcPr>
            <w:tcW w:w="928" w:type="dxa"/>
            <w:tcBorders>
              <w:top w:val="single" w:color="000000" w:sz="4" w:space="0"/>
              <w:left w:val="single" w:color="000000" w:sz="4" w:space="0"/>
              <w:bottom w:val="single" w:color="000000" w:sz="4" w:space="0"/>
              <w:right w:val="single" w:color="000000" w:sz="4" w:space="0"/>
            </w:tcBorders>
            <w:vAlign w:val="center"/>
          </w:tcPr>
          <w:p w14:paraId="0BD935E0">
            <w:pPr>
              <w:pageBreakBefore w:val="0"/>
              <w:shd w:val="clear"/>
              <w:topLinePunct w:val="0"/>
              <w:bidi w:val="0"/>
              <w:spacing w:after="0" w:line="360" w:lineRule="auto"/>
              <w:jc w:val="center"/>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14-20分</w:t>
            </w:r>
          </w:p>
        </w:tc>
        <w:tc>
          <w:tcPr>
            <w:tcW w:w="928" w:type="dxa"/>
            <w:vMerge w:val="restart"/>
            <w:tcBorders>
              <w:top w:val="single" w:color="000000" w:sz="4" w:space="0"/>
              <w:left w:val="single" w:color="000000" w:sz="4" w:space="0"/>
              <w:bottom w:val="single" w:color="000000" w:sz="4" w:space="0"/>
              <w:right w:val="single" w:color="000000" w:sz="4" w:space="0"/>
            </w:tcBorders>
            <w:vAlign w:val="center"/>
          </w:tcPr>
          <w:p w14:paraId="578B4EB6">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928" w:type="dxa"/>
            <w:vMerge w:val="restart"/>
            <w:tcBorders>
              <w:top w:val="single" w:color="000000" w:sz="4" w:space="0"/>
              <w:left w:val="single" w:color="000000" w:sz="4" w:space="0"/>
              <w:bottom w:val="single" w:color="000000" w:sz="4" w:space="0"/>
              <w:right w:val="single" w:color="000000" w:sz="4" w:space="0"/>
            </w:tcBorders>
            <w:vAlign w:val="center"/>
          </w:tcPr>
          <w:p w14:paraId="67544A70">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1087" w:type="dxa"/>
            <w:vMerge w:val="restart"/>
            <w:tcBorders>
              <w:top w:val="single" w:color="000000" w:sz="4" w:space="0"/>
              <w:left w:val="single" w:color="000000" w:sz="4" w:space="0"/>
              <w:bottom w:val="single" w:color="000000" w:sz="4" w:space="0"/>
              <w:right w:val="single" w:color="000000" w:sz="4" w:space="0"/>
            </w:tcBorders>
            <w:vAlign w:val="center"/>
          </w:tcPr>
          <w:p w14:paraId="592A775E">
            <w:pPr>
              <w:pageBreakBefore w:val="0"/>
              <w:shd w:val="clear"/>
              <w:topLinePunct w:val="0"/>
              <w:bidi w:val="0"/>
              <w:spacing w:after="0" w:line="360" w:lineRule="auto"/>
              <w:jc w:val="center"/>
              <w:rPr>
                <w:rFonts w:hint="eastAsia" w:ascii="宋体" w:hAnsi="宋体" w:cs="宋体"/>
                <w:color w:val="auto"/>
                <w:sz w:val="20"/>
                <w:szCs w:val="20"/>
                <w:highlight w:val="none"/>
              </w:rPr>
            </w:pPr>
          </w:p>
        </w:tc>
      </w:tr>
      <w:tr w14:paraId="5088BC18">
        <w:tblPrEx>
          <w:tblCellMar>
            <w:top w:w="0" w:type="dxa"/>
            <w:left w:w="108" w:type="dxa"/>
            <w:bottom w:w="0" w:type="dxa"/>
            <w:right w:w="108" w:type="dxa"/>
          </w:tblCellMar>
        </w:tblPrEx>
        <w:trPr>
          <w:trHeight w:val="484" w:hRule="atLeast"/>
        </w:trPr>
        <w:tc>
          <w:tcPr>
            <w:tcW w:w="974" w:type="dxa"/>
            <w:vMerge w:val="continue"/>
            <w:tcBorders>
              <w:top w:val="single" w:color="000000" w:sz="4" w:space="0"/>
              <w:left w:val="single" w:color="000000" w:sz="4" w:space="0"/>
              <w:bottom w:val="single" w:color="000000" w:sz="4" w:space="0"/>
              <w:right w:val="single" w:color="000000" w:sz="4" w:space="0"/>
            </w:tcBorders>
            <w:vAlign w:val="center"/>
          </w:tcPr>
          <w:p w14:paraId="54BDA3BA">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3515" w:type="dxa"/>
            <w:tcBorders>
              <w:top w:val="single" w:color="000000" w:sz="4" w:space="0"/>
              <w:left w:val="single" w:color="000000" w:sz="4" w:space="0"/>
              <w:bottom w:val="single" w:color="000000" w:sz="4" w:space="0"/>
              <w:right w:val="single" w:color="000000" w:sz="4" w:space="0"/>
            </w:tcBorders>
            <w:vAlign w:val="center"/>
          </w:tcPr>
          <w:p w14:paraId="6AE1CB9E">
            <w:pPr>
              <w:pageBreakBefore w:val="0"/>
              <w:shd w:val="clear"/>
              <w:topLinePunct w:val="0"/>
              <w:bidi w:val="0"/>
              <w:spacing w:after="0" w:line="360" w:lineRule="auto"/>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(2)品类基本齐全，偶尔与实际需求不相符，但对出品造成较小影响。</w:t>
            </w:r>
          </w:p>
        </w:tc>
        <w:tc>
          <w:tcPr>
            <w:tcW w:w="928" w:type="dxa"/>
            <w:tcBorders>
              <w:top w:val="single" w:color="000000" w:sz="4" w:space="0"/>
              <w:left w:val="single" w:color="000000" w:sz="4" w:space="0"/>
              <w:bottom w:val="single" w:color="000000" w:sz="4" w:space="0"/>
              <w:right w:val="single" w:color="000000" w:sz="4" w:space="0"/>
            </w:tcBorders>
            <w:vAlign w:val="center"/>
          </w:tcPr>
          <w:p w14:paraId="59C71B13">
            <w:pPr>
              <w:pageBreakBefore w:val="0"/>
              <w:shd w:val="clear"/>
              <w:topLinePunct w:val="0"/>
              <w:bidi w:val="0"/>
              <w:spacing w:after="0" w:line="360" w:lineRule="auto"/>
              <w:jc w:val="center"/>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7-13分</w:t>
            </w:r>
          </w:p>
        </w:tc>
        <w:tc>
          <w:tcPr>
            <w:tcW w:w="928" w:type="dxa"/>
            <w:vMerge w:val="continue"/>
            <w:tcBorders>
              <w:top w:val="single" w:color="000000" w:sz="4" w:space="0"/>
              <w:left w:val="single" w:color="000000" w:sz="4" w:space="0"/>
              <w:bottom w:val="single" w:color="000000" w:sz="4" w:space="0"/>
              <w:right w:val="single" w:color="000000" w:sz="4" w:space="0"/>
            </w:tcBorders>
            <w:vAlign w:val="center"/>
          </w:tcPr>
          <w:p w14:paraId="5CB7904E">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928" w:type="dxa"/>
            <w:vMerge w:val="continue"/>
            <w:tcBorders>
              <w:top w:val="single" w:color="000000" w:sz="4" w:space="0"/>
              <w:left w:val="single" w:color="000000" w:sz="4" w:space="0"/>
              <w:bottom w:val="single" w:color="000000" w:sz="4" w:space="0"/>
              <w:right w:val="single" w:color="000000" w:sz="4" w:space="0"/>
            </w:tcBorders>
            <w:vAlign w:val="center"/>
          </w:tcPr>
          <w:p w14:paraId="2BF80CE0">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1087" w:type="dxa"/>
            <w:vMerge w:val="continue"/>
            <w:tcBorders>
              <w:top w:val="single" w:color="000000" w:sz="4" w:space="0"/>
              <w:left w:val="single" w:color="000000" w:sz="4" w:space="0"/>
              <w:bottom w:val="single" w:color="000000" w:sz="4" w:space="0"/>
              <w:right w:val="single" w:color="000000" w:sz="4" w:space="0"/>
            </w:tcBorders>
            <w:vAlign w:val="center"/>
          </w:tcPr>
          <w:p w14:paraId="04068199">
            <w:pPr>
              <w:pageBreakBefore w:val="0"/>
              <w:shd w:val="clear"/>
              <w:topLinePunct w:val="0"/>
              <w:bidi w:val="0"/>
              <w:spacing w:after="0" w:line="360" w:lineRule="auto"/>
              <w:jc w:val="center"/>
              <w:rPr>
                <w:rFonts w:hint="eastAsia" w:ascii="宋体" w:hAnsi="宋体" w:cs="宋体"/>
                <w:color w:val="auto"/>
                <w:sz w:val="20"/>
                <w:szCs w:val="20"/>
                <w:highlight w:val="none"/>
              </w:rPr>
            </w:pPr>
          </w:p>
        </w:tc>
      </w:tr>
      <w:tr w14:paraId="5C50F67C">
        <w:tblPrEx>
          <w:tblCellMar>
            <w:top w:w="0" w:type="dxa"/>
            <w:left w:w="108" w:type="dxa"/>
            <w:bottom w:w="0" w:type="dxa"/>
            <w:right w:w="108" w:type="dxa"/>
          </w:tblCellMar>
        </w:tblPrEx>
        <w:trPr>
          <w:trHeight w:val="755" w:hRule="atLeast"/>
        </w:trPr>
        <w:tc>
          <w:tcPr>
            <w:tcW w:w="974" w:type="dxa"/>
            <w:vMerge w:val="continue"/>
            <w:tcBorders>
              <w:top w:val="single" w:color="000000" w:sz="4" w:space="0"/>
              <w:left w:val="single" w:color="000000" w:sz="4" w:space="0"/>
              <w:bottom w:val="single" w:color="000000" w:sz="4" w:space="0"/>
              <w:right w:val="single" w:color="000000" w:sz="4" w:space="0"/>
            </w:tcBorders>
            <w:vAlign w:val="center"/>
          </w:tcPr>
          <w:p w14:paraId="580563F3">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3515" w:type="dxa"/>
            <w:tcBorders>
              <w:top w:val="single" w:color="000000" w:sz="4" w:space="0"/>
              <w:left w:val="single" w:color="000000" w:sz="4" w:space="0"/>
              <w:bottom w:val="single" w:color="000000" w:sz="4" w:space="0"/>
              <w:right w:val="single" w:color="000000" w:sz="4" w:space="0"/>
            </w:tcBorders>
            <w:vAlign w:val="center"/>
          </w:tcPr>
          <w:p w14:paraId="1FCFF777">
            <w:pPr>
              <w:pageBreakBefore w:val="0"/>
              <w:shd w:val="clear"/>
              <w:topLinePunct w:val="0"/>
              <w:bidi w:val="0"/>
              <w:spacing w:after="0" w:line="360" w:lineRule="auto"/>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(3)品类较少，供货差异较大，无法满足正常需求，且对出品造成较大影响。</w:t>
            </w:r>
          </w:p>
        </w:tc>
        <w:tc>
          <w:tcPr>
            <w:tcW w:w="928" w:type="dxa"/>
            <w:tcBorders>
              <w:top w:val="single" w:color="000000" w:sz="4" w:space="0"/>
              <w:left w:val="single" w:color="000000" w:sz="4" w:space="0"/>
              <w:bottom w:val="single" w:color="000000" w:sz="4" w:space="0"/>
              <w:right w:val="single" w:color="000000" w:sz="4" w:space="0"/>
            </w:tcBorders>
            <w:vAlign w:val="center"/>
          </w:tcPr>
          <w:p w14:paraId="4C1A994B">
            <w:pPr>
              <w:pageBreakBefore w:val="0"/>
              <w:shd w:val="clear"/>
              <w:topLinePunct w:val="0"/>
              <w:bidi w:val="0"/>
              <w:spacing w:after="0" w:line="360" w:lineRule="auto"/>
              <w:jc w:val="center"/>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0-6分</w:t>
            </w:r>
          </w:p>
        </w:tc>
        <w:tc>
          <w:tcPr>
            <w:tcW w:w="928" w:type="dxa"/>
            <w:vMerge w:val="continue"/>
            <w:tcBorders>
              <w:top w:val="single" w:color="000000" w:sz="4" w:space="0"/>
              <w:left w:val="single" w:color="000000" w:sz="4" w:space="0"/>
              <w:bottom w:val="single" w:color="000000" w:sz="4" w:space="0"/>
              <w:right w:val="single" w:color="000000" w:sz="4" w:space="0"/>
            </w:tcBorders>
            <w:vAlign w:val="center"/>
          </w:tcPr>
          <w:p w14:paraId="4A317D11">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928" w:type="dxa"/>
            <w:vMerge w:val="continue"/>
            <w:tcBorders>
              <w:top w:val="single" w:color="000000" w:sz="4" w:space="0"/>
              <w:left w:val="single" w:color="000000" w:sz="4" w:space="0"/>
              <w:bottom w:val="single" w:color="000000" w:sz="4" w:space="0"/>
              <w:right w:val="single" w:color="000000" w:sz="4" w:space="0"/>
            </w:tcBorders>
            <w:vAlign w:val="center"/>
          </w:tcPr>
          <w:p w14:paraId="546604E1">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1087" w:type="dxa"/>
            <w:vMerge w:val="continue"/>
            <w:tcBorders>
              <w:top w:val="single" w:color="000000" w:sz="4" w:space="0"/>
              <w:left w:val="single" w:color="000000" w:sz="4" w:space="0"/>
              <w:bottom w:val="single" w:color="000000" w:sz="4" w:space="0"/>
              <w:right w:val="single" w:color="000000" w:sz="4" w:space="0"/>
            </w:tcBorders>
            <w:vAlign w:val="center"/>
          </w:tcPr>
          <w:p w14:paraId="69E5DC0B">
            <w:pPr>
              <w:pageBreakBefore w:val="0"/>
              <w:shd w:val="clear"/>
              <w:topLinePunct w:val="0"/>
              <w:bidi w:val="0"/>
              <w:spacing w:after="0" w:line="360" w:lineRule="auto"/>
              <w:jc w:val="center"/>
              <w:rPr>
                <w:rFonts w:hint="eastAsia" w:ascii="宋体" w:hAnsi="宋体" w:cs="宋体"/>
                <w:color w:val="auto"/>
                <w:sz w:val="20"/>
                <w:szCs w:val="20"/>
                <w:highlight w:val="none"/>
              </w:rPr>
            </w:pPr>
          </w:p>
        </w:tc>
      </w:tr>
      <w:tr w14:paraId="416FA8FC">
        <w:tblPrEx>
          <w:tblCellMar>
            <w:top w:w="0" w:type="dxa"/>
            <w:left w:w="108" w:type="dxa"/>
            <w:bottom w:w="0" w:type="dxa"/>
            <w:right w:w="108" w:type="dxa"/>
          </w:tblCellMar>
        </w:tblPrEx>
        <w:trPr>
          <w:trHeight w:val="484" w:hRule="atLeast"/>
        </w:trPr>
        <w:tc>
          <w:tcPr>
            <w:tcW w:w="974" w:type="dxa"/>
            <w:vMerge w:val="restart"/>
            <w:tcBorders>
              <w:top w:val="single" w:color="000000" w:sz="4" w:space="0"/>
              <w:left w:val="single" w:color="000000" w:sz="4" w:space="0"/>
              <w:bottom w:val="single" w:color="000000" w:sz="4" w:space="0"/>
              <w:right w:val="single" w:color="000000" w:sz="4" w:space="0"/>
            </w:tcBorders>
            <w:vAlign w:val="center"/>
          </w:tcPr>
          <w:p w14:paraId="616FD2B3">
            <w:pPr>
              <w:pageBreakBefore w:val="0"/>
              <w:shd w:val="clear"/>
              <w:topLinePunct w:val="0"/>
              <w:bidi w:val="0"/>
              <w:spacing w:after="0" w:line="360" w:lineRule="auto"/>
              <w:jc w:val="center"/>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3、产品剩余质保期（20分）</w:t>
            </w:r>
          </w:p>
        </w:tc>
        <w:tc>
          <w:tcPr>
            <w:tcW w:w="3515" w:type="dxa"/>
            <w:tcBorders>
              <w:top w:val="single" w:color="000000" w:sz="4" w:space="0"/>
              <w:left w:val="single" w:color="000000" w:sz="4" w:space="0"/>
              <w:bottom w:val="single" w:color="000000" w:sz="4" w:space="0"/>
              <w:right w:val="single" w:color="000000" w:sz="4" w:space="0"/>
            </w:tcBorders>
            <w:vAlign w:val="center"/>
          </w:tcPr>
          <w:p w14:paraId="472A28D1">
            <w:pPr>
              <w:pageBreakBefore w:val="0"/>
              <w:shd w:val="clear"/>
              <w:topLinePunct w:val="0"/>
              <w:bidi w:val="0"/>
              <w:spacing w:after="0" w:line="360" w:lineRule="auto"/>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 xml:space="preserve"> (1)产品剩余质保期长，远超行业标准，能充分保障使用周期。</w:t>
            </w:r>
          </w:p>
        </w:tc>
        <w:tc>
          <w:tcPr>
            <w:tcW w:w="928" w:type="dxa"/>
            <w:tcBorders>
              <w:top w:val="single" w:color="000000" w:sz="4" w:space="0"/>
              <w:left w:val="single" w:color="000000" w:sz="4" w:space="0"/>
              <w:bottom w:val="single" w:color="000000" w:sz="4" w:space="0"/>
              <w:right w:val="single" w:color="000000" w:sz="4" w:space="0"/>
            </w:tcBorders>
            <w:vAlign w:val="center"/>
          </w:tcPr>
          <w:p w14:paraId="5482B56E">
            <w:pPr>
              <w:pageBreakBefore w:val="0"/>
              <w:shd w:val="clear"/>
              <w:topLinePunct w:val="0"/>
              <w:bidi w:val="0"/>
              <w:spacing w:after="0" w:line="360" w:lineRule="auto"/>
              <w:jc w:val="center"/>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14-20分</w:t>
            </w:r>
          </w:p>
        </w:tc>
        <w:tc>
          <w:tcPr>
            <w:tcW w:w="928" w:type="dxa"/>
            <w:vMerge w:val="restart"/>
            <w:tcBorders>
              <w:top w:val="single" w:color="000000" w:sz="4" w:space="0"/>
              <w:left w:val="single" w:color="000000" w:sz="4" w:space="0"/>
              <w:bottom w:val="single" w:color="000000" w:sz="4" w:space="0"/>
              <w:right w:val="single" w:color="000000" w:sz="4" w:space="0"/>
            </w:tcBorders>
            <w:vAlign w:val="center"/>
          </w:tcPr>
          <w:p w14:paraId="1304CE26">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928" w:type="dxa"/>
            <w:vMerge w:val="restart"/>
            <w:tcBorders>
              <w:top w:val="single" w:color="000000" w:sz="4" w:space="0"/>
              <w:left w:val="single" w:color="000000" w:sz="4" w:space="0"/>
              <w:bottom w:val="single" w:color="000000" w:sz="4" w:space="0"/>
              <w:right w:val="single" w:color="000000" w:sz="4" w:space="0"/>
            </w:tcBorders>
            <w:vAlign w:val="center"/>
          </w:tcPr>
          <w:p w14:paraId="20D4272E">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1087" w:type="dxa"/>
            <w:vMerge w:val="restart"/>
            <w:tcBorders>
              <w:top w:val="single" w:color="000000" w:sz="4" w:space="0"/>
              <w:left w:val="single" w:color="000000" w:sz="4" w:space="0"/>
              <w:bottom w:val="single" w:color="000000" w:sz="4" w:space="0"/>
              <w:right w:val="single" w:color="000000" w:sz="4" w:space="0"/>
            </w:tcBorders>
            <w:vAlign w:val="center"/>
          </w:tcPr>
          <w:p w14:paraId="37B45269">
            <w:pPr>
              <w:pageBreakBefore w:val="0"/>
              <w:shd w:val="clear"/>
              <w:topLinePunct w:val="0"/>
              <w:bidi w:val="0"/>
              <w:spacing w:after="0" w:line="360" w:lineRule="auto"/>
              <w:jc w:val="center"/>
              <w:rPr>
                <w:rFonts w:hint="eastAsia" w:ascii="宋体" w:hAnsi="宋体" w:cs="宋体"/>
                <w:color w:val="auto"/>
                <w:sz w:val="20"/>
                <w:szCs w:val="20"/>
                <w:highlight w:val="none"/>
              </w:rPr>
            </w:pPr>
          </w:p>
        </w:tc>
      </w:tr>
      <w:tr w14:paraId="55183B42">
        <w:tblPrEx>
          <w:tblCellMar>
            <w:top w:w="0" w:type="dxa"/>
            <w:left w:w="108" w:type="dxa"/>
            <w:bottom w:w="0" w:type="dxa"/>
            <w:right w:w="108" w:type="dxa"/>
          </w:tblCellMar>
        </w:tblPrEx>
        <w:trPr>
          <w:trHeight w:val="484" w:hRule="atLeast"/>
        </w:trPr>
        <w:tc>
          <w:tcPr>
            <w:tcW w:w="974" w:type="dxa"/>
            <w:vMerge w:val="continue"/>
            <w:tcBorders>
              <w:top w:val="single" w:color="000000" w:sz="4" w:space="0"/>
              <w:left w:val="single" w:color="000000" w:sz="4" w:space="0"/>
              <w:bottom w:val="single" w:color="000000" w:sz="4" w:space="0"/>
              <w:right w:val="single" w:color="000000" w:sz="4" w:space="0"/>
            </w:tcBorders>
            <w:vAlign w:val="center"/>
          </w:tcPr>
          <w:p w14:paraId="4060D2C8">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3515" w:type="dxa"/>
            <w:tcBorders>
              <w:top w:val="single" w:color="000000" w:sz="4" w:space="0"/>
              <w:left w:val="single" w:color="000000" w:sz="4" w:space="0"/>
              <w:bottom w:val="single" w:color="000000" w:sz="4" w:space="0"/>
              <w:right w:val="single" w:color="000000" w:sz="4" w:space="0"/>
            </w:tcBorders>
            <w:vAlign w:val="center"/>
          </w:tcPr>
          <w:p w14:paraId="72C16087">
            <w:pPr>
              <w:pageBreakBefore w:val="0"/>
              <w:shd w:val="clear"/>
              <w:topLinePunct w:val="0"/>
              <w:bidi w:val="0"/>
              <w:spacing w:after="0" w:line="360" w:lineRule="auto"/>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 xml:space="preserve"> (2)产品剩余质保期符合行业标准，基本满足使用需求。</w:t>
            </w:r>
          </w:p>
        </w:tc>
        <w:tc>
          <w:tcPr>
            <w:tcW w:w="928" w:type="dxa"/>
            <w:tcBorders>
              <w:top w:val="single" w:color="000000" w:sz="4" w:space="0"/>
              <w:left w:val="single" w:color="000000" w:sz="4" w:space="0"/>
              <w:bottom w:val="single" w:color="000000" w:sz="4" w:space="0"/>
              <w:right w:val="single" w:color="000000" w:sz="4" w:space="0"/>
            </w:tcBorders>
            <w:vAlign w:val="center"/>
          </w:tcPr>
          <w:p w14:paraId="2BDAE722">
            <w:pPr>
              <w:pageBreakBefore w:val="0"/>
              <w:shd w:val="clear"/>
              <w:topLinePunct w:val="0"/>
              <w:bidi w:val="0"/>
              <w:spacing w:after="0" w:line="360" w:lineRule="auto"/>
              <w:jc w:val="center"/>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7-13分</w:t>
            </w:r>
          </w:p>
        </w:tc>
        <w:tc>
          <w:tcPr>
            <w:tcW w:w="928" w:type="dxa"/>
            <w:vMerge w:val="continue"/>
            <w:tcBorders>
              <w:top w:val="single" w:color="000000" w:sz="4" w:space="0"/>
              <w:left w:val="single" w:color="000000" w:sz="4" w:space="0"/>
              <w:bottom w:val="single" w:color="000000" w:sz="4" w:space="0"/>
              <w:right w:val="single" w:color="000000" w:sz="4" w:space="0"/>
            </w:tcBorders>
            <w:vAlign w:val="center"/>
          </w:tcPr>
          <w:p w14:paraId="514EB143">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928" w:type="dxa"/>
            <w:vMerge w:val="continue"/>
            <w:tcBorders>
              <w:top w:val="single" w:color="000000" w:sz="4" w:space="0"/>
              <w:left w:val="single" w:color="000000" w:sz="4" w:space="0"/>
              <w:bottom w:val="single" w:color="000000" w:sz="4" w:space="0"/>
              <w:right w:val="single" w:color="000000" w:sz="4" w:space="0"/>
            </w:tcBorders>
            <w:vAlign w:val="center"/>
          </w:tcPr>
          <w:p w14:paraId="150BD83B">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1087" w:type="dxa"/>
            <w:vMerge w:val="continue"/>
            <w:tcBorders>
              <w:top w:val="single" w:color="000000" w:sz="4" w:space="0"/>
              <w:left w:val="single" w:color="000000" w:sz="4" w:space="0"/>
              <w:bottom w:val="single" w:color="000000" w:sz="4" w:space="0"/>
              <w:right w:val="single" w:color="000000" w:sz="4" w:space="0"/>
            </w:tcBorders>
            <w:vAlign w:val="center"/>
          </w:tcPr>
          <w:p w14:paraId="5AC5AC53">
            <w:pPr>
              <w:pageBreakBefore w:val="0"/>
              <w:shd w:val="clear"/>
              <w:topLinePunct w:val="0"/>
              <w:bidi w:val="0"/>
              <w:spacing w:after="0" w:line="360" w:lineRule="auto"/>
              <w:jc w:val="center"/>
              <w:rPr>
                <w:rFonts w:hint="eastAsia" w:ascii="宋体" w:hAnsi="宋体" w:cs="宋体"/>
                <w:color w:val="auto"/>
                <w:sz w:val="20"/>
                <w:szCs w:val="20"/>
                <w:highlight w:val="none"/>
              </w:rPr>
            </w:pPr>
          </w:p>
        </w:tc>
      </w:tr>
      <w:tr w14:paraId="01087EC0">
        <w:tblPrEx>
          <w:tblCellMar>
            <w:top w:w="0" w:type="dxa"/>
            <w:left w:w="108" w:type="dxa"/>
            <w:bottom w:w="0" w:type="dxa"/>
            <w:right w:w="108" w:type="dxa"/>
          </w:tblCellMar>
        </w:tblPrEx>
        <w:trPr>
          <w:trHeight w:val="484" w:hRule="atLeast"/>
        </w:trPr>
        <w:tc>
          <w:tcPr>
            <w:tcW w:w="974" w:type="dxa"/>
            <w:vMerge w:val="continue"/>
            <w:tcBorders>
              <w:top w:val="single" w:color="000000" w:sz="4" w:space="0"/>
              <w:left w:val="single" w:color="000000" w:sz="4" w:space="0"/>
              <w:bottom w:val="single" w:color="000000" w:sz="4" w:space="0"/>
              <w:right w:val="single" w:color="000000" w:sz="4" w:space="0"/>
            </w:tcBorders>
            <w:vAlign w:val="center"/>
          </w:tcPr>
          <w:p w14:paraId="25C6EF83">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3515" w:type="dxa"/>
            <w:tcBorders>
              <w:top w:val="single" w:color="000000" w:sz="4" w:space="0"/>
              <w:left w:val="single" w:color="000000" w:sz="4" w:space="0"/>
              <w:bottom w:val="single" w:color="000000" w:sz="4" w:space="0"/>
              <w:right w:val="single" w:color="000000" w:sz="4" w:space="0"/>
            </w:tcBorders>
            <w:vAlign w:val="center"/>
          </w:tcPr>
          <w:p w14:paraId="403E886D">
            <w:pPr>
              <w:pageBreakBefore w:val="0"/>
              <w:shd w:val="clear"/>
              <w:topLinePunct w:val="0"/>
              <w:bidi w:val="0"/>
              <w:spacing w:after="0" w:line="360" w:lineRule="auto"/>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(3)产品剩余质保期较短，不符合行业标准，无法满足正常使用需求。</w:t>
            </w:r>
          </w:p>
        </w:tc>
        <w:tc>
          <w:tcPr>
            <w:tcW w:w="928" w:type="dxa"/>
            <w:tcBorders>
              <w:top w:val="single" w:color="000000" w:sz="4" w:space="0"/>
              <w:left w:val="single" w:color="000000" w:sz="4" w:space="0"/>
              <w:bottom w:val="single" w:color="000000" w:sz="4" w:space="0"/>
              <w:right w:val="single" w:color="000000" w:sz="4" w:space="0"/>
            </w:tcBorders>
            <w:vAlign w:val="center"/>
          </w:tcPr>
          <w:p w14:paraId="37C58E10">
            <w:pPr>
              <w:pageBreakBefore w:val="0"/>
              <w:shd w:val="clear"/>
              <w:topLinePunct w:val="0"/>
              <w:bidi w:val="0"/>
              <w:spacing w:after="0" w:line="360" w:lineRule="auto"/>
              <w:jc w:val="center"/>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0-6分</w:t>
            </w:r>
          </w:p>
        </w:tc>
        <w:tc>
          <w:tcPr>
            <w:tcW w:w="928" w:type="dxa"/>
            <w:vMerge w:val="continue"/>
            <w:tcBorders>
              <w:top w:val="single" w:color="000000" w:sz="4" w:space="0"/>
              <w:left w:val="single" w:color="000000" w:sz="4" w:space="0"/>
              <w:bottom w:val="single" w:color="000000" w:sz="4" w:space="0"/>
              <w:right w:val="single" w:color="000000" w:sz="4" w:space="0"/>
            </w:tcBorders>
            <w:vAlign w:val="center"/>
          </w:tcPr>
          <w:p w14:paraId="30A574FD">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928" w:type="dxa"/>
            <w:vMerge w:val="continue"/>
            <w:tcBorders>
              <w:top w:val="single" w:color="000000" w:sz="4" w:space="0"/>
              <w:left w:val="single" w:color="000000" w:sz="4" w:space="0"/>
              <w:bottom w:val="single" w:color="000000" w:sz="4" w:space="0"/>
              <w:right w:val="single" w:color="000000" w:sz="4" w:space="0"/>
            </w:tcBorders>
            <w:vAlign w:val="center"/>
          </w:tcPr>
          <w:p w14:paraId="66BC7087">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1087" w:type="dxa"/>
            <w:vMerge w:val="continue"/>
            <w:tcBorders>
              <w:top w:val="single" w:color="000000" w:sz="4" w:space="0"/>
              <w:left w:val="single" w:color="000000" w:sz="4" w:space="0"/>
              <w:bottom w:val="single" w:color="000000" w:sz="4" w:space="0"/>
              <w:right w:val="single" w:color="000000" w:sz="4" w:space="0"/>
            </w:tcBorders>
            <w:vAlign w:val="center"/>
          </w:tcPr>
          <w:p w14:paraId="691B7464">
            <w:pPr>
              <w:pageBreakBefore w:val="0"/>
              <w:shd w:val="clear"/>
              <w:topLinePunct w:val="0"/>
              <w:bidi w:val="0"/>
              <w:spacing w:after="0" w:line="360" w:lineRule="auto"/>
              <w:jc w:val="center"/>
              <w:rPr>
                <w:rFonts w:hint="eastAsia" w:ascii="宋体" w:hAnsi="宋体" w:cs="宋体"/>
                <w:color w:val="auto"/>
                <w:sz w:val="20"/>
                <w:szCs w:val="20"/>
                <w:highlight w:val="none"/>
              </w:rPr>
            </w:pPr>
          </w:p>
        </w:tc>
      </w:tr>
      <w:tr w14:paraId="1D5F056C">
        <w:tblPrEx>
          <w:tblCellMar>
            <w:top w:w="0" w:type="dxa"/>
            <w:left w:w="108" w:type="dxa"/>
            <w:bottom w:w="0" w:type="dxa"/>
            <w:right w:w="108" w:type="dxa"/>
          </w:tblCellMar>
        </w:tblPrEx>
        <w:trPr>
          <w:trHeight w:val="484" w:hRule="atLeast"/>
        </w:trPr>
        <w:tc>
          <w:tcPr>
            <w:tcW w:w="974" w:type="dxa"/>
            <w:vMerge w:val="restart"/>
            <w:tcBorders>
              <w:top w:val="single" w:color="000000" w:sz="4" w:space="0"/>
              <w:left w:val="single" w:color="000000" w:sz="4" w:space="0"/>
              <w:bottom w:val="single" w:color="000000" w:sz="4" w:space="0"/>
              <w:right w:val="single" w:color="000000" w:sz="4" w:space="0"/>
            </w:tcBorders>
            <w:vAlign w:val="center"/>
          </w:tcPr>
          <w:p w14:paraId="332A404A">
            <w:pPr>
              <w:pageBreakBefore w:val="0"/>
              <w:shd w:val="clear"/>
              <w:topLinePunct w:val="0"/>
              <w:bidi w:val="0"/>
              <w:spacing w:after="0" w:line="360" w:lineRule="auto"/>
              <w:jc w:val="center"/>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4、实际使用质量情况（20分）</w:t>
            </w:r>
          </w:p>
        </w:tc>
        <w:tc>
          <w:tcPr>
            <w:tcW w:w="3515" w:type="dxa"/>
            <w:tcBorders>
              <w:top w:val="single" w:color="000000" w:sz="4" w:space="0"/>
              <w:left w:val="single" w:color="000000" w:sz="4" w:space="0"/>
              <w:bottom w:val="single" w:color="000000" w:sz="4" w:space="0"/>
              <w:right w:val="single" w:color="000000" w:sz="4" w:space="0"/>
            </w:tcBorders>
            <w:vAlign w:val="center"/>
          </w:tcPr>
          <w:p w14:paraId="0F316DAC">
            <w:pPr>
              <w:pageBreakBefore w:val="0"/>
              <w:shd w:val="clear"/>
              <w:topLinePunct w:val="0"/>
              <w:bidi w:val="0"/>
              <w:spacing w:after="0" w:line="360" w:lineRule="auto"/>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(1)包装完好，符合相关安全、环保等管理规定，未出现质量问题。</w:t>
            </w:r>
          </w:p>
        </w:tc>
        <w:tc>
          <w:tcPr>
            <w:tcW w:w="928" w:type="dxa"/>
            <w:tcBorders>
              <w:top w:val="single" w:color="000000" w:sz="4" w:space="0"/>
              <w:left w:val="single" w:color="000000" w:sz="4" w:space="0"/>
              <w:bottom w:val="single" w:color="000000" w:sz="4" w:space="0"/>
              <w:right w:val="single" w:color="000000" w:sz="4" w:space="0"/>
            </w:tcBorders>
            <w:vAlign w:val="center"/>
          </w:tcPr>
          <w:p w14:paraId="49744857">
            <w:pPr>
              <w:pageBreakBefore w:val="0"/>
              <w:shd w:val="clear"/>
              <w:topLinePunct w:val="0"/>
              <w:bidi w:val="0"/>
              <w:spacing w:after="0" w:line="360" w:lineRule="auto"/>
              <w:jc w:val="center"/>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14-20分</w:t>
            </w:r>
          </w:p>
        </w:tc>
        <w:tc>
          <w:tcPr>
            <w:tcW w:w="928" w:type="dxa"/>
            <w:vMerge w:val="restart"/>
            <w:tcBorders>
              <w:top w:val="single" w:color="000000" w:sz="4" w:space="0"/>
              <w:left w:val="single" w:color="000000" w:sz="4" w:space="0"/>
              <w:bottom w:val="single" w:color="000000" w:sz="4" w:space="0"/>
              <w:right w:val="single" w:color="000000" w:sz="4" w:space="0"/>
            </w:tcBorders>
            <w:vAlign w:val="center"/>
          </w:tcPr>
          <w:p w14:paraId="1CA022E6">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928" w:type="dxa"/>
            <w:vMerge w:val="restart"/>
            <w:tcBorders>
              <w:top w:val="single" w:color="000000" w:sz="4" w:space="0"/>
              <w:left w:val="single" w:color="000000" w:sz="4" w:space="0"/>
              <w:bottom w:val="single" w:color="000000" w:sz="4" w:space="0"/>
              <w:right w:val="single" w:color="000000" w:sz="4" w:space="0"/>
            </w:tcBorders>
            <w:vAlign w:val="center"/>
          </w:tcPr>
          <w:p w14:paraId="01153C99">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1087" w:type="dxa"/>
            <w:vMerge w:val="restart"/>
            <w:tcBorders>
              <w:top w:val="single" w:color="000000" w:sz="4" w:space="0"/>
              <w:left w:val="single" w:color="000000" w:sz="4" w:space="0"/>
              <w:bottom w:val="single" w:color="000000" w:sz="4" w:space="0"/>
              <w:right w:val="single" w:color="000000" w:sz="4" w:space="0"/>
            </w:tcBorders>
            <w:vAlign w:val="center"/>
          </w:tcPr>
          <w:p w14:paraId="36F2778F">
            <w:pPr>
              <w:pageBreakBefore w:val="0"/>
              <w:shd w:val="clear"/>
              <w:topLinePunct w:val="0"/>
              <w:bidi w:val="0"/>
              <w:spacing w:after="0" w:line="360" w:lineRule="auto"/>
              <w:jc w:val="center"/>
              <w:rPr>
                <w:rFonts w:hint="eastAsia" w:ascii="宋体" w:hAnsi="宋体" w:cs="宋体"/>
                <w:color w:val="auto"/>
                <w:sz w:val="20"/>
                <w:szCs w:val="20"/>
                <w:highlight w:val="none"/>
              </w:rPr>
            </w:pPr>
          </w:p>
        </w:tc>
      </w:tr>
      <w:tr w14:paraId="0D4B47C5">
        <w:tblPrEx>
          <w:tblCellMar>
            <w:top w:w="0" w:type="dxa"/>
            <w:left w:w="108" w:type="dxa"/>
            <w:bottom w:w="0" w:type="dxa"/>
            <w:right w:w="108" w:type="dxa"/>
          </w:tblCellMar>
        </w:tblPrEx>
        <w:trPr>
          <w:trHeight w:val="755" w:hRule="atLeast"/>
        </w:trPr>
        <w:tc>
          <w:tcPr>
            <w:tcW w:w="974" w:type="dxa"/>
            <w:vMerge w:val="continue"/>
            <w:tcBorders>
              <w:top w:val="single" w:color="000000" w:sz="4" w:space="0"/>
              <w:left w:val="single" w:color="000000" w:sz="4" w:space="0"/>
              <w:bottom w:val="single" w:color="000000" w:sz="4" w:space="0"/>
              <w:right w:val="single" w:color="000000" w:sz="4" w:space="0"/>
            </w:tcBorders>
            <w:vAlign w:val="center"/>
          </w:tcPr>
          <w:p w14:paraId="11D8D610">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3515" w:type="dxa"/>
            <w:tcBorders>
              <w:top w:val="single" w:color="000000" w:sz="4" w:space="0"/>
              <w:left w:val="single" w:color="000000" w:sz="4" w:space="0"/>
              <w:bottom w:val="single" w:color="000000" w:sz="4" w:space="0"/>
              <w:right w:val="single" w:color="000000" w:sz="4" w:space="0"/>
            </w:tcBorders>
            <w:vAlign w:val="center"/>
          </w:tcPr>
          <w:p w14:paraId="73923C64">
            <w:pPr>
              <w:pageBreakBefore w:val="0"/>
              <w:shd w:val="clear"/>
              <w:topLinePunct w:val="0"/>
              <w:bidi w:val="0"/>
              <w:spacing w:after="0" w:line="360" w:lineRule="auto"/>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(2)产品质量合格率低于98%，基本符合相关安全、环保等管理规定，可以让步接收。</w:t>
            </w:r>
          </w:p>
        </w:tc>
        <w:tc>
          <w:tcPr>
            <w:tcW w:w="928" w:type="dxa"/>
            <w:tcBorders>
              <w:top w:val="single" w:color="000000" w:sz="4" w:space="0"/>
              <w:left w:val="single" w:color="000000" w:sz="4" w:space="0"/>
              <w:bottom w:val="single" w:color="000000" w:sz="4" w:space="0"/>
              <w:right w:val="single" w:color="000000" w:sz="4" w:space="0"/>
            </w:tcBorders>
            <w:vAlign w:val="center"/>
          </w:tcPr>
          <w:p w14:paraId="2FDE90C1">
            <w:pPr>
              <w:pageBreakBefore w:val="0"/>
              <w:shd w:val="clear"/>
              <w:topLinePunct w:val="0"/>
              <w:bidi w:val="0"/>
              <w:spacing w:after="0" w:line="360" w:lineRule="auto"/>
              <w:jc w:val="center"/>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7-13分</w:t>
            </w:r>
          </w:p>
        </w:tc>
        <w:tc>
          <w:tcPr>
            <w:tcW w:w="928" w:type="dxa"/>
            <w:vMerge w:val="continue"/>
            <w:tcBorders>
              <w:top w:val="single" w:color="000000" w:sz="4" w:space="0"/>
              <w:left w:val="single" w:color="000000" w:sz="4" w:space="0"/>
              <w:bottom w:val="single" w:color="000000" w:sz="4" w:space="0"/>
              <w:right w:val="single" w:color="000000" w:sz="4" w:space="0"/>
            </w:tcBorders>
            <w:vAlign w:val="center"/>
          </w:tcPr>
          <w:p w14:paraId="16D62521">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928" w:type="dxa"/>
            <w:vMerge w:val="continue"/>
            <w:tcBorders>
              <w:top w:val="single" w:color="000000" w:sz="4" w:space="0"/>
              <w:left w:val="single" w:color="000000" w:sz="4" w:space="0"/>
              <w:bottom w:val="single" w:color="000000" w:sz="4" w:space="0"/>
              <w:right w:val="single" w:color="000000" w:sz="4" w:space="0"/>
            </w:tcBorders>
            <w:vAlign w:val="center"/>
          </w:tcPr>
          <w:p w14:paraId="5B30BB47">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1087" w:type="dxa"/>
            <w:vMerge w:val="continue"/>
            <w:tcBorders>
              <w:top w:val="single" w:color="000000" w:sz="4" w:space="0"/>
              <w:left w:val="single" w:color="000000" w:sz="4" w:space="0"/>
              <w:bottom w:val="single" w:color="000000" w:sz="4" w:space="0"/>
              <w:right w:val="single" w:color="000000" w:sz="4" w:space="0"/>
            </w:tcBorders>
            <w:vAlign w:val="center"/>
          </w:tcPr>
          <w:p w14:paraId="52B382E1">
            <w:pPr>
              <w:pageBreakBefore w:val="0"/>
              <w:shd w:val="clear"/>
              <w:topLinePunct w:val="0"/>
              <w:bidi w:val="0"/>
              <w:spacing w:after="0" w:line="360" w:lineRule="auto"/>
              <w:jc w:val="center"/>
              <w:rPr>
                <w:rFonts w:hint="eastAsia" w:ascii="宋体" w:hAnsi="宋体" w:cs="宋体"/>
                <w:color w:val="auto"/>
                <w:sz w:val="20"/>
                <w:szCs w:val="20"/>
                <w:highlight w:val="none"/>
              </w:rPr>
            </w:pPr>
          </w:p>
        </w:tc>
      </w:tr>
      <w:tr w14:paraId="3B6F34EE">
        <w:tblPrEx>
          <w:tblCellMar>
            <w:top w:w="0" w:type="dxa"/>
            <w:left w:w="108" w:type="dxa"/>
            <w:bottom w:w="0" w:type="dxa"/>
            <w:right w:w="108" w:type="dxa"/>
          </w:tblCellMar>
        </w:tblPrEx>
        <w:trPr>
          <w:trHeight w:val="484" w:hRule="atLeast"/>
        </w:trPr>
        <w:tc>
          <w:tcPr>
            <w:tcW w:w="974" w:type="dxa"/>
            <w:vMerge w:val="continue"/>
            <w:tcBorders>
              <w:top w:val="single" w:color="000000" w:sz="4" w:space="0"/>
              <w:left w:val="single" w:color="000000" w:sz="4" w:space="0"/>
              <w:bottom w:val="single" w:color="000000" w:sz="4" w:space="0"/>
              <w:right w:val="single" w:color="000000" w:sz="4" w:space="0"/>
            </w:tcBorders>
            <w:vAlign w:val="center"/>
          </w:tcPr>
          <w:p w14:paraId="69F8089B">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3515" w:type="dxa"/>
            <w:tcBorders>
              <w:top w:val="single" w:color="000000" w:sz="4" w:space="0"/>
              <w:left w:val="single" w:color="000000" w:sz="4" w:space="0"/>
              <w:bottom w:val="single" w:color="000000" w:sz="4" w:space="0"/>
              <w:right w:val="single" w:color="000000" w:sz="4" w:space="0"/>
            </w:tcBorders>
            <w:vAlign w:val="center"/>
          </w:tcPr>
          <w:p w14:paraId="16114F93">
            <w:pPr>
              <w:pageBreakBefore w:val="0"/>
              <w:shd w:val="clear"/>
              <w:topLinePunct w:val="0"/>
              <w:bidi w:val="0"/>
              <w:spacing w:after="0" w:line="360" w:lineRule="auto"/>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(3)出现重大质量问题。</w:t>
            </w:r>
          </w:p>
        </w:tc>
        <w:tc>
          <w:tcPr>
            <w:tcW w:w="928" w:type="dxa"/>
            <w:tcBorders>
              <w:top w:val="single" w:color="000000" w:sz="4" w:space="0"/>
              <w:left w:val="single" w:color="000000" w:sz="4" w:space="0"/>
              <w:bottom w:val="single" w:color="000000" w:sz="4" w:space="0"/>
              <w:right w:val="single" w:color="000000" w:sz="4" w:space="0"/>
            </w:tcBorders>
            <w:vAlign w:val="center"/>
          </w:tcPr>
          <w:p w14:paraId="6A063DB0">
            <w:pPr>
              <w:pageBreakBefore w:val="0"/>
              <w:shd w:val="clear"/>
              <w:topLinePunct w:val="0"/>
              <w:bidi w:val="0"/>
              <w:spacing w:after="0" w:line="360" w:lineRule="auto"/>
              <w:jc w:val="center"/>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0-6分</w:t>
            </w:r>
          </w:p>
        </w:tc>
        <w:tc>
          <w:tcPr>
            <w:tcW w:w="928" w:type="dxa"/>
            <w:vMerge w:val="continue"/>
            <w:tcBorders>
              <w:top w:val="single" w:color="000000" w:sz="4" w:space="0"/>
              <w:left w:val="single" w:color="000000" w:sz="4" w:space="0"/>
              <w:bottom w:val="single" w:color="000000" w:sz="4" w:space="0"/>
              <w:right w:val="single" w:color="000000" w:sz="4" w:space="0"/>
            </w:tcBorders>
            <w:vAlign w:val="center"/>
          </w:tcPr>
          <w:p w14:paraId="3A08FA31">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928" w:type="dxa"/>
            <w:vMerge w:val="continue"/>
            <w:tcBorders>
              <w:top w:val="single" w:color="000000" w:sz="4" w:space="0"/>
              <w:left w:val="single" w:color="000000" w:sz="4" w:space="0"/>
              <w:bottom w:val="single" w:color="000000" w:sz="4" w:space="0"/>
              <w:right w:val="single" w:color="000000" w:sz="4" w:space="0"/>
            </w:tcBorders>
            <w:vAlign w:val="center"/>
          </w:tcPr>
          <w:p w14:paraId="624BBF72">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1087" w:type="dxa"/>
            <w:vMerge w:val="continue"/>
            <w:tcBorders>
              <w:top w:val="single" w:color="000000" w:sz="4" w:space="0"/>
              <w:left w:val="single" w:color="000000" w:sz="4" w:space="0"/>
              <w:bottom w:val="single" w:color="000000" w:sz="4" w:space="0"/>
              <w:right w:val="single" w:color="000000" w:sz="4" w:space="0"/>
            </w:tcBorders>
            <w:vAlign w:val="center"/>
          </w:tcPr>
          <w:p w14:paraId="427B7B08">
            <w:pPr>
              <w:pageBreakBefore w:val="0"/>
              <w:shd w:val="clear"/>
              <w:topLinePunct w:val="0"/>
              <w:bidi w:val="0"/>
              <w:spacing w:after="0" w:line="360" w:lineRule="auto"/>
              <w:jc w:val="center"/>
              <w:rPr>
                <w:rFonts w:hint="eastAsia" w:ascii="宋体" w:hAnsi="宋体" w:cs="宋体"/>
                <w:color w:val="auto"/>
                <w:sz w:val="20"/>
                <w:szCs w:val="20"/>
                <w:highlight w:val="none"/>
              </w:rPr>
            </w:pPr>
          </w:p>
        </w:tc>
      </w:tr>
      <w:tr w14:paraId="0CA09077">
        <w:tblPrEx>
          <w:tblCellMar>
            <w:top w:w="0" w:type="dxa"/>
            <w:left w:w="108" w:type="dxa"/>
            <w:bottom w:w="0" w:type="dxa"/>
            <w:right w:w="108" w:type="dxa"/>
          </w:tblCellMar>
        </w:tblPrEx>
        <w:trPr>
          <w:trHeight w:val="484" w:hRule="atLeast"/>
        </w:trPr>
        <w:tc>
          <w:tcPr>
            <w:tcW w:w="974" w:type="dxa"/>
            <w:vMerge w:val="restart"/>
            <w:tcBorders>
              <w:top w:val="single" w:color="000000" w:sz="4" w:space="0"/>
              <w:left w:val="single" w:color="000000" w:sz="4" w:space="0"/>
              <w:bottom w:val="single" w:color="000000" w:sz="4" w:space="0"/>
              <w:right w:val="single" w:color="000000" w:sz="4" w:space="0"/>
            </w:tcBorders>
            <w:vAlign w:val="center"/>
          </w:tcPr>
          <w:p w14:paraId="48CC2200">
            <w:pPr>
              <w:pageBreakBefore w:val="0"/>
              <w:shd w:val="clear"/>
              <w:topLinePunct w:val="0"/>
              <w:bidi w:val="0"/>
              <w:spacing w:after="0" w:line="360" w:lineRule="auto"/>
              <w:jc w:val="center"/>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5、售后服务能力（20分）</w:t>
            </w:r>
          </w:p>
        </w:tc>
        <w:tc>
          <w:tcPr>
            <w:tcW w:w="3515" w:type="dxa"/>
            <w:tcBorders>
              <w:top w:val="single" w:color="000000" w:sz="4" w:space="0"/>
              <w:left w:val="single" w:color="000000" w:sz="4" w:space="0"/>
              <w:bottom w:val="single" w:color="000000" w:sz="4" w:space="0"/>
              <w:right w:val="single" w:color="000000" w:sz="4" w:space="0"/>
            </w:tcBorders>
            <w:vAlign w:val="center"/>
          </w:tcPr>
          <w:p w14:paraId="7B760546">
            <w:pPr>
              <w:pageBreakBefore w:val="0"/>
              <w:shd w:val="clear"/>
              <w:topLinePunct w:val="0"/>
              <w:bidi w:val="0"/>
              <w:spacing w:after="0" w:line="360" w:lineRule="auto"/>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(1)出现问题，能够及时有效解决，售后服务能力较强。</w:t>
            </w:r>
          </w:p>
        </w:tc>
        <w:tc>
          <w:tcPr>
            <w:tcW w:w="928" w:type="dxa"/>
            <w:tcBorders>
              <w:top w:val="single" w:color="000000" w:sz="4" w:space="0"/>
              <w:left w:val="single" w:color="000000" w:sz="4" w:space="0"/>
              <w:bottom w:val="single" w:color="000000" w:sz="4" w:space="0"/>
              <w:right w:val="single" w:color="000000" w:sz="4" w:space="0"/>
            </w:tcBorders>
            <w:vAlign w:val="center"/>
          </w:tcPr>
          <w:p w14:paraId="4787F243">
            <w:pPr>
              <w:pageBreakBefore w:val="0"/>
              <w:shd w:val="clear"/>
              <w:topLinePunct w:val="0"/>
              <w:bidi w:val="0"/>
              <w:spacing w:after="0" w:line="360" w:lineRule="auto"/>
              <w:jc w:val="center"/>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14-20分</w:t>
            </w:r>
          </w:p>
        </w:tc>
        <w:tc>
          <w:tcPr>
            <w:tcW w:w="928" w:type="dxa"/>
            <w:vMerge w:val="restart"/>
            <w:tcBorders>
              <w:top w:val="single" w:color="000000" w:sz="4" w:space="0"/>
              <w:left w:val="single" w:color="000000" w:sz="4" w:space="0"/>
              <w:bottom w:val="single" w:color="000000" w:sz="4" w:space="0"/>
              <w:right w:val="single" w:color="000000" w:sz="4" w:space="0"/>
            </w:tcBorders>
            <w:vAlign w:val="center"/>
          </w:tcPr>
          <w:p w14:paraId="60272DB7">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928" w:type="dxa"/>
            <w:vMerge w:val="restart"/>
            <w:tcBorders>
              <w:top w:val="single" w:color="000000" w:sz="4" w:space="0"/>
              <w:left w:val="single" w:color="000000" w:sz="4" w:space="0"/>
              <w:bottom w:val="single" w:color="000000" w:sz="4" w:space="0"/>
              <w:right w:val="single" w:color="000000" w:sz="4" w:space="0"/>
            </w:tcBorders>
            <w:vAlign w:val="center"/>
          </w:tcPr>
          <w:p w14:paraId="6E17C2E3">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1087" w:type="dxa"/>
            <w:vMerge w:val="restart"/>
            <w:tcBorders>
              <w:top w:val="single" w:color="000000" w:sz="4" w:space="0"/>
              <w:left w:val="single" w:color="000000" w:sz="4" w:space="0"/>
              <w:bottom w:val="single" w:color="000000" w:sz="4" w:space="0"/>
              <w:right w:val="single" w:color="000000" w:sz="4" w:space="0"/>
            </w:tcBorders>
            <w:vAlign w:val="center"/>
          </w:tcPr>
          <w:p w14:paraId="21BCC8B2">
            <w:pPr>
              <w:pageBreakBefore w:val="0"/>
              <w:shd w:val="clear"/>
              <w:topLinePunct w:val="0"/>
              <w:bidi w:val="0"/>
              <w:spacing w:after="0" w:line="360" w:lineRule="auto"/>
              <w:jc w:val="center"/>
              <w:rPr>
                <w:rFonts w:hint="eastAsia" w:ascii="宋体" w:hAnsi="宋体" w:cs="宋体"/>
                <w:color w:val="auto"/>
                <w:sz w:val="20"/>
                <w:szCs w:val="20"/>
                <w:highlight w:val="none"/>
              </w:rPr>
            </w:pPr>
          </w:p>
        </w:tc>
      </w:tr>
      <w:tr w14:paraId="394587E2">
        <w:tblPrEx>
          <w:tblCellMar>
            <w:top w:w="0" w:type="dxa"/>
            <w:left w:w="108" w:type="dxa"/>
            <w:bottom w:w="0" w:type="dxa"/>
            <w:right w:w="108" w:type="dxa"/>
          </w:tblCellMar>
        </w:tblPrEx>
        <w:trPr>
          <w:trHeight w:val="484" w:hRule="atLeast"/>
        </w:trPr>
        <w:tc>
          <w:tcPr>
            <w:tcW w:w="974" w:type="dxa"/>
            <w:vMerge w:val="continue"/>
            <w:tcBorders>
              <w:top w:val="single" w:color="000000" w:sz="4" w:space="0"/>
              <w:left w:val="single" w:color="000000" w:sz="4" w:space="0"/>
              <w:bottom w:val="single" w:color="000000" w:sz="4" w:space="0"/>
              <w:right w:val="single" w:color="000000" w:sz="4" w:space="0"/>
            </w:tcBorders>
            <w:vAlign w:val="center"/>
          </w:tcPr>
          <w:p w14:paraId="28B5BF16">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3515" w:type="dxa"/>
            <w:tcBorders>
              <w:top w:val="single" w:color="000000" w:sz="4" w:space="0"/>
              <w:left w:val="single" w:color="000000" w:sz="4" w:space="0"/>
              <w:bottom w:val="single" w:color="000000" w:sz="4" w:space="0"/>
              <w:right w:val="single" w:color="000000" w:sz="4" w:space="0"/>
            </w:tcBorders>
            <w:vAlign w:val="center"/>
          </w:tcPr>
          <w:p w14:paraId="5473DAF1">
            <w:pPr>
              <w:pageBreakBefore w:val="0"/>
              <w:shd w:val="clear"/>
              <w:topLinePunct w:val="0"/>
              <w:bidi w:val="0"/>
              <w:spacing w:after="0" w:line="360" w:lineRule="auto"/>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(2)出现问题时，处理问题及时性一般，售后服务能力一般。</w:t>
            </w:r>
          </w:p>
        </w:tc>
        <w:tc>
          <w:tcPr>
            <w:tcW w:w="928" w:type="dxa"/>
            <w:tcBorders>
              <w:top w:val="single" w:color="000000" w:sz="4" w:space="0"/>
              <w:left w:val="single" w:color="000000" w:sz="4" w:space="0"/>
              <w:bottom w:val="single" w:color="000000" w:sz="4" w:space="0"/>
              <w:right w:val="single" w:color="000000" w:sz="4" w:space="0"/>
            </w:tcBorders>
            <w:vAlign w:val="center"/>
          </w:tcPr>
          <w:p w14:paraId="3FA2FCB0">
            <w:pPr>
              <w:pageBreakBefore w:val="0"/>
              <w:shd w:val="clear"/>
              <w:topLinePunct w:val="0"/>
              <w:bidi w:val="0"/>
              <w:spacing w:after="0" w:line="360" w:lineRule="auto"/>
              <w:jc w:val="center"/>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7-13分</w:t>
            </w:r>
          </w:p>
        </w:tc>
        <w:tc>
          <w:tcPr>
            <w:tcW w:w="928" w:type="dxa"/>
            <w:vMerge w:val="continue"/>
            <w:tcBorders>
              <w:top w:val="single" w:color="000000" w:sz="4" w:space="0"/>
              <w:left w:val="single" w:color="000000" w:sz="4" w:space="0"/>
              <w:bottom w:val="single" w:color="000000" w:sz="4" w:space="0"/>
              <w:right w:val="single" w:color="000000" w:sz="4" w:space="0"/>
            </w:tcBorders>
            <w:vAlign w:val="center"/>
          </w:tcPr>
          <w:p w14:paraId="1C63B6BC">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928" w:type="dxa"/>
            <w:vMerge w:val="continue"/>
            <w:tcBorders>
              <w:top w:val="single" w:color="000000" w:sz="4" w:space="0"/>
              <w:left w:val="single" w:color="000000" w:sz="4" w:space="0"/>
              <w:bottom w:val="single" w:color="000000" w:sz="4" w:space="0"/>
              <w:right w:val="single" w:color="000000" w:sz="4" w:space="0"/>
            </w:tcBorders>
            <w:vAlign w:val="center"/>
          </w:tcPr>
          <w:p w14:paraId="60315E0E">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1087" w:type="dxa"/>
            <w:vMerge w:val="continue"/>
            <w:tcBorders>
              <w:top w:val="single" w:color="000000" w:sz="4" w:space="0"/>
              <w:left w:val="single" w:color="000000" w:sz="4" w:space="0"/>
              <w:bottom w:val="single" w:color="000000" w:sz="4" w:space="0"/>
              <w:right w:val="single" w:color="000000" w:sz="4" w:space="0"/>
            </w:tcBorders>
            <w:vAlign w:val="center"/>
          </w:tcPr>
          <w:p w14:paraId="6555094D">
            <w:pPr>
              <w:pageBreakBefore w:val="0"/>
              <w:shd w:val="clear"/>
              <w:topLinePunct w:val="0"/>
              <w:bidi w:val="0"/>
              <w:spacing w:after="0" w:line="360" w:lineRule="auto"/>
              <w:jc w:val="center"/>
              <w:rPr>
                <w:rFonts w:hint="eastAsia" w:ascii="宋体" w:hAnsi="宋体" w:cs="宋体"/>
                <w:color w:val="auto"/>
                <w:sz w:val="20"/>
                <w:szCs w:val="20"/>
                <w:highlight w:val="none"/>
              </w:rPr>
            </w:pPr>
          </w:p>
        </w:tc>
      </w:tr>
      <w:tr w14:paraId="6951BD71">
        <w:tblPrEx>
          <w:tblCellMar>
            <w:top w:w="0" w:type="dxa"/>
            <w:left w:w="108" w:type="dxa"/>
            <w:bottom w:w="0" w:type="dxa"/>
            <w:right w:w="108" w:type="dxa"/>
          </w:tblCellMar>
        </w:tblPrEx>
        <w:trPr>
          <w:trHeight w:val="484" w:hRule="atLeast"/>
        </w:trPr>
        <w:tc>
          <w:tcPr>
            <w:tcW w:w="974" w:type="dxa"/>
            <w:vMerge w:val="continue"/>
            <w:tcBorders>
              <w:top w:val="single" w:color="000000" w:sz="4" w:space="0"/>
              <w:left w:val="single" w:color="000000" w:sz="4" w:space="0"/>
              <w:bottom w:val="single" w:color="000000" w:sz="4" w:space="0"/>
              <w:right w:val="single" w:color="000000" w:sz="4" w:space="0"/>
            </w:tcBorders>
            <w:vAlign w:val="center"/>
          </w:tcPr>
          <w:p w14:paraId="7F1D871B">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3515" w:type="dxa"/>
            <w:tcBorders>
              <w:top w:val="single" w:color="000000" w:sz="4" w:space="0"/>
              <w:left w:val="single" w:color="000000" w:sz="4" w:space="0"/>
              <w:bottom w:val="single" w:color="000000" w:sz="4" w:space="0"/>
              <w:right w:val="single" w:color="000000" w:sz="4" w:space="0"/>
            </w:tcBorders>
            <w:vAlign w:val="center"/>
          </w:tcPr>
          <w:p w14:paraId="24C55FAF">
            <w:pPr>
              <w:pageBreakBefore w:val="0"/>
              <w:shd w:val="clear"/>
              <w:topLinePunct w:val="0"/>
              <w:bidi w:val="0"/>
              <w:spacing w:after="0" w:line="360" w:lineRule="auto"/>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(3)出现问题时，处理问题及时性较差，售后服务能力较差。</w:t>
            </w:r>
          </w:p>
        </w:tc>
        <w:tc>
          <w:tcPr>
            <w:tcW w:w="928" w:type="dxa"/>
            <w:tcBorders>
              <w:top w:val="single" w:color="000000" w:sz="4" w:space="0"/>
              <w:left w:val="single" w:color="000000" w:sz="4" w:space="0"/>
              <w:bottom w:val="single" w:color="000000" w:sz="4" w:space="0"/>
              <w:right w:val="single" w:color="000000" w:sz="4" w:space="0"/>
            </w:tcBorders>
            <w:vAlign w:val="center"/>
          </w:tcPr>
          <w:p w14:paraId="22B3EDE2">
            <w:pPr>
              <w:pageBreakBefore w:val="0"/>
              <w:shd w:val="clear"/>
              <w:topLinePunct w:val="0"/>
              <w:bidi w:val="0"/>
              <w:spacing w:after="0" w:line="360" w:lineRule="auto"/>
              <w:jc w:val="center"/>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0-6分</w:t>
            </w:r>
          </w:p>
        </w:tc>
        <w:tc>
          <w:tcPr>
            <w:tcW w:w="928" w:type="dxa"/>
            <w:vMerge w:val="continue"/>
            <w:tcBorders>
              <w:top w:val="single" w:color="000000" w:sz="4" w:space="0"/>
              <w:left w:val="single" w:color="000000" w:sz="4" w:space="0"/>
              <w:bottom w:val="single" w:color="000000" w:sz="4" w:space="0"/>
              <w:right w:val="single" w:color="000000" w:sz="4" w:space="0"/>
            </w:tcBorders>
            <w:vAlign w:val="center"/>
          </w:tcPr>
          <w:p w14:paraId="00B128CE">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928" w:type="dxa"/>
            <w:vMerge w:val="continue"/>
            <w:tcBorders>
              <w:top w:val="single" w:color="000000" w:sz="4" w:space="0"/>
              <w:left w:val="single" w:color="000000" w:sz="4" w:space="0"/>
              <w:bottom w:val="single" w:color="000000" w:sz="4" w:space="0"/>
              <w:right w:val="single" w:color="000000" w:sz="4" w:space="0"/>
            </w:tcBorders>
            <w:vAlign w:val="center"/>
          </w:tcPr>
          <w:p w14:paraId="6871E6AE">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1087" w:type="dxa"/>
            <w:vMerge w:val="continue"/>
            <w:tcBorders>
              <w:top w:val="single" w:color="000000" w:sz="4" w:space="0"/>
              <w:left w:val="single" w:color="000000" w:sz="4" w:space="0"/>
              <w:bottom w:val="single" w:color="000000" w:sz="4" w:space="0"/>
              <w:right w:val="single" w:color="000000" w:sz="4" w:space="0"/>
            </w:tcBorders>
            <w:vAlign w:val="center"/>
          </w:tcPr>
          <w:p w14:paraId="3869BF3F">
            <w:pPr>
              <w:pageBreakBefore w:val="0"/>
              <w:shd w:val="clear"/>
              <w:topLinePunct w:val="0"/>
              <w:bidi w:val="0"/>
              <w:spacing w:after="0" w:line="360" w:lineRule="auto"/>
              <w:jc w:val="center"/>
              <w:rPr>
                <w:rFonts w:hint="eastAsia" w:ascii="宋体" w:hAnsi="宋体" w:cs="宋体"/>
                <w:color w:val="auto"/>
                <w:sz w:val="20"/>
                <w:szCs w:val="20"/>
                <w:highlight w:val="none"/>
              </w:rPr>
            </w:pPr>
          </w:p>
        </w:tc>
      </w:tr>
      <w:tr w14:paraId="4D975988">
        <w:tblPrEx>
          <w:tblCellMar>
            <w:top w:w="0" w:type="dxa"/>
            <w:left w:w="108" w:type="dxa"/>
            <w:bottom w:w="0" w:type="dxa"/>
            <w:right w:w="108" w:type="dxa"/>
          </w:tblCellMar>
        </w:tblPrEx>
        <w:trPr>
          <w:trHeight w:val="484" w:hRule="atLeast"/>
        </w:trPr>
        <w:tc>
          <w:tcPr>
            <w:tcW w:w="5417" w:type="dxa"/>
            <w:gridSpan w:val="3"/>
            <w:tcBorders>
              <w:top w:val="single" w:color="000000" w:sz="4" w:space="0"/>
              <w:left w:val="single" w:color="000000" w:sz="4" w:space="0"/>
              <w:bottom w:val="single" w:color="000000" w:sz="4" w:space="0"/>
              <w:right w:val="single" w:color="000000" w:sz="4" w:space="0"/>
            </w:tcBorders>
            <w:vAlign w:val="center"/>
          </w:tcPr>
          <w:p w14:paraId="0014A910">
            <w:pPr>
              <w:pageBreakBefore w:val="0"/>
              <w:shd w:val="clear"/>
              <w:topLinePunct w:val="0"/>
              <w:bidi w:val="0"/>
              <w:spacing w:after="0" w:line="360" w:lineRule="auto"/>
              <w:jc w:val="center"/>
              <w:textAlignment w:val="center"/>
              <w:rPr>
                <w:rFonts w:hint="eastAsia" w:ascii="宋体" w:hAnsi="宋体" w:cs="宋体"/>
                <w:b/>
                <w:bCs/>
                <w:color w:val="auto"/>
                <w:sz w:val="20"/>
                <w:szCs w:val="20"/>
                <w:highlight w:val="none"/>
              </w:rPr>
            </w:pPr>
            <w:r>
              <w:rPr>
                <w:rFonts w:hint="eastAsia" w:ascii="宋体" w:hAnsi="宋体" w:cs="宋体"/>
                <w:b/>
                <w:bCs/>
                <w:color w:val="auto"/>
                <w:sz w:val="20"/>
                <w:szCs w:val="20"/>
                <w:highlight w:val="none"/>
                <w:lang w:bidi="ar"/>
              </w:rPr>
              <w:t>综合得分</w:t>
            </w:r>
          </w:p>
        </w:tc>
        <w:tc>
          <w:tcPr>
            <w:tcW w:w="928" w:type="dxa"/>
            <w:tcBorders>
              <w:top w:val="single" w:color="000000" w:sz="4" w:space="0"/>
              <w:left w:val="single" w:color="000000" w:sz="4" w:space="0"/>
              <w:bottom w:val="single" w:color="000000" w:sz="4" w:space="0"/>
              <w:right w:val="single" w:color="000000" w:sz="4" w:space="0"/>
            </w:tcBorders>
            <w:vAlign w:val="center"/>
          </w:tcPr>
          <w:p w14:paraId="7386B671">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928" w:type="dxa"/>
            <w:tcBorders>
              <w:top w:val="single" w:color="000000" w:sz="4" w:space="0"/>
              <w:left w:val="single" w:color="000000" w:sz="4" w:space="0"/>
              <w:bottom w:val="single" w:color="000000" w:sz="4" w:space="0"/>
              <w:right w:val="single" w:color="000000" w:sz="4" w:space="0"/>
            </w:tcBorders>
            <w:vAlign w:val="center"/>
          </w:tcPr>
          <w:p w14:paraId="647181A8">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1087" w:type="dxa"/>
            <w:tcBorders>
              <w:top w:val="single" w:color="000000" w:sz="4" w:space="0"/>
              <w:left w:val="single" w:color="000000" w:sz="4" w:space="0"/>
              <w:bottom w:val="single" w:color="000000" w:sz="4" w:space="0"/>
              <w:right w:val="single" w:color="000000" w:sz="4" w:space="0"/>
            </w:tcBorders>
            <w:vAlign w:val="center"/>
          </w:tcPr>
          <w:p w14:paraId="727E5718">
            <w:pPr>
              <w:pageBreakBefore w:val="0"/>
              <w:shd w:val="clear"/>
              <w:topLinePunct w:val="0"/>
              <w:bidi w:val="0"/>
              <w:spacing w:after="0" w:line="360" w:lineRule="auto"/>
              <w:jc w:val="center"/>
              <w:rPr>
                <w:rFonts w:hint="eastAsia" w:ascii="宋体" w:hAnsi="宋体" w:cs="宋体"/>
                <w:color w:val="auto"/>
                <w:sz w:val="20"/>
                <w:szCs w:val="20"/>
                <w:highlight w:val="none"/>
              </w:rPr>
            </w:pPr>
          </w:p>
        </w:tc>
      </w:tr>
      <w:tr w14:paraId="0A9A1263">
        <w:tblPrEx>
          <w:tblCellMar>
            <w:top w:w="0" w:type="dxa"/>
            <w:left w:w="108" w:type="dxa"/>
            <w:bottom w:w="0" w:type="dxa"/>
            <w:right w:w="108" w:type="dxa"/>
          </w:tblCellMar>
        </w:tblPrEx>
        <w:trPr>
          <w:trHeight w:val="484" w:hRule="atLeast"/>
        </w:trPr>
        <w:tc>
          <w:tcPr>
            <w:tcW w:w="5417" w:type="dxa"/>
            <w:gridSpan w:val="3"/>
            <w:tcBorders>
              <w:top w:val="single" w:color="000000" w:sz="4" w:space="0"/>
              <w:left w:val="single" w:color="000000" w:sz="4" w:space="0"/>
              <w:bottom w:val="single" w:color="000000" w:sz="4" w:space="0"/>
              <w:right w:val="single" w:color="000000" w:sz="4" w:space="0"/>
            </w:tcBorders>
            <w:vAlign w:val="center"/>
          </w:tcPr>
          <w:p w14:paraId="55EF4093">
            <w:pPr>
              <w:pageBreakBefore w:val="0"/>
              <w:shd w:val="clear"/>
              <w:topLinePunct w:val="0"/>
              <w:bidi w:val="0"/>
              <w:spacing w:after="0" w:line="360" w:lineRule="auto"/>
              <w:jc w:val="center"/>
              <w:textAlignment w:val="center"/>
              <w:rPr>
                <w:rFonts w:hint="eastAsia" w:ascii="宋体" w:hAnsi="宋体" w:cs="宋体"/>
                <w:b/>
                <w:bCs/>
                <w:color w:val="auto"/>
                <w:sz w:val="20"/>
                <w:szCs w:val="20"/>
                <w:highlight w:val="none"/>
              </w:rPr>
            </w:pPr>
            <w:r>
              <w:rPr>
                <w:rFonts w:hint="eastAsia" w:ascii="宋体" w:hAnsi="宋体" w:cs="宋体"/>
                <w:b/>
                <w:bCs/>
                <w:color w:val="auto"/>
                <w:sz w:val="20"/>
                <w:szCs w:val="20"/>
                <w:highlight w:val="none"/>
                <w:lang w:bidi="ar"/>
              </w:rPr>
              <w:t>评分人员签名</w:t>
            </w:r>
          </w:p>
        </w:tc>
        <w:tc>
          <w:tcPr>
            <w:tcW w:w="928" w:type="dxa"/>
            <w:tcBorders>
              <w:top w:val="single" w:color="000000" w:sz="4" w:space="0"/>
              <w:left w:val="single" w:color="000000" w:sz="4" w:space="0"/>
              <w:bottom w:val="single" w:color="000000" w:sz="4" w:space="0"/>
              <w:right w:val="single" w:color="000000" w:sz="4" w:space="0"/>
            </w:tcBorders>
            <w:vAlign w:val="center"/>
          </w:tcPr>
          <w:p w14:paraId="49427EFA">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928" w:type="dxa"/>
            <w:tcBorders>
              <w:top w:val="single" w:color="000000" w:sz="4" w:space="0"/>
              <w:left w:val="single" w:color="000000" w:sz="4" w:space="0"/>
              <w:bottom w:val="single" w:color="000000" w:sz="4" w:space="0"/>
              <w:right w:val="single" w:color="000000" w:sz="4" w:space="0"/>
            </w:tcBorders>
            <w:vAlign w:val="center"/>
          </w:tcPr>
          <w:p w14:paraId="4A58D3FA">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1087" w:type="dxa"/>
            <w:tcBorders>
              <w:top w:val="single" w:color="000000" w:sz="4" w:space="0"/>
              <w:left w:val="single" w:color="000000" w:sz="4" w:space="0"/>
              <w:bottom w:val="single" w:color="000000" w:sz="4" w:space="0"/>
              <w:right w:val="single" w:color="000000" w:sz="4" w:space="0"/>
            </w:tcBorders>
            <w:vAlign w:val="center"/>
          </w:tcPr>
          <w:p w14:paraId="12CB032A">
            <w:pPr>
              <w:pageBreakBefore w:val="0"/>
              <w:shd w:val="clear"/>
              <w:topLinePunct w:val="0"/>
              <w:bidi w:val="0"/>
              <w:spacing w:after="0" w:line="360" w:lineRule="auto"/>
              <w:jc w:val="center"/>
              <w:rPr>
                <w:rFonts w:hint="eastAsia" w:ascii="宋体" w:hAnsi="宋体" w:cs="宋体"/>
                <w:color w:val="auto"/>
                <w:sz w:val="20"/>
                <w:szCs w:val="20"/>
                <w:highlight w:val="none"/>
              </w:rPr>
            </w:pPr>
          </w:p>
        </w:tc>
      </w:tr>
      <w:tr w14:paraId="1ECBB461">
        <w:tblPrEx>
          <w:tblCellMar>
            <w:top w:w="0" w:type="dxa"/>
            <w:left w:w="108" w:type="dxa"/>
            <w:bottom w:w="0" w:type="dxa"/>
            <w:right w:w="108" w:type="dxa"/>
          </w:tblCellMar>
        </w:tblPrEx>
        <w:trPr>
          <w:trHeight w:val="484" w:hRule="atLeast"/>
        </w:trPr>
        <w:tc>
          <w:tcPr>
            <w:tcW w:w="5417" w:type="dxa"/>
            <w:gridSpan w:val="3"/>
            <w:tcBorders>
              <w:top w:val="single" w:color="000000" w:sz="4" w:space="0"/>
              <w:left w:val="single" w:color="000000" w:sz="4" w:space="0"/>
              <w:bottom w:val="single" w:color="000000" w:sz="4" w:space="0"/>
              <w:right w:val="single" w:color="000000" w:sz="4" w:space="0"/>
            </w:tcBorders>
            <w:vAlign w:val="center"/>
          </w:tcPr>
          <w:p w14:paraId="57467D40">
            <w:pPr>
              <w:pageBreakBefore w:val="0"/>
              <w:shd w:val="clear"/>
              <w:topLinePunct w:val="0"/>
              <w:bidi w:val="0"/>
              <w:spacing w:after="0" w:line="360" w:lineRule="auto"/>
              <w:jc w:val="center"/>
              <w:textAlignment w:val="center"/>
              <w:rPr>
                <w:rFonts w:hint="eastAsia" w:ascii="宋体" w:hAnsi="宋体" w:cs="宋体"/>
                <w:b/>
                <w:bCs/>
                <w:color w:val="auto"/>
                <w:sz w:val="20"/>
                <w:szCs w:val="20"/>
                <w:highlight w:val="none"/>
              </w:rPr>
            </w:pPr>
            <w:r>
              <w:rPr>
                <w:rFonts w:hint="eastAsia" w:ascii="宋体" w:hAnsi="宋体" w:cs="宋体"/>
                <w:b/>
                <w:bCs/>
                <w:color w:val="auto"/>
                <w:sz w:val="20"/>
                <w:szCs w:val="20"/>
                <w:highlight w:val="none"/>
                <w:lang w:bidi="ar"/>
              </w:rPr>
              <w:t>总分</w:t>
            </w:r>
          </w:p>
        </w:tc>
        <w:tc>
          <w:tcPr>
            <w:tcW w:w="2943" w:type="dxa"/>
            <w:gridSpan w:val="3"/>
            <w:tcBorders>
              <w:top w:val="single" w:color="000000" w:sz="4" w:space="0"/>
              <w:left w:val="single" w:color="000000" w:sz="4" w:space="0"/>
              <w:bottom w:val="single" w:color="000000" w:sz="4" w:space="0"/>
              <w:right w:val="single" w:color="000000" w:sz="4" w:space="0"/>
            </w:tcBorders>
            <w:vAlign w:val="center"/>
          </w:tcPr>
          <w:p w14:paraId="37B76E42">
            <w:pPr>
              <w:pageBreakBefore w:val="0"/>
              <w:shd w:val="clear"/>
              <w:topLinePunct w:val="0"/>
              <w:bidi w:val="0"/>
              <w:spacing w:after="0" w:line="360" w:lineRule="auto"/>
              <w:jc w:val="center"/>
              <w:rPr>
                <w:rFonts w:hint="eastAsia" w:ascii="宋体" w:hAnsi="宋体" w:cs="宋体"/>
                <w:color w:val="auto"/>
                <w:sz w:val="20"/>
                <w:szCs w:val="20"/>
                <w:highlight w:val="none"/>
              </w:rPr>
            </w:pPr>
          </w:p>
        </w:tc>
      </w:tr>
      <w:tr w14:paraId="63450EF5">
        <w:tblPrEx>
          <w:tblCellMar>
            <w:top w:w="0" w:type="dxa"/>
            <w:left w:w="108" w:type="dxa"/>
            <w:bottom w:w="0" w:type="dxa"/>
            <w:right w:w="108" w:type="dxa"/>
          </w:tblCellMar>
        </w:tblPrEx>
        <w:trPr>
          <w:trHeight w:val="488" w:hRule="atLeast"/>
        </w:trPr>
        <w:tc>
          <w:tcPr>
            <w:tcW w:w="5417" w:type="dxa"/>
            <w:gridSpan w:val="3"/>
            <w:tcBorders>
              <w:top w:val="single" w:color="000000" w:sz="4" w:space="0"/>
              <w:left w:val="single" w:color="000000" w:sz="4" w:space="0"/>
              <w:bottom w:val="single" w:color="000000" w:sz="4" w:space="0"/>
              <w:right w:val="single" w:color="000000" w:sz="4" w:space="0"/>
            </w:tcBorders>
            <w:vAlign w:val="center"/>
          </w:tcPr>
          <w:p w14:paraId="286F9C9D">
            <w:pPr>
              <w:pageBreakBefore w:val="0"/>
              <w:shd w:val="clear"/>
              <w:topLinePunct w:val="0"/>
              <w:bidi w:val="0"/>
              <w:spacing w:after="0" w:line="360" w:lineRule="auto"/>
              <w:jc w:val="center"/>
              <w:textAlignment w:val="center"/>
              <w:rPr>
                <w:rFonts w:hint="eastAsia" w:ascii="宋体" w:hAnsi="宋体" w:cs="宋体"/>
                <w:b/>
                <w:bCs/>
                <w:color w:val="auto"/>
                <w:sz w:val="20"/>
                <w:szCs w:val="20"/>
                <w:highlight w:val="none"/>
              </w:rPr>
            </w:pPr>
            <w:r>
              <w:rPr>
                <w:rFonts w:hint="eastAsia" w:ascii="宋体" w:hAnsi="宋体" w:cs="宋体"/>
                <w:b/>
                <w:bCs/>
                <w:color w:val="auto"/>
                <w:sz w:val="20"/>
                <w:szCs w:val="20"/>
                <w:highlight w:val="none"/>
                <w:lang w:bidi="ar"/>
              </w:rPr>
              <w:t>结论</w:t>
            </w:r>
          </w:p>
        </w:tc>
        <w:tc>
          <w:tcPr>
            <w:tcW w:w="2943" w:type="dxa"/>
            <w:gridSpan w:val="3"/>
            <w:tcBorders>
              <w:top w:val="single" w:color="000000" w:sz="4" w:space="0"/>
              <w:left w:val="single" w:color="000000" w:sz="4" w:space="0"/>
              <w:bottom w:val="single" w:color="000000" w:sz="4" w:space="0"/>
              <w:right w:val="single" w:color="000000" w:sz="4" w:space="0"/>
            </w:tcBorders>
            <w:vAlign w:val="center"/>
          </w:tcPr>
          <w:p w14:paraId="30BAC2CB">
            <w:pPr>
              <w:pageBreakBefore w:val="0"/>
              <w:shd w:val="clear"/>
              <w:topLinePunct w:val="0"/>
              <w:bidi w:val="0"/>
              <w:spacing w:after="0" w:line="360" w:lineRule="auto"/>
              <w:jc w:val="center"/>
              <w:rPr>
                <w:rFonts w:hint="eastAsia" w:ascii="宋体" w:hAnsi="宋体" w:cs="宋体"/>
                <w:color w:val="auto"/>
                <w:sz w:val="20"/>
                <w:szCs w:val="20"/>
                <w:highlight w:val="none"/>
              </w:rPr>
            </w:pPr>
          </w:p>
        </w:tc>
      </w:tr>
      <w:tr w14:paraId="50583B51">
        <w:tblPrEx>
          <w:tblCellMar>
            <w:top w:w="0" w:type="dxa"/>
            <w:left w:w="108" w:type="dxa"/>
            <w:bottom w:w="0" w:type="dxa"/>
            <w:right w:w="108" w:type="dxa"/>
          </w:tblCellMar>
        </w:tblPrEx>
        <w:trPr>
          <w:trHeight w:val="1872" w:hRule="atLeast"/>
        </w:trPr>
        <w:tc>
          <w:tcPr>
            <w:tcW w:w="8360" w:type="dxa"/>
            <w:gridSpan w:val="6"/>
            <w:tcBorders>
              <w:top w:val="nil"/>
              <w:left w:val="nil"/>
              <w:bottom w:val="nil"/>
              <w:right w:val="nil"/>
            </w:tcBorders>
            <w:vAlign w:val="bottom"/>
          </w:tcPr>
          <w:p w14:paraId="62A54F69">
            <w:pPr>
              <w:pageBreakBefore w:val="0"/>
              <w:shd w:val="clear"/>
              <w:topLinePunct w:val="0"/>
              <w:bidi w:val="0"/>
              <w:spacing w:after="0" w:line="360" w:lineRule="auto"/>
              <w:textAlignment w:val="bottom"/>
              <w:rPr>
                <w:rFonts w:hint="eastAsia" w:ascii="宋体" w:hAnsi="宋体" w:cs="宋体"/>
                <w:color w:val="auto"/>
                <w:sz w:val="20"/>
                <w:szCs w:val="20"/>
                <w:highlight w:val="none"/>
                <w:lang w:bidi="ar"/>
              </w:rPr>
            </w:pPr>
            <w:r>
              <w:rPr>
                <w:rFonts w:hint="eastAsia" w:ascii="宋体" w:hAnsi="宋体" w:cs="宋体"/>
                <w:color w:val="auto"/>
                <w:sz w:val="20"/>
                <w:szCs w:val="20"/>
                <w:highlight w:val="none"/>
                <w:lang w:bidi="ar"/>
              </w:rPr>
              <w:t>填写说明：此表为供应商评价表，每</w:t>
            </w:r>
            <w:r>
              <w:rPr>
                <w:rFonts w:hint="eastAsia" w:ascii="宋体" w:hAnsi="宋体" w:cs="宋体"/>
                <w:color w:val="auto"/>
                <w:sz w:val="20"/>
                <w:szCs w:val="20"/>
                <w:highlight w:val="none"/>
                <w:lang w:val="en-US" w:eastAsia="zh-CN" w:bidi="ar"/>
              </w:rPr>
              <w:t>半年</w:t>
            </w:r>
            <w:r>
              <w:rPr>
                <w:rFonts w:hint="eastAsia" w:ascii="宋体" w:hAnsi="宋体" w:cs="宋体"/>
                <w:color w:val="auto"/>
                <w:sz w:val="20"/>
                <w:szCs w:val="20"/>
                <w:highlight w:val="none"/>
                <w:lang w:bidi="ar"/>
              </w:rPr>
              <w:t>考核一次</w:t>
            </w:r>
          </w:p>
          <w:p w14:paraId="7868839E">
            <w:pPr>
              <w:pageBreakBefore w:val="0"/>
              <w:shd w:val="clear"/>
              <w:topLinePunct w:val="0"/>
              <w:bidi w:val="0"/>
              <w:spacing w:after="0" w:line="360" w:lineRule="auto"/>
              <w:textAlignment w:val="bottom"/>
              <w:rPr>
                <w:rFonts w:hint="eastAsia" w:ascii="宋体" w:hAnsi="宋体" w:cs="宋体"/>
                <w:color w:val="auto"/>
                <w:sz w:val="20"/>
                <w:szCs w:val="20"/>
                <w:highlight w:val="none"/>
                <w:lang w:bidi="ar"/>
              </w:rPr>
            </w:pPr>
            <w:r>
              <w:rPr>
                <w:rFonts w:hint="eastAsia" w:ascii="宋体" w:hAnsi="宋体" w:cs="宋体"/>
                <w:color w:val="auto"/>
                <w:sz w:val="20"/>
                <w:szCs w:val="20"/>
                <w:highlight w:val="none"/>
                <w:lang w:bidi="ar"/>
              </w:rPr>
              <w:t>评价结论：</w:t>
            </w:r>
          </w:p>
          <w:p w14:paraId="50403AAF">
            <w:pPr>
              <w:pageBreakBefore w:val="0"/>
              <w:shd w:val="clear"/>
              <w:topLinePunct w:val="0"/>
              <w:bidi w:val="0"/>
              <w:spacing w:after="0" w:line="360" w:lineRule="auto"/>
              <w:textAlignment w:val="bottom"/>
              <w:rPr>
                <w:rFonts w:hint="eastAsia" w:ascii="宋体" w:hAnsi="宋体" w:cs="宋体"/>
                <w:color w:val="auto"/>
                <w:sz w:val="20"/>
                <w:szCs w:val="20"/>
                <w:highlight w:val="none"/>
                <w:lang w:bidi="ar"/>
              </w:rPr>
            </w:pPr>
            <w:r>
              <w:rPr>
                <w:rFonts w:hint="eastAsia" w:ascii="宋体" w:hAnsi="宋体" w:cs="宋体"/>
                <w:color w:val="auto"/>
                <w:sz w:val="20"/>
                <w:szCs w:val="20"/>
                <w:highlight w:val="none"/>
                <w:lang w:bidi="ar"/>
              </w:rPr>
              <w:t>1、分数≥</w:t>
            </w:r>
            <w:r>
              <w:rPr>
                <w:rFonts w:hint="eastAsia" w:ascii="宋体" w:hAnsi="宋体" w:cs="宋体"/>
                <w:color w:val="auto"/>
                <w:sz w:val="20"/>
                <w:szCs w:val="20"/>
                <w:highlight w:val="none"/>
                <w:lang w:val="en-US" w:eastAsia="zh-CN" w:bidi="ar"/>
              </w:rPr>
              <w:t>8</w:t>
            </w:r>
            <w:r>
              <w:rPr>
                <w:rFonts w:hint="eastAsia" w:ascii="宋体" w:hAnsi="宋体" w:cs="宋体"/>
                <w:color w:val="auto"/>
                <w:sz w:val="20"/>
                <w:szCs w:val="20"/>
                <w:highlight w:val="none"/>
                <w:lang w:bidi="ar"/>
              </w:rPr>
              <w:t>0分，结论:优秀，继续合作。</w:t>
            </w:r>
          </w:p>
          <w:p w14:paraId="36DB0B48">
            <w:pPr>
              <w:pageBreakBefore w:val="0"/>
              <w:shd w:val="clear"/>
              <w:topLinePunct w:val="0"/>
              <w:bidi w:val="0"/>
              <w:spacing w:after="0" w:line="360" w:lineRule="auto"/>
              <w:textAlignment w:val="bottom"/>
              <w:rPr>
                <w:rFonts w:hint="eastAsia" w:ascii="宋体" w:hAnsi="宋体" w:cs="宋体"/>
                <w:color w:val="auto"/>
                <w:sz w:val="20"/>
                <w:szCs w:val="20"/>
                <w:highlight w:val="none"/>
                <w:lang w:bidi="ar"/>
              </w:rPr>
            </w:pPr>
            <w:r>
              <w:rPr>
                <w:rFonts w:hint="eastAsia" w:ascii="宋体" w:hAnsi="宋体" w:cs="宋体"/>
                <w:color w:val="auto"/>
                <w:sz w:val="20"/>
                <w:szCs w:val="20"/>
                <w:highlight w:val="none"/>
                <w:lang w:bidi="ar"/>
              </w:rPr>
              <w:t>2、</w:t>
            </w:r>
            <w:r>
              <w:rPr>
                <w:rFonts w:hint="eastAsia" w:ascii="宋体" w:hAnsi="宋体" w:cs="宋体"/>
                <w:color w:val="auto"/>
                <w:sz w:val="20"/>
                <w:szCs w:val="20"/>
                <w:highlight w:val="none"/>
                <w:lang w:val="en-US" w:eastAsia="zh-CN" w:bidi="ar"/>
              </w:rPr>
              <w:t>8</w:t>
            </w:r>
            <w:r>
              <w:rPr>
                <w:rFonts w:hint="eastAsia" w:ascii="宋体" w:hAnsi="宋体" w:cs="宋体"/>
                <w:color w:val="auto"/>
                <w:sz w:val="20"/>
                <w:szCs w:val="20"/>
                <w:highlight w:val="none"/>
                <w:lang w:bidi="ar"/>
              </w:rPr>
              <w:t>0分&gt;分数≥</w:t>
            </w:r>
            <w:r>
              <w:rPr>
                <w:rFonts w:hint="eastAsia" w:ascii="宋体" w:hAnsi="宋体" w:cs="宋体"/>
                <w:color w:val="auto"/>
                <w:sz w:val="20"/>
                <w:szCs w:val="20"/>
                <w:highlight w:val="none"/>
                <w:lang w:val="en-US" w:eastAsia="zh-CN" w:bidi="ar"/>
              </w:rPr>
              <w:t>6</w:t>
            </w:r>
            <w:r>
              <w:rPr>
                <w:rFonts w:hint="eastAsia" w:ascii="宋体" w:hAnsi="宋体" w:cs="宋体"/>
                <w:color w:val="auto"/>
                <w:sz w:val="20"/>
                <w:szCs w:val="20"/>
                <w:highlight w:val="none"/>
                <w:lang w:bidi="ar"/>
              </w:rPr>
              <w:t>0分，结论:继续合作，问题点限时整改，</w:t>
            </w:r>
          </w:p>
          <w:p w14:paraId="3FBE7140">
            <w:pPr>
              <w:pageBreakBefore w:val="0"/>
              <w:shd w:val="clear"/>
              <w:topLinePunct w:val="0"/>
              <w:bidi w:val="0"/>
              <w:spacing w:after="0" w:line="360" w:lineRule="auto"/>
              <w:textAlignment w:val="bottom"/>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3、60分&gt;分数，或出现重大质量问题，结论:不合格，甲方有权解除合同，停止合作。</w:t>
            </w:r>
          </w:p>
        </w:tc>
      </w:tr>
    </w:tbl>
    <w:p w14:paraId="59B4295C">
      <w:pPr>
        <w:pageBreakBefore w:val="0"/>
        <w:shd w:val="clear"/>
        <w:topLinePunct w:val="0"/>
        <w:bidi w:val="0"/>
        <w:spacing w:after="0" w:line="240" w:lineRule="auto"/>
        <w:rPr>
          <w:rFonts w:hint="eastAsia" w:ascii="宋体" w:hAnsi="宋体" w:cs="宋体"/>
          <w:b/>
          <w:color w:val="auto"/>
          <w:szCs w:val="21"/>
          <w:highlight w:val="none"/>
        </w:rPr>
      </w:pPr>
      <w:r>
        <w:rPr>
          <w:rFonts w:hint="eastAsia" w:ascii="宋体" w:hAnsi="宋体" w:cs="宋体"/>
          <w:b/>
          <w:color w:val="auto"/>
          <w:szCs w:val="21"/>
          <w:highlight w:val="none"/>
        </w:rPr>
        <w:br w:type="page"/>
      </w:r>
    </w:p>
    <w:p w14:paraId="7F628DE2">
      <w:pPr>
        <w:pStyle w:val="10"/>
        <w:pageBreakBefore w:val="0"/>
        <w:shd w:val="clear"/>
        <w:topLinePunct w:val="0"/>
        <w:bidi w:val="0"/>
        <w:spacing w:before="0" w:after="0" w:line="360" w:lineRule="auto"/>
        <w:rPr>
          <w:rFonts w:hint="eastAsia"/>
          <w:b/>
          <w:bCs/>
          <w:color w:val="auto"/>
          <w:sz w:val="21"/>
          <w:szCs w:val="21"/>
          <w:highlight w:val="none"/>
          <w:lang w:val="en-US"/>
        </w:rPr>
      </w:pPr>
      <w:r>
        <w:rPr>
          <w:rFonts w:hint="eastAsia"/>
          <w:b/>
          <w:bCs/>
          <w:color w:val="auto"/>
          <w:sz w:val="21"/>
          <w:szCs w:val="21"/>
          <w:highlight w:val="none"/>
          <w:lang w:val="en-US"/>
        </w:rPr>
        <w:t>附件</w:t>
      </w:r>
      <w:r>
        <w:rPr>
          <w:rFonts w:hint="eastAsia"/>
          <w:b/>
          <w:bCs/>
          <w:color w:val="auto"/>
          <w:sz w:val="21"/>
          <w:szCs w:val="21"/>
          <w:highlight w:val="none"/>
          <w:lang w:val="en-US" w:eastAsia="zh-CN"/>
        </w:rPr>
        <w:t>五</w:t>
      </w:r>
      <w:r>
        <w:rPr>
          <w:rFonts w:hint="eastAsia"/>
          <w:b/>
          <w:bCs/>
          <w:color w:val="auto"/>
          <w:sz w:val="21"/>
          <w:szCs w:val="21"/>
          <w:highlight w:val="none"/>
          <w:lang w:val="en-US"/>
        </w:rPr>
        <w:t>：阳光合作协议</w:t>
      </w:r>
    </w:p>
    <w:p w14:paraId="0D24CACF">
      <w:pPr>
        <w:pageBreakBefore w:val="0"/>
        <w:shd w:val="clear"/>
        <w:topLinePunct w:val="0"/>
        <w:bidi w:val="0"/>
        <w:spacing w:after="0" w:line="360" w:lineRule="auto"/>
        <w:ind w:firstLine="562" w:firstLineChars="200"/>
        <w:jc w:val="center"/>
        <w:rPr>
          <w:rFonts w:hint="eastAsia" w:ascii="宋体" w:hAnsi="宋体" w:cs="宋体"/>
          <w:b/>
          <w:color w:val="auto"/>
          <w:sz w:val="28"/>
          <w:szCs w:val="28"/>
          <w:highlight w:val="none"/>
        </w:rPr>
      </w:pPr>
      <w:r>
        <w:rPr>
          <w:rFonts w:hint="eastAsia" w:ascii="宋体" w:hAnsi="宋体" w:cs="宋体"/>
          <w:b/>
          <w:color w:val="auto"/>
          <w:sz w:val="28"/>
          <w:szCs w:val="28"/>
          <w:highlight w:val="none"/>
        </w:rPr>
        <w:t>阳光合作协议</w:t>
      </w:r>
    </w:p>
    <w:p w14:paraId="0F80B394">
      <w:pPr>
        <w:pageBreakBefore w:val="0"/>
        <w:shd w:val="clear"/>
        <w:kinsoku w:val="0"/>
        <w:wordWrap w:val="0"/>
        <w:topLinePunct w:val="0"/>
        <w:bidi w:val="0"/>
        <w:spacing w:after="0"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甲方</w:t>
      </w:r>
      <w:r>
        <w:rPr>
          <w:rFonts w:hint="eastAsia" w:ascii="宋体" w:hAnsi="宋体" w:eastAsia="宋体"/>
          <w:color w:val="auto"/>
          <w:highlight w:val="none"/>
          <w:lang w:val="en-US" w:eastAsia="zh-CN"/>
        </w:rPr>
        <w:t>1</w:t>
      </w:r>
      <w:r>
        <w:rPr>
          <w:rFonts w:hint="eastAsia" w:ascii="宋体" w:hAnsi="宋体" w:eastAsia="宋体"/>
          <w:color w:val="auto"/>
          <w:highlight w:val="none"/>
        </w:rPr>
        <w:t>（采购方全称）：</w:t>
      </w:r>
    </w:p>
    <w:p w14:paraId="1485F54D">
      <w:pPr>
        <w:pageBreakBefore w:val="0"/>
        <w:shd w:val="clear"/>
        <w:kinsoku w:val="0"/>
        <w:wordWrap w:val="0"/>
        <w:topLinePunct w:val="0"/>
        <w:bidi w:val="0"/>
        <w:spacing w:after="0" w:line="360" w:lineRule="auto"/>
        <w:ind w:firstLine="420" w:firstLineChars="200"/>
        <w:rPr>
          <w:rFonts w:hint="default" w:ascii="宋体" w:hAnsi="宋体" w:eastAsia="宋体"/>
          <w:color w:val="auto"/>
          <w:highlight w:val="none"/>
          <w:lang w:val="en-US" w:eastAsia="zh-CN"/>
        </w:rPr>
      </w:pPr>
      <w:r>
        <w:rPr>
          <w:rFonts w:hint="eastAsia" w:ascii="宋体" w:hAnsi="宋体" w:eastAsia="宋体"/>
          <w:color w:val="auto"/>
          <w:highlight w:val="none"/>
          <w:lang w:val="en-US" w:eastAsia="zh-CN"/>
        </w:rPr>
        <w:t>甲方2</w:t>
      </w:r>
      <w:r>
        <w:rPr>
          <w:rFonts w:hint="eastAsia" w:ascii="宋体" w:hAnsi="宋体" w:eastAsia="宋体"/>
          <w:color w:val="auto"/>
          <w:highlight w:val="none"/>
        </w:rPr>
        <w:t>（采购方全称）：</w:t>
      </w:r>
    </w:p>
    <w:p w14:paraId="4540A5FF">
      <w:pPr>
        <w:pageBreakBefore w:val="0"/>
        <w:shd w:val="clear"/>
        <w:kinsoku w:val="0"/>
        <w:wordWrap w:val="0"/>
        <w:topLinePunct w:val="0"/>
        <w:bidi w:val="0"/>
        <w:spacing w:after="0"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乙方（供应方全称）：</w:t>
      </w:r>
    </w:p>
    <w:p w14:paraId="043EF415">
      <w:pPr>
        <w:keepNext w:val="0"/>
        <w:keepLines w:val="0"/>
        <w:pageBreakBefore w:val="0"/>
        <w:widowControl w:val="0"/>
        <w:shd w:val="clear"/>
        <w:kinsoku/>
        <w:wordWrap/>
        <w:overflowPunct/>
        <w:topLinePunct w:val="0"/>
        <w:autoSpaceDE/>
        <w:autoSpaceDN/>
        <w:bidi w:val="0"/>
        <w:adjustRightInd/>
        <w:snapToGrid/>
        <w:spacing w:after="0" w:line="360" w:lineRule="auto"/>
        <w:ind w:firstLine="420" w:firstLineChars="200"/>
        <w:contextualSpacing/>
        <w:textAlignment w:val="auto"/>
        <w:rPr>
          <w:rFonts w:hint="eastAsia" w:ascii="宋体" w:hAnsi="宋体"/>
          <w:color w:val="auto"/>
          <w:highlight w:val="none"/>
        </w:rPr>
      </w:pPr>
    </w:p>
    <w:p w14:paraId="2F3A38CD">
      <w:pPr>
        <w:pageBreakBefore w:val="0"/>
        <w:shd w:val="clear"/>
        <w:kinsoku w:val="0"/>
        <w:wordWrap w:val="0"/>
        <w:topLinePunct w:val="0"/>
        <w:bidi w:val="0"/>
        <w:spacing w:after="0" w:line="360" w:lineRule="auto"/>
        <w:ind w:firstLine="420" w:firstLineChars="200"/>
        <w:rPr>
          <w:rFonts w:ascii="宋体"/>
          <w:color w:val="auto"/>
          <w:highlight w:val="none"/>
        </w:rPr>
      </w:pPr>
      <w:r>
        <w:rPr>
          <w:rFonts w:hint="eastAsia" w:ascii="宋体" w:hAnsi="宋体"/>
          <w:color w:val="auto"/>
          <w:highlight w:val="none"/>
        </w:rPr>
        <w:t>甲乙双方于2026年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日签署了</w:t>
      </w:r>
      <w:r>
        <w:rPr>
          <w:rFonts w:hint="eastAsia" w:ascii="宋体" w:hAnsi="宋体"/>
          <w:color w:val="auto"/>
          <w:highlight w:val="none"/>
          <w:u w:val="single"/>
        </w:rPr>
        <w:t xml:space="preserve">                  </w:t>
      </w:r>
      <w:r>
        <w:rPr>
          <w:rFonts w:hint="eastAsia" w:ascii="宋体" w:hAnsi="宋体"/>
          <w:color w:val="auto"/>
          <w:highlight w:val="none"/>
        </w:rPr>
        <w:t>项目合同（以下简称原合同），为加强双方阳光合作，保证职员职业安全，甲乙双方经协商签订本协议并作为双方共同遵守的阳光合作行为准则。</w:t>
      </w:r>
    </w:p>
    <w:p w14:paraId="0D7A5C92">
      <w:pPr>
        <w:pageBreakBefore w:val="0"/>
        <w:shd w:val="clear"/>
        <w:kinsoku w:val="0"/>
        <w:wordWrap w:val="0"/>
        <w:topLinePunct w:val="0"/>
        <w:bidi w:val="0"/>
        <w:spacing w:after="0" w:line="360" w:lineRule="auto"/>
        <w:ind w:firstLine="422" w:firstLineChars="200"/>
        <w:rPr>
          <w:rFonts w:hint="eastAsia" w:ascii="宋体" w:hAnsi="宋体" w:eastAsia="宋体"/>
          <w:b/>
          <w:bCs/>
          <w:color w:val="auto"/>
          <w:highlight w:val="none"/>
        </w:rPr>
      </w:pPr>
      <w:r>
        <w:rPr>
          <w:rFonts w:hint="eastAsia" w:ascii="宋体" w:hAnsi="宋体" w:eastAsia="宋体"/>
          <w:b/>
          <w:bCs/>
          <w:color w:val="auto"/>
          <w:highlight w:val="none"/>
        </w:rPr>
        <w:t>一、甲方责任</w:t>
      </w:r>
    </w:p>
    <w:p w14:paraId="5E93C374">
      <w:pPr>
        <w:pageBreakBefore w:val="0"/>
        <w:shd w:val="clear"/>
        <w:kinsoku w:val="0"/>
        <w:wordWrap w:val="0"/>
        <w:topLinePunct w:val="0"/>
        <w:bidi w:val="0"/>
        <w:spacing w:after="0"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1.甲方有责任向乙方介绍本单位有关采购管理通用原则和本协议的规定。</w:t>
      </w:r>
    </w:p>
    <w:p w14:paraId="348A3B99">
      <w:pPr>
        <w:pageBreakBefore w:val="0"/>
        <w:shd w:val="clear"/>
        <w:kinsoku w:val="0"/>
        <w:wordWrap w:val="0"/>
        <w:topLinePunct w:val="0"/>
        <w:bidi w:val="0"/>
        <w:spacing w:after="0"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2.甲方有责任对本单位相关人员进行阳光合作教育。</w:t>
      </w:r>
    </w:p>
    <w:p w14:paraId="7AEE860B">
      <w:pPr>
        <w:pageBreakBefore w:val="0"/>
        <w:shd w:val="clear"/>
        <w:kinsoku w:val="0"/>
        <w:wordWrap w:val="0"/>
        <w:topLinePunct w:val="0"/>
        <w:bidi w:val="0"/>
        <w:spacing w:after="0"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 xml:space="preserve">3.甲方人员应严格遵守本单位有关阳光合作管理的规定，不得接受乙方任何形式的回扣、实物、现金、有价证券、礼券等有价物品，不得参加乙方提供的旅游或其他可能影响职务行为公正履行的活动。 </w:t>
      </w:r>
    </w:p>
    <w:p w14:paraId="086679F0">
      <w:pPr>
        <w:pageBreakBefore w:val="0"/>
        <w:shd w:val="clear"/>
        <w:kinsoku w:val="0"/>
        <w:wordWrap w:val="0"/>
        <w:topLinePunct w:val="0"/>
        <w:bidi w:val="0"/>
        <w:spacing w:after="0"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4.甲方人员如违反阳光合作管理制度及本协议规定，甲方视情节轻重、影响大小给予行政及经济处罚。</w:t>
      </w:r>
    </w:p>
    <w:p w14:paraId="3B188831">
      <w:pPr>
        <w:pageBreakBefore w:val="0"/>
        <w:shd w:val="clear"/>
        <w:kinsoku w:val="0"/>
        <w:wordWrap w:val="0"/>
        <w:topLinePunct w:val="0"/>
        <w:bidi w:val="0"/>
        <w:spacing w:after="0"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5．对于乙方举报甲方人员违反阳光合作规定的情况，甲方应及时进行调查，根据调查情况进行处理，并将调查结果向乙方反馈。</w:t>
      </w:r>
    </w:p>
    <w:p w14:paraId="51EF8588">
      <w:pPr>
        <w:pageBreakBefore w:val="0"/>
        <w:shd w:val="clear"/>
        <w:kinsoku w:val="0"/>
        <w:wordWrap w:val="0"/>
        <w:topLinePunct w:val="0"/>
        <w:bidi w:val="0"/>
        <w:spacing w:after="0"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6.接受举报的一方应为举报方保密，不得对举报方进行报复，对举报属实和严格遵守《阳光合作协议》的合作方，在同等条件下给予后续合作的优先权。</w:t>
      </w:r>
    </w:p>
    <w:p w14:paraId="5F64D675">
      <w:pPr>
        <w:pageBreakBefore w:val="0"/>
        <w:shd w:val="clear"/>
        <w:kinsoku w:val="0"/>
        <w:wordWrap w:val="0"/>
        <w:topLinePunct w:val="0"/>
        <w:bidi w:val="0"/>
        <w:spacing w:after="0" w:line="360" w:lineRule="auto"/>
        <w:ind w:firstLine="422" w:firstLineChars="200"/>
        <w:rPr>
          <w:rFonts w:hint="eastAsia" w:ascii="宋体" w:hAnsi="宋体" w:eastAsia="宋体"/>
          <w:b/>
          <w:bCs/>
          <w:color w:val="auto"/>
          <w:highlight w:val="none"/>
        </w:rPr>
      </w:pPr>
      <w:r>
        <w:rPr>
          <w:rFonts w:hint="eastAsia" w:ascii="宋体" w:hAnsi="宋体" w:eastAsia="宋体"/>
          <w:b/>
          <w:bCs/>
          <w:color w:val="auto"/>
          <w:highlight w:val="none"/>
        </w:rPr>
        <w:t>二、乙方责任</w:t>
      </w:r>
    </w:p>
    <w:p w14:paraId="0308314E">
      <w:pPr>
        <w:pageBreakBefore w:val="0"/>
        <w:shd w:val="clear"/>
        <w:kinsoku w:val="0"/>
        <w:wordWrap w:val="0"/>
        <w:topLinePunct w:val="0"/>
        <w:bidi w:val="0"/>
        <w:spacing w:after="0"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1.乙方应保证乙方人员了解甲方有关采购管理通用原则和及本协议的规定，并遵照执行。</w:t>
      </w:r>
    </w:p>
    <w:p w14:paraId="21D5DD91">
      <w:pPr>
        <w:pageBreakBefore w:val="0"/>
        <w:shd w:val="clear"/>
        <w:kinsoku w:val="0"/>
        <w:wordWrap w:val="0"/>
        <w:topLinePunct w:val="0"/>
        <w:bidi w:val="0"/>
        <w:spacing w:after="0"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2.乙方不得以任何形式给予甲方人员回扣、赠送实物、现金、有价证券、礼券等有价物品或提供旅游等其他可能影响职务行为公正履行的活动（以下统称“财物”）。</w:t>
      </w:r>
    </w:p>
    <w:p w14:paraId="451885D1">
      <w:pPr>
        <w:pageBreakBefore w:val="0"/>
        <w:shd w:val="clear"/>
        <w:kinsoku w:val="0"/>
        <w:wordWrap w:val="0"/>
        <w:topLinePunct w:val="0"/>
        <w:bidi w:val="0"/>
        <w:spacing w:after="0"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3.乙方有责任接受甲方对乙方在合作期间阳光合作管理执行情况的监督，并对甲方相关调查工作主动配合。</w:t>
      </w:r>
    </w:p>
    <w:p w14:paraId="50BB4303">
      <w:pPr>
        <w:pageBreakBefore w:val="0"/>
        <w:shd w:val="clear"/>
        <w:kinsoku w:val="0"/>
        <w:wordWrap w:val="0"/>
        <w:topLinePunct w:val="0"/>
        <w:bidi w:val="0"/>
        <w:spacing w:after="0"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4.乙方有义务就甲方人员任何形式的索取或收受财物行为及时向甲方（直接联系人为东莞实业投资控股集团有限公司风控法务部）举报。如乙方或其人员向甲方人员给予财物，或甲方人员向乙方索取财物，乙方满足其要求并且未向甲方举报的，一经查实（包括但不限于被甲方核实属实，或者被司法机关或第三方核实属实的），甲方将在内部通报；乙方除应向甲方赔偿由此给甲方造成的损失外，乙方还应向甲方支付相当于原合同总价的10%的违约金，并对乙方知情不报人员进行相应处罚；连续出现2次及以上类似情况或者如因乙方在合作期间贿赂甲方人员，被司法机关立案查处核实属实的，甲方有权解除原合同，如甲方解除原合同的，则乙方应退还甲方所支付的所有款项并按原合同与本合同约定承担违约责任，且五年之内不得作为东实集团（东莞实业投资控股集团有限公司及下属子公司）合格供应商。</w:t>
      </w:r>
    </w:p>
    <w:p w14:paraId="5268E238">
      <w:pPr>
        <w:pageBreakBefore w:val="0"/>
        <w:shd w:val="clear"/>
        <w:kinsoku w:val="0"/>
        <w:wordWrap w:val="0"/>
        <w:topLinePunct w:val="0"/>
        <w:bidi w:val="0"/>
        <w:spacing w:after="0"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5．甲方接受乙方实名或匿名举报，保证为举报者的信息保密，常设举报部门及电话： 举报受理部门：东莞实业投资控股集团有限公司风控法务部</w:t>
      </w:r>
    </w:p>
    <w:p w14:paraId="34617FBF">
      <w:pPr>
        <w:pageBreakBefore w:val="0"/>
        <w:shd w:val="clear"/>
        <w:kinsoku w:val="0"/>
        <w:wordWrap w:val="0"/>
        <w:topLinePunct w:val="0"/>
        <w:bidi w:val="0"/>
        <w:spacing w:after="0"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东实集团举报邮箱：dgsyxf@163.com</w:t>
      </w:r>
    </w:p>
    <w:p w14:paraId="064F0879">
      <w:pPr>
        <w:pageBreakBefore w:val="0"/>
        <w:shd w:val="clear"/>
        <w:kinsoku w:val="0"/>
        <w:wordWrap w:val="0"/>
        <w:topLinePunct w:val="0"/>
        <w:bidi w:val="0"/>
        <w:spacing w:after="0"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东实集团举报电话：0769-28820703（周一至周五9:00-12:00和14:00-18:00）</w:t>
      </w:r>
    </w:p>
    <w:p w14:paraId="3DF479B8">
      <w:pPr>
        <w:pageBreakBefore w:val="0"/>
        <w:shd w:val="clear"/>
        <w:kinsoku w:val="0"/>
        <w:wordWrap w:val="0"/>
        <w:topLinePunct w:val="0"/>
        <w:bidi w:val="0"/>
        <w:spacing w:after="0"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邮寄地址：东莞市东城区八一路1号机关二号大院9号楼，东莞实业投资控股集团有限公司风控法务部收，邮编523000。</w:t>
      </w:r>
    </w:p>
    <w:p w14:paraId="3DB12CEE">
      <w:pPr>
        <w:pageBreakBefore w:val="0"/>
        <w:shd w:val="clear"/>
        <w:kinsoku w:val="0"/>
        <w:wordWrap w:val="0"/>
        <w:topLinePunct w:val="0"/>
        <w:bidi w:val="0"/>
        <w:spacing w:after="0" w:line="360" w:lineRule="auto"/>
        <w:ind w:firstLine="422" w:firstLineChars="200"/>
        <w:rPr>
          <w:rFonts w:hint="eastAsia" w:ascii="宋体" w:hAnsi="宋体" w:eastAsia="宋体"/>
          <w:b/>
          <w:bCs/>
          <w:color w:val="auto"/>
          <w:highlight w:val="none"/>
        </w:rPr>
      </w:pPr>
      <w:r>
        <w:rPr>
          <w:rFonts w:hint="eastAsia" w:ascii="宋体" w:hAnsi="宋体" w:eastAsia="宋体"/>
          <w:b/>
          <w:bCs/>
          <w:color w:val="auto"/>
          <w:highlight w:val="none"/>
        </w:rPr>
        <w:t>三、其他</w:t>
      </w:r>
    </w:p>
    <w:p w14:paraId="6EF6F8EA">
      <w:pPr>
        <w:pageBreakBefore w:val="0"/>
        <w:shd w:val="clear"/>
        <w:kinsoku w:val="0"/>
        <w:wordWrap w:val="0"/>
        <w:topLinePunct w:val="0"/>
        <w:bidi w:val="0"/>
        <w:spacing w:after="0"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1.本协议是原合同的补充协议，与原合同有同等法律效力。</w:t>
      </w:r>
    </w:p>
    <w:p w14:paraId="06F35362">
      <w:pPr>
        <w:pageBreakBefore w:val="0"/>
        <w:shd w:val="clear"/>
        <w:kinsoku w:val="0"/>
        <w:wordWrap w:val="0"/>
        <w:topLinePunct w:val="0"/>
        <w:bidi w:val="0"/>
        <w:spacing w:after="0"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2.本协议一式两份，甲方执一份，乙方执一份,具有同等法律效力。</w:t>
      </w:r>
    </w:p>
    <w:p w14:paraId="1ABAE54C">
      <w:pPr>
        <w:pageBreakBefore w:val="0"/>
        <w:shd w:val="clear"/>
        <w:kinsoku w:val="0"/>
        <w:wordWrap w:val="0"/>
        <w:topLinePunct w:val="0"/>
        <w:bidi w:val="0"/>
        <w:spacing w:after="0"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3.本协议经双方签署后生效。</w:t>
      </w:r>
    </w:p>
    <w:p w14:paraId="30F7B211">
      <w:pPr>
        <w:keepNext w:val="0"/>
        <w:keepLines w:val="0"/>
        <w:pageBreakBefore w:val="0"/>
        <w:widowControl w:val="0"/>
        <w:shd w:val="clear"/>
        <w:kinsoku/>
        <w:wordWrap/>
        <w:overflowPunct/>
        <w:topLinePunct w:val="0"/>
        <w:autoSpaceDE/>
        <w:autoSpaceDN/>
        <w:bidi w:val="0"/>
        <w:adjustRightInd/>
        <w:snapToGrid/>
        <w:spacing w:after="0" w:line="360" w:lineRule="auto"/>
        <w:ind w:firstLine="420" w:firstLineChars="200"/>
        <w:contextualSpacing/>
        <w:textAlignment w:val="auto"/>
        <w:rPr>
          <w:rFonts w:hint="eastAsia" w:ascii="宋体" w:hAnsi="宋体"/>
          <w:color w:val="auto"/>
          <w:highlight w:val="none"/>
        </w:rPr>
      </w:pPr>
    </w:p>
    <w:p w14:paraId="4BCAC596">
      <w:pPr>
        <w:keepNext w:val="0"/>
        <w:keepLines w:val="0"/>
        <w:pageBreakBefore w:val="0"/>
        <w:widowControl w:val="0"/>
        <w:shd w:val="clear"/>
        <w:kinsoku/>
        <w:wordWrap/>
        <w:overflowPunct/>
        <w:topLinePunct w:val="0"/>
        <w:autoSpaceDE/>
        <w:autoSpaceDN/>
        <w:bidi w:val="0"/>
        <w:adjustRightInd/>
        <w:snapToGrid/>
        <w:spacing w:after="0" w:line="360" w:lineRule="auto"/>
        <w:ind w:firstLine="420" w:firstLineChars="200"/>
        <w:contextualSpacing/>
        <w:textAlignment w:val="auto"/>
        <w:rPr>
          <w:rFonts w:ascii="宋体"/>
          <w:color w:val="auto"/>
          <w:highlight w:val="none"/>
        </w:rPr>
      </w:pPr>
      <w:r>
        <w:rPr>
          <w:rFonts w:hint="eastAsia" w:ascii="宋体" w:hAnsi="宋体"/>
          <w:color w:val="auto"/>
          <w:highlight w:val="none"/>
        </w:rPr>
        <w:t>甲方</w:t>
      </w:r>
      <w:r>
        <w:rPr>
          <w:rFonts w:hint="eastAsia" w:ascii="宋体" w:hAnsi="宋体"/>
          <w:color w:val="auto"/>
          <w:highlight w:val="none"/>
          <w:lang w:val="en-US" w:eastAsia="zh-CN"/>
        </w:rPr>
        <w:t>1</w:t>
      </w:r>
      <w:r>
        <w:rPr>
          <w:rFonts w:hint="eastAsia" w:ascii="宋体" w:hAnsi="宋体"/>
          <w:color w:val="auto"/>
          <w:highlight w:val="none"/>
        </w:rPr>
        <w:t xml:space="preserve">（盖章）：                      </w:t>
      </w:r>
      <w:r>
        <w:rPr>
          <w:rFonts w:hint="eastAsia" w:ascii="宋体" w:hAnsi="宋体"/>
          <w:color w:val="auto"/>
          <w:highlight w:val="none"/>
          <w:lang w:val="en-US" w:eastAsia="zh-CN"/>
        </w:rPr>
        <w:t xml:space="preserve"> 甲方2</w:t>
      </w:r>
      <w:r>
        <w:rPr>
          <w:rFonts w:hint="eastAsia" w:ascii="宋体" w:hAnsi="宋体"/>
          <w:color w:val="auto"/>
          <w:highlight w:val="none"/>
        </w:rPr>
        <w:t>（盖章）：</w:t>
      </w:r>
      <w:r>
        <w:rPr>
          <w:rFonts w:ascii="宋体"/>
          <w:color w:val="auto"/>
          <w:highlight w:val="none"/>
        </w:rPr>
        <w:t xml:space="preserve"> </w:t>
      </w:r>
    </w:p>
    <w:p w14:paraId="36E2189C">
      <w:pPr>
        <w:keepNext w:val="0"/>
        <w:keepLines w:val="0"/>
        <w:pageBreakBefore w:val="0"/>
        <w:widowControl w:val="0"/>
        <w:shd w:val="clear"/>
        <w:kinsoku/>
        <w:wordWrap/>
        <w:overflowPunct/>
        <w:topLinePunct w:val="0"/>
        <w:autoSpaceDE/>
        <w:autoSpaceDN/>
        <w:bidi w:val="0"/>
        <w:adjustRightInd/>
        <w:snapToGrid/>
        <w:spacing w:after="0" w:line="360" w:lineRule="auto"/>
        <w:ind w:firstLine="420" w:firstLineChars="200"/>
        <w:contextualSpacing/>
        <w:textAlignment w:val="auto"/>
        <w:rPr>
          <w:rFonts w:ascii="宋体"/>
          <w:color w:val="auto"/>
          <w:highlight w:val="none"/>
        </w:rPr>
      </w:pPr>
      <w:r>
        <w:rPr>
          <w:rFonts w:hint="eastAsia" w:ascii="宋体" w:hAnsi="宋体"/>
          <w:color w:val="auto"/>
          <w:highlight w:val="none"/>
        </w:rPr>
        <w:t>法定代表人（授权代表）：</w:t>
      </w:r>
      <w:r>
        <w:rPr>
          <w:rFonts w:hint="eastAsia" w:ascii="宋体"/>
          <w:color w:val="auto"/>
          <w:highlight w:val="none"/>
        </w:rPr>
        <w:tab/>
      </w:r>
      <w:r>
        <w:rPr>
          <w:rFonts w:hint="eastAsia" w:ascii="宋体"/>
          <w:color w:val="auto"/>
          <w:highlight w:val="none"/>
        </w:rPr>
        <w:tab/>
      </w:r>
      <w:r>
        <w:rPr>
          <w:rFonts w:hint="eastAsia" w:ascii="宋体" w:hAnsi="宋体"/>
          <w:color w:val="auto"/>
          <w:highlight w:val="none"/>
        </w:rPr>
        <w:t>法定代表人（授权代表）：</w:t>
      </w:r>
    </w:p>
    <w:p w14:paraId="475D3946">
      <w:pPr>
        <w:pStyle w:val="31"/>
        <w:keepNext w:val="0"/>
        <w:keepLines w:val="0"/>
        <w:pageBreakBefore w:val="0"/>
        <w:widowControl w:val="0"/>
        <w:shd w:val="clear"/>
        <w:kinsoku/>
        <w:wordWrap/>
        <w:overflowPunct/>
        <w:topLinePunct w:val="0"/>
        <w:autoSpaceDE/>
        <w:autoSpaceDN/>
        <w:bidi w:val="0"/>
        <w:adjustRightInd/>
        <w:snapToGrid/>
        <w:spacing w:after="0" w:line="360" w:lineRule="auto"/>
        <w:textAlignment w:val="auto"/>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 xml:space="preserve">签约日期：2026年  月  日   </w:t>
      </w:r>
      <w:r>
        <w:rPr>
          <w:rFonts w:hint="eastAsia" w:ascii="宋体" w:hAnsi="宋体" w:cs="宋体"/>
          <w:b w:val="0"/>
          <w:bCs w:val="0"/>
          <w:color w:val="auto"/>
          <w:sz w:val="21"/>
          <w:szCs w:val="21"/>
          <w:highlight w:val="none"/>
        </w:rPr>
        <w:tab/>
      </w:r>
      <w:r>
        <w:rPr>
          <w:rFonts w:hint="eastAsia" w:ascii="宋体" w:hAnsi="宋体" w:cs="宋体"/>
          <w:b w:val="0"/>
          <w:bCs w:val="0"/>
          <w:color w:val="auto"/>
          <w:sz w:val="21"/>
          <w:szCs w:val="21"/>
          <w:highlight w:val="none"/>
        </w:rPr>
        <w:t xml:space="preserve">       签约日期：2026年  月  日</w:t>
      </w:r>
    </w:p>
    <w:p w14:paraId="33E2D360">
      <w:pPr>
        <w:keepNext w:val="0"/>
        <w:keepLines w:val="0"/>
        <w:pageBreakBefore w:val="0"/>
        <w:widowControl w:val="0"/>
        <w:shd w:val="clear"/>
        <w:kinsoku/>
        <w:wordWrap/>
        <w:overflowPunct/>
        <w:topLinePunct w:val="0"/>
        <w:autoSpaceDE/>
        <w:autoSpaceDN/>
        <w:bidi w:val="0"/>
        <w:adjustRightInd/>
        <w:snapToGrid/>
        <w:spacing w:after="0" w:line="360" w:lineRule="auto"/>
        <w:ind w:firstLine="420" w:firstLineChars="200"/>
        <w:contextualSpacing/>
        <w:textAlignment w:val="auto"/>
        <w:rPr>
          <w:rFonts w:hint="eastAsia" w:ascii="宋体" w:hAnsi="宋体"/>
          <w:color w:val="auto"/>
          <w:highlight w:val="none"/>
        </w:rPr>
      </w:pPr>
    </w:p>
    <w:p w14:paraId="14A8D8F2">
      <w:pPr>
        <w:keepNext w:val="0"/>
        <w:keepLines w:val="0"/>
        <w:pageBreakBefore w:val="0"/>
        <w:widowControl w:val="0"/>
        <w:shd w:val="clear"/>
        <w:kinsoku/>
        <w:wordWrap/>
        <w:overflowPunct/>
        <w:topLinePunct w:val="0"/>
        <w:autoSpaceDE/>
        <w:autoSpaceDN/>
        <w:bidi w:val="0"/>
        <w:adjustRightInd/>
        <w:snapToGrid/>
        <w:spacing w:after="0" w:line="360" w:lineRule="auto"/>
        <w:ind w:firstLine="420" w:firstLineChars="200"/>
        <w:contextualSpacing/>
        <w:textAlignment w:val="auto"/>
        <w:rPr>
          <w:rFonts w:hint="eastAsia" w:ascii="宋体" w:hAnsi="宋体"/>
          <w:color w:val="auto"/>
          <w:highlight w:val="none"/>
        </w:rPr>
      </w:pPr>
    </w:p>
    <w:p w14:paraId="05A1C742">
      <w:pPr>
        <w:keepNext w:val="0"/>
        <w:keepLines w:val="0"/>
        <w:pageBreakBefore w:val="0"/>
        <w:widowControl w:val="0"/>
        <w:shd w:val="clear"/>
        <w:kinsoku/>
        <w:wordWrap/>
        <w:overflowPunct/>
        <w:topLinePunct w:val="0"/>
        <w:autoSpaceDE/>
        <w:autoSpaceDN/>
        <w:bidi w:val="0"/>
        <w:adjustRightInd/>
        <w:snapToGrid/>
        <w:spacing w:after="0" w:line="360" w:lineRule="auto"/>
        <w:ind w:firstLine="420" w:firstLineChars="200"/>
        <w:contextualSpacing/>
        <w:textAlignment w:val="auto"/>
        <w:rPr>
          <w:rFonts w:ascii="宋体"/>
          <w:color w:val="auto"/>
          <w:highlight w:val="none"/>
        </w:rPr>
      </w:pPr>
      <w:r>
        <w:rPr>
          <w:rFonts w:hint="eastAsia" w:ascii="宋体" w:hAnsi="宋体"/>
          <w:color w:val="auto"/>
          <w:highlight w:val="none"/>
        </w:rPr>
        <w:t>乙方（盖章）：</w:t>
      </w:r>
      <w:r>
        <w:rPr>
          <w:rFonts w:ascii="宋体"/>
          <w:color w:val="auto"/>
          <w:highlight w:val="none"/>
        </w:rPr>
        <w:t xml:space="preserve"> </w:t>
      </w:r>
    </w:p>
    <w:p w14:paraId="1183E68C">
      <w:pPr>
        <w:keepNext w:val="0"/>
        <w:keepLines w:val="0"/>
        <w:pageBreakBefore w:val="0"/>
        <w:widowControl w:val="0"/>
        <w:shd w:val="clear"/>
        <w:kinsoku/>
        <w:wordWrap/>
        <w:overflowPunct/>
        <w:topLinePunct w:val="0"/>
        <w:autoSpaceDE/>
        <w:autoSpaceDN/>
        <w:bidi w:val="0"/>
        <w:adjustRightInd/>
        <w:snapToGrid/>
        <w:spacing w:after="0" w:line="360" w:lineRule="auto"/>
        <w:ind w:firstLine="420" w:firstLineChars="200"/>
        <w:contextualSpacing/>
        <w:textAlignment w:val="auto"/>
        <w:rPr>
          <w:rFonts w:ascii="宋体"/>
          <w:color w:val="auto"/>
          <w:highlight w:val="none"/>
        </w:rPr>
      </w:pPr>
      <w:r>
        <w:rPr>
          <w:rFonts w:hint="eastAsia" w:ascii="宋体" w:hAnsi="宋体"/>
          <w:color w:val="auto"/>
          <w:highlight w:val="none"/>
        </w:rPr>
        <w:t>法定代表人（授权代表）：</w:t>
      </w:r>
    </w:p>
    <w:p w14:paraId="2943C2F3">
      <w:pPr>
        <w:pStyle w:val="31"/>
        <w:keepNext w:val="0"/>
        <w:keepLines w:val="0"/>
        <w:pageBreakBefore w:val="0"/>
        <w:widowControl w:val="0"/>
        <w:shd w:val="clear"/>
        <w:kinsoku/>
        <w:wordWrap/>
        <w:overflowPunct/>
        <w:topLinePunct w:val="0"/>
        <w:autoSpaceDE/>
        <w:autoSpaceDN/>
        <w:bidi w:val="0"/>
        <w:adjustRightInd/>
        <w:snapToGrid/>
        <w:spacing w:after="0" w:line="360" w:lineRule="auto"/>
        <w:textAlignment w:val="auto"/>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签约日期：2026年  月  日</w:t>
      </w:r>
    </w:p>
    <w:p w14:paraId="2892F0C5">
      <w:pPr>
        <w:shd w:val="clea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br w:type="page"/>
      </w:r>
    </w:p>
    <w:p w14:paraId="02B0BCF8">
      <w:pPr>
        <w:pStyle w:val="10"/>
        <w:pageBreakBefore w:val="0"/>
        <w:shd w:val="clear"/>
        <w:topLinePunct w:val="0"/>
        <w:bidi w:val="0"/>
        <w:spacing w:before="0" w:after="0" w:line="360" w:lineRule="auto"/>
        <w:ind w:left="0"/>
        <w:jc w:val="center"/>
        <w:rPr>
          <w:rFonts w:hint="eastAsia"/>
          <w:b/>
          <w:bCs/>
          <w:color w:val="auto"/>
          <w:highlight w:val="none"/>
          <w:lang w:val="en-US"/>
        </w:rPr>
      </w:pPr>
      <w:r>
        <w:rPr>
          <w:rFonts w:hint="eastAsia"/>
          <w:b/>
          <w:bCs/>
          <w:color w:val="auto"/>
          <w:highlight w:val="none"/>
          <w:lang w:val="en-US"/>
        </w:rPr>
        <w:t>（以下适用包B）</w:t>
      </w:r>
    </w:p>
    <w:p w14:paraId="17104684">
      <w:pPr>
        <w:pStyle w:val="5"/>
        <w:pageBreakBefore w:val="0"/>
        <w:shd w:val="clear"/>
        <w:topLinePunct w:val="0"/>
        <w:bidi w:val="0"/>
        <w:spacing w:before="0" w:after="0" w:line="360" w:lineRule="auto"/>
        <w:jc w:val="center"/>
        <w:rPr>
          <w:rFonts w:hint="eastAsia" w:ascii="宋体" w:hAnsi="宋体" w:cs="宋体"/>
          <w:color w:val="auto"/>
          <w:highlight w:val="none"/>
        </w:rPr>
      </w:pPr>
      <w:bookmarkStart w:id="204" w:name="_Toc220"/>
      <w:bookmarkStart w:id="205" w:name="_Toc26998"/>
      <w:r>
        <w:rPr>
          <w:rFonts w:hint="eastAsia" w:ascii="宋体" w:hAnsi="宋体" w:cs="宋体"/>
          <w:color w:val="auto"/>
          <w:highlight w:val="none"/>
        </w:rPr>
        <w:t>合同格式</w:t>
      </w:r>
      <w:bookmarkEnd w:id="204"/>
    </w:p>
    <w:p w14:paraId="6FE1C1DF">
      <w:pPr>
        <w:pageBreakBefore w:val="0"/>
        <w:shd w:val="clear"/>
        <w:topLinePunct w:val="0"/>
        <w:bidi w:val="0"/>
        <w:spacing w:after="0" w:line="360" w:lineRule="auto"/>
        <w:ind w:right="560"/>
        <w:rPr>
          <w:rFonts w:hint="eastAsia" w:ascii="宋体" w:hAnsi="宋体" w:cs="宋体"/>
          <w:color w:val="auto"/>
          <w:szCs w:val="21"/>
          <w:highlight w:val="none"/>
        </w:rPr>
      </w:pPr>
      <w:r>
        <w:rPr>
          <w:rFonts w:hint="eastAsia" w:ascii="宋体" w:hAnsi="宋体" w:cs="宋体"/>
          <w:color w:val="auto"/>
          <w:szCs w:val="21"/>
          <w:highlight w:val="none"/>
        </w:rPr>
        <w:t>合同编号：</w:t>
      </w:r>
    </w:p>
    <w:p w14:paraId="5AC8D06C">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甲方</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w:t>
      </w:r>
    </w:p>
    <w:p w14:paraId="5B90C7CB">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甲方</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w:t>
      </w:r>
    </w:p>
    <w:p w14:paraId="511E64BA">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乙方：“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”为中标单位</w:t>
      </w:r>
    </w:p>
    <w:p w14:paraId="63ED4B02">
      <w:pPr>
        <w:pageBreakBefore w:val="0"/>
        <w:shd w:val="clear"/>
        <w:topLinePunct w:val="0"/>
        <w:bidi w:val="0"/>
        <w:adjustRightInd/>
        <w:snapToGrid/>
        <w:spacing w:after="0" w:line="360" w:lineRule="auto"/>
        <w:ind w:firstLine="420" w:firstLineChars="200"/>
        <w:rPr>
          <w:rFonts w:hint="eastAsia" w:ascii="宋体" w:hAnsi="宋体" w:cs="宋体"/>
          <w:color w:val="auto"/>
          <w:szCs w:val="21"/>
          <w:highlight w:val="none"/>
        </w:rPr>
      </w:pPr>
    </w:p>
    <w:p w14:paraId="68FDD781">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受甲方委托，</w:t>
      </w:r>
      <w:r>
        <w:rPr>
          <w:rFonts w:hint="eastAsia" w:ascii="宋体" w:hAnsi="宋体" w:cs="宋体"/>
          <w:color w:val="auto"/>
          <w:szCs w:val="21"/>
          <w:highlight w:val="none"/>
          <w:u w:val="single"/>
        </w:rPr>
        <w:t xml:space="preserve">           (招标代理机构)</w:t>
      </w:r>
      <w:r>
        <w:rPr>
          <w:rFonts w:hint="eastAsia" w:ascii="宋体" w:hAnsi="宋体" w:cs="宋体"/>
          <w:color w:val="auto"/>
          <w:szCs w:val="21"/>
          <w:highlight w:val="none"/>
        </w:rPr>
        <w:t>组织对</w:t>
      </w:r>
      <w:r>
        <w:rPr>
          <w:rFonts w:hint="eastAsia" w:ascii="宋体" w:hAnsi="宋体" w:cs="宋体"/>
          <w:color w:val="auto"/>
          <w:szCs w:val="21"/>
          <w:highlight w:val="none"/>
          <w:u w:val="single"/>
        </w:rPr>
        <w:t xml:space="preserve">         （项目名称）</w:t>
      </w:r>
      <w:r>
        <w:rPr>
          <w:rFonts w:hint="eastAsia" w:ascii="宋体" w:hAnsi="宋体" w:cs="宋体"/>
          <w:color w:val="auto"/>
          <w:szCs w:val="21"/>
          <w:highlight w:val="none"/>
        </w:rPr>
        <w:t>项目（招标项目编号为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）进行招标，于</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日通过公开招标，经评标委员会评定乙方</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为中标单位。为了保护甲、乙双方合法权益，根据《中华人民共和国</w:t>
      </w:r>
      <w:r>
        <w:rPr>
          <w:rFonts w:hint="eastAsia" w:ascii="宋体" w:hAnsi="宋体" w:cs="宋体"/>
          <w:color w:val="auto"/>
          <w:highlight w:val="none"/>
        </w:rPr>
        <w:t>民法典</w:t>
      </w:r>
      <w:r>
        <w:rPr>
          <w:rFonts w:hint="eastAsia" w:ascii="宋体" w:hAnsi="宋体" w:cs="宋体"/>
          <w:color w:val="auto"/>
          <w:szCs w:val="21"/>
          <w:highlight w:val="none"/>
        </w:rPr>
        <w:t>》等相关法律，在平等自愿的基础上，按照下面的条款和条件，签署本合同。</w:t>
      </w:r>
    </w:p>
    <w:p w14:paraId="4C6E0BCD">
      <w:pPr>
        <w:pageBreakBefore w:val="0"/>
        <w:shd w:val="clear"/>
        <w:kinsoku w:val="0"/>
        <w:wordWrap w:val="0"/>
        <w:topLinePunct w:val="0"/>
        <w:bidi w:val="0"/>
        <w:spacing w:after="0" w:line="360" w:lineRule="auto"/>
        <w:rPr>
          <w:rFonts w:hint="eastAsia" w:ascii="宋体" w:hAnsi="宋体" w:cs="宋体"/>
          <w:b/>
          <w:color w:val="auto"/>
          <w:szCs w:val="21"/>
          <w:highlight w:val="none"/>
        </w:rPr>
      </w:pPr>
      <w:r>
        <w:rPr>
          <w:rFonts w:hint="eastAsia" w:ascii="宋体" w:hAnsi="宋体" w:cs="宋体"/>
          <w:b/>
          <w:color w:val="auto"/>
          <w:szCs w:val="21"/>
          <w:highlight w:val="none"/>
        </w:rPr>
        <w:t>第一条 合同项目</w:t>
      </w:r>
    </w:p>
    <w:p w14:paraId="2841C56A">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1、项目名称：                        ；</w:t>
      </w:r>
    </w:p>
    <w:p w14:paraId="6BEA9BA3">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2、招标项目编号：                   。</w:t>
      </w:r>
    </w:p>
    <w:p w14:paraId="2FDCB8BB">
      <w:pPr>
        <w:pageBreakBefore w:val="0"/>
        <w:shd w:val="clear"/>
        <w:kinsoku w:val="0"/>
        <w:wordWrap w:val="0"/>
        <w:topLinePunct w:val="0"/>
        <w:bidi w:val="0"/>
        <w:spacing w:after="0" w:line="360" w:lineRule="auto"/>
        <w:rPr>
          <w:rFonts w:hint="eastAsia" w:ascii="宋体" w:hAnsi="宋体" w:cs="宋体"/>
          <w:b/>
          <w:color w:val="auto"/>
          <w:szCs w:val="21"/>
          <w:highlight w:val="none"/>
        </w:rPr>
      </w:pPr>
      <w:r>
        <w:rPr>
          <w:rFonts w:hint="eastAsia" w:ascii="宋体" w:hAnsi="宋体" w:cs="宋体"/>
          <w:b/>
          <w:color w:val="auto"/>
          <w:szCs w:val="21"/>
          <w:highlight w:val="none"/>
        </w:rPr>
        <w:t>第二条 合同组成</w:t>
      </w:r>
    </w:p>
    <w:p w14:paraId="2FB771D6">
      <w:pPr>
        <w:pageBreakBefore w:val="0"/>
        <w:shd w:val="clear"/>
        <w:kinsoku w:val="0"/>
        <w:wordWrap w:val="0"/>
        <w:topLinePunct w:val="0"/>
        <w:bidi w:val="0"/>
        <w:spacing w:after="0"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1、合同文件组成内容包括：本合同书、招标文件（含招标文件澄清通知）、中标通知书、投标</w:t>
      </w:r>
      <w:r>
        <w:rPr>
          <w:rFonts w:hint="eastAsia" w:ascii="宋体" w:hAnsi="宋体" w:cs="宋体"/>
          <w:color w:val="auto"/>
          <w:szCs w:val="21"/>
          <w:highlight w:val="none"/>
        </w:rPr>
        <w:t>文件</w:t>
      </w:r>
      <w:r>
        <w:rPr>
          <w:rFonts w:hint="eastAsia" w:ascii="宋体" w:hAnsi="宋体" w:cs="宋体"/>
          <w:color w:val="auto"/>
          <w:highlight w:val="none"/>
        </w:rPr>
        <w:t>（含澄清内容）等。</w:t>
      </w:r>
    </w:p>
    <w:p w14:paraId="6225A987">
      <w:pPr>
        <w:pageBreakBefore w:val="0"/>
        <w:shd w:val="clear"/>
        <w:kinsoku w:val="0"/>
        <w:wordWrap w:val="0"/>
        <w:topLinePunct w:val="0"/>
        <w:bidi w:val="0"/>
        <w:spacing w:after="0"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2、当合同文件内容出现含糊不清或不相一致时，应在不影响业务正常进行的情况下，由甲方和</w:t>
      </w:r>
      <w:r>
        <w:rPr>
          <w:rFonts w:hint="eastAsia" w:ascii="宋体" w:hAnsi="宋体" w:cs="宋体"/>
          <w:color w:val="auto"/>
          <w:szCs w:val="21"/>
          <w:highlight w:val="none"/>
        </w:rPr>
        <w:t>乙方</w:t>
      </w:r>
      <w:r>
        <w:rPr>
          <w:rFonts w:hint="eastAsia" w:ascii="宋体" w:hAnsi="宋体" w:cs="宋体"/>
          <w:color w:val="auto"/>
          <w:highlight w:val="none"/>
        </w:rPr>
        <w:t>协商解决。</w:t>
      </w:r>
      <w:r>
        <w:rPr>
          <w:rFonts w:hint="eastAsia" w:ascii="宋体" w:hAnsi="宋体" w:cs="宋体"/>
          <w:color w:val="auto"/>
          <w:szCs w:val="21"/>
          <w:highlight w:val="none"/>
        </w:rPr>
        <w:t>双方</w:t>
      </w:r>
      <w:r>
        <w:rPr>
          <w:rFonts w:hint="eastAsia" w:ascii="宋体" w:hAnsi="宋体" w:cs="宋体"/>
          <w:color w:val="auto"/>
          <w:highlight w:val="none"/>
        </w:rPr>
        <w:t>协商不成时，按本合同第九条关于争议的约定处理。</w:t>
      </w:r>
    </w:p>
    <w:p w14:paraId="01D6B67B">
      <w:pPr>
        <w:pageBreakBefore w:val="0"/>
        <w:shd w:val="clear"/>
        <w:kinsoku w:val="0"/>
        <w:wordWrap w:val="0"/>
        <w:topLinePunct w:val="0"/>
        <w:bidi w:val="0"/>
        <w:spacing w:after="0" w:line="360" w:lineRule="auto"/>
        <w:rPr>
          <w:rFonts w:hint="eastAsia" w:ascii="宋体" w:hAnsi="宋体" w:cs="宋体"/>
          <w:b/>
          <w:color w:val="auto"/>
          <w:szCs w:val="21"/>
          <w:highlight w:val="none"/>
        </w:rPr>
      </w:pPr>
      <w:r>
        <w:rPr>
          <w:rFonts w:hint="eastAsia" w:ascii="宋体" w:hAnsi="宋体" w:cs="宋体"/>
          <w:b/>
          <w:color w:val="auto"/>
          <w:szCs w:val="21"/>
          <w:highlight w:val="none"/>
        </w:rPr>
        <w:t>第三条 服务内容、标准及要求：</w:t>
      </w:r>
      <w:r>
        <w:rPr>
          <w:rFonts w:hint="eastAsia" w:ascii="宋体" w:hAnsi="宋体" w:cs="宋体"/>
          <w:color w:val="auto"/>
          <w:sz w:val="22"/>
          <w:highlight w:val="none"/>
        </w:rPr>
        <w:t>（按用户需求书要求，详见附件）</w:t>
      </w:r>
    </w:p>
    <w:p w14:paraId="2C1C36C4">
      <w:pPr>
        <w:pageBreakBefore w:val="0"/>
        <w:shd w:val="clear"/>
        <w:kinsoku w:val="0"/>
        <w:wordWrap w:val="0"/>
        <w:topLinePunct w:val="0"/>
        <w:bidi w:val="0"/>
        <w:spacing w:after="0" w:line="360" w:lineRule="auto"/>
        <w:rPr>
          <w:rFonts w:hint="eastAsia" w:ascii="宋体" w:hAnsi="宋体" w:cs="宋体"/>
          <w:b/>
          <w:color w:val="auto"/>
          <w:szCs w:val="21"/>
          <w:highlight w:val="none"/>
        </w:rPr>
      </w:pPr>
      <w:r>
        <w:rPr>
          <w:rFonts w:hint="eastAsia" w:ascii="宋体" w:hAnsi="宋体" w:cs="宋体"/>
          <w:b/>
          <w:color w:val="auto"/>
          <w:szCs w:val="21"/>
          <w:highlight w:val="none"/>
        </w:rPr>
        <w:t>第四条 价格</w:t>
      </w:r>
    </w:p>
    <w:p w14:paraId="2FA3CB68">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shd w:val="clear" w:color="auto" w:fill="FFFFFF"/>
        </w:rPr>
      </w:pPr>
      <w:r>
        <w:rPr>
          <w:rFonts w:hint="eastAsia" w:ascii="宋体" w:hAnsi="宋体" w:cs="宋体"/>
          <w:color w:val="auto"/>
          <w:szCs w:val="21"/>
          <w:highlight w:val="none"/>
          <w:shd w:val="clear" w:color="auto" w:fill="FFFFFF"/>
        </w:rPr>
        <w:t>1、合同</w:t>
      </w:r>
      <w:r>
        <w:rPr>
          <w:rFonts w:hint="eastAsia" w:ascii="宋体" w:hAnsi="宋体" w:cs="宋体"/>
          <w:color w:val="auto"/>
          <w:highlight w:val="none"/>
          <w:lang w:val="en-US" w:eastAsia="zh-CN"/>
        </w:rPr>
        <w:t>含税单</w:t>
      </w:r>
      <w:r>
        <w:rPr>
          <w:rFonts w:hint="eastAsia" w:ascii="宋体" w:hAnsi="宋体" w:cs="宋体"/>
          <w:color w:val="auto"/>
          <w:highlight w:val="none"/>
        </w:rPr>
        <w:t>价</w:t>
      </w:r>
      <w:r>
        <w:rPr>
          <w:rFonts w:hint="eastAsia" w:ascii="宋体" w:hAnsi="宋体" w:cs="宋体"/>
          <w:color w:val="auto"/>
          <w:szCs w:val="21"/>
          <w:highlight w:val="none"/>
          <w:shd w:val="clear" w:color="auto" w:fill="FFFFFF"/>
        </w:rPr>
        <w:t>包含：</w:t>
      </w:r>
      <w:r>
        <w:rPr>
          <w:rFonts w:hint="eastAsia" w:ascii="宋体" w:hAnsi="宋体" w:cs="宋体"/>
          <w:color w:val="auto"/>
          <w:szCs w:val="21"/>
          <w:highlight w:val="none"/>
        </w:rPr>
        <w:t>购货成本、包装配送运输、保险、装卸、退换、雇员费用、损耗费、样品费、包装费、检验检测费、质保期售后服务、全额含税发票、合同实施过程中的应预见和不可预见费用等</w:t>
      </w:r>
      <w:r>
        <w:rPr>
          <w:rFonts w:hint="eastAsia" w:ascii="宋体" w:hAnsi="宋体" w:cs="宋体"/>
          <w:color w:val="auto"/>
          <w:szCs w:val="21"/>
          <w:highlight w:val="none"/>
          <w:shd w:val="clear" w:color="auto" w:fill="FFFFFF"/>
        </w:rPr>
        <w:t>，客用食材配送的每天供货种类和供货量由采购人指定，按实际送货种类和验收合格数量据实结算。</w:t>
      </w:r>
    </w:p>
    <w:p w14:paraId="423575FC">
      <w:pPr>
        <w:pageBreakBefore w:val="0"/>
        <w:shd w:val="clear"/>
        <w:topLinePunct w:val="0"/>
        <w:bidi w:val="0"/>
        <w:spacing w:after="0" w:line="360" w:lineRule="auto"/>
        <w:ind w:firstLine="422" w:firstLineChars="200"/>
        <w:rPr>
          <w:rFonts w:hint="eastAsia" w:ascii="宋体" w:hAnsi="宋体" w:cs="宋体"/>
          <w:color w:val="auto"/>
          <w:highlight w:val="none"/>
        </w:rPr>
      </w:pPr>
      <w:r>
        <w:rPr>
          <w:rFonts w:hint="eastAsia" w:ascii="宋体" w:hAnsi="宋体" w:cs="宋体"/>
          <w:b/>
          <w:bCs/>
          <w:color w:val="auto"/>
          <w:highlight w:val="none"/>
        </w:rPr>
        <w:t>2、物资明细表（详见附件）</w:t>
      </w:r>
    </w:p>
    <w:p w14:paraId="1E33E548">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注：①</w:t>
      </w:r>
      <w:r>
        <w:rPr>
          <w:rFonts w:hint="eastAsia" w:asciiTheme="minorEastAsia" w:hAnsiTheme="minorEastAsia" w:eastAsiaTheme="minorEastAsia"/>
          <w:color w:val="auto"/>
          <w:szCs w:val="21"/>
          <w:highlight w:val="none"/>
        </w:rPr>
        <w:t>结算时统一采用以下方式计算费用：当月含税结算总价 = 当月适用的不含税结算单价 × (1 + 增值税</w:t>
      </w:r>
      <w:r>
        <w:rPr>
          <w:rFonts w:hint="eastAsia" w:asciiTheme="minorEastAsia" w:hAnsiTheme="minorEastAsia" w:eastAsiaTheme="minorEastAsia"/>
          <w:color w:val="auto"/>
          <w:szCs w:val="21"/>
          <w:highlight w:val="none"/>
          <w:lang w:val="en-US" w:eastAsia="zh-CN"/>
        </w:rPr>
        <w:t>专票</w:t>
      </w:r>
      <w:r>
        <w:rPr>
          <w:rFonts w:hint="eastAsia" w:asciiTheme="minorEastAsia" w:hAnsiTheme="minorEastAsia" w:eastAsiaTheme="minorEastAsia"/>
          <w:color w:val="auto"/>
          <w:szCs w:val="21"/>
          <w:highlight w:val="none"/>
        </w:rPr>
        <w:t>税率) × 当月实际验收合格数量</w:t>
      </w:r>
    </w:p>
    <w:p w14:paraId="055E890F">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Theme="minorEastAsia" w:hAnsiTheme="minorEastAsia" w:eastAsiaTheme="minorEastAsia"/>
          <w:color w:val="auto"/>
          <w:szCs w:val="21"/>
          <w:highlight w:val="none"/>
        </w:rPr>
        <w:t>②</w:t>
      </w:r>
      <w:r>
        <w:rPr>
          <w:rFonts w:hint="eastAsia" w:ascii="宋体" w:hAnsi="宋体" w:cs="宋体"/>
          <w:color w:val="auto"/>
          <w:szCs w:val="21"/>
          <w:highlight w:val="none"/>
        </w:rPr>
        <w:t>甲方需求品种包含但不限于明细表中所列的品种；未列入物资明细表内又需要购买的货品，其单价由甲方及乙方双方以定价原则确定供货价格。</w:t>
      </w:r>
    </w:p>
    <w:p w14:paraId="2720D7F4">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3、本合同约定增值税</w:t>
      </w:r>
      <w:r>
        <w:rPr>
          <w:rFonts w:hint="eastAsia" w:ascii="宋体" w:hAnsi="宋体" w:cs="宋体"/>
          <w:color w:val="auto"/>
          <w:szCs w:val="21"/>
          <w:highlight w:val="none"/>
          <w:lang w:val="en-US" w:eastAsia="zh-CN"/>
        </w:rPr>
        <w:t>专票</w:t>
      </w:r>
      <w:r>
        <w:rPr>
          <w:rFonts w:hint="eastAsia" w:ascii="宋体" w:hAnsi="宋体" w:cs="宋体"/>
          <w:color w:val="auto"/>
          <w:szCs w:val="21"/>
          <w:highlight w:val="none"/>
        </w:rPr>
        <w:t>税率：为 %（即乙方在中标时申报并承诺可开具的增值税专用发票税率）。此税率在合同期内固定，除非国家税收法律强制调整。</w:t>
      </w:r>
    </w:p>
    <w:p w14:paraId="78F499A3">
      <w:pPr>
        <w:pageBreakBefore w:val="0"/>
        <w:shd w:val="clear"/>
        <w:kinsoku w:val="0"/>
        <w:wordWrap w:val="0"/>
        <w:topLinePunct w:val="0"/>
        <w:bidi w:val="0"/>
        <w:spacing w:after="0" w:line="360" w:lineRule="auto"/>
        <w:rPr>
          <w:rFonts w:hint="eastAsia" w:ascii="宋体" w:hAnsi="宋体" w:cs="宋体"/>
          <w:b/>
          <w:color w:val="auto"/>
          <w:szCs w:val="21"/>
          <w:highlight w:val="none"/>
        </w:rPr>
      </w:pPr>
      <w:r>
        <w:rPr>
          <w:rFonts w:hint="eastAsia" w:ascii="宋体" w:hAnsi="宋体" w:cs="宋体"/>
          <w:b/>
          <w:color w:val="auto"/>
          <w:szCs w:val="21"/>
          <w:highlight w:val="none"/>
        </w:rPr>
        <w:t>第五条 服务期限及地点</w:t>
      </w:r>
    </w:p>
    <w:p w14:paraId="6047AEB5">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1、服务期：12个月，即自       年  月  日至     年  月  日止。</w:t>
      </w:r>
      <w:r>
        <w:rPr>
          <w:rFonts w:hint="eastAsia" w:ascii="宋体" w:hAnsi="宋体" w:cs="宋体"/>
          <w:color w:val="auto"/>
          <w:szCs w:val="21"/>
          <w:highlight w:val="none"/>
          <w:lang w:eastAsia="zh-CN"/>
        </w:rPr>
        <w:t>（期满后</w:t>
      </w:r>
      <w:r>
        <w:rPr>
          <w:rFonts w:hint="eastAsia" w:ascii="宋体" w:hAnsi="宋体" w:cs="宋体"/>
          <w:color w:val="auto"/>
          <w:szCs w:val="21"/>
          <w:highlight w:val="none"/>
          <w:lang w:val="en-US" w:eastAsia="zh-CN"/>
        </w:rPr>
        <w:t>甲方</w:t>
      </w:r>
      <w:r>
        <w:rPr>
          <w:rFonts w:hint="eastAsia" w:ascii="宋体" w:hAnsi="宋体" w:cs="宋体"/>
          <w:color w:val="auto"/>
          <w:szCs w:val="21"/>
          <w:highlight w:val="none"/>
          <w:lang w:eastAsia="zh-CN"/>
        </w:rPr>
        <w:t>结合</w:t>
      </w:r>
      <w:r>
        <w:rPr>
          <w:rFonts w:hint="eastAsia" w:ascii="宋体" w:hAnsi="宋体" w:cs="宋体"/>
          <w:color w:val="auto"/>
          <w:szCs w:val="21"/>
          <w:highlight w:val="none"/>
          <w:lang w:val="en-US" w:eastAsia="zh-CN"/>
        </w:rPr>
        <w:t>乙方</w:t>
      </w:r>
      <w:r>
        <w:rPr>
          <w:rFonts w:hint="eastAsia" w:ascii="宋体" w:hAnsi="宋体" w:cs="宋体"/>
          <w:color w:val="auto"/>
          <w:szCs w:val="21"/>
          <w:highlight w:val="none"/>
          <w:lang w:eastAsia="zh-CN"/>
        </w:rPr>
        <w:t>履约情况，经综合评定后可考虑续签合同，续签期限最长为一年，服务总期限最长不超过</w:t>
      </w:r>
      <w:r>
        <w:rPr>
          <w:rFonts w:hint="eastAsia" w:ascii="宋体" w:hAnsi="宋体" w:cs="宋体"/>
          <w:color w:val="auto"/>
          <w:szCs w:val="21"/>
          <w:highlight w:val="none"/>
          <w:lang w:val="en-US" w:eastAsia="zh-CN"/>
        </w:rPr>
        <w:t>两</w:t>
      </w:r>
      <w:r>
        <w:rPr>
          <w:rFonts w:hint="eastAsia" w:ascii="宋体" w:hAnsi="宋体" w:cs="宋体"/>
          <w:color w:val="auto"/>
          <w:szCs w:val="21"/>
          <w:highlight w:val="none"/>
          <w:lang w:eastAsia="zh-CN"/>
        </w:rPr>
        <w:t>年）</w:t>
      </w:r>
      <w:r>
        <w:rPr>
          <w:rFonts w:hint="eastAsia" w:ascii="宋体" w:hAnsi="宋体" w:cs="宋体"/>
          <w:color w:val="auto"/>
          <w:szCs w:val="21"/>
          <w:highlight w:val="none"/>
        </w:rPr>
        <w:t>。</w:t>
      </w:r>
    </w:p>
    <w:p w14:paraId="72E2B14D">
      <w:pPr>
        <w:pageBreakBefore w:val="0"/>
        <w:shd w:val="clear"/>
        <w:kinsoku w:val="0"/>
        <w:wordWrap w:val="0"/>
        <w:topLinePunct w:val="0"/>
        <w:bidi w:val="0"/>
        <w:spacing w:after="0" w:line="360" w:lineRule="auto"/>
        <w:ind w:firstLine="420" w:firstLineChars="200"/>
        <w:rPr>
          <w:rFonts w:hint="eastAsia" w:ascii="宋体" w:hAnsi="宋体" w:cs="宋体"/>
          <w:color w:val="auto"/>
          <w:highlight w:val="none"/>
        </w:rPr>
      </w:pPr>
      <w:r>
        <w:rPr>
          <w:rFonts w:hint="eastAsia" w:ascii="宋体" w:hAnsi="宋体" w:cs="宋体"/>
          <w:color w:val="auto"/>
          <w:szCs w:val="21"/>
          <w:highlight w:val="none"/>
        </w:rPr>
        <w:t>2、服</w:t>
      </w:r>
      <w:r>
        <w:rPr>
          <w:rFonts w:hint="eastAsia" w:ascii="宋体" w:hAnsi="宋体" w:cs="宋体"/>
          <w:color w:val="auto"/>
          <w:highlight w:val="none"/>
        </w:rPr>
        <w:t>务地点：</w:t>
      </w:r>
      <w:r>
        <w:rPr>
          <w:rFonts w:hint="eastAsia" w:ascii="宋体" w:hAnsi="宋体" w:cs="宋体"/>
          <w:color w:val="auto"/>
          <w:szCs w:val="21"/>
          <w:highlight w:val="none"/>
        </w:rPr>
        <w:t>甲方指定地点分别为东莞迎宾馆（地址：东莞市南城区桃源路1号）；“莞萃园”中餐厅（地址：东莞市南城区簪花路与东莞大道交叉口睿派R&amp;APARK5栋三楼）；东莞松湖迎宾里酒店有限公司湾大分公司（东莞市松山湖大学路南大湾区大学（松山湖校区）-东门）</w:t>
      </w:r>
      <w:r>
        <w:rPr>
          <w:rFonts w:hint="eastAsia"/>
          <w:color w:val="auto"/>
          <w:highlight w:val="none"/>
        </w:rPr>
        <w:t>等。</w:t>
      </w:r>
    </w:p>
    <w:p w14:paraId="7EC58F66">
      <w:pPr>
        <w:pageBreakBefore w:val="0"/>
        <w:shd w:val="clear"/>
        <w:kinsoku w:val="0"/>
        <w:wordWrap w:val="0"/>
        <w:topLinePunct w:val="0"/>
        <w:bidi w:val="0"/>
        <w:spacing w:after="0" w:line="360" w:lineRule="auto"/>
        <w:rPr>
          <w:rFonts w:hint="eastAsia" w:ascii="宋体" w:hAnsi="宋体" w:cs="宋体"/>
          <w:b/>
          <w:color w:val="auto"/>
          <w:szCs w:val="21"/>
          <w:highlight w:val="none"/>
        </w:rPr>
      </w:pPr>
      <w:r>
        <w:rPr>
          <w:rFonts w:hint="eastAsia" w:ascii="宋体" w:hAnsi="宋体" w:cs="宋体"/>
          <w:b/>
          <w:color w:val="auto"/>
          <w:szCs w:val="21"/>
          <w:highlight w:val="none"/>
        </w:rPr>
        <w:t>第六条 付款方式及供货价格要求</w:t>
      </w:r>
    </w:p>
    <w:p w14:paraId="04017568">
      <w:pPr>
        <w:pStyle w:val="27"/>
        <w:pageBreakBefore w:val="0"/>
        <w:shd w:val="clear"/>
        <w:kinsoku w:val="0"/>
        <w:wordWrap w:val="0"/>
        <w:topLinePunct w:val="0"/>
        <w:bidi w:val="0"/>
        <w:adjustRightInd w:val="0"/>
        <w:snapToGrid w:val="0"/>
        <w:spacing w:after="0"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一）付款方式：</w:t>
      </w:r>
    </w:p>
    <w:p w14:paraId="5B137549">
      <w:pPr>
        <w:pStyle w:val="27"/>
        <w:pageBreakBefore w:val="0"/>
        <w:shd w:val="clear"/>
        <w:kinsoku w:val="0"/>
        <w:wordWrap w:val="0"/>
        <w:topLinePunct w:val="0"/>
        <w:bidi w:val="0"/>
        <w:adjustRightInd w:val="0"/>
        <w:snapToGrid w:val="0"/>
        <w:spacing w:after="0"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本合同的付款方式为：采取“先送货后结款”的方式，货款按月进行考核核算，当月含税结算总价 = 当月适用的不含税结算单价 × (1 + 增值税税率) × 当月实际验收合格数量。  </w:t>
      </w:r>
    </w:p>
    <w:p w14:paraId="7F90D151">
      <w:pPr>
        <w:pStyle w:val="27"/>
        <w:pageBreakBefore w:val="0"/>
        <w:shd w:val="clear"/>
        <w:kinsoku w:val="0"/>
        <w:wordWrap w:val="0"/>
        <w:topLinePunct w:val="0"/>
        <w:bidi w:val="0"/>
        <w:adjustRightInd w:val="0"/>
        <w:snapToGrid w:val="0"/>
        <w:spacing w:after="0"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每月结束后，乙方在10日内根据上月的收货凭证与甲方对上月货款进行确认结算。乙方根据实际结算金额，开具符合法律规定和合同约定的增值税专用发票，并与其他请款资料一并提交给甲方，甲方收到并核对无误后，90日内以银行转账方式支付货款。</w:t>
      </w:r>
    </w:p>
    <w:p w14:paraId="07360193">
      <w:pPr>
        <w:pStyle w:val="27"/>
        <w:pageBreakBefore w:val="0"/>
        <w:shd w:val="clear"/>
        <w:kinsoku w:val="0"/>
        <w:wordWrap w:val="0"/>
        <w:topLinePunct w:val="0"/>
        <w:bidi w:val="0"/>
        <w:adjustRightInd w:val="0"/>
        <w:snapToGrid w:val="0"/>
        <w:spacing w:after="0"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3、收款方、发票的销售方、合同乙方均必须与乙方名称一致。</w:t>
      </w:r>
    </w:p>
    <w:p w14:paraId="270159E4">
      <w:pPr>
        <w:pStyle w:val="27"/>
        <w:pageBreakBefore w:val="0"/>
        <w:shd w:val="clear"/>
        <w:kinsoku w:val="0"/>
        <w:wordWrap w:val="0"/>
        <w:topLinePunct w:val="0"/>
        <w:bidi w:val="0"/>
        <w:adjustRightInd w:val="0"/>
        <w:snapToGrid w:val="0"/>
        <w:spacing w:after="0"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4、按照现行税收政策规定，每次付款前，乙方必须提供合法有效、与本合同总价款条款中增值税税率一致（税收政策变化导致税率发生变化的除外）的增值税发票给甲方，否则甲方有权拒绝付款且不构成违约。</w:t>
      </w:r>
    </w:p>
    <w:p w14:paraId="574E8B7E">
      <w:pPr>
        <w:pStyle w:val="27"/>
        <w:pageBreakBefore w:val="0"/>
        <w:shd w:val="clear"/>
        <w:kinsoku w:val="0"/>
        <w:wordWrap w:val="0"/>
        <w:topLinePunct w:val="0"/>
        <w:bidi w:val="0"/>
        <w:adjustRightInd w:val="0"/>
        <w:snapToGrid w:val="0"/>
        <w:spacing w:after="0"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二）供货价格要求：</w:t>
      </w:r>
    </w:p>
    <w:p w14:paraId="2713152F">
      <w:pPr>
        <w:pStyle w:val="27"/>
        <w:pageBreakBefore w:val="0"/>
        <w:shd w:val="clear"/>
        <w:kinsoku w:val="0"/>
        <w:wordWrap w:val="0"/>
        <w:topLinePunct w:val="0"/>
        <w:bidi w:val="0"/>
        <w:adjustRightInd w:val="0"/>
        <w:snapToGrid w:val="0"/>
        <w:spacing w:after="0"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本项目的供货价格形式为不含税单价，为甲方指定目的地交货价。包含：购货成本、包装配送运输、保险、装卸、退换、雇员费用、损耗费、样品费、包装费、检验检测费、质保期售后服务等所有成本及合理利润，但不包含增值税。合同实施过程中的应预见和不可预见费用已包含在内，甲方将拒绝支付合同约定价格之外的任何费用和补偿。</w:t>
      </w:r>
    </w:p>
    <w:p w14:paraId="1A833264">
      <w:pPr>
        <w:pStyle w:val="27"/>
        <w:pageBreakBefore w:val="0"/>
        <w:shd w:val="clear"/>
        <w:kinsoku w:val="0"/>
        <w:wordWrap w:val="0"/>
        <w:topLinePunct w:val="0"/>
        <w:bidi w:val="0"/>
        <w:adjustRightInd w:val="0"/>
        <w:snapToGrid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 w:val="21"/>
          <w:szCs w:val="21"/>
          <w:highlight w:val="none"/>
        </w:rPr>
        <w:t>2、中标后，建立价格调整机制。签订合同后前</w:t>
      </w:r>
      <w:r>
        <w:rPr>
          <w:rFonts w:hint="eastAsia" w:ascii="宋体" w:hAnsi="宋体" w:cs="宋体"/>
          <w:color w:val="auto"/>
          <w:sz w:val="21"/>
          <w:szCs w:val="21"/>
          <w:highlight w:val="none"/>
          <w:lang w:val="en-US" w:eastAsia="zh-CN"/>
        </w:rPr>
        <w:t>6</w:t>
      </w:r>
      <w:r>
        <w:rPr>
          <w:rFonts w:hint="eastAsia" w:ascii="宋体" w:hAnsi="宋体" w:cs="宋体"/>
          <w:color w:val="auto"/>
          <w:sz w:val="21"/>
          <w:szCs w:val="21"/>
          <w:highlight w:val="none"/>
        </w:rPr>
        <w:t>个月内定价不变，以乙方投标</w:t>
      </w:r>
      <w:r>
        <w:rPr>
          <w:rFonts w:hint="eastAsia" w:ascii="宋体" w:hAnsi="宋体" w:cs="宋体"/>
          <w:color w:val="auto"/>
          <w:sz w:val="21"/>
          <w:szCs w:val="21"/>
          <w:highlight w:val="none"/>
          <w:lang w:val="en-US" w:eastAsia="zh-CN"/>
        </w:rPr>
        <w:t>不含税</w:t>
      </w:r>
      <w:r>
        <w:rPr>
          <w:rFonts w:hint="eastAsia" w:ascii="宋体" w:hAnsi="宋体" w:cs="宋体"/>
          <w:color w:val="auto"/>
          <w:sz w:val="21"/>
          <w:szCs w:val="21"/>
          <w:highlight w:val="none"/>
        </w:rPr>
        <w:t>单价报价为准；</w:t>
      </w:r>
      <w:r>
        <w:rPr>
          <w:rFonts w:hint="eastAsia" w:ascii="宋体" w:hAnsi="宋体" w:cs="宋体"/>
          <w:color w:val="auto"/>
          <w:sz w:val="21"/>
          <w:szCs w:val="21"/>
          <w:highlight w:val="none"/>
          <w:lang w:val="en-US" w:eastAsia="zh-CN"/>
        </w:rPr>
        <w:t>6</w:t>
      </w:r>
      <w:r>
        <w:rPr>
          <w:rFonts w:hint="eastAsia" w:ascii="宋体" w:hAnsi="宋体" w:cs="宋体"/>
          <w:color w:val="auto"/>
          <w:sz w:val="21"/>
          <w:szCs w:val="21"/>
          <w:highlight w:val="none"/>
        </w:rPr>
        <w:t>个月后可重新定价一次。除出现市场上价格涨跌幅超过20%的情况外，原则上双方后续每个价格周期的结算价（不含税价）不得高于首个价格周期的结算单价（不含税价）。市场价抽样调查基准价=市场平均价=市场抽样价格之和/价格样本数，原则上价格样本数为3个或以上，但市调时提供该商品的市场商家不足3家除外。冻品类市场价抽样调查，可选择大型综合超市（例如麦德龙等）或广州市黄沙市场等市场进行市场价抽样调查；核定相同货品的市场平均价格。新的不含税结算单价按以下公式核定:新的不含税结算单价=新的含税市场基准价/(1+增值税专票税率)。市场抽样调查的样本应当具有广泛的代表性，且抽样价格明显异常的（如偏离市场平均水平过大）应予剔除。市场价抽样调查由</w:t>
      </w:r>
      <w:r>
        <w:rPr>
          <w:rFonts w:hint="eastAsia" w:ascii="宋体" w:hAnsi="宋体" w:cs="宋体"/>
          <w:color w:val="auto"/>
          <w:sz w:val="21"/>
          <w:szCs w:val="21"/>
          <w:highlight w:val="none"/>
          <w:lang w:eastAsia="zh-CN"/>
        </w:rPr>
        <w:t>甲方</w:t>
      </w:r>
      <w:r>
        <w:rPr>
          <w:rFonts w:hint="eastAsia" w:ascii="宋体" w:hAnsi="宋体" w:cs="宋体"/>
          <w:color w:val="auto"/>
          <w:sz w:val="21"/>
          <w:szCs w:val="21"/>
          <w:highlight w:val="none"/>
        </w:rPr>
        <w:t>组织，</w:t>
      </w:r>
      <w:r>
        <w:rPr>
          <w:rFonts w:hint="eastAsia" w:ascii="宋体" w:hAnsi="宋体" w:cs="宋体"/>
          <w:color w:val="auto"/>
          <w:sz w:val="21"/>
          <w:szCs w:val="21"/>
          <w:highlight w:val="none"/>
          <w:lang w:eastAsia="zh-CN"/>
        </w:rPr>
        <w:t>乙方</w:t>
      </w:r>
      <w:r>
        <w:rPr>
          <w:rFonts w:hint="eastAsia" w:ascii="宋体" w:hAnsi="宋体" w:cs="宋体"/>
          <w:color w:val="auto"/>
          <w:sz w:val="21"/>
          <w:szCs w:val="21"/>
          <w:highlight w:val="none"/>
        </w:rPr>
        <w:t>可派员参与见证。双方对抽样调查结果有争议的，应当在收到结果后2个工作日内提出复核，复核仍不成的，以</w:t>
      </w:r>
      <w:r>
        <w:rPr>
          <w:rFonts w:hint="eastAsia" w:ascii="宋体" w:hAnsi="宋体" w:cs="宋体"/>
          <w:color w:val="auto"/>
          <w:sz w:val="21"/>
          <w:szCs w:val="21"/>
          <w:highlight w:val="none"/>
          <w:lang w:eastAsia="zh-CN"/>
        </w:rPr>
        <w:t>甲方</w:t>
      </w:r>
      <w:r>
        <w:rPr>
          <w:rFonts w:hint="eastAsia" w:ascii="宋体" w:hAnsi="宋体" w:cs="宋体"/>
          <w:color w:val="auto"/>
          <w:sz w:val="21"/>
          <w:szCs w:val="21"/>
          <w:highlight w:val="none"/>
        </w:rPr>
        <w:t>最终核定的市场基准价为准执行，</w:t>
      </w:r>
      <w:r>
        <w:rPr>
          <w:rFonts w:hint="eastAsia" w:ascii="宋体" w:hAnsi="宋体" w:cs="宋体"/>
          <w:color w:val="auto"/>
          <w:sz w:val="21"/>
          <w:szCs w:val="21"/>
          <w:highlight w:val="none"/>
          <w:lang w:eastAsia="zh-CN"/>
        </w:rPr>
        <w:t>乙方</w:t>
      </w:r>
      <w:r>
        <w:rPr>
          <w:rFonts w:hint="eastAsia" w:ascii="宋体" w:hAnsi="宋体" w:cs="宋体"/>
          <w:color w:val="auto"/>
          <w:sz w:val="21"/>
          <w:szCs w:val="21"/>
          <w:highlight w:val="none"/>
        </w:rPr>
        <w:t>不得以此拒绝供货。</w:t>
      </w:r>
    </w:p>
    <w:p w14:paraId="6F6A6786">
      <w:pPr>
        <w:pStyle w:val="27"/>
        <w:pageBreakBefore w:val="0"/>
        <w:shd w:val="clear"/>
        <w:kinsoku w:val="0"/>
        <w:wordWrap w:val="0"/>
        <w:topLinePunct w:val="0"/>
        <w:bidi w:val="0"/>
        <w:adjustRightInd w:val="0"/>
        <w:snapToGrid w:val="0"/>
        <w:spacing w:after="0"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3、甲方临时需求货品不在核定的供货价格清单内的，乙方必须按甲方要求供货，供货价格由双方采用市场抽样调查的方式确定供货价格。</w:t>
      </w:r>
    </w:p>
    <w:p w14:paraId="669C5DEE">
      <w:pPr>
        <w:pStyle w:val="27"/>
        <w:pageBreakBefore w:val="0"/>
        <w:shd w:val="clear"/>
        <w:kinsoku w:val="0"/>
        <w:wordWrap w:val="0"/>
        <w:topLinePunct w:val="0"/>
        <w:bidi w:val="0"/>
        <w:adjustRightInd w:val="0"/>
        <w:snapToGrid w:val="0"/>
        <w:spacing w:after="0"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4、乙方不得擅自变更货物品种及产地、包装、规格和重量等，严格按甲方要求供应，否则甲方有权拒收。对不易购买或暂时短缺的品种，经甲方同意，可由乙方通过其它途径采购或使用指定替代品替换，价格按上述规定的市场价抽样调查平均价确定。</w:t>
      </w:r>
    </w:p>
    <w:p w14:paraId="50FB9247">
      <w:pPr>
        <w:pStyle w:val="27"/>
        <w:pageBreakBefore w:val="0"/>
        <w:shd w:val="clear"/>
        <w:kinsoku w:val="0"/>
        <w:wordWrap w:val="0"/>
        <w:topLinePunct w:val="0"/>
        <w:bidi w:val="0"/>
        <w:adjustRightInd w:val="0"/>
        <w:snapToGrid w:val="0"/>
        <w:spacing w:after="0"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5、甲方根据自身的需求，有权终止某类中的某些商品的采购或变更某类商品的采购。</w:t>
      </w:r>
    </w:p>
    <w:p w14:paraId="604E762B">
      <w:pPr>
        <w:pStyle w:val="27"/>
        <w:pageBreakBefore w:val="0"/>
        <w:shd w:val="clear"/>
        <w:kinsoku w:val="0"/>
        <w:wordWrap w:val="0"/>
        <w:topLinePunct w:val="0"/>
        <w:bidi w:val="0"/>
        <w:adjustRightInd w:val="0"/>
        <w:snapToGrid w:val="0"/>
        <w:spacing w:after="0"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6、</w:t>
      </w:r>
      <w:r>
        <w:rPr>
          <w:rFonts w:hint="eastAsia" w:ascii="宋体" w:hAnsi="宋体" w:eastAsia="宋体" w:cs="宋体"/>
          <w:color w:val="auto"/>
          <w:sz w:val="21"/>
          <w:szCs w:val="21"/>
          <w:highlight w:val="none"/>
          <w:lang w:val="en-US" w:eastAsia="zh-CN"/>
        </w:rPr>
        <w:t>乙方在</w:t>
      </w:r>
      <w:r>
        <w:rPr>
          <w:rFonts w:hint="eastAsia" w:ascii="宋体" w:hAnsi="宋体" w:eastAsia="宋体" w:cs="宋体"/>
          <w:color w:val="auto"/>
          <w:sz w:val="21"/>
          <w:szCs w:val="21"/>
          <w:highlight w:val="none"/>
        </w:rPr>
        <w:t>每个价格周期前</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个工作日报价给</w:t>
      </w:r>
      <w:r>
        <w:rPr>
          <w:rFonts w:hint="eastAsia" w:ascii="宋体" w:hAnsi="宋体" w:eastAsia="宋体" w:cs="宋体"/>
          <w:color w:val="auto"/>
          <w:sz w:val="21"/>
          <w:szCs w:val="21"/>
          <w:highlight w:val="none"/>
          <w:lang w:val="en-US" w:eastAsia="zh-CN"/>
        </w:rPr>
        <w:t>甲方</w:t>
      </w:r>
      <w:r>
        <w:rPr>
          <w:rFonts w:hint="eastAsia" w:ascii="宋体" w:hAnsi="宋体" w:eastAsia="宋体" w:cs="宋体"/>
          <w:color w:val="auto"/>
          <w:sz w:val="21"/>
          <w:szCs w:val="21"/>
          <w:highlight w:val="none"/>
        </w:rPr>
        <w:t>审核，</w:t>
      </w:r>
      <w:r>
        <w:rPr>
          <w:rFonts w:hint="eastAsia" w:ascii="宋体" w:hAnsi="宋体" w:eastAsia="宋体" w:cs="宋体"/>
          <w:color w:val="auto"/>
          <w:sz w:val="21"/>
          <w:szCs w:val="21"/>
          <w:highlight w:val="none"/>
          <w:lang w:val="en-US" w:eastAsia="zh-CN"/>
        </w:rPr>
        <w:t>甲方结合</w:t>
      </w:r>
      <w:r>
        <w:rPr>
          <w:rFonts w:hint="eastAsia" w:ascii="宋体" w:hAnsi="宋体" w:eastAsia="宋体" w:cs="宋体"/>
          <w:color w:val="auto"/>
          <w:sz w:val="21"/>
          <w:szCs w:val="21"/>
          <w:highlight w:val="none"/>
        </w:rPr>
        <w:t>市场价</w:t>
      </w:r>
      <w:r>
        <w:rPr>
          <w:rFonts w:hint="eastAsia" w:ascii="宋体" w:hAnsi="宋体" w:eastAsia="宋体" w:cs="宋体"/>
          <w:color w:val="auto"/>
          <w:sz w:val="21"/>
          <w:szCs w:val="21"/>
          <w:highlight w:val="none"/>
          <w:lang w:val="en-US" w:eastAsia="zh-CN"/>
        </w:rPr>
        <w:t>格</w:t>
      </w:r>
      <w:r>
        <w:rPr>
          <w:rFonts w:hint="eastAsia" w:ascii="宋体" w:hAnsi="宋体" w:eastAsia="宋体" w:cs="宋体"/>
          <w:color w:val="auto"/>
          <w:sz w:val="21"/>
          <w:szCs w:val="21"/>
          <w:highlight w:val="none"/>
        </w:rPr>
        <w:t>抽样调查结果审核同意</w:t>
      </w:r>
      <w:r>
        <w:rPr>
          <w:rFonts w:hint="eastAsia" w:ascii="宋体" w:hAnsi="宋体" w:eastAsia="宋体" w:cs="宋体"/>
          <w:color w:val="auto"/>
          <w:sz w:val="21"/>
          <w:szCs w:val="21"/>
          <w:highlight w:val="none"/>
          <w:lang w:val="en-US" w:eastAsia="zh-CN"/>
        </w:rPr>
        <w:t>并完成相关审批流程后生效</w:t>
      </w:r>
      <w:r>
        <w:rPr>
          <w:rFonts w:hint="eastAsia" w:ascii="宋体" w:hAnsi="宋体" w:eastAsia="宋体" w:cs="宋体"/>
          <w:color w:val="auto"/>
          <w:sz w:val="21"/>
          <w:szCs w:val="21"/>
          <w:highlight w:val="none"/>
        </w:rPr>
        <w:t>。若通过市场调查确定基准价的，则由</w:t>
      </w:r>
      <w:r>
        <w:rPr>
          <w:rFonts w:hint="eastAsia" w:ascii="宋体" w:hAnsi="宋体" w:eastAsia="宋体" w:cs="宋体"/>
          <w:color w:val="auto"/>
          <w:sz w:val="21"/>
          <w:szCs w:val="21"/>
          <w:highlight w:val="none"/>
          <w:lang w:val="en-US" w:eastAsia="zh-CN"/>
        </w:rPr>
        <w:t>甲方</w:t>
      </w:r>
      <w:r>
        <w:rPr>
          <w:rFonts w:hint="eastAsia" w:ascii="宋体" w:hAnsi="宋体" w:eastAsia="宋体" w:cs="宋体"/>
          <w:color w:val="auto"/>
          <w:sz w:val="21"/>
          <w:szCs w:val="21"/>
          <w:highlight w:val="none"/>
        </w:rPr>
        <w:t>按上述方式进行市场抽样调查并将调查价格报</w:t>
      </w:r>
      <w:r>
        <w:rPr>
          <w:rFonts w:hint="eastAsia" w:ascii="宋体" w:hAnsi="宋体" w:eastAsia="宋体" w:cs="宋体"/>
          <w:color w:val="auto"/>
          <w:sz w:val="21"/>
          <w:szCs w:val="21"/>
          <w:highlight w:val="none"/>
          <w:lang w:val="en-US" w:eastAsia="zh-CN"/>
        </w:rPr>
        <w:t>乙方</w:t>
      </w:r>
      <w:r>
        <w:rPr>
          <w:rFonts w:hint="eastAsia" w:ascii="宋体" w:hAnsi="宋体" w:eastAsia="宋体" w:cs="宋体"/>
          <w:color w:val="auto"/>
          <w:sz w:val="21"/>
          <w:szCs w:val="21"/>
          <w:highlight w:val="none"/>
        </w:rPr>
        <w:t>确认</w:t>
      </w:r>
      <w:r>
        <w:rPr>
          <w:rFonts w:hint="eastAsia" w:ascii="宋体" w:hAnsi="宋体" w:cs="宋体"/>
          <w:color w:val="auto"/>
          <w:sz w:val="21"/>
          <w:szCs w:val="21"/>
          <w:highlight w:val="none"/>
        </w:rPr>
        <w:t>。</w:t>
      </w:r>
    </w:p>
    <w:p w14:paraId="4AED33C6">
      <w:pPr>
        <w:pStyle w:val="27"/>
        <w:pageBreakBefore w:val="0"/>
        <w:shd w:val="clear"/>
        <w:kinsoku w:val="0"/>
        <w:wordWrap w:val="0"/>
        <w:topLinePunct w:val="0"/>
        <w:bidi w:val="0"/>
        <w:adjustRightInd w:val="0"/>
        <w:snapToGrid w:val="0"/>
        <w:spacing w:after="0"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7、核定价格后，若供货期间市场商品价格涨跌幅度达到20%及以上的，双方任一方均有权以书面形式提出价格调整请求（未提出价格调整请求的物资，仍按原核定价格执行）。一方提出调价请求后，双方开展市场调查核实，按照定价原则重新确定价格，并应于3 个工作日内予以书面函复。新价格经双方确认生效后执行，调价生效前已发生的供货仍按原核定价格执行。若收到调价请求一方在上述 3 个工作日期限内未予以书面函复的，默认认可调价请求，双方按新价格执行。除前述情形外，双方约定的供货物资价格在有效期内，任何一方不得随意变更。</w:t>
      </w:r>
    </w:p>
    <w:p w14:paraId="1ABFEF2F">
      <w:pPr>
        <w:pStyle w:val="27"/>
        <w:pageBreakBefore w:val="0"/>
        <w:shd w:val="clear"/>
        <w:kinsoku w:val="0"/>
        <w:wordWrap w:val="0"/>
        <w:topLinePunct w:val="0"/>
        <w:bidi w:val="0"/>
        <w:adjustRightInd w:val="0"/>
        <w:snapToGrid w:val="0"/>
        <w:spacing w:after="0"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8、甲方发现乙方的供货价格高于市场价20%且未通知甲方进行价格调整的，甲方有权要求从指定时间开始按市调价格结算，如当月已结算的金额须在后续结算金额中扣除，并且每次处以违约金2000元</w:t>
      </w:r>
      <w:r>
        <w:rPr>
          <w:rFonts w:hint="eastAsia" w:ascii="宋体" w:hAnsi="宋体" w:cs="宋体"/>
          <w:color w:val="auto"/>
          <w:sz w:val="21"/>
          <w:szCs w:val="21"/>
          <w:highlight w:val="none"/>
        </w:rPr>
        <w:t>。</w:t>
      </w:r>
    </w:p>
    <w:p w14:paraId="083F5926">
      <w:pPr>
        <w:pStyle w:val="27"/>
        <w:pageBreakBefore w:val="0"/>
        <w:shd w:val="clear"/>
        <w:kinsoku w:val="0"/>
        <w:wordWrap w:val="0"/>
        <w:topLinePunct w:val="0"/>
        <w:bidi w:val="0"/>
        <w:adjustRightInd w:val="0"/>
        <w:snapToGrid w:val="0"/>
        <w:spacing w:after="0" w:line="360" w:lineRule="auto"/>
        <w:ind w:firstLine="420" w:firstLineChars="200"/>
        <w:rPr>
          <w:color w:val="auto"/>
          <w:sz w:val="21"/>
          <w:szCs w:val="21"/>
          <w:highlight w:val="none"/>
        </w:rPr>
      </w:pPr>
      <w:r>
        <w:rPr>
          <w:rFonts w:hint="eastAsia" w:ascii="宋体" w:hAnsi="宋体" w:cs="宋体"/>
          <w:color w:val="auto"/>
          <w:sz w:val="21"/>
          <w:szCs w:val="21"/>
          <w:highlight w:val="none"/>
          <w:lang w:val="en-US" w:eastAsia="zh-CN"/>
        </w:rPr>
        <w:t>9</w:t>
      </w:r>
      <w:r>
        <w:rPr>
          <w:rFonts w:hint="eastAsia" w:ascii="宋体" w:hAnsi="宋体" w:cs="宋体"/>
          <w:color w:val="auto"/>
          <w:sz w:val="21"/>
          <w:szCs w:val="21"/>
          <w:highlight w:val="none"/>
        </w:rPr>
        <w:t>、履约担保金额为：     元 。</w:t>
      </w:r>
    </w:p>
    <w:p w14:paraId="6DF9567F">
      <w:pPr>
        <w:pStyle w:val="27"/>
        <w:pageBreakBefore w:val="0"/>
        <w:shd w:val="clear"/>
        <w:kinsoku w:val="0"/>
        <w:wordWrap w:val="0"/>
        <w:topLinePunct w:val="0"/>
        <w:bidi w:val="0"/>
        <w:adjustRightInd w:val="0"/>
        <w:snapToGrid w:val="0"/>
        <w:spacing w:after="0" w:line="360" w:lineRule="auto"/>
        <w:ind w:firstLine="420" w:firstLineChars="200"/>
        <w:rPr>
          <w:color w:val="auto"/>
          <w:sz w:val="21"/>
          <w:szCs w:val="21"/>
          <w:highlight w:val="none"/>
        </w:rPr>
      </w:pPr>
      <w:r>
        <w:rPr>
          <w:rFonts w:hint="eastAsia"/>
          <w:color w:val="auto"/>
          <w:sz w:val="21"/>
          <w:szCs w:val="21"/>
          <w:highlight w:val="none"/>
          <w:lang w:val="en-US" w:eastAsia="zh-CN"/>
        </w:rPr>
        <w:t>9</w:t>
      </w:r>
      <w:r>
        <w:rPr>
          <w:rFonts w:hint="eastAsia"/>
          <w:color w:val="auto"/>
          <w:sz w:val="21"/>
          <w:szCs w:val="21"/>
          <w:highlight w:val="none"/>
        </w:rPr>
        <w:t>.1.乙方在采购（合同签署）时提交履约保证金</w:t>
      </w:r>
      <w:r>
        <w:rPr>
          <w:rFonts w:hint="eastAsia"/>
          <w:color w:val="auto"/>
          <w:sz w:val="21"/>
          <w:szCs w:val="21"/>
          <w:highlight w:val="none"/>
          <w:lang w:val="en-US" w:eastAsia="zh-CN"/>
        </w:rPr>
        <w:t>的</w:t>
      </w:r>
      <w:r>
        <w:rPr>
          <w:rFonts w:hint="eastAsia"/>
          <w:color w:val="auto"/>
          <w:sz w:val="21"/>
          <w:szCs w:val="21"/>
          <w:highlight w:val="none"/>
          <w:lang w:eastAsia="zh-CN"/>
        </w:rPr>
        <w:t>，</w:t>
      </w:r>
      <w:r>
        <w:rPr>
          <w:rFonts w:hint="eastAsia"/>
          <w:color w:val="auto"/>
          <w:sz w:val="21"/>
          <w:szCs w:val="21"/>
          <w:highlight w:val="none"/>
          <w:lang w:val="en-US" w:eastAsia="zh-CN"/>
        </w:rPr>
        <w:t>收款</w:t>
      </w:r>
      <w:r>
        <w:rPr>
          <w:rFonts w:hint="eastAsia"/>
          <w:color w:val="auto"/>
          <w:sz w:val="21"/>
          <w:szCs w:val="21"/>
          <w:highlight w:val="none"/>
        </w:rPr>
        <w:t>账户信息</w:t>
      </w:r>
      <w:r>
        <w:rPr>
          <w:rFonts w:hint="eastAsia"/>
          <w:color w:val="auto"/>
          <w:sz w:val="21"/>
          <w:szCs w:val="21"/>
          <w:highlight w:val="none"/>
          <w:lang w:val="en-US" w:eastAsia="zh-CN"/>
        </w:rPr>
        <w:t>如下</w:t>
      </w:r>
      <w:r>
        <w:rPr>
          <w:rFonts w:hint="eastAsia"/>
          <w:color w:val="auto"/>
          <w:sz w:val="21"/>
          <w:szCs w:val="21"/>
          <w:highlight w:val="none"/>
        </w:rPr>
        <w:t>：</w:t>
      </w:r>
    </w:p>
    <w:p w14:paraId="1F69B5BE">
      <w:pPr>
        <w:pStyle w:val="27"/>
        <w:pageBreakBefore w:val="0"/>
        <w:shd w:val="clear"/>
        <w:kinsoku w:val="0"/>
        <w:wordWrap w:val="0"/>
        <w:topLinePunct w:val="0"/>
        <w:bidi w:val="0"/>
        <w:adjustRightInd w:val="0"/>
        <w:snapToGrid w:val="0"/>
        <w:spacing w:after="0" w:line="360" w:lineRule="auto"/>
        <w:ind w:firstLine="420" w:firstLineChars="200"/>
        <w:rPr>
          <w:color w:val="auto"/>
          <w:sz w:val="21"/>
          <w:szCs w:val="21"/>
          <w:highlight w:val="none"/>
        </w:rPr>
      </w:pPr>
      <w:r>
        <w:rPr>
          <w:rFonts w:hint="eastAsia"/>
          <w:color w:val="auto"/>
          <w:sz w:val="21"/>
          <w:szCs w:val="21"/>
          <w:highlight w:val="none"/>
        </w:rPr>
        <w:t>账户：</w:t>
      </w:r>
    </w:p>
    <w:p w14:paraId="38E0F010">
      <w:pPr>
        <w:pStyle w:val="27"/>
        <w:pageBreakBefore w:val="0"/>
        <w:shd w:val="clear"/>
        <w:kinsoku w:val="0"/>
        <w:wordWrap w:val="0"/>
        <w:topLinePunct w:val="0"/>
        <w:bidi w:val="0"/>
        <w:adjustRightInd w:val="0"/>
        <w:snapToGrid w:val="0"/>
        <w:spacing w:after="0" w:line="360" w:lineRule="auto"/>
        <w:ind w:firstLine="420" w:firstLineChars="200"/>
        <w:rPr>
          <w:color w:val="auto"/>
          <w:sz w:val="21"/>
          <w:szCs w:val="21"/>
          <w:highlight w:val="none"/>
        </w:rPr>
      </w:pPr>
      <w:r>
        <w:rPr>
          <w:rFonts w:hint="eastAsia"/>
          <w:color w:val="auto"/>
          <w:sz w:val="21"/>
          <w:szCs w:val="21"/>
          <w:highlight w:val="none"/>
        </w:rPr>
        <w:t>账号：</w:t>
      </w:r>
    </w:p>
    <w:p w14:paraId="49821CFB">
      <w:pPr>
        <w:pStyle w:val="27"/>
        <w:pageBreakBefore w:val="0"/>
        <w:shd w:val="clear"/>
        <w:kinsoku w:val="0"/>
        <w:wordWrap w:val="0"/>
        <w:topLinePunct w:val="0"/>
        <w:bidi w:val="0"/>
        <w:adjustRightInd w:val="0"/>
        <w:snapToGrid w:val="0"/>
        <w:spacing w:after="0" w:line="360" w:lineRule="auto"/>
        <w:ind w:firstLine="420" w:firstLineChars="200"/>
        <w:rPr>
          <w:color w:val="auto"/>
          <w:sz w:val="21"/>
          <w:szCs w:val="21"/>
          <w:highlight w:val="none"/>
        </w:rPr>
      </w:pPr>
      <w:r>
        <w:rPr>
          <w:rFonts w:hint="eastAsia"/>
          <w:color w:val="auto"/>
          <w:sz w:val="21"/>
          <w:szCs w:val="21"/>
          <w:highlight w:val="none"/>
        </w:rPr>
        <w:t>开户行：</w:t>
      </w:r>
    </w:p>
    <w:p w14:paraId="49972059">
      <w:pPr>
        <w:pStyle w:val="27"/>
        <w:pageBreakBefore w:val="0"/>
        <w:shd w:val="clear"/>
        <w:kinsoku w:val="0"/>
        <w:wordWrap w:val="0"/>
        <w:topLinePunct w:val="0"/>
        <w:bidi w:val="0"/>
        <w:adjustRightInd w:val="0"/>
        <w:snapToGrid w:val="0"/>
        <w:spacing w:after="0" w:line="360" w:lineRule="auto"/>
        <w:ind w:firstLine="420" w:firstLineChars="200"/>
        <w:rPr>
          <w:color w:val="auto"/>
          <w:sz w:val="21"/>
          <w:szCs w:val="21"/>
          <w:highlight w:val="none"/>
        </w:rPr>
      </w:pPr>
      <w:r>
        <w:rPr>
          <w:rFonts w:hint="eastAsia"/>
          <w:color w:val="auto"/>
          <w:sz w:val="21"/>
          <w:szCs w:val="21"/>
          <w:highlight w:val="none"/>
          <w:lang w:val="en-US" w:eastAsia="zh-CN"/>
        </w:rPr>
        <w:t>9</w:t>
      </w:r>
      <w:r>
        <w:rPr>
          <w:rFonts w:hint="eastAsia"/>
          <w:color w:val="auto"/>
          <w:sz w:val="21"/>
          <w:szCs w:val="21"/>
          <w:highlight w:val="none"/>
        </w:rPr>
        <w:t>.2乙方在采购（合同签署）时提交履约担保</w:t>
      </w:r>
      <w:r>
        <w:rPr>
          <w:rFonts w:hint="eastAsia"/>
          <w:color w:val="auto"/>
          <w:sz w:val="21"/>
          <w:szCs w:val="21"/>
          <w:highlight w:val="none"/>
          <w:lang w:val="en-US" w:eastAsia="zh-CN"/>
        </w:rPr>
        <w:t>的</w:t>
      </w:r>
      <w:r>
        <w:rPr>
          <w:rFonts w:hint="eastAsia"/>
          <w:color w:val="auto"/>
          <w:sz w:val="21"/>
          <w:szCs w:val="21"/>
          <w:highlight w:val="none"/>
        </w:rPr>
        <w:t>，如果乙方提交的履约保函的有效期先于合同要求的履约保函有效期到达，乙方应在原提交的履约保函有效期满前15天，无条件办理保函延期手续。否则，视为乙方违约，甲方可在保函到期前将保函金额转为现金存入履约保证金账户。</w:t>
      </w:r>
    </w:p>
    <w:p w14:paraId="459C3AD4">
      <w:pPr>
        <w:pStyle w:val="27"/>
        <w:pageBreakBefore w:val="0"/>
        <w:shd w:val="clear"/>
        <w:kinsoku w:val="0"/>
        <w:wordWrap w:val="0"/>
        <w:topLinePunct w:val="0"/>
        <w:bidi w:val="0"/>
        <w:adjustRightInd w:val="0"/>
        <w:snapToGrid w:val="0"/>
        <w:spacing w:after="0" w:line="360" w:lineRule="auto"/>
        <w:ind w:firstLine="420" w:firstLineChars="200"/>
        <w:rPr>
          <w:color w:val="auto"/>
          <w:sz w:val="21"/>
          <w:szCs w:val="21"/>
          <w:highlight w:val="none"/>
        </w:rPr>
      </w:pPr>
      <w:r>
        <w:rPr>
          <w:rFonts w:hint="eastAsia"/>
          <w:color w:val="auto"/>
          <w:sz w:val="21"/>
          <w:szCs w:val="21"/>
          <w:highlight w:val="none"/>
          <w:lang w:val="en-US" w:eastAsia="zh-CN"/>
        </w:rPr>
        <w:t>9</w:t>
      </w:r>
      <w:r>
        <w:rPr>
          <w:rFonts w:hint="eastAsia"/>
          <w:color w:val="auto"/>
          <w:sz w:val="21"/>
          <w:szCs w:val="21"/>
          <w:highlight w:val="none"/>
        </w:rPr>
        <w:t>.3履约担保期限从合同签订之日起至</w:t>
      </w:r>
      <w:r>
        <w:rPr>
          <w:rFonts w:hint="eastAsia"/>
          <w:color w:val="auto"/>
          <w:sz w:val="21"/>
          <w:szCs w:val="21"/>
          <w:highlight w:val="none"/>
          <w:lang w:val="en-US" w:eastAsia="zh-CN"/>
        </w:rPr>
        <w:t>合同期满</w:t>
      </w:r>
      <w:r>
        <w:rPr>
          <w:rFonts w:hint="eastAsia"/>
          <w:color w:val="auto"/>
          <w:sz w:val="21"/>
          <w:szCs w:val="21"/>
          <w:highlight w:val="none"/>
        </w:rPr>
        <w:t>并结算完毕后，经双方签字7天内保持有效。</w:t>
      </w:r>
    </w:p>
    <w:p w14:paraId="664A8E01">
      <w:pPr>
        <w:pStyle w:val="27"/>
        <w:pageBreakBefore w:val="0"/>
        <w:shd w:val="clear"/>
        <w:kinsoku w:val="0"/>
        <w:wordWrap w:val="0"/>
        <w:topLinePunct w:val="0"/>
        <w:bidi w:val="0"/>
        <w:adjustRightInd w:val="0"/>
        <w:snapToGrid w:val="0"/>
        <w:spacing w:after="0" w:line="360" w:lineRule="auto"/>
        <w:ind w:firstLine="420" w:firstLineChars="200"/>
        <w:rPr>
          <w:color w:val="auto"/>
          <w:sz w:val="21"/>
          <w:szCs w:val="21"/>
          <w:highlight w:val="none"/>
        </w:rPr>
      </w:pPr>
      <w:r>
        <w:rPr>
          <w:rFonts w:hint="eastAsia"/>
          <w:color w:val="auto"/>
          <w:sz w:val="21"/>
          <w:szCs w:val="21"/>
          <w:highlight w:val="none"/>
          <w:lang w:val="en-US" w:eastAsia="zh-CN"/>
        </w:rPr>
        <w:t>9</w:t>
      </w:r>
      <w:r>
        <w:rPr>
          <w:rFonts w:hint="eastAsia"/>
          <w:color w:val="auto"/>
          <w:sz w:val="21"/>
          <w:szCs w:val="21"/>
          <w:highlight w:val="none"/>
        </w:rPr>
        <w:t>.</w:t>
      </w:r>
      <w:r>
        <w:rPr>
          <w:rFonts w:hint="eastAsia"/>
          <w:color w:val="auto"/>
          <w:sz w:val="21"/>
          <w:szCs w:val="21"/>
          <w:highlight w:val="none"/>
          <w:lang w:val="en-US" w:eastAsia="zh-CN"/>
        </w:rPr>
        <w:t>4</w:t>
      </w:r>
      <w:r>
        <w:rPr>
          <w:rFonts w:hint="eastAsia"/>
          <w:color w:val="auto"/>
          <w:sz w:val="21"/>
          <w:szCs w:val="21"/>
          <w:highlight w:val="none"/>
        </w:rPr>
        <w:t>若乙方在合同履行过程中出现食品安全事件、违约等情况，甲方在经核查属实后，有权将履约保函金额转为现金存入履约保证金账户；乙方造成甲方损失的，甲方有权立即没收其履约担保，若造成损失超过履约担保的，还应当对超过部分予以赔偿。</w:t>
      </w:r>
    </w:p>
    <w:p w14:paraId="2B79677D">
      <w:pPr>
        <w:pStyle w:val="27"/>
        <w:pageBreakBefore w:val="0"/>
        <w:shd w:val="clear"/>
        <w:kinsoku w:val="0"/>
        <w:wordWrap w:val="0"/>
        <w:topLinePunct w:val="0"/>
        <w:bidi w:val="0"/>
        <w:adjustRightInd w:val="0"/>
        <w:snapToGrid w:val="0"/>
        <w:spacing w:after="0" w:line="360" w:lineRule="auto"/>
        <w:ind w:firstLine="420" w:firstLineChars="200"/>
        <w:rPr>
          <w:color w:val="auto"/>
          <w:sz w:val="21"/>
          <w:szCs w:val="21"/>
          <w:highlight w:val="none"/>
        </w:rPr>
      </w:pPr>
      <w:r>
        <w:rPr>
          <w:rFonts w:hint="eastAsia"/>
          <w:color w:val="auto"/>
          <w:sz w:val="21"/>
          <w:szCs w:val="21"/>
          <w:highlight w:val="none"/>
          <w:lang w:val="en-US" w:eastAsia="zh-CN"/>
        </w:rPr>
        <w:t>9.5</w:t>
      </w:r>
      <w:r>
        <w:rPr>
          <w:rFonts w:hint="eastAsia"/>
          <w:color w:val="auto"/>
          <w:sz w:val="21"/>
          <w:szCs w:val="21"/>
          <w:highlight w:val="none"/>
        </w:rPr>
        <w:t>下列任何情况发生时，甲方有权行使享有的担保权利：</w:t>
      </w:r>
    </w:p>
    <w:p w14:paraId="00C60EF8">
      <w:pPr>
        <w:pStyle w:val="27"/>
        <w:pageBreakBefore w:val="0"/>
        <w:shd w:val="clear"/>
        <w:kinsoku w:val="0"/>
        <w:wordWrap w:val="0"/>
        <w:topLinePunct w:val="0"/>
        <w:bidi w:val="0"/>
        <w:adjustRightInd w:val="0"/>
        <w:snapToGrid w:val="0"/>
        <w:spacing w:after="0" w:line="360" w:lineRule="auto"/>
        <w:ind w:firstLine="420" w:firstLineChars="200"/>
        <w:rPr>
          <w:color w:val="auto"/>
          <w:sz w:val="21"/>
          <w:szCs w:val="21"/>
          <w:highlight w:val="none"/>
        </w:rPr>
      </w:pPr>
      <w:r>
        <w:rPr>
          <w:rFonts w:hint="eastAsia"/>
          <w:color w:val="auto"/>
          <w:sz w:val="21"/>
          <w:szCs w:val="21"/>
          <w:highlight w:val="none"/>
        </w:rPr>
        <w:t>（1）乙方将本项目转让给他人，或者在投标文件中未说明，且未经甲方同意，将中标项目分包给他人的；</w:t>
      </w:r>
    </w:p>
    <w:p w14:paraId="4AB630F4">
      <w:pPr>
        <w:pStyle w:val="27"/>
        <w:pageBreakBefore w:val="0"/>
        <w:shd w:val="clear"/>
        <w:kinsoku w:val="0"/>
        <w:wordWrap w:val="0"/>
        <w:topLinePunct w:val="0"/>
        <w:bidi w:val="0"/>
        <w:adjustRightInd w:val="0"/>
        <w:snapToGrid w:val="0"/>
        <w:spacing w:after="0" w:line="360" w:lineRule="auto"/>
        <w:ind w:firstLine="420" w:firstLineChars="200"/>
        <w:rPr>
          <w:color w:val="auto"/>
          <w:sz w:val="21"/>
          <w:szCs w:val="21"/>
          <w:highlight w:val="none"/>
        </w:rPr>
      </w:pPr>
      <w:r>
        <w:rPr>
          <w:rFonts w:hint="eastAsia"/>
          <w:color w:val="auto"/>
          <w:sz w:val="21"/>
          <w:szCs w:val="21"/>
          <w:highlight w:val="none"/>
        </w:rPr>
        <w:t>（2）乙方在履行合同期间，违反有关法律法规的规定或合同约定。</w:t>
      </w:r>
    </w:p>
    <w:p w14:paraId="2592C788">
      <w:pPr>
        <w:pStyle w:val="27"/>
        <w:pageBreakBefore w:val="0"/>
        <w:shd w:val="clear"/>
        <w:kinsoku w:val="0"/>
        <w:wordWrap w:val="0"/>
        <w:topLinePunct w:val="0"/>
        <w:bidi w:val="0"/>
        <w:adjustRightInd w:val="0"/>
        <w:snapToGrid w:val="0"/>
        <w:spacing w:after="0" w:line="360" w:lineRule="auto"/>
        <w:ind w:firstLine="420" w:firstLineChars="200"/>
        <w:rPr>
          <w:color w:val="auto"/>
          <w:sz w:val="21"/>
          <w:szCs w:val="21"/>
          <w:highlight w:val="none"/>
        </w:rPr>
      </w:pPr>
      <w:r>
        <w:rPr>
          <w:rFonts w:hint="eastAsia"/>
          <w:color w:val="auto"/>
          <w:sz w:val="21"/>
          <w:szCs w:val="21"/>
          <w:highlight w:val="none"/>
          <w:lang w:val="en-US" w:eastAsia="zh-CN"/>
        </w:rPr>
        <w:t>9.6</w:t>
      </w:r>
      <w:r>
        <w:rPr>
          <w:rFonts w:hint="eastAsia"/>
          <w:color w:val="auto"/>
          <w:sz w:val="21"/>
          <w:szCs w:val="21"/>
          <w:highlight w:val="none"/>
        </w:rPr>
        <w:t>无论因何种原因导致履约担保被甲方扣收，乙方均应在收到甲方书面通知后5个工作日内，向甲方重新足额提交符合本合同要求的履约担保。若乙方未按时补足，甲方有权在未付款项中扣收差额部分。</w:t>
      </w:r>
    </w:p>
    <w:p w14:paraId="09591DF6">
      <w:pPr>
        <w:pStyle w:val="27"/>
        <w:pageBreakBefore w:val="0"/>
        <w:shd w:val="clear"/>
        <w:kinsoku w:val="0"/>
        <w:wordWrap w:val="0"/>
        <w:topLinePunct w:val="0"/>
        <w:bidi w:val="0"/>
        <w:adjustRightInd w:val="0"/>
        <w:snapToGrid w:val="0"/>
        <w:spacing w:after="0" w:line="360" w:lineRule="auto"/>
        <w:ind w:firstLine="420" w:firstLineChars="200"/>
        <w:rPr>
          <w:rFonts w:hint="eastAsia" w:ascii="宋体" w:hAnsi="宋体" w:cs="宋体"/>
          <w:color w:val="auto"/>
          <w:sz w:val="21"/>
          <w:szCs w:val="21"/>
          <w:highlight w:val="none"/>
        </w:rPr>
      </w:pPr>
      <w:r>
        <w:rPr>
          <w:rFonts w:hint="eastAsia"/>
          <w:color w:val="auto"/>
          <w:sz w:val="21"/>
          <w:szCs w:val="21"/>
          <w:highlight w:val="none"/>
          <w:lang w:val="en-US" w:eastAsia="zh-CN"/>
        </w:rPr>
        <w:t>9.7</w:t>
      </w:r>
      <w:r>
        <w:rPr>
          <w:rFonts w:hint="eastAsia"/>
          <w:color w:val="auto"/>
          <w:sz w:val="21"/>
          <w:szCs w:val="21"/>
          <w:highlight w:val="none"/>
        </w:rPr>
        <w:t>在整个项目服务期结束</w:t>
      </w:r>
      <w:r>
        <w:rPr>
          <w:color w:val="auto"/>
          <w:sz w:val="21"/>
          <w:szCs w:val="21"/>
          <w:highlight w:val="none"/>
        </w:rPr>
        <w:t>且</w:t>
      </w:r>
      <w:r>
        <w:rPr>
          <w:rFonts w:hint="eastAsia"/>
          <w:color w:val="auto"/>
          <w:sz w:val="21"/>
          <w:szCs w:val="21"/>
          <w:highlight w:val="none"/>
        </w:rPr>
        <w:t>甲方</w:t>
      </w:r>
      <w:r>
        <w:rPr>
          <w:color w:val="auto"/>
          <w:sz w:val="21"/>
          <w:szCs w:val="21"/>
          <w:highlight w:val="none"/>
        </w:rPr>
        <w:t>扣除乙方应向</w:t>
      </w:r>
      <w:r>
        <w:rPr>
          <w:rFonts w:hint="eastAsia"/>
          <w:color w:val="auto"/>
          <w:sz w:val="21"/>
          <w:szCs w:val="21"/>
          <w:highlight w:val="none"/>
          <w:lang w:val="en-US" w:eastAsia="zh-CN"/>
        </w:rPr>
        <w:t>甲方</w:t>
      </w:r>
      <w:r>
        <w:rPr>
          <w:color w:val="auto"/>
          <w:sz w:val="21"/>
          <w:szCs w:val="21"/>
          <w:highlight w:val="none"/>
        </w:rPr>
        <w:t>支付的违约金、赔偿金及所有未结费用</w:t>
      </w:r>
      <w:r>
        <w:rPr>
          <w:rFonts w:hint="eastAsia"/>
          <w:color w:val="auto"/>
          <w:sz w:val="21"/>
          <w:szCs w:val="21"/>
          <w:highlight w:val="none"/>
        </w:rPr>
        <w:t>后，乙方向甲方提交退回履约担保的申请，甲方办理履约担保退还手续。</w:t>
      </w:r>
    </w:p>
    <w:p w14:paraId="63F3E08B">
      <w:pPr>
        <w:pStyle w:val="27"/>
        <w:pageBreakBefore w:val="0"/>
        <w:shd w:val="clear"/>
        <w:kinsoku w:val="0"/>
        <w:wordWrap w:val="0"/>
        <w:topLinePunct w:val="0"/>
        <w:bidi w:val="0"/>
        <w:adjustRightInd w:val="0"/>
        <w:snapToGrid w:val="0"/>
        <w:spacing w:after="0" w:line="360" w:lineRule="auto"/>
        <w:ind w:firstLine="420" w:firstLineChars="200"/>
        <w:rPr>
          <w:rFonts w:hint="eastAsia" w:ascii="宋体" w:hAnsi="宋体" w:cs="宋体"/>
          <w:color w:val="auto"/>
          <w:sz w:val="21"/>
          <w:szCs w:val="21"/>
          <w:highlight w:val="none"/>
        </w:rPr>
      </w:pPr>
    </w:p>
    <w:p w14:paraId="4683A85F">
      <w:pPr>
        <w:pStyle w:val="27"/>
        <w:pageBreakBefore w:val="0"/>
        <w:shd w:val="clear"/>
        <w:kinsoku w:val="0"/>
        <w:wordWrap w:val="0"/>
        <w:topLinePunct w:val="0"/>
        <w:bidi w:val="0"/>
        <w:adjustRightInd w:val="0"/>
        <w:snapToGrid w:val="0"/>
        <w:spacing w:after="0" w:line="360" w:lineRule="auto"/>
        <w:rPr>
          <w:rFonts w:hint="eastAsia" w:ascii="宋体" w:hAnsi="宋体" w:cs="宋体"/>
          <w:b/>
          <w:color w:val="auto"/>
          <w:sz w:val="21"/>
          <w:szCs w:val="21"/>
          <w:highlight w:val="none"/>
        </w:rPr>
      </w:pPr>
      <w:r>
        <w:rPr>
          <w:rFonts w:hint="eastAsia" w:ascii="宋体" w:hAnsi="宋体" w:cs="宋体"/>
          <w:b/>
          <w:color w:val="auto"/>
          <w:sz w:val="21"/>
          <w:szCs w:val="21"/>
          <w:highlight w:val="none"/>
        </w:rPr>
        <w:t>第七条  其它约定及验收标准</w:t>
      </w:r>
    </w:p>
    <w:p w14:paraId="6F03EDC2">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一）验收标准：</w:t>
      </w:r>
    </w:p>
    <w:p w14:paraId="669CAA6C">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1.项目验收依次序对照执行标准：</w:t>
      </w:r>
    </w:p>
    <w:p w14:paraId="5EAB01DF">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1.1符合中华人民共和国国家和履约地相关安全质量标准、行业技术规范标准；</w:t>
      </w:r>
    </w:p>
    <w:p w14:paraId="7A4F84D4">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1.2符合招标文件和响应承诺中各方共同认可的各项要求；</w:t>
      </w:r>
    </w:p>
    <w:p w14:paraId="016978FD">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1.3符合货物来源国官方颁布标准。</w:t>
      </w:r>
    </w:p>
    <w:p w14:paraId="2758860C">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1.4上述各类标准与法规必须是有关官方机构最新发布的现行标准版本。 </w:t>
      </w:r>
    </w:p>
    <w:p w14:paraId="231D9A10">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做好卸货前的检查：甲方和乙方双方的验收人员卸货前应对场地和验收设备做好准备，并对商品的外观质量进行初步了解。如发现食品有损坏情况等，应在相关单据上记录损坏情况，建议对损坏情况进行拍照存档。保证斤两的准确性，经甲方的验货数量为准，乙方每次随货送上一式两份的送货单，甲方验货后签订确认，甲方、乙方双方各持一份，作为收货、结算的凭证。</w:t>
      </w:r>
    </w:p>
    <w:p w14:paraId="791A84F1">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食品运输采用符合国家标准的外包装和运输工具：保持清洁和定期消毒，车厢内无不良气味、异味。冷藏、冷冻食品采用专用冷藏、冷冻载具运输，在运输过程中保持安全的冷藏、冷冻温度，冷冻食品没有曾经解冻痕迹或软化现象，包装呈干爽状态。食品应清洁，无损伤、腐烂现象，外包装完整，无寄生虫或已受虫害现象。</w:t>
      </w:r>
    </w:p>
    <w:p w14:paraId="3D23CAA6">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4.采取现场验收的方式：验收人员应认真检查物资的质量，按索票—验证—抽查—过磅—入库的程序完成验收，乙方可提供原件的留原件，原件只有一份而无法提供给甲方的查验原件后索取复印件留存。</w:t>
      </w:r>
    </w:p>
    <w:p w14:paraId="0F0715A9">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5.每批次每种货物均抽查验收。</w:t>
      </w:r>
    </w:p>
    <w:p w14:paraId="645FEAD0">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6.按项目需求的描述要求对货物质量进行抽查。</w:t>
      </w:r>
    </w:p>
    <w:p w14:paraId="3E4C8583">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7.抽查发现食品安全质量问题的处理：</w:t>
      </w:r>
    </w:p>
    <w:p w14:paraId="7C0A86D3">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7.1对危及人身安全的食品质量问题采取零容忍措施，一经发现，当日所送同批次产品全部退货，如水产品中发现河豚鱼，发现腐败变质肉类等；</w:t>
      </w:r>
    </w:p>
    <w:p w14:paraId="16FE3586">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7.2若抽查未发现问题，而在加工食用前发现部分产品质量问题</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品质不达标问题</w:t>
      </w:r>
      <w:r>
        <w:rPr>
          <w:rFonts w:hint="eastAsia" w:ascii="宋体" w:hAnsi="宋体" w:cs="宋体"/>
          <w:color w:val="auto"/>
          <w:szCs w:val="21"/>
          <w:highlight w:val="none"/>
        </w:rPr>
        <w:t>，应立即通知</w:t>
      </w:r>
      <w:r>
        <w:rPr>
          <w:rFonts w:hint="eastAsia"/>
          <w:color w:val="auto"/>
          <w:highlight w:val="none"/>
          <w:lang w:val="en-US" w:eastAsia="zh-CN"/>
        </w:rPr>
        <w:t>采购人需求部门、财务部（仓库）</w:t>
      </w:r>
      <w:r>
        <w:rPr>
          <w:rFonts w:hint="eastAsia" w:ascii="宋体" w:hAnsi="宋体" w:cs="宋体"/>
          <w:color w:val="auto"/>
          <w:szCs w:val="21"/>
          <w:highlight w:val="none"/>
        </w:rPr>
        <w:t>及乙方，将问题产品退货处理。</w:t>
      </w:r>
    </w:p>
    <w:p w14:paraId="77A1E50E">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7.3如有任何货品未能达标，乙方保证收到通知后当天内，全数更换，并承担所有有关费用。如遇紧急情况，乙方应配合酒店及时退换货，如果未及时退换，致使酒店自行采购或者找其他供应商送货，由此产生的差价由乙方承担，如果因此影响酒店运营，造成的经济损失由乙方承担。</w:t>
      </w:r>
    </w:p>
    <w:p w14:paraId="0076DB60">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8.抽查发现资质证照不全问题的处理：</w:t>
      </w:r>
    </w:p>
    <w:p w14:paraId="4FBC25C6">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8.1整批产品无政府部门出具的产品合格证的全部退货；</w:t>
      </w:r>
    </w:p>
    <w:p w14:paraId="4C198943">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8.2抽查发现部分产品无政府部门出具的产品合格证，将无产品合格证的货物退货；再加抽15%，两次抽查数50%以上没有产品合格证的，全部退货；</w:t>
      </w:r>
    </w:p>
    <w:p w14:paraId="13EFB38F">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8.3整批产品有省地市出具的产品合格证，随箱产品合格证不齐全的，将无产品合格证明的货物退货；再加抽15%，两次抽查数50%以上没有产品合格证的，全部退货。</w:t>
      </w:r>
    </w:p>
    <w:p w14:paraId="28957A42">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w:t>
      </w:r>
      <w:r>
        <w:rPr>
          <w:rFonts w:hint="eastAsia" w:ascii="宋体" w:hAnsi="宋体" w:cs="宋体"/>
          <w:color w:val="auto"/>
          <w:szCs w:val="21"/>
          <w:highlight w:val="none"/>
          <w:lang w:eastAsia="zh-CN"/>
        </w:rPr>
        <w:t>甲方</w:t>
      </w:r>
      <w:r>
        <w:rPr>
          <w:rFonts w:hint="eastAsia" w:ascii="宋体" w:hAnsi="宋体" w:cs="宋体"/>
          <w:color w:val="auto"/>
          <w:szCs w:val="21"/>
          <w:highlight w:val="none"/>
        </w:rPr>
        <w:t>抽样送检发现不合格的处理：</w:t>
      </w:r>
    </w:p>
    <w:p w14:paraId="741F6572">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9.1 </w:t>
      </w:r>
      <w:r>
        <w:rPr>
          <w:rFonts w:hint="eastAsia" w:ascii="宋体" w:hAnsi="宋体" w:cs="宋体"/>
          <w:color w:val="auto"/>
          <w:szCs w:val="21"/>
          <w:highlight w:val="none"/>
          <w:lang w:eastAsia="zh-CN"/>
        </w:rPr>
        <w:t>甲方</w:t>
      </w:r>
      <w:r>
        <w:rPr>
          <w:rFonts w:hint="eastAsia" w:ascii="宋体" w:hAnsi="宋体" w:cs="宋体"/>
          <w:color w:val="auto"/>
          <w:szCs w:val="21"/>
          <w:highlight w:val="none"/>
        </w:rPr>
        <w:t>有权按照国家及行业相关标准，对</w:t>
      </w:r>
      <w:r>
        <w:rPr>
          <w:rFonts w:hint="eastAsia" w:ascii="宋体" w:hAnsi="宋体" w:cs="宋体"/>
          <w:color w:val="auto"/>
          <w:szCs w:val="21"/>
          <w:highlight w:val="none"/>
          <w:lang w:eastAsia="zh-CN"/>
        </w:rPr>
        <w:t>乙方</w:t>
      </w:r>
      <w:r>
        <w:rPr>
          <w:rFonts w:hint="eastAsia" w:ascii="宋体" w:hAnsi="宋体" w:cs="宋体"/>
          <w:color w:val="auto"/>
          <w:szCs w:val="21"/>
          <w:highlight w:val="none"/>
        </w:rPr>
        <w:t>供应的食材进行现场抽样或送第三方机构检验，抽样检验工作由</w:t>
      </w:r>
      <w:r>
        <w:rPr>
          <w:rFonts w:hint="eastAsia" w:ascii="宋体" w:hAnsi="宋体" w:cs="宋体"/>
          <w:color w:val="auto"/>
          <w:szCs w:val="21"/>
          <w:highlight w:val="none"/>
          <w:lang w:eastAsia="zh-CN"/>
        </w:rPr>
        <w:t>甲方</w:t>
      </w:r>
      <w:r>
        <w:rPr>
          <w:rFonts w:hint="eastAsia" w:ascii="宋体" w:hAnsi="宋体" w:cs="宋体"/>
          <w:color w:val="auto"/>
          <w:szCs w:val="21"/>
          <w:highlight w:val="none"/>
        </w:rPr>
        <w:t>独立实施，</w:t>
      </w:r>
      <w:r>
        <w:rPr>
          <w:rFonts w:hint="eastAsia" w:ascii="宋体" w:hAnsi="宋体" w:cs="宋体"/>
          <w:color w:val="auto"/>
          <w:szCs w:val="21"/>
          <w:highlight w:val="none"/>
          <w:lang w:eastAsia="zh-CN"/>
        </w:rPr>
        <w:t>乙方</w:t>
      </w:r>
      <w:r>
        <w:rPr>
          <w:rFonts w:hint="eastAsia" w:ascii="宋体" w:hAnsi="宋体" w:cs="宋体"/>
          <w:color w:val="auto"/>
          <w:szCs w:val="21"/>
          <w:highlight w:val="none"/>
        </w:rPr>
        <w:t>应予配合，不得阻挠、干扰抽样过程。</w:t>
      </w:r>
    </w:p>
    <w:p w14:paraId="0326BA0D">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9.2 </w:t>
      </w:r>
      <w:r>
        <w:rPr>
          <w:rFonts w:hint="eastAsia" w:ascii="宋体" w:hAnsi="宋体" w:cs="宋体"/>
          <w:color w:val="auto"/>
          <w:szCs w:val="21"/>
          <w:highlight w:val="none"/>
          <w:lang w:eastAsia="zh-CN"/>
        </w:rPr>
        <w:t>甲方</w:t>
      </w:r>
      <w:r>
        <w:rPr>
          <w:rFonts w:hint="eastAsia" w:ascii="宋体" w:hAnsi="宋体" w:cs="宋体"/>
          <w:color w:val="auto"/>
          <w:szCs w:val="21"/>
          <w:highlight w:val="none"/>
        </w:rPr>
        <w:t>可自行对货物进行抽样送检，检测报告显示部分产品检测结果不合格的，</w:t>
      </w:r>
      <w:r>
        <w:rPr>
          <w:rFonts w:hint="eastAsia" w:ascii="宋体" w:hAnsi="宋体" w:cs="宋体"/>
          <w:color w:val="auto"/>
          <w:szCs w:val="21"/>
          <w:highlight w:val="none"/>
          <w:lang w:eastAsia="zh-CN"/>
        </w:rPr>
        <w:t>甲方</w:t>
      </w:r>
      <w:r>
        <w:rPr>
          <w:rFonts w:hint="eastAsia" w:ascii="宋体" w:hAnsi="宋体" w:cs="宋体"/>
          <w:color w:val="auto"/>
          <w:szCs w:val="21"/>
          <w:highlight w:val="none"/>
        </w:rPr>
        <w:t>有权对该部分不合格产品作退货处理；并对该批次产品进行追加抽样复检，若第二次抽样的产品检验结果仍有不合格，</w:t>
      </w:r>
      <w:r>
        <w:rPr>
          <w:rFonts w:hint="eastAsia" w:ascii="宋体" w:hAnsi="宋体" w:cs="宋体"/>
          <w:color w:val="auto"/>
          <w:szCs w:val="21"/>
          <w:highlight w:val="none"/>
          <w:lang w:eastAsia="zh-CN"/>
        </w:rPr>
        <w:t>甲方</w:t>
      </w:r>
      <w:r>
        <w:rPr>
          <w:rFonts w:hint="eastAsia" w:ascii="宋体" w:hAnsi="宋体" w:cs="宋体"/>
          <w:color w:val="auto"/>
          <w:szCs w:val="21"/>
          <w:highlight w:val="none"/>
        </w:rPr>
        <w:t>有权对整批产品全部退货，</w:t>
      </w:r>
      <w:r>
        <w:rPr>
          <w:rFonts w:hint="eastAsia" w:ascii="宋体" w:hAnsi="宋体" w:cs="宋体"/>
          <w:color w:val="auto"/>
          <w:szCs w:val="21"/>
          <w:highlight w:val="none"/>
          <w:lang w:eastAsia="zh-CN"/>
        </w:rPr>
        <w:t>乙方</w:t>
      </w:r>
      <w:r>
        <w:rPr>
          <w:rFonts w:hint="eastAsia" w:ascii="宋体" w:hAnsi="宋体" w:cs="宋体"/>
          <w:color w:val="auto"/>
          <w:szCs w:val="21"/>
          <w:highlight w:val="none"/>
        </w:rPr>
        <w:t>须承担由此产生的一切损失。</w:t>
      </w:r>
    </w:p>
    <w:p w14:paraId="6F79A57D">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9.3 经检验，整批食材检验结果不合格的，甲方有权对该批次全部食材予以退货，</w:t>
      </w:r>
      <w:r>
        <w:rPr>
          <w:rFonts w:hint="eastAsia" w:ascii="宋体" w:hAnsi="宋体" w:cs="宋体"/>
          <w:color w:val="auto"/>
          <w:szCs w:val="21"/>
          <w:highlight w:val="none"/>
          <w:lang w:eastAsia="zh-CN"/>
        </w:rPr>
        <w:t>乙方</w:t>
      </w:r>
      <w:r>
        <w:rPr>
          <w:rFonts w:hint="eastAsia" w:ascii="宋体" w:hAnsi="宋体" w:cs="宋体"/>
          <w:color w:val="auto"/>
          <w:szCs w:val="21"/>
          <w:highlight w:val="none"/>
        </w:rPr>
        <w:t>须承担由此产生的一切损失。</w:t>
      </w:r>
    </w:p>
    <w:p w14:paraId="7E2A3E34">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货物的质量问题争议及解决办法：因货物的质量问题发生争议，由东莞市市场监督管理局或国家法定的质量鉴定相关单位进行质量鉴定。货物符合质量标准的，鉴定费由甲方承担；货物不符合质量标准的，鉴定费由乙方承担，并且甲方有权追究乙方的相关责任。</w:t>
      </w:r>
    </w:p>
    <w:p w14:paraId="568EEDB9">
      <w:pPr>
        <w:shd w:val="clear"/>
        <w:kinsoku w:val="0"/>
        <w:wordWrap w:val="0"/>
        <w:spacing w:after="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11</w:t>
      </w:r>
      <w:r>
        <w:rPr>
          <w:rFonts w:hint="eastAsia" w:ascii="宋体" w:hAnsi="宋体" w:cs="宋体"/>
          <w:color w:val="auto"/>
          <w:szCs w:val="21"/>
          <w:highlight w:val="none"/>
        </w:rPr>
        <w:t>.若采购的为进口产品，中标人应保证所供产品可履行合法报通关手续进入中国关境内，且需向采购人提供进口食品的合法证明、</w:t>
      </w:r>
      <w:r>
        <w:rPr>
          <w:rFonts w:hint="eastAsia"/>
          <w:color w:val="auto"/>
          <w:highlight w:val="none"/>
        </w:rPr>
        <w:t>检验检疫证明、报关证明、出口国家出境证明等相关证明材料，缺少相关证明的产品，采购人有权拒收</w:t>
      </w:r>
      <w:r>
        <w:rPr>
          <w:rFonts w:hint="eastAsia" w:ascii="宋体" w:hAnsi="宋体" w:cs="宋体"/>
          <w:color w:val="auto"/>
          <w:szCs w:val="21"/>
          <w:highlight w:val="none"/>
        </w:rPr>
        <w:t>。由此产生的费用及损失将由乙方独立承担，甲方对此不负任何责任，也不作任何赔偿，且乙方应赔偿甲方由此造成的所有损失。</w:t>
      </w:r>
    </w:p>
    <w:p w14:paraId="21596B2F">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二）其他约定：</w:t>
      </w:r>
    </w:p>
    <w:p w14:paraId="61648C72">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1、严禁转包，未经甲方书面同意不得分包。</w:t>
      </w:r>
    </w:p>
    <w:p w14:paraId="354A282A">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2、乙方全部工作人员，须符合东莞市政府用工标准要求。</w:t>
      </w:r>
    </w:p>
    <w:p w14:paraId="36296A2B">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3、乙方服务人员进行服务期间的过失或故意行为，造成甲方经济损失的，由乙方负责赔偿。</w:t>
      </w:r>
    </w:p>
    <w:p w14:paraId="15F7C61A">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4、服务人员的劳动关系隶属乙方，乙方负责服务人员的工资、节假日和超时加班补助费、社会保险、住宿、伙食等。</w:t>
      </w:r>
    </w:p>
    <w:p w14:paraId="02CA45E7">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5、乙方负责本项目服务人员购买因意外身故或伤残和因意外事故住院治疗保险，并负责办理一切保险赔偿手续。</w:t>
      </w:r>
    </w:p>
    <w:p w14:paraId="4AF26060">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6、乙方须购买食品安全责任险，并在成为甲方正式供应商后于相关采购合同或采购订单的履行期限内始终保持其有效性。</w:t>
      </w:r>
    </w:p>
    <w:p w14:paraId="4758DFEE">
      <w:pPr>
        <w:pageBreakBefore w:val="0"/>
        <w:shd w:val="clear"/>
        <w:kinsoku w:val="0"/>
        <w:wordWrap w:val="0"/>
        <w:topLinePunct w:val="0"/>
        <w:bidi w:val="0"/>
        <w:spacing w:after="0" w:line="360" w:lineRule="auto"/>
        <w:rPr>
          <w:rFonts w:hint="eastAsia" w:ascii="宋体" w:hAnsi="宋体" w:cs="宋体"/>
          <w:b/>
          <w:color w:val="auto"/>
          <w:szCs w:val="21"/>
          <w:highlight w:val="none"/>
        </w:rPr>
      </w:pPr>
      <w:r>
        <w:rPr>
          <w:rFonts w:hint="eastAsia" w:ascii="宋体" w:hAnsi="宋体" w:cs="宋体"/>
          <w:b/>
          <w:color w:val="auto"/>
          <w:szCs w:val="21"/>
          <w:highlight w:val="none"/>
        </w:rPr>
        <w:t>第八条 违约责任</w:t>
      </w:r>
    </w:p>
    <w:p w14:paraId="23675401">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合同双方任何一方不履行合同条款或不按合同约定履行条款的其它情况，均属违约，由违约方承担违约责任，除按约定支付违约金外，还需赔偿因其违约造成的损失。该等损失包括但不限于直接经济损失（如采购差价、检验仓储等费用）、对第三方承担的违约责任、因食品安全问题引发的全部赔偿与费用、行政处罚、商誉损失，以及守约方为追究违约方责任所支付的全部合理费用等。</w:t>
      </w:r>
    </w:p>
    <w:p w14:paraId="2FD0F361">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2、由于乙方的原因，导致双方签订的合同终止，乙方因此而遭受的损失，将由乙方独立承担，甲方对此不负任何责任，也不作任何赔偿，且乙方应赔偿甲方由此造成的所有损失。</w:t>
      </w:r>
    </w:p>
    <w:p w14:paraId="320662F2">
      <w:pPr>
        <w:pageBreakBefore w:val="0"/>
        <w:shd w:val="clear"/>
        <w:kinsoku w:val="0"/>
        <w:wordWrap w:val="0"/>
        <w:topLinePunct w:val="0"/>
        <w:bidi w:val="0"/>
        <w:spacing w:after="0" w:line="360" w:lineRule="auto"/>
        <w:ind w:firstLine="420" w:firstLineChars="200"/>
        <w:jc w:val="both"/>
        <w:rPr>
          <w:rFonts w:hint="eastAsia" w:ascii="宋体" w:hAnsi="宋体" w:cs="宋体"/>
          <w:color w:val="auto"/>
          <w:szCs w:val="21"/>
          <w:highlight w:val="none"/>
        </w:rPr>
      </w:pPr>
      <w:r>
        <w:rPr>
          <w:rFonts w:hint="eastAsia" w:ascii="宋体" w:hAnsi="宋体" w:cs="宋体"/>
          <w:color w:val="auto"/>
          <w:szCs w:val="21"/>
          <w:highlight w:val="none"/>
        </w:rPr>
        <w:t>3、如未经甲方书面许可，乙方将本合同项下工作整体或主要部分转包及/或分包给第三方的，甲方有权单方解除本合同，</w:t>
      </w:r>
      <w:r>
        <w:rPr>
          <w:rStyle w:val="39"/>
          <w:rFonts w:hint="eastAsia" w:ascii="宋体" w:hAnsi="宋体" w:cs="宋体"/>
          <w:color w:val="auto"/>
          <w:highlight w:val="none"/>
          <w:lang w:val="en-US" w:eastAsia="zh-CN"/>
        </w:rPr>
        <w:t>没收履约担保</w:t>
      </w:r>
      <w:r>
        <w:rPr>
          <w:rFonts w:hint="eastAsia" w:ascii="宋体" w:hAnsi="宋体" w:cs="宋体"/>
          <w:color w:val="auto"/>
          <w:szCs w:val="21"/>
          <w:highlight w:val="none"/>
        </w:rPr>
        <w:t>，给甲方造成损失的，甲方有权向乙方主张赔偿全部损失。</w:t>
      </w:r>
    </w:p>
    <w:p w14:paraId="07FAFF42">
      <w:pPr>
        <w:pageBreakBefore w:val="0"/>
        <w:shd w:val="clear"/>
        <w:kinsoku w:val="0"/>
        <w:wordWrap w:val="0"/>
        <w:topLinePunct w:val="0"/>
        <w:bidi w:val="0"/>
        <w:spacing w:after="0" w:line="360" w:lineRule="auto"/>
        <w:ind w:firstLine="420" w:firstLineChars="200"/>
        <w:jc w:val="both"/>
        <w:rPr>
          <w:rFonts w:hint="eastAsia" w:ascii="宋体" w:hAnsi="宋体" w:cs="宋体"/>
          <w:color w:val="auto"/>
          <w:szCs w:val="21"/>
          <w:highlight w:val="none"/>
        </w:rPr>
      </w:pPr>
      <w:r>
        <w:rPr>
          <w:rFonts w:hint="eastAsia" w:ascii="宋体" w:hAnsi="宋体" w:cs="宋体"/>
          <w:color w:val="auto"/>
          <w:szCs w:val="21"/>
          <w:highlight w:val="none"/>
        </w:rPr>
        <w:t>4、乙方应保证提供的食材均符合国家及地方食品安全标准，无任何质量问题(包括但不限于食材的新鲜度、卫生状况、有效期、无有害物质残留等),若乙方提供的食材存在质量问题，乙方应承担相应的赔偿责任，包括但不限于退货、换货、赔偿直接经济损失及因质量问题引发的其他合理费用。</w:t>
      </w:r>
    </w:p>
    <w:p w14:paraId="153AB229">
      <w:pPr>
        <w:pageBreakBefore w:val="0"/>
        <w:shd w:val="clear"/>
        <w:kinsoku w:val="0"/>
        <w:wordWrap w:val="0"/>
        <w:topLinePunct w:val="0"/>
        <w:bidi w:val="0"/>
        <w:spacing w:after="0" w:line="360" w:lineRule="auto"/>
        <w:ind w:firstLine="420" w:firstLineChars="200"/>
        <w:jc w:val="both"/>
        <w:rPr>
          <w:rFonts w:hint="eastAsia" w:ascii="宋体" w:hAnsi="宋体" w:cs="宋体"/>
          <w:color w:val="auto"/>
          <w:szCs w:val="21"/>
          <w:highlight w:val="none"/>
        </w:rPr>
      </w:pPr>
      <w:r>
        <w:rPr>
          <w:rFonts w:hint="eastAsia" w:ascii="宋体" w:hAnsi="宋体" w:cs="宋体"/>
          <w:color w:val="auto"/>
          <w:szCs w:val="21"/>
          <w:highlight w:val="none"/>
        </w:rPr>
        <w:t>5、甲方有权自应付而未付款项中直接抵扣乙方应付之违约金、赔偿款等。</w:t>
      </w:r>
    </w:p>
    <w:p w14:paraId="432D0328">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6、针对</w:t>
      </w:r>
      <w:r>
        <w:rPr>
          <w:rFonts w:hint="eastAsia" w:ascii="宋体" w:hAnsi="宋体" w:cs="宋体"/>
          <w:color w:val="auto"/>
          <w:szCs w:val="21"/>
          <w:highlight w:val="none"/>
          <w:lang w:val="en-US" w:eastAsia="zh-CN"/>
        </w:rPr>
        <w:t>乙方</w:t>
      </w:r>
      <w:r>
        <w:rPr>
          <w:rFonts w:hint="eastAsia" w:ascii="宋体" w:hAnsi="宋体" w:cs="宋体"/>
          <w:color w:val="auto"/>
          <w:szCs w:val="21"/>
          <w:highlight w:val="none"/>
        </w:rPr>
        <w:t>在</w:t>
      </w:r>
      <w:r>
        <w:rPr>
          <w:rFonts w:hint="eastAsia" w:ascii="宋体" w:hAnsi="宋体" w:cs="宋体"/>
          <w:color w:val="auto"/>
          <w:szCs w:val="21"/>
          <w:highlight w:val="none"/>
          <w:lang w:val="en-US" w:eastAsia="zh-CN"/>
        </w:rPr>
        <w:t>合同履行</w:t>
      </w:r>
      <w:r>
        <w:rPr>
          <w:rFonts w:hint="eastAsia" w:ascii="宋体" w:hAnsi="宋体" w:cs="宋体"/>
          <w:color w:val="auto"/>
          <w:szCs w:val="21"/>
          <w:highlight w:val="none"/>
        </w:rPr>
        <w:t>过程中出现的违反采购文件或合同约定的行为，甲方有权对</w:t>
      </w:r>
      <w:r>
        <w:rPr>
          <w:rFonts w:hint="eastAsia" w:ascii="宋体" w:hAnsi="宋体" w:cs="宋体"/>
          <w:color w:val="auto"/>
          <w:szCs w:val="21"/>
          <w:highlight w:val="none"/>
          <w:lang w:val="en-US" w:eastAsia="zh-CN"/>
        </w:rPr>
        <w:t>乙方</w:t>
      </w:r>
      <w:r>
        <w:rPr>
          <w:rFonts w:hint="eastAsia" w:ascii="宋体" w:hAnsi="宋体" w:cs="宋体"/>
          <w:color w:val="auto"/>
          <w:szCs w:val="21"/>
          <w:highlight w:val="none"/>
        </w:rPr>
        <w:t xml:space="preserve">收取违约金，违约金从未结配送费中扣除。情节严重的,甲方有权单方终止合同,并依法追究中标人法律责任。 </w:t>
      </w:r>
    </w:p>
    <w:p w14:paraId="1A5CF704">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（1）乙方没有使用专用冷藏、冷冻载具运输配送的，按当批货物货值的5%收取违约金，且甲方有权拒收该批次所有货品。</w:t>
      </w:r>
    </w:p>
    <w:p w14:paraId="4FC0073B">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（2）乙方提供过期、变质货品的，问题产品同批次产品全部予以退货，按当批货物货值的</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%收取违约金，违约金不足以弥补甲方损失的，乙方还需补足。</w:t>
      </w:r>
      <w:r>
        <w:rPr>
          <w:rFonts w:hint="eastAsia" w:ascii="宋体" w:hAnsi="宋体" w:cs="宋体"/>
          <w:color w:val="auto"/>
          <w:szCs w:val="21"/>
          <w:highlight w:val="none"/>
          <w:lang w:val="en-US" w:eastAsia="zh-CN"/>
        </w:rPr>
        <w:t>乙方还须执行甲方的退、换货要求。</w:t>
      </w:r>
      <w:r>
        <w:rPr>
          <w:rFonts w:hint="eastAsia" w:ascii="宋体" w:hAnsi="宋体" w:cs="宋体"/>
          <w:color w:val="auto"/>
          <w:szCs w:val="21"/>
          <w:highlight w:val="none"/>
        </w:rPr>
        <w:t>造成食品安全问题的，乙方应依法承担责任，且甲方有权拒收该批次所有货品。</w:t>
      </w:r>
    </w:p>
    <w:p w14:paraId="33921CB8">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（3）乙方供货数量与甲方订单偏差超过±10%但没有事先说明的，每次提交违约金人民币500元。 </w:t>
      </w:r>
    </w:p>
    <w:p w14:paraId="4CD78AFC">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（4）乙方接受了甲方的采购订单，但不能按要求提供配送服务，导致甲方供餐受影响的，每次按货值的</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 xml:space="preserve">%处以违约金。 </w:t>
      </w:r>
    </w:p>
    <w:p w14:paraId="652F34C4">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（5）已经定价的货品，乙方称没货，但甲方能通过常规途径在市场、超市等场所购买到所需数量的，每次按货值的</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 xml:space="preserve">%处以违约金。 </w:t>
      </w:r>
    </w:p>
    <w:p w14:paraId="5D5DEBD8">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（6）乙方货品溯源制度不落实、进货查验记录不全的，每次按货值的3%处以违约金。</w:t>
      </w:r>
    </w:p>
    <w:p w14:paraId="07D1B17A">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（7）乙方上述违约行为单独累计发生已达3次的，再发生时每次提交违约金人民币1000元(若合同其他地方约定的违约金高于1千元，按高者执行)，且甲方有权单方终止合同。</w:t>
      </w:r>
    </w:p>
    <w:p w14:paraId="464DD3E3">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（8）乙方无故中途退出，</w:t>
      </w:r>
      <w:r>
        <w:rPr>
          <w:rFonts w:hint="eastAsia" w:ascii="宋体" w:hAnsi="宋体" w:cs="宋体"/>
          <w:color w:val="auto"/>
          <w:szCs w:val="21"/>
          <w:highlight w:val="none"/>
          <w:lang w:val="en-US" w:eastAsia="zh-CN"/>
        </w:rPr>
        <w:t>甲方有权</w:t>
      </w:r>
      <w:r>
        <w:rPr>
          <w:rStyle w:val="39"/>
          <w:rFonts w:hint="eastAsia" w:ascii="宋体" w:hAnsi="宋体" w:cs="宋体"/>
          <w:color w:val="auto"/>
          <w:highlight w:val="none"/>
          <w:lang w:val="en-US" w:eastAsia="zh-CN"/>
        </w:rPr>
        <w:t>没收履约担保</w:t>
      </w:r>
      <w:r>
        <w:rPr>
          <w:rFonts w:hint="eastAsia" w:ascii="宋体" w:hAnsi="宋体" w:cs="宋体"/>
          <w:color w:val="auto"/>
          <w:szCs w:val="21"/>
          <w:highlight w:val="none"/>
        </w:rPr>
        <w:t>。</w:t>
      </w:r>
    </w:p>
    <w:p w14:paraId="73290243">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（9）本项目服务期间，乙方必须独立经营，不得以挂靠形式经营，不得存在违法分包、转包等情况，一经发现上述任意情况，甲方有权单方无条件终止合同，没收履约</w:t>
      </w:r>
      <w:r>
        <w:rPr>
          <w:rFonts w:hint="eastAsia" w:ascii="宋体" w:hAnsi="宋体" w:cs="宋体"/>
          <w:color w:val="auto"/>
          <w:szCs w:val="21"/>
          <w:highlight w:val="none"/>
          <w:lang w:val="en-US" w:eastAsia="zh-CN"/>
        </w:rPr>
        <w:t>担</w:t>
      </w:r>
      <w:r>
        <w:rPr>
          <w:rFonts w:hint="eastAsia" w:ascii="宋体" w:hAnsi="宋体" w:cs="宋体"/>
          <w:color w:val="auto"/>
          <w:szCs w:val="21"/>
          <w:highlight w:val="none"/>
        </w:rPr>
        <w:t>保，并将乙方纳入合作黑名单，期限为2年，时间以合同终止日起算，被列入黑名单的单位在规定期限内不得参与东实集团项目投标。</w:t>
      </w:r>
    </w:p>
    <w:p w14:paraId="6A3509CA">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 乙方在投标文件中或本合同项下作出的任何陈述、保证被证实为不真实、不准确或不完整，或其提供的关键资质、许可证明文件失效，且未能在甲方发出书面通知后15个工作日内重新提供有效的文件或令甲方满意的补救措施。在此情况下，</w:t>
      </w:r>
      <w:r>
        <w:rPr>
          <w:rFonts w:hint="eastAsia" w:ascii="宋体" w:hAnsi="宋体" w:cs="宋体"/>
          <w:color w:val="auto"/>
          <w:szCs w:val="21"/>
          <w:highlight w:val="none"/>
          <w:lang w:val="en-US" w:eastAsia="zh-CN"/>
        </w:rPr>
        <w:t>甲方有权</w:t>
      </w:r>
      <w:r>
        <w:rPr>
          <w:rStyle w:val="39"/>
          <w:rFonts w:hint="eastAsia" w:ascii="宋体" w:hAnsi="宋体" w:cs="宋体"/>
          <w:color w:val="auto"/>
          <w:highlight w:val="none"/>
          <w:lang w:val="en-US" w:eastAsia="zh-CN"/>
        </w:rPr>
        <w:t>没收履约担保</w:t>
      </w:r>
      <w:r>
        <w:rPr>
          <w:rFonts w:hint="eastAsia" w:ascii="宋体" w:hAnsi="宋体" w:cs="宋体"/>
          <w:color w:val="auto"/>
          <w:szCs w:val="21"/>
          <w:highlight w:val="none"/>
        </w:rPr>
        <w:t>。</w:t>
      </w:r>
    </w:p>
    <w:p w14:paraId="5F0F3A02">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（11）乙方进入破产、清算、解散程序，或发生其他严重的经营或财务困难（包括但不限于主要资产被查封、冻结，或停止营业），导致甲方有合理理由认为其无法继续履行本合同主要义务。甲方有权解除合同，</w:t>
      </w:r>
      <w:r>
        <w:rPr>
          <w:rStyle w:val="39"/>
          <w:rFonts w:hint="eastAsia" w:ascii="宋体" w:hAnsi="宋体" w:cs="宋体"/>
          <w:color w:val="auto"/>
          <w:highlight w:val="none"/>
          <w:lang w:val="en-US" w:eastAsia="zh-CN"/>
        </w:rPr>
        <w:t>没收履约担保</w:t>
      </w:r>
      <w:r>
        <w:rPr>
          <w:rFonts w:hint="eastAsia" w:ascii="宋体" w:hAnsi="宋体" w:cs="宋体"/>
          <w:color w:val="auto"/>
          <w:szCs w:val="21"/>
          <w:highlight w:val="none"/>
        </w:rPr>
        <w:t>。</w:t>
      </w:r>
    </w:p>
    <w:p w14:paraId="5EEBB258">
      <w:pPr>
        <w:pageBreakBefore w:val="0"/>
        <w:shd w:val="clear"/>
        <w:kinsoku w:val="0"/>
        <w:wordWrap w:val="0"/>
        <w:topLinePunct w:val="0"/>
        <w:bidi w:val="0"/>
        <w:spacing w:after="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（12） 因乙方提供的产品、服务或其行为直接导致发生重大食品安全事故，或因乙方的违法违规经营行为受到市场监管、卫生健康等主管部门作出的责令停产停业、吊销许可证等行政处罚。甲方有权解除合同，</w:t>
      </w:r>
      <w:r>
        <w:rPr>
          <w:rStyle w:val="39"/>
          <w:rFonts w:hint="eastAsia" w:ascii="宋体" w:hAnsi="宋体" w:cs="宋体"/>
          <w:color w:val="auto"/>
          <w:highlight w:val="none"/>
          <w:lang w:val="en-US" w:eastAsia="zh-CN"/>
        </w:rPr>
        <w:t>没收履约担保</w:t>
      </w:r>
      <w:r>
        <w:rPr>
          <w:rFonts w:hint="eastAsia" w:ascii="宋体" w:hAnsi="宋体" w:cs="宋体"/>
          <w:color w:val="auto"/>
          <w:szCs w:val="21"/>
          <w:highlight w:val="none"/>
        </w:rPr>
        <w:t>，并赔偿因此给甲方造成的一切损失。</w:t>
      </w:r>
    </w:p>
    <w:p w14:paraId="105BC6BD">
      <w:pPr>
        <w:pageBreakBefore w:val="0"/>
        <w:shd w:val="clear"/>
        <w:kinsoku w:val="0"/>
        <w:wordWrap w:val="0"/>
        <w:topLinePunct w:val="0"/>
        <w:bidi w:val="0"/>
        <w:spacing w:after="0" w:line="360" w:lineRule="auto"/>
        <w:rPr>
          <w:rFonts w:hint="eastAsia" w:ascii="宋体" w:hAnsi="宋体" w:cs="宋体"/>
          <w:b/>
          <w:color w:val="auto"/>
          <w:szCs w:val="21"/>
          <w:highlight w:val="none"/>
        </w:rPr>
      </w:pPr>
      <w:r>
        <w:rPr>
          <w:rFonts w:hint="eastAsia" w:ascii="宋体" w:hAnsi="宋体" w:cs="宋体"/>
          <w:b/>
          <w:color w:val="auto"/>
          <w:szCs w:val="21"/>
          <w:highlight w:val="none"/>
        </w:rPr>
        <w:t>第九条 争议的解决</w:t>
      </w:r>
    </w:p>
    <w:p w14:paraId="2E9E488F">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1、凡与本合同有关而引起的一切争议，甲乙双方应首先通过友好协商解决，如经协商后仍不能达成协议时，任何一方可以向</w:t>
      </w:r>
      <w:r>
        <w:rPr>
          <w:rFonts w:hint="eastAsia" w:ascii="宋体" w:hAnsi="宋体" w:cs="宋体"/>
          <w:color w:val="auto"/>
          <w:spacing w:val="10"/>
          <w:highlight w:val="none"/>
        </w:rPr>
        <w:t>甲方所在地人民</w:t>
      </w:r>
      <w:r>
        <w:rPr>
          <w:rFonts w:hint="eastAsia" w:ascii="宋体" w:hAnsi="宋体" w:cs="宋体"/>
          <w:color w:val="auto"/>
          <w:szCs w:val="21"/>
          <w:highlight w:val="none"/>
        </w:rPr>
        <w:t>法院提出诉讼。守约方为解决争议所支出的包括但不限于诉讼费、保全费、保险费、律师费、担保费、鉴定费、差旅费、</w:t>
      </w:r>
      <w:r>
        <w:rPr>
          <w:rFonts w:ascii="宋体" w:hAnsi="宋体" w:cs="宋体"/>
          <w:color w:val="auto"/>
          <w:szCs w:val="21"/>
          <w:highlight w:val="none"/>
        </w:rPr>
        <w:t>评估费、调查费</w:t>
      </w:r>
      <w:r>
        <w:rPr>
          <w:rFonts w:hint="eastAsia" w:ascii="宋体" w:hAnsi="宋体" w:cs="宋体"/>
          <w:color w:val="auto"/>
          <w:szCs w:val="21"/>
          <w:highlight w:val="none"/>
        </w:rPr>
        <w:t>等维权费用由违约方承担。</w:t>
      </w:r>
    </w:p>
    <w:p w14:paraId="7899FEFF">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2、在进行法院审理期间，除提交法院审理的事项外，合同其他部分仍继续履行。</w:t>
      </w:r>
    </w:p>
    <w:p w14:paraId="18BA2A16">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shd w:val="clear" w:color="auto" w:fill="FFFFFF"/>
        </w:rPr>
      </w:pPr>
      <w:r>
        <w:rPr>
          <w:rFonts w:hint="eastAsia" w:ascii="宋体" w:hAnsi="宋体" w:cs="宋体"/>
          <w:color w:val="auto"/>
          <w:szCs w:val="21"/>
          <w:highlight w:val="none"/>
        </w:rPr>
        <w:t>3、本合同按照中华人民共和国的法律进行解释</w:t>
      </w:r>
      <w:r>
        <w:rPr>
          <w:rFonts w:hint="eastAsia" w:ascii="宋体" w:hAnsi="宋体" w:cs="宋体"/>
          <w:color w:val="auto"/>
          <w:szCs w:val="21"/>
          <w:highlight w:val="none"/>
          <w:shd w:val="clear" w:color="auto" w:fill="FFFFFF"/>
        </w:rPr>
        <w:t>。</w:t>
      </w:r>
    </w:p>
    <w:p w14:paraId="70532EA8">
      <w:pPr>
        <w:pageBreakBefore w:val="0"/>
        <w:shd w:val="clear"/>
        <w:kinsoku w:val="0"/>
        <w:wordWrap w:val="0"/>
        <w:topLinePunct w:val="0"/>
        <w:bidi w:val="0"/>
        <w:spacing w:after="0" w:line="360" w:lineRule="auto"/>
        <w:rPr>
          <w:rFonts w:hint="eastAsia" w:ascii="宋体" w:hAnsi="宋体" w:cs="宋体"/>
          <w:b/>
          <w:color w:val="auto"/>
          <w:szCs w:val="21"/>
          <w:highlight w:val="none"/>
        </w:rPr>
      </w:pPr>
      <w:r>
        <w:rPr>
          <w:rFonts w:hint="eastAsia" w:ascii="宋体" w:hAnsi="宋体" w:cs="宋体"/>
          <w:b/>
          <w:color w:val="auto"/>
          <w:szCs w:val="21"/>
          <w:highlight w:val="none"/>
        </w:rPr>
        <w:t>第十条 合同生效</w:t>
      </w:r>
    </w:p>
    <w:p w14:paraId="3A773926">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1、本合同由双方法定代表人或委托代理人签字盖章后立即生效，具有同等法律效力，合同有效期随服务期结束而自然终止。</w:t>
      </w:r>
    </w:p>
    <w:p w14:paraId="580C8DFD">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2、本合同一式    份，其中甲方</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 xml:space="preserve">    份、甲方</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 xml:space="preserve">    份、乙方    份。</w:t>
      </w:r>
    </w:p>
    <w:p w14:paraId="0D3511EE">
      <w:pPr>
        <w:pageBreakBefore w:val="0"/>
        <w:shd w:val="clear"/>
        <w:kinsoku w:val="0"/>
        <w:wordWrap w:val="0"/>
        <w:topLinePunct w:val="0"/>
        <w:bidi w:val="0"/>
        <w:spacing w:after="0" w:line="360" w:lineRule="auto"/>
        <w:rPr>
          <w:rFonts w:hint="eastAsia" w:ascii="宋体" w:hAnsi="宋体" w:cs="宋体"/>
          <w:b/>
          <w:color w:val="auto"/>
          <w:szCs w:val="21"/>
          <w:highlight w:val="none"/>
        </w:rPr>
      </w:pPr>
      <w:r>
        <w:rPr>
          <w:rFonts w:hint="eastAsia" w:ascii="宋体" w:hAnsi="宋体" w:cs="宋体"/>
          <w:b/>
          <w:color w:val="auto"/>
          <w:szCs w:val="21"/>
          <w:highlight w:val="none"/>
        </w:rPr>
        <w:t>第十一条 其它</w:t>
      </w:r>
    </w:p>
    <w:p w14:paraId="552AC3A8">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1、本合同未尽事宜，双方可签订补充合同，补充合同与所有附件均为合同的有效组成部分，与本合同具有同等法律效力。</w:t>
      </w:r>
    </w:p>
    <w:p w14:paraId="0D3BC62F">
      <w:pPr>
        <w:pageBreakBefore w:val="0"/>
        <w:shd w:val="clear"/>
        <w:kinsoku w:val="0"/>
        <w:wordWrap w:val="0"/>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2、在执行本合同的过程中，所有经甲乙双方签署确认的文件（包括会议纪要、补充协议、往来信函、合同附件等）即成为本合同的有效组成部分，其生效日期为双方签字盖章或确认之日期。</w:t>
      </w:r>
    </w:p>
    <w:p w14:paraId="5572A180">
      <w:pPr>
        <w:pageBreakBefore w:val="0"/>
        <w:shd w:val="clear"/>
        <w:kinsoku w:val="0"/>
        <w:wordWrap w:val="0"/>
        <w:topLinePunct w:val="0"/>
        <w:bidi w:val="0"/>
        <w:spacing w:after="0"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以下无正文</w:t>
      </w:r>
      <w:r>
        <w:rPr>
          <w:rFonts w:hint="eastAsia" w:ascii="宋体" w:hAnsi="宋体" w:cs="宋体"/>
          <w:color w:val="auto"/>
          <w:sz w:val="21"/>
          <w:szCs w:val="21"/>
          <w:highlight w:val="none"/>
          <w:lang w:eastAsia="zh-CN"/>
        </w:rPr>
        <w:t>）</w:t>
      </w:r>
    </w:p>
    <w:p w14:paraId="50B75798">
      <w:pPr>
        <w:pageBreakBefore w:val="0"/>
        <w:shd w:val="clear"/>
        <w:kinsoku w:val="0"/>
        <w:wordWrap w:val="0"/>
        <w:topLinePunct w:val="0"/>
        <w:bidi w:val="0"/>
        <w:spacing w:after="0"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附件：</w:t>
      </w:r>
    </w:p>
    <w:p w14:paraId="275081A8">
      <w:pPr>
        <w:pageBreakBefore w:val="0"/>
        <w:shd w:val="clear"/>
        <w:kinsoku w:val="0"/>
        <w:wordWrap w:val="0"/>
        <w:topLinePunct w:val="0"/>
        <w:bidi w:val="0"/>
        <w:spacing w:after="0"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附件一：供应商评价表</w:t>
      </w:r>
    </w:p>
    <w:p w14:paraId="0FE805B3">
      <w:pPr>
        <w:pageBreakBefore w:val="0"/>
        <w:shd w:val="clear"/>
        <w:kinsoku w:val="0"/>
        <w:wordWrap w:val="0"/>
        <w:topLinePunct w:val="0"/>
        <w:bidi w:val="0"/>
        <w:spacing w:after="0"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附件二：招标文件（含招标文件澄清通知）</w:t>
      </w:r>
    </w:p>
    <w:p w14:paraId="4B721F88">
      <w:pPr>
        <w:pageBreakBefore w:val="0"/>
        <w:shd w:val="clear"/>
        <w:kinsoku w:val="0"/>
        <w:wordWrap w:val="0"/>
        <w:topLinePunct w:val="0"/>
        <w:bidi w:val="0"/>
        <w:spacing w:after="0"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附件三：中标通知书</w:t>
      </w:r>
    </w:p>
    <w:p w14:paraId="4A8035E3">
      <w:pPr>
        <w:pageBreakBefore w:val="0"/>
        <w:shd w:val="clear"/>
        <w:kinsoku w:val="0"/>
        <w:wordWrap w:val="0"/>
        <w:topLinePunct w:val="0"/>
        <w:bidi w:val="0"/>
        <w:spacing w:after="0"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附件四：投标文件（含澄清内容）</w:t>
      </w:r>
    </w:p>
    <w:p w14:paraId="0CD2D1F6">
      <w:pPr>
        <w:pageBreakBefore w:val="0"/>
        <w:shd w:val="clear"/>
        <w:kinsoku w:val="0"/>
        <w:wordWrap w:val="0"/>
        <w:topLinePunct w:val="0"/>
        <w:bidi w:val="0"/>
        <w:spacing w:after="0" w:line="360" w:lineRule="auto"/>
        <w:ind w:firstLine="420" w:firstLineChars="200"/>
        <w:rPr>
          <w:rFonts w:hint="eastAsia" w:ascii="宋体" w:hAnsi="宋体" w:cs="宋体"/>
          <w:color w:val="auto"/>
          <w:sz w:val="20"/>
          <w:szCs w:val="20"/>
          <w:highlight w:val="none"/>
        </w:rPr>
      </w:pPr>
      <w:r>
        <w:rPr>
          <w:rFonts w:hint="eastAsia" w:ascii="宋体" w:hAnsi="宋体" w:cs="宋体"/>
          <w:color w:val="auto"/>
          <w:sz w:val="21"/>
          <w:szCs w:val="21"/>
          <w:highlight w:val="none"/>
        </w:rPr>
        <w:t>附件五：阳光合作协议</w:t>
      </w:r>
    </w:p>
    <w:p w14:paraId="4483AAC2">
      <w:pPr>
        <w:pageBreakBefore w:val="0"/>
        <w:shd w:val="clear"/>
        <w:kinsoku w:val="0"/>
        <w:wordWrap w:val="0"/>
        <w:topLinePunct w:val="0"/>
        <w:bidi w:val="0"/>
        <w:spacing w:after="0" w:line="360" w:lineRule="auto"/>
        <w:rPr>
          <w:rFonts w:hint="eastAsia" w:ascii="宋体" w:hAnsi="宋体" w:cs="宋体"/>
          <w:color w:val="auto"/>
          <w:szCs w:val="21"/>
          <w:highlight w:val="none"/>
        </w:rPr>
      </w:pPr>
    </w:p>
    <w:p w14:paraId="2B77D91B">
      <w:pPr>
        <w:pageBreakBefore w:val="0"/>
        <w:shd w:val="clear"/>
        <w:kinsoku w:val="0"/>
        <w:wordWrap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甲方</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 xml:space="preserve">（盖章）：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 xml:space="preserve"> 甲方</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 xml:space="preserve">（盖章）：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 xml:space="preserve">  乙方（盖章）：</w:t>
      </w:r>
    </w:p>
    <w:p w14:paraId="31EBC477">
      <w:pPr>
        <w:pageBreakBefore w:val="0"/>
        <w:shd w:val="clear"/>
        <w:kinsoku w:val="0"/>
        <w:wordWrap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法定代表(签字)：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 xml:space="preserve">  法定代表(签字)：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 xml:space="preserve"> 法定代表(签字)：</w:t>
      </w:r>
    </w:p>
    <w:p w14:paraId="410C7BB6">
      <w:pPr>
        <w:pageBreakBefore w:val="0"/>
        <w:shd w:val="clear"/>
        <w:kinsoku w:val="0"/>
        <w:wordWrap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地址：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 xml:space="preserve">   地址：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 xml:space="preserve"> 地址： </w:t>
      </w:r>
    </w:p>
    <w:p w14:paraId="14127E12">
      <w:pPr>
        <w:pageBreakBefore w:val="0"/>
        <w:shd w:val="clear"/>
        <w:kinsoku w:val="0"/>
        <w:wordWrap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电话：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 xml:space="preserve">   电话：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电话：</w:t>
      </w:r>
    </w:p>
    <w:p w14:paraId="0B8DDE03">
      <w:pPr>
        <w:pageBreakBefore w:val="0"/>
        <w:shd w:val="clear"/>
        <w:kinsoku w:val="0"/>
        <w:wordWrap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传真：</w:t>
      </w:r>
      <w:r>
        <w:rPr>
          <w:rFonts w:hint="eastAsia" w:ascii="宋体" w:hAnsi="宋体" w:cs="宋体"/>
          <w:color w:val="auto"/>
          <w:szCs w:val="21"/>
          <w:highlight w:val="none"/>
        </w:rPr>
        <w:tab/>
      </w:r>
      <w:r>
        <w:rPr>
          <w:rFonts w:hint="eastAsia" w:ascii="宋体" w:hAnsi="宋体" w:cs="宋体"/>
          <w:color w:val="auto"/>
          <w:szCs w:val="21"/>
          <w:highlight w:val="none"/>
        </w:rPr>
        <w:tab/>
      </w:r>
      <w:r>
        <w:rPr>
          <w:rFonts w:hint="eastAsia" w:ascii="宋体" w:hAnsi="宋体" w:cs="宋体"/>
          <w:color w:val="auto"/>
          <w:szCs w:val="21"/>
          <w:highlight w:val="none"/>
        </w:rPr>
        <w:tab/>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传真：</w:t>
      </w:r>
      <w:r>
        <w:rPr>
          <w:rFonts w:hint="eastAsia" w:ascii="宋体" w:hAnsi="宋体" w:cs="宋体"/>
          <w:color w:val="auto"/>
          <w:szCs w:val="21"/>
          <w:highlight w:val="none"/>
        </w:rPr>
        <w:tab/>
      </w: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传真：</w:t>
      </w:r>
    </w:p>
    <w:p w14:paraId="68319F05">
      <w:pPr>
        <w:pageBreakBefore w:val="0"/>
        <w:shd w:val="clear"/>
        <w:kinsoku w:val="0"/>
        <w:wordWrap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开户银行：</w:t>
      </w:r>
      <w:r>
        <w:rPr>
          <w:rFonts w:hint="eastAsia" w:ascii="宋体" w:hAnsi="宋体" w:cs="宋体"/>
          <w:color w:val="auto"/>
          <w:szCs w:val="21"/>
          <w:highlight w:val="none"/>
        </w:rPr>
        <w:tab/>
      </w: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 xml:space="preserve">   开户银行：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 xml:space="preserve">  开户银行：</w:t>
      </w:r>
    </w:p>
    <w:p w14:paraId="49176369">
      <w:pPr>
        <w:pageBreakBefore w:val="0"/>
        <w:shd w:val="clear"/>
        <w:kinsoku w:val="0"/>
        <w:wordWrap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账号：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 xml:space="preserve">账号：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 xml:space="preserve">  账号：</w:t>
      </w:r>
    </w:p>
    <w:p w14:paraId="685E9061">
      <w:pPr>
        <w:pageBreakBefore w:val="0"/>
        <w:shd w:val="clear"/>
        <w:kinsoku w:val="0"/>
        <w:wordWrap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签约时间：</w:t>
      </w:r>
    </w:p>
    <w:p w14:paraId="6CD54022">
      <w:pPr>
        <w:pageBreakBefore w:val="0"/>
        <w:shd w:val="clear"/>
        <w:kinsoku w:val="0"/>
        <w:wordWrap w:val="0"/>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签约地点：</w:t>
      </w:r>
    </w:p>
    <w:p w14:paraId="2DA45194">
      <w:pPr>
        <w:pageBreakBefore w:val="0"/>
        <w:shd w:val="clear"/>
        <w:kinsoku w:val="0"/>
        <w:wordWrap w:val="0"/>
        <w:topLinePunct w:val="0"/>
        <w:bidi w:val="0"/>
        <w:spacing w:after="0"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br w:type="page"/>
      </w:r>
    </w:p>
    <w:p w14:paraId="52693C1B">
      <w:pPr>
        <w:pStyle w:val="10"/>
        <w:pageBreakBefore w:val="0"/>
        <w:shd w:val="clear"/>
        <w:topLinePunct w:val="0"/>
        <w:bidi w:val="0"/>
        <w:spacing w:before="0" w:after="0" w:line="360" w:lineRule="auto"/>
        <w:rPr>
          <w:rFonts w:hint="eastAsia"/>
          <w:b/>
          <w:color w:val="auto"/>
          <w:sz w:val="21"/>
          <w:szCs w:val="21"/>
          <w:highlight w:val="none"/>
        </w:rPr>
      </w:pPr>
      <w:r>
        <w:rPr>
          <w:rFonts w:hint="eastAsia"/>
          <w:b/>
          <w:color w:val="auto"/>
          <w:sz w:val="21"/>
          <w:szCs w:val="21"/>
          <w:highlight w:val="none"/>
        </w:rPr>
        <w:t>附件</w:t>
      </w:r>
      <w:r>
        <w:rPr>
          <w:rFonts w:hint="eastAsia"/>
          <w:b/>
          <w:color w:val="auto"/>
          <w:sz w:val="21"/>
          <w:szCs w:val="21"/>
          <w:highlight w:val="none"/>
          <w:lang w:val="en-US" w:eastAsia="zh-CN"/>
        </w:rPr>
        <w:t>一</w:t>
      </w:r>
      <w:r>
        <w:rPr>
          <w:rFonts w:hint="eastAsia"/>
          <w:b/>
          <w:color w:val="auto"/>
          <w:sz w:val="21"/>
          <w:szCs w:val="21"/>
          <w:highlight w:val="none"/>
        </w:rPr>
        <w:t>：</w:t>
      </w:r>
      <w:r>
        <w:rPr>
          <w:rFonts w:hint="eastAsia"/>
          <w:b/>
          <w:color w:val="auto"/>
          <w:sz w:val="21"/>
          <w:szCs w:val="21"/>
          <w:highlight w:val="none"/>
          <w:lang w:val="en-US"/>
        </w:rPr>
        <w:t>供应商</w:t>
      </w:r>
      <w:r>
        <w:rPr>
          <w:rFonts w:hint="eastAsia"/>
          <w:b/>
          <w:color w:val="auto"/>
          <w:sz w:val="21"/>
          <w:szCs w:val="21"/>
          <w:highlight w:val="none"/>
        </w:rPr>
        <w:t>评价表</w:t>
      </w:r>
    </w:p>
    <w:tbl>
      <w:tblPr>
        <w:tblStyle w:val="32"/>
        <w:tblW w:w="8360" w:type="dxa"/>
        <w:tblInd w:w="93" w:type="dxa"/>
        <w:tblLayout w:type="fixed"/>
        <w:tblCellMar>
          <w:top w:w="0" w:type="dxa"/>
          <w:left w:w="108" w:type="dxa"/>
          <w:bottom w:w="0" w:type="dxa"/>
          <w:right w:w="108" w:type="dxa"/>
        </w:tblCellMar>
      </w:tblPr>
      <w:tblGrid>
        <w:gridCol w:w="974"/>
        <w:gridCol w:w="3515"/>
        <w:gridCol w:w="928"/>
        <w:gridCol w:w="928"/>
        <w:gridCol w:w="928"/>
        <w:gridCol w:w="1087"/>
      </w:tblGrid>
      <w:tr w14:paraId="47723E96">
        <w:tblPrEx>
          <w:tblCellMar>
            <w:top w:w="0" w:type="dxa"/>
            <w:left w:w="108" w:type="dxa"/>
            <w:bottom w:w="0" w:type="dxa"/>
            <w:right w:w="108" w:type="dxa"/>
          </w:tblCellMar>
        </w:tblPrEx>
        <w:trPr>
          <w:trHeight w:val="606" w:hRule="atLeast"/>
        </w:trPr>
        <w:tc>
          <w:tcPr>
            <w:tcW w:w="8360" w:type="dxa"/>
            <w:gridSpan w:val="6"/>
            <w:tcBorders>
              <w:top w:val="single" w:color="000000" w:sz="4" w:space="0"/>
              <w:left w:val="single" w:color="000000" w:sz="4" w:space="0"/>
              <w:bottom w:val="single" w:color="000000" w:sz="4" w:space="0"/>
              <w:right w:val="single" w:color="000000" w:sz="4" w:space="0"/>
            </w:tcBorders>
            <w:vAlign w:val="center"/>
          </w:tcPr>
          <w:p w14:paraId="3EBC2D3A">
            <w:pPr>
              <w:pageBreakBefore w:val="0"/>
              <w:shd w:val="clear"/>
              <w:topLinePunct w:val="0"/>
              <w:bidi w:val="0"/>
              <w:spacing w:after="0" w:line="360" w:lineRule="auto"/>
              <w:jc w:val="center"/>
              <w:textAlignment w:val="center"/>
              <w:rPr>
                <w:rFonts w:hint="eastAsia" w:ascii="宋体" w:hAnsi="宋体" w:cs="宋体"/>
                <w:b/>
                <w:bCs/>
                <w:color w:val="auto"/>
                <w:sz w:val="32"/>
                <w:szCs w:val="32"/>
                <w:highlight w:val="none"/>
              </w:rPr>
            </w:pPr>
            <w:r>
              <w:rPr>
                <w:rFonts w:hint="eastAsia" w:ascii="宋体" w:hAnsi="宋体" w:cs="宋体"/>
                <w:b/>
                <w:bCs/>
                <w:color w:val="auto"/>
                <w:sz w:val="32"/>
                <w:szCs w:val="32"/>
                <w:highlight w:val="none"/>
                <w:u w:val="single"/>
                <w:lang w:bidi="ar"/>
              </w:rPr>
              <w:t xml:space="preserve">            酒店有限公司</w:t>
            </w:r>
          </w:p>
        </w:tc>
      </w:tr>
      <w:tr w14:paraId="3CB2FA75">
        <w:tblPrEx>
          <w:tblCellMar>
            <w:top w:w="0" w:type="dxa"/>
            <w:left w:w="108" w:type="dxa"/>
            <w:bottom w:w="0" w:type="dxa"/>
            <w:right w:w="108" w:type="dxa"/>
          </w:tblCellMar>
        </w:tblPrEx>
        <w:trPr>
          <w:trHeight w:val="606" w:hRule="atLeast"/>
        </w:trPr>
        <w:tc>
          <w:tcPr>
            <w:tcW w:w="8360" w:type="dxa"/>
            <w:gridSpan w:val="6"/>
            <w:tcBorders>
              <w:top w:val="single" w:color="000000" w:sz="4" w:space="0"/>
              <w:left w:val="single" w:color="000000" w:sz="4" w:space="0"/>
              <w:bottom w:val="single" w:color="000000" w:sz="4" w:space="0"/>
              <w:right w:val="single" w:color="000000" w:sz="4" w:space="0"/>
            </w:tcBorders>
            <w:vAlign w:val="center"/>
          </w:tcPr>
          <w:p w14:paraId="21CA128E">
            <w:pPr>
              <w:pageBreakBefore w:val="0"/>
              <w:shd w:val="clear"/>
              <w:topLinePunct w:val="0"/>
              <w:bidi w:val="0"/>
              <w:spacing w:after="0" w:line="360" w:lineRule="auto"/>
              <w:jc w:val="center"/>
              <w:textAlignment w:val="center"/>
              <w:rPr>
                <w:rFonts w:hint="eastAsia" w:ascii="宋体" w:hAnsi="宋体" w:cs="宋体"/>
                <w:b/>
                <w:bCs/>
                <w:color w:val="auto"/>
                <w:sz w:val="32"/>
                <w:szCs w:val="32"/>
                <w:highlight w:val="none"/>
              </w:rPr>
            </w:pPr>
            <w:r>
              <w:rPr>
                <w:rFonts w:hint="eastAsia" w:ascii="宋体" w:hAnsi="宋体" w:cs="宋体"/>
                <w:b/>
                <w:bCs/>
                <w:color w:val="auto"/>
                <w:sz w:val="32"/>
                <w:szCs w:val="32"/>
                <w:highlight w:val="none"/>
                <w:lang w:bidi="ar"/>
              </w:rPr>
              <w:t>供应商评价表</w:t>
            </w:r>
          </w:p>
        </w:tc>
      </w:tr>
      <w:tr w14:paraId="1E7A33DE">
        <w:tblPrEx>
          <w:tblCellMar>
            <w:top w:w="0" w:type="dxa"/>
            <w:left w:w="108" w:type="dxa"/>
            <w:bottom w:w="0" w:type="dxa"/>
            <w:right w:w="108" w:type="dxa"/>
          </w:tblCellMar>
        </w:tblPrEx>
        <w:trPr>
          <w:trHeight w:val="427" w:hRule="atLeast"/>
        </w:trPr>
        <w:tc>
          <w:tcPr>
            <w:tcW w:w="974" w:type="dxa"/>
            <w:tcBorders>
              <w:top w:val="single" w:color="000000" w:sz="4" w:space="0"/>
              <w:left w:val="single" w:color="000000" w:sz="4" w:space="0"/>
              <w:bottom w:val="single" w:color="000000" w:sz="4" w:space="0"/>
              <w:right w:val="single" w:color="000000" w:sz="4" w:space="0"/>
            </w:tcBorders>
            <w:vAlign w:val="center"/>
          </w:tcPr>
          <w:p w14:paraId="3FE3B970">
            <w:pPr>
              <w:pageBreakBefore w:val="0"/>
              <w:shd w:val="clear"/>
              <w:topLinePunct w:val="0"/>
              <w:bidi w:val="0"/>
              <w:spacing w:after="0" w:line="360" w:lineRule="auto"/>
              <w:jc w:val="center"/>
              <w:textAlignment w:val="center"/>
              <w:rPr>
                <w:rFonts w:hint="eastAsia" w:ascii="宋体" w:hAnsi="宋体" w:cs="宋体"/>
                <w:b/>
                <w:bCs/>
                <w:color w:val="auto"/>
                <w:sz w:val="22"/>
                <w:highlight w:val="none"/>
              </w:rPr>
            </w:pPr>
            <w:r>
              <w:rPr>
                <w:rFonts w:hint="eastAsia" w:ascii="宋体" w:hAnsi="宋体" w:cs="宋体"/>
                <w:b/>
                <w:bCs/>
                <w:color w:val="auto"/>
                <w:sz w:val="22"/>
                <w:highlight w:val="none"/>
                <w:lang w:bidi="ar"/>
              </w:rPr>
              <w:t>供应商名称：</w:t>
            </w:r>
          </w:p>
        </w:tc>
        <w:tc>
          <w:tcPr>
            <w:tcW w:w="3515" w:type="dxa"/>
            <w:tcBorders>
              <w:top w:val="single" w:color="000000" w:sz="4" w:space="0"/>
              <w:left w:val="single" w:color="000000" w:sz="4" w:space="0"/>
              <w:bottom w:val="single" w:color="000000" w:sz="4" w:space="0"/>
              <w:right w:val="single" w:color="000000" w:sz="4" w:space="0"/>
            </w:tcBorders>
            <w:vAlign w:val="center"/>
          </w:tcPr>
          <w:p w14:paraId="0CF03EC2">
            <w:pPr>
              <w:pageBreakBefore w:val="0"/>
              <w:shd w:val="clear"/>
              <w:topLinePunct w:val="0"/>
              <w:bidi w:val="0"/>
              <w:spacing w:after="0" w:line="360" w:lineRule="auto"/>
              <w:rPr>
                <w:rFonts w:hint="eastAsia" w:ascii="宋体" w:hAnsi="宋体" w:cs="宋体"/>
                <w:b/>
                <w:bCs/>
                <w:color w:val="auto"/>
                <w:sz w:val="22"/>
                <w:highlight w:val="none"/>
              </w:rPr>
            </w:pPr>
          </w:p>
        </w:tc>
        <w:tc>
          <w:tcPr>
            <w:tcW w:w="928" w:type="dxa"/>
            <w:tcBorders>
              <w:top w:val="single" w:color="000000" w:sz="4" w:space="0"/>
              <w:left w:val="single" w:color="000000" w:sz="4" w:space="0"/>
              <w:bottom w:val="single" w:color="000000" w:sz="4" w:space="0"/>
              <w:right w:val="single" w:color="000000" w:sz="4" w:space="0"/>
            </w:tcBorders>
            <w:vAlign w:val="center"/>
          </w:tcPr>
          <w:p w14:paraId="09AFCEF7">
            <w:pPr>
              <w:pageBreakBefore w:val="0"/>
              <w:shd w:val="clear"/>
              <w:topLinePunct w:val="0"/>
              <w:bidi w:val="0"/>
              <w:spacing w:after="0" w:line="360" w:lineRule="auto"/>
              <w:textAlignment w:val="center"/>
              <w:rPr>
                <w:rFonts w:hint="eastAsia" w:ascii="宋体" w:hAnsi="宋体" w:cs="宋体"/>
                <w:b/>
                <w:bCs/>
                <w:color w:val="auto"/>
                <w:sz w:val="22"/>
                <w:highlight w:val="none"/>
              </w:rPr>
            </w:pPr>
            <w:r>
              <w:rPr>
                <w:rFonts w:hint="eastAsia" w:ascii="宋体" w:hAnsi="宋体" w:cs="宋体"/>
                <w:b/>
                <w:bCs/>
                <w:color w:val="auto"/>
                <w:sz w:val="22"/>
                <w:highlight w:val="none"/>
                <w:lang w:bidi="ar"/>
              </w:rPr>
              <w:t>评价时间：</w:t>
            </w:r>
          </w:p>
        </w:tc>
        <w:tc>
          <w:tcPr>
            <w:tcW w:w="2943" w:type="dxa"/>
            <w:gridSpan w:val="3"/>
            <w:tcBorders>
              <w:top w:val="single" w:color="000000" w:sz="4" w:space="0"/>
              <w:left w:val="single" w:color="000000" w:sz="4" w:space="0"/>
              <w:bottom w:val="single" w:color="000000" w:sz="4" w:space="0"/>
              <w:right w:val="single" w:color="000000" w:sz="4" w:space="0"/>
            </w:tcBorders>
            <w:vAlign w:val="center"/>
          </w:tcPr>
          <w:p w14:paraId="36C2FCC1">
            <w:pPr>
              <w:pageBreakBefore w:val="0"/>
              <w:shd w:val="clear"/>
              <w:topLinePunct w:val="0"/>
              <w:bidi w:val="0"/>
              <w:spacing w:after="0" w:line="360" w:lineRule="auto"/>
              <w:jc w:val="center"/>
              <w:textAlignment w:val="center"/>
              <w:rPr>
                <w:rFonts w:hint="eastAsia" w:ascii="宋体" w:hAnsi="宋体" w:cs="宋体"/>
                <w:b/>
                <w:bCs/>
                <w:color w:val="auto"/>
                <w:sz w:val="22"/>
                <w:highlight w:val="none"/>
              </w:rPr>
            </w:pPr>
            <w:r>
              <w:rPr>
                <w:rFonts w:hint="eastAsia" w:ascii="宋体" w:hAnsi="宋体" w:cs="宋体"/>
                <w:b/>
                <w:bCs/>
                <w:color w:val="auto"/>
                <w:sz w:val="22"/>
                <w:highlight w:val="none"/>
                <w:lang w:bidi="ar"/>
              </w:rPr>
              <w:t>年   月   日</w:t>
            </w:r>
          </w:p>
        </w:tc>
      </w:tr>
      <w:tr w14:paraId="4E5FCEAC">
        <w:tblPrEx>
          <w:tblCellMar>
            <w:top w:w="0" w:type="dxa"/>
            <w:left w:w="108" w:type="dxa"/>
            <w:bottom w:w="0" w:type="dxa"/>
            <w:right w:w="108" w:type="dxa"/>
          </w:tblCellMar>
        </w:tblPrEx>
        <w:trPr>
          <w:trHeight w:val="427" w:hRule="atLeast"/>
        </w:trPr>
        <w:tc>
          <w:tcPr>
            <w:tcW w:w="974" w:type="dxa"/>
            <w:tcBorders>
              <w:top w:val="single" w:color="000000" w:sz="4" w:space="0"/>
              <w:left w:val="single" w:color="000000" w:sz="4" w:space="0"/>
              <w:bottom w:val="single" w:color="000000" w:sz="4" w:space="0"/>
              <w:right w:val="single" w:color="000000" w:sz="4" w:space="0"/>
            </w:tcBorders>
            <w:vAlign w:val="center"/>
          </w:tcPr>
          <w:p w14:paraId="53BBADDB">
            <w:pPr>
              <w:pageBreakBefore w:val="0"/>
              <w:shd w:val="clear"/>
              <w:topLinePunct w:val="0"/>
              <w:bidi w:val="0"/>
              <w:spacing w:after="0" w:line="360" w:lineRule="auto"/>
              <w:jc w:val="center"/>
              <w:textAlignment w:val="center"/>
              <w:rPr>
                <w:rFonts w:hint="eastAsia" w:ascii="宋体" w:hAnsi="宋体" w:cs="宋体"/>
                <w:b/>
                <w:bCs/>
                <w:color w:val="auto"/>
                <w:sz w:val="22"/>
                <w:highlight w:val="none"/>
              </w:rPr>
            </w:pPr>
            <w:r>
              <w:rPr>
                <w:rFonts w:hint="eastAsia" w:ascii="宋体" w:hAnsi="宋体" w:cs="宋体"/>
                <w:b/>
                <w:bCs/>
                <w:color w:val="auto"/>
                <w:sz w:val="22"/>
                <w:highlight w:val="none"/>
                <w:lang w:bidi="ar"/>
              </w:rPr>
              <w:t>供货品类：</w:t>
            </w:r>
          </w:p>
        </w:tc>
        <w:tc>
          <w:tcPr>
            <w:tcW w:w="3515" w:type="dxa"/>
            <w:tcBorders>
              <w:top w:val="single" w:color="000000" w:sz="4" w:space="0"/>
              <w:left w:val="single" w:color="000000" w:sz="4" w:space="0"/>
              <w:bottom w:val="single" w:color="000000" w:sz="4" w:space="0"/>
              <w:right w:val="single" w:color="000000" w:sz="4" w:space="0"/>
            </w:tcBorders>
            <w:vAlign w:val="center"/>
          </w:tcPr>
          <w:p w14:paraId="68617FA5">
            <w:pPr>
              <w:pageBreakBefore w:val="0"/>
              <w:shd w:val="clear"/>
              <w:topLinePunct w:val="0"/>
              <w:bidi w:val="0"/>
              <w:spacing w:after="0" w:line="360" w:lineRule="auto"/>
              <w:textAlignment w:val="center"/>
              <w:rPr>
                <w:rFonts w:hint="eastAsia" w:ascii="宋体" w:hAnsi="宋体" w:cs="宋体"/>
                <w:b/>
                <w:bCs/>
                <w:color w:val="auto"/>
                <w:sz w:val="22"/>
                <w:highlight w:val="none"/>
              </w:rPr>
            </w:pPr>
            <w:r>
              <w:rPr>
                <w:rFonts w:hint="eastAsia" w:ascii="宋体" w:hAnsi="宋体" w:cs="宋体"/>
                <w:b/>
                <w:bCs/>
                <w:color w:val="auto"/>
                <w:sz w:val="22"/>
                <w:highlight w:val="none"/>
                <w:lang w:bidi="ar"/>
              </w:rPr>
              <w:t>食品类</w:t>
            </w:r>
          </w:p>
        </w:tc>
        <w:tc>
          <w:tcPr>
            <w:tcW w:w="928" w:type="dxa"/>
            <w:tcBorders>
              <w:top w:val="single" w:color="000000" w:sz="4" w:space="0"/>
              <w:left w:val="single" w:color="000000" w:sz="4" w:space="0"/>
              <w:bottom w:val="single" w:color="000000" w:sz="4" w:space="0"/>
              <w:right w:val="single" w:color="000000" w:sz="4" w:space="0"/>
            </w:tcBorders>
            <w:vAlign w:val="center"/>
          </w:tcPr>
          <w:p w14:paraId="14203FF5">
            <w:pPr>
              <w:pageBreakBefore w:val="0"/>
              <w:shd w:val="clear"/>
              <w:topLinePunct w:val="0"/>
              <w:bidi w:val="0"/>
              <w:spacing w:after="0" w:line="360" w:lineRule="auto"/>
              <w:rPr>
                <w:rFonts w:hint="eastAsia" w:ascii="宋体" w:hAnsi="宋体" w:cs="宋体"/>
                <w:b/>
                <w:bCs/>
                <w:color w:val="auto"/>
                <w:sz w:val="22"/>
                <w:highlight w:val="none"/>
              </w:rPr>
            </w:pPr>
          </w:p>
        </w:tc>
        <w:tc>
          <w:tcPr>
            <w:tcW w:w="2943" w:type="dxa"/>
            <w:gridSpan w:val="3"/>
            <w:tcBorders>
              <w:top w:val="single" w:color="000000" w:sz="4" w:space="0"/>
              <w:left w:val="single" w:color="000000" w:sz="4" w:space="0"/>
              <w:bottom w:val="single" w:color="000000" w:sz="4" w:space="0"/>
              <w:right w:val="single" w:color="000000" w:sz="4" w:space="0"/>
            </w:tcBorders>
            <w:vAlign w:val="center"/>
          </w:tcPr>
          <w:p w14:paraId="61AF4E89">
            <w:pPr>
              <w:pageBreakBefore w:val="0"/>
              <w:shd w:val="clear"/>
              <w:topLinePunct w:val="0"/>
              <w:bidi w:val="0"/>
              <w:spacing w:after="0" w:line="360" w:lineRule="auto"/>
              <w:jc w:val="center"/>
              <w:textAlignment w:val="center"/>
              <w:rPr>
                <w:rFonts w:hint="eastAsia" w:ascii="宋体" w:hAnsi="宋体" w:cs="宋体"/>
                <w:b/>
                <w:bCs/>
                <w:color w:val="auto"/>
                <w:sz w:val="22"/>
                <w:highlight w:val="none"/>
              </w:rPr>
            </w:pPr>
            <w:r>
              <w:rPr>
                <w:rFonts w:hint="eastAsia" w:ascii="宋体" w:hAnsi="宋体" w:cs="宋体"/>
                <w:b/>
                <w:bCs/>
                <w:color w:val="auto"/>
                <w:sz w:val="22"/>
                <w:highlight w:val="none"/>
                <w:lang w:bidi="ar"/>
              </w:rPr>
              <w:t>评分部门</w:t>
            </w:r>
          </w:p>
        </w:tc>
      </w:tr>
      <w:tr w14:paraId="139272F4">
        <w:tblPrEx>
          <w:tblCellMar>
            <w:top w:w="0" w:type="dxa"/>
            <w:left w:w="108" w:type="dxa"/>
            <w:bottom w:w="0" w:type="dxa"/>
            <w:right w:w="108" w:type="dxa"/>
          </w:tblCellMar>
        </w:tblPrEx>
        <w:trPr>
          <w:trHeight w:val="484" w:hRule="atLeast"/>
        </w:trPr>
        <w:tc>
          <w:tcPr>
            <w:tcW w:w="974" w:type="dxa"/>
            <w:tcBorders>
              <w:top w:val="single" w:color="000000" w:sz="4" w:space="0"/>
              <w:left w:val="single" w:color="000000" w:sz="4" w:space="0"/>
              <w:bottom w:val="single" w:color="000000" w:sz="4" w:space="0"/>
              <w:right w:val="single" w:color="000000" w:sz="4" w:space="0"/>
            </w:tcBorders>
            <w:vAlign w:val="center"/>
          </w:tcPr>
          <w:p w14:paraId="63ED625B">
            <w:pPr>
              <w:pageBreakBefore w:val="0"/>
              <w:shd w:val="clear"/>
              <w:topLinePunct w:val="0"/>
              <w:bidi w:val="0"/>
              <w:spacing w:after="0" w:line="360" w:lineRule="auto"/>
              <w:rPr>
                <w:rFonts w:hint="eastAsia" w:ascii="宋体" w:hAnsi="宋体" w:cs="宋体"/>
                <w:color w:val="auto"/>
                <w:sz w:val="20"/>
                <w:szCs w:val="20"/>
                <w:highlight w:val="none"/>
              </w:rPr>
            </w:pPr>
          </w:p>
        </w:tc>
        <w:tc>
          <w:tcPr>
            <w:tcW w:w="3515" w:type="dxa"/>
            <w:tcBorders>
              <w:top w:val="single" w:color="000000" w:sz="4" w:space="0"/>
              <w:left w:val="single" w:color="000000" w:sz="4" w:space="0"/>
              <w:bottom w:val="single" w:color="000000" w:sz="4" w:space="0"/>
              <w:right w:val="single" w:color="000000" w:sz="4" w:space="0"/>
            </w:tcBorders>
            <w:vAlign w:val="center"/>
          </w:tcPr>
          <w:p w14:paraId="65096FCE">
            <w:pPr>
              <w:pageBreakBefore w:val="0"/>
              <w:shd w:val="clear"/>
              <w:topLinePunct w:val="0"/>
              <w:bidi w:val="0"/>
              <w:spacing w:after="0" w:line="360" w:lineRule="auto"/>
              <w:jc w:val="center"/>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依据描述</w:t>
            </w:r>
          </w:p>
        </w:tc>
        <w:tc>
          <w:tcPr>
            <w:tcW w:w="928" w:type="dxa"/>
            <w:tcBorders>
              <w:top w:val="single" w:color="000000" w:sz="4" w:space="0"/>
              <w:left w:val="single" w:color="000000" w:sz="4" w:space="0"/>
              <w:bottom w:val="single" w:color="000000" w:sz="4" w:space="0"/>
              <w:right w:val="single" w:color="000000" w:sz="4" w:space="0"/>
            </w:tcBorders>
            <w:vAlign w:val="center"/>
          </w:tcPr>
          <w:p w14:paraId="46BD1F40">
            <w:pPr>
              <w:pageBreakBefore w:val="0"/>
              <w:shd w:val="clear"/>
              <w:topLinePunct w:val="0"/>
              <w:bidi w:val="0"/>
              <w:spacing w:after="0" w:line="360" w:lineRule="auto"/>
              <w:jc w:val="center"/>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得分范围</w:t>
            </w:r>
          </w:p>
        </w:tc>
        <w:tc>
          <w:tcPr>
            <w:tcW w:w="928" w:type="dxa"/>
            <w:tcBorders>
              <w:top w:val="single" w:color="000000" w:sz="4" w:space="0"/>
              <w:left w:val="single" w:color="000000" w:sz="4" w:space="0"/>
              <w:bottom w:val="single" w:color="000000" w:sz="4" w:space="0"/>
              <w:right w:val="single" w:color="000000" w:sz="4" w:space="0"/>
            </w:tcBorders>
            <w:vAlign w:val="center"/>
          </w:tcPr>
          <w:p w14:paraId="1C990E5A">
            <w:pPr>
              <w:pageBreakBefore w:val="0"/>
              <w:shd w:val="clear"/>
              <w:topLinePunct w:val="0"/>
              <w:bidi w:val="0"/>
              <w:spacing w:after="0" w:line="360" w:lineRule="auto"/>
              <w:jc w:val="center"/>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使用部门</w:t>
            </w:r>
          </w:p>
        </w:tc>
        <w:tc>
          <w:tcPr>
            <w:tcW w:w="928" w:type="dxa"/>
            <w:tcBorders>
              <w:top w:val="single" w:color="000000" w:sz="4" w:space="0"/>
              <w:left w:val="single" w:color="000000" w:sz="4" w:space="0"/>
              <w:bottom w:val="single" w:color="000000" w:sz="4" w:space="0"/>
              <w:right w:val="single" w:color="000000" w:sz="4" w:space="0"/>
            </w:tcBorders>
            <w:vAlign w:val="center"/>
          </w:tcPr>
          <w:p w14:paraId="015400FD">
            <w:pPr>
              <w:pageBreakBefore w:val="0"/>
              <w:shd w:val="clear"/>
              <w:topLinePunct w:val="0"/>
              <w:bidi w:val="0"/>
              <w:spacing w:after="0" w:line="360" w:lineRule="auto"/>
              <w:jc w:val="center"/>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财务部</w:t>
            </w:r>
          </w:p>
        </w:tc>
        <w:tc>
          <w:tcPr>
            <w:tcW w:w="1087" w:type="dxa"/>
            <w:tcBorders>
              <w:top w:val="single" w:color="000000" w:sz="4" w:space="0"/>
              <w:left w:val="single" w:color="000000" w:sz="4" w:space="0"/>
              <w:bottom w:val="single" w:color="000000" w:sz="4" w:space="0"/>
              <w:right w:val="single" w:color="000000" w:sz="4" w:space="0"/>
            </w:tcBorders>
            <w:vAlign w:val="center"/>
          </w:tcPr>
          <w:p w14:paraId="7B0E60C7">
            <w:pPr>
              <w:pageBreakBefore w:val="0"/>
              <w:shd w:val="clear"/>
              <w:topLinePunct w:val="0"/>
              <w:bidi w:val="0"/>
              <w:spacing w:after="0" w:line="360" w:lineRule="auto"/>
              <w:jc w:val="center"/>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行政综合部</w:t>
            </w:r>
          </w:p>
        </w:tc>
      </w:tr>
      <w:tr w14:paraId="1EA9987F">
        <w:tblPrEx>
          <w:tblCellMar>
            <w:top w:w="0" w:type="dxa"/>
            <w:left w:w="108" w:type="dxa"/>
            <w:bottom w:w="0" w:type="dxa"/>
            <w:right w:w="108" w:type="dxa"/>
          </w:tblCellMar>
        </w:tblPrEx>
        <w:trPr>
          <w:trHeight w:val="484" w:hRule="atLeast"/>
        </w:trPr>
        <w:tc>
          <w:tcPr>
            <w:tcW w:w="974" w:type="dxa"/>
            <w:vMerge w:val="restart"/>
            <w:tcBorders>
              <w:top w:val="single" w:color="000000" w:sz="4" w:space="0"/>
              <w:left w:val="single" w:color="000000" w:sz="4" w:space="0"/>
              <w:bottom w:val="single" w:color="000000" w:sz="4" w:space="0"/>
              <w:right w:val="single" w:color="000000" w:sz="4" w:space="0"/>
            </w:tcBorders>
            <w:vAlign w:val="center"/>
          </w:tcPr>
          <w:p w14:paraId="42710E40">
            <w:pPr>
              <w:pageBreakBefore w:val="0"/>
              <w:shd w:val="clear"/>
              <w:topLinePunct w:val="0"/>
              <w:bidi w:val="0"/>
              <w:spacing w:after="0" w:line="360" w:lineRule="auto"/>
              <w:jc w:val="center"/>
              <w:textAlignment w:val="center"/>
              <w:rPr>
                <w:rFonts w:hint="eastAsia" w:ascii="宋体" w:hAnsi="宋体" w:cs="宋体"/>
                <w:color w:val="auto"/>
                <w:sz w:val="20"/>
                <w:szCs w:val="20"/>
                <w:highlight w:val="none"/>
                <w:lang w:bidi="ar"/>
              </w:rPr>
            </w:pPr>
            <w:r>
              <w:rPr>
                <w:rFonts w:hint="eastAsia" w:ascii="宋体" w:hAnsi="宋体" w:cs="宋体"/>
                <w:color w:val="auto"/>
                <w:sz w:val="20"/>
                <w:szCs w:val="20"/>
                <w:highlight w:val="none"/>
                <w:lang w:bidi="ar"/>
              </w:rPr>
              <w:t>1、供货及时性（20分）</w:t>
            </w:r>
          </w:p>
        </w:tc>
        <w:tc>
          <w:tcPr>
            <w:tcW w:w="3515" w:type="dxa"/>
            <w:tcBorders>
              <w:top w:val="single" w:color="000000" w:sz="4" w:space="0"/>
              <w:left w:val="single" w:color="000000" w:sz="4" w:space="0"/>
              <w:bottom w:val="single" w:color="000000" w:sz="4" w:space="0"/>
              <w:right w:val="single" w:color="000000" w:sz="4" w:space="0"/>
            </w:tcBorders>
            <w:vAlign w:val="center"/>
          </w:tcPr>
          <w:p w14:paraId="31E1E5B8">
            <w:pPr>
              <w:pageBreakBefore w:val="0"/>
              <w:shd w:val="clear"/>
              <w:topLinePunct w:val="0"/>
              <w:bidi w:val="0"/>
              <w:spacing w:after="0" w:line="360" w:lineRule="auto"/>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(1)每次均能及时到货，并提供完整检测报告。</w:t>
            </w:r>
          </w:p>
        </w:tc>
        <w:tc>
          <w:tcPr>
            <w:tcW w:w="928" w:type="dxa"/>
            <w:tcBorders>
              <w:top w:val="single" w:color="000000" w:sz="4" w:space="0"/>
              <w:left w:val="single" w:color="000000" w:sz="4" w:space="0"/>
              <w:bottom w:val="single" w:color="000000" w:sz="4" w:space="0"/>
              <w:right w:val="single" w:color="000000" w:sz="4" w:space="0"/>
            </w:tcBorders>
            <w:vAlign w:val="center"/>
          </w:tcPr>
          <w:p w14:paraId="75418F74">
            <w:pPr>
              <w:pageBreakBefore w:val="0"/>
              <w:shd w:val="clear"/>
              <w:topLinePunct w:val="0"/>
              <w:bidi w:val="0"/>
              <w:spacing w:after="0" w:line="360" w:lineRule="auto"/>
              <w:jc w:val="center"/>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14-20分</w:t>
            </w:r>
          </w:p>
        </w:tc>
        <w:tc>
          <w:tcPr>
            <w:tcW w:w="928" w:type="dxa"/>
            <w:vMerge w:val="restart"/>
            <w:tcBorders>
              <w:top w:val="single" w:color="000000" w:sz="4" w:space="0"/>
              <w:left w:val="single" w:color="000000" w:sz="4" w:space="0"/>
              <w:bottom w:val="single" w:color="000000" w:sz="4" w:space="0"/>
              <w:right w:val="single" w:color="000000" w:sz="4" w:space="0"/>
            </w:tcBorders>
            <w:vAlign w:val="center"/>
          </w:tcPr>
          <w:p w14:paraId="2C567F33">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928" w:type="dxa"/>
            <w:vMerge w:val="restart"/>
            <w:tcBorders>
              <w:top w:val="single" w:color="000000" w:sz="4" w:space="0"/>
              <w:left w:val="single" w:color="000000" w:sz="4" w:space="0"/>
              <w:bottom w:val="single" w:color="000000" w:sz="4" w:space="0"/>
              <w:right w:val="single" w:color="000000" w:sz="4" w:space="0"/>
            </w:tcBorders>
            <w:vAlign w:val="center"/>
          </w:tcPr>
          <w:p w14:paraId="05621130">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1087" w:type="dxa"/>
            <w:vMerge w:val="restart"/>
            <w:tcBorders>
              <w:top w:val="single" w:color="000000" w:sz="4" w:space="0"/>
              <w:left w:val="single" w:color="000000" w:sz="4" w:space="0"/>
              <w:bottom w:val="single" w:color="000000" w:sz="4" w:space="0"/>
              <w:right w:val="single" w:color="000000" w:sz="4" w:space="0"/>
            </w:tcBorders>
            <w:vAlign w:val="center"/>
          </w:tcPr>
          <w:p w14:paraId="4B389DAE">
            <w:pPr>
              <w:pageBreakBefore w:val="0"/>
              <w:shd w:val="clear"/>
              <w:topLinePunct w:val="0"/>
              <w:bidi w:val="0"/>
              <w:spacing w:after="0" w:line="360" w:lineRule="auto"/>
              <w:jc w:val="center"/>
              <w:rPr>
                <w:rFonts w:hint="eastAsia" w:ascii="宋体" w:hAnsi="宋体" w:cs="宋体"/>
                <w:color w:val="auto"/>
                <w:sz w:val="20"/>
                <w:szCs w:val="20"/>
                <w:highlight w:val="none"/>
              </w:rPr>
            </w:pPr>
          </w:p>
        </w:tc>
      </w:tr>
      <w:tr w14:paraId="35F4F5BF">
        <w:tblPrEx>
          <w:tblCellMar>
            <w:top w:w="0" w:type="dxa"/>
            <w:left w:w="108" w:type="dxa"/>
            <w:bottom w:w="0" w:type="dxa"/>
            <w:right w:w="108" w:type="dxa"/>
          </w:tblCellMar>
        </w:tblPrEx>
        <w:trPr>
          <w:trHeight w:val="484" w:hRule="atLeast"/>
        </w:trPr>
        <w:tc>
          <w:tcPr>
            <w:tcW w:w="974" w:type="dxa"/>
            <w:vMerge w:val="continue"/>
            <w:tcBorders>
              <w:top w:val="single" w:color="000000" w:sz="4" w:space="0"/>
              <w:left w:val="single" w:color="000000" w:sz="4" w:space="0"/>
              <w:bottom w:val="single" w:color="000000" w:sz="4" w:space="0"/>
              <w:right w:val="single" w:color="000000" w:sz="4" w:space="0"/>
            </w:tcBorders>
            <w:vAlign w:val="center"/>
          </w:tcPr>
          <w:p w14:paraId="6DE9D429">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3515" w:type="dxa"/>
            <w:tcBorders>
              <w:top w:val="single" w:color="000000" w:sz="4" w:space="0"/>
              <w:left w:val="single" w:color="000000" w:sz="4" w:space="0"/>
              <w:bottom w:val="single" w:color="000000" w:sz="4" w:space="0"/>
              <w:right w:val="single" w:color="000000" w:sz="4" w:space="0"/>
            </w:tcBorders>
            <w:vAlign w:val="center"/>
          </w:tcPr>
          <w:p w14:paraId="276301E7">
            <w:pPr>
              <w:pageBreakBefore w:val="0"/>
              <w:shd w:val="clear"/>
              <w:topLinePunct w:val="0"/>
              <w:bidi w:val="0"/>
              <w:spacing w:after="0" w:line="360" w:lineRule="auto"/>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(2)偶尔供货及提供检测报告不及时，但对出品造成较小影响。</w:t>
            </w:r>
          </w:p>
        </w:tc>
        <w:tc>
          <w:tcPr>
            <w:tcW w:w="928" w:type="dxa"/>
            <w:tcBorders>
              <w:top w:val="single" w:color="000000" w:sz="4" w:space="0"/>
              <w:left w:val="single" w:color="000000" w:sz="4" w:space="0"/>
              <w:bottom w:val="single" w:color="000000" w:sz="4" w:space="0"/>
              <w:right w:val="single" w:color="000000" w:sz="4" w:space="0"/>
            </w:tcBorders>
            <w:vAlign w:val="center"/>
          </w:tcPr>
          <w:p w14:paraId="30FD6F0A">
            <w:pPr>
              <w:pageBreakBefore w:val="0"/>
              <w:shd w:val="clear"/>
              <w:topLinePunct w:val="0"/>
              <w:bidi w:val="0"/>
              <w:spacing w:after="0" w:line="360" w:lineRule="auto"/>
              <w:jc w:val="center"/>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7-13分</w:t>
            </w:r>
          </w:p>
        </w:tc>
        <w:tc>
          <w:tcPr>
            <w:tcW w:w="928" w:type="dxa"/>
            <w:vMerge w:val="continue"/>
            <w:tcBorders>
              <w:top w:val="single" w:color="000000" w:sz="4" w:space="0"/>
              <w:left w:val="single" w:color="000000" w:sz="4" w:space="0"/>
              <w:bottom w:val="single" w:color="000000" w:sz="4" w:space="0"/>
              <w:right w:val="single" w:color="000000" w:sz="4" w:space="0"/>
            </w:tcBorders>
            <w:vAlign w:val="center"/>
          </w:tcPr>
          <w:p w14:paraId="301E9303">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928" w:type="dxa"/>
            <w:vMerge w:val="continue"/>
            <w:tcBorders>
              <w:top w:val="single" w:color="000000" w:sz="4" w:space="0"/>
              <w:left w:val="single" w:color="000000" w:sz="4" w:space="0"/>
              <w:bottom w:val="single" w:color="000000" w:sz="4" w:space="0"/>
              <w:right w:val="single" w:color="000000" w:sz="4" w:space="0"/>
            </w:tcBorders>
            <w:vAlign w:val="center"/>
          </w:tcPr>
          <w:p w14:paraId="10902A70">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1087" w:type="dxa"/>
            <w:vMerge w:val="continue"/>
            <w:tcBorders>
              <w:top w:val="single" w:color="000000" w:sz="4" w:space="0"/>
              <w:left w:val="single" w:color="000000" w:sz="4" w:space="0"/>
              <w:bottom w:val="single" w:color="000000" w:sz="4" w:space="0"/>
              <w:right w:val="single" w:color="000000" w:sz="4" w:space="0"/>
            </w:tcBorders>
            <w:vAlign w:val="center"/>
          </w:tcPr>
          <w:p w14:paraId="10FD6FB5">
            <w:pPr>
              <w:pageBreakBefore w:val="0"/>
              <w:shd w:val="clear"/>
              <w:topLinePunct w:val="0"/>
              <w:bidi w:val="0"/>
              <w:spacing w:after="0" w:line="360" w:lineRule="auto"/>
              <w:jc w:val="center"/>
              <w:rPr>
                <w:rFonts w:hint="eastAsia" w:ascii="宋体" w:hAnsi="宋体" w:cs="宋体"/>
                <w:color w:val="auto"/>
                <w:sz w:val="20"/>
                <w:szCs w:val="20"/>
                <w:highlight w:val="none"/>
              </w:rPr>
            </w:pPr>
          </w:p>
        </w:tc>
      </w:tr>
      <w:tr w14:paraId="248A9947">
        <w:tblPrEx>
          <w:tblCellMar>
            <w:top w:w="0" w:type="dxa"/>
            <w:left w:w="108" w:type="dxa"/>
            <w:bottom w:w="0" w:type="dxa"/>
            <w:right w:w="108" w:type="dxa"/>
          </w:tblCellMar>
        </w:tblPrEx>
        <w:trPr>
          <w:trHeight w:val="484" w:hRule="atLeast"/>
        </w:trPr>
        <w:tc>
          <w:tcPr>
            <w:tcW w:w="974" w:type="dxa"/>
            <w:vMerge w:val="continue"/>
            <w:tcBorders>
              <w:top w:val="single" w:color="000000" w:sz="4" w:space="0"/>
              <w:left w:val="single" w:color="000000" w:sz="4" w:space="0"/>
              <w:bottom w:val="single" w:color="000000" w:sz="4" w:space="0"/>
              <w:right w:val="single" w:color="000000" w:sz="4" w:space="0"/>
            </w:tcBorders>
            <w:vAlign w:val="center"/>
          </w:tcPr>
          <w:p w14:paraId="1F55CBA5">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3515" w:type="dxa"/>
            <w:tcBorders>
              <w:top w:val="single" w:color="000000" w:sz="4" w:space="0"/>
              <w:left w:val="single" w:color="000000" w:sz="4" w:space="0"/>
              <w:bottom w:val="single" w:color="000000" w:sz="4" w:space="0"/>
              <w:right w:val="single" w:color="000000" w:sz="4" w:space="0"/>
            </w:tcBorders>
            <w:vAlign w:val="center"/>
          </w:tcPr>
          <w:p w14:paraId="6CFA4C75">
            <w:pPr>
              <w:pageBreakBefore w:val="0"/>
              <w:shd w:val="clear"/>
              <w:topLinePunct w:val="0"/>
              <w:bidi w:val="0"/>
              <w:spacing w:after="0" w:line="360" w:lineRule="auto"/>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(3)供货及提供检测报告不及时次数过多，且对出品造成较大影响。</w:t>
            </w:r>
          </w:p>
        </w:tc>
        <w:tc>
          <w:tcPr>
            <w:tcW w:w="928" w:type="dxa"/>
            <w:tcBorders>
              <w:top w:val="single" w:color="000000" w:sz="4" w:space="0"/>
              <w:left w:val="single" w:color="000000" w:sz="4" w:space="0"/>
              <w:bottom w:val="single" w:color="000000" w:sz="4" w:space="0"/>
              <w:right w:val="single" w:color="000000" w:sz="4" w:space="0"/>
            </w:tcBorders>
            <w:vAlign w:val="center"/>
          </w:tcPr>
          <w:p w14:paraId="382CB96B">
            <w:pPr>
              <w:pageBreakBefore w:val="0"/>
              <w:shd w:val="clear"/>
              <w:topLinePunct w:val="0"/>
              <w:bidi w:val="0"/>
              <w:spacing w:after="0" w:line="360" w:lineRule="auto"/>
              <w:jc w:val="center"/>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0-6分</w:t>
            </w:r>
          </w:p>
        </w:tc>
        <w:tc>
          <w:tcPr>
            <w:tcW w:w="928" w:type="dxa"/>
            <w:vMerge w:val="continue"/>
            <w:tcBorders>
              <w:top w:val="single" w:color="000000" w:sz="4" w:space="0"/>
              <w:left w:val="single" w:color="000000" w:sz="4" w:space="0"/>
              <w:bottom w:val="single" w:color="000000" w:sz="4" w:space="0"/>
              <w:right w:val="single" w:color="000000" w:sz="4" w:space="0"/>
            </w:tcBorders>
            <w:vAlign w:val="center"/>
          </w:tcPr>
          <w:p w14:paraId="27D716D6">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928" w:type="dxa"/>
            <w:vMerge w:val="continue"/>
            <w:tcBorders>
              <w:top w:val="single" w:color="000000" w:sz="4" w:space="0"/>
              <w:left w:val="single" w:color="000000" w:sz="4" w:space="0"/>
              <w:bottom w:val="single" w:color="000000" w:sz="4" w:space="0"/>
              <w:right w:val="single" w:color="000000" w:sz="4" w:space="0"/>
            </w:tcBorders>
            <w:vAlign w:val="center"/>
          </w:tcPr>
          <w:p w14:paraId="74C5BC49">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1087" w:type="dxa"/>
            <w:vMerge w:val="continue"/>
            <w:tcBorders>
              <w:top w:val="single" w:color="000000" w:sz="4" w:space="0"/>
              <w:left w:val="single" w:color="000000" w:sz="4" w:space="0"/>
              <w:bottom w:val="single" w:color="000000" w:sz="4" w:space="0"/>
              <w:right w:val="single" w:color="000000" w:sz="4" w:space="0"/>
            </w:tcBorders>
            <w:vAlign w:val="center"/>
          </w:tcPr>
          <w:p w14:paraId="220A7741">
            <w:pPr>
              <w:pageBreakBefore w:val="0"/>
              <w:shd w:val="clear"/>
              <w:topLinePunct w:val="0"/>
              <w:bidi w:val="0"/>
              <w:spacing w:after="0" w:line="360" w:lineRule="auto"/>
              <w:jc w:val="center"/>
              <w:rPr>
                <w:rFonts w:hint="eastAsia" w:ascii="宋体" w:hAnsi="宋体" w:cs="宋体"/>
                <w:color w:val="auto"/>
                <w:sz w:val="20"/>
                <w:szCs w:val="20"/>
                <w:highlight w:val="none"/>
              </w:rPr>
            </w:pPr>
          </w:p>
        </w:tc>
      </w:tr>
      <w:tr w14:paraId="2A5D429F">
        <w:tblPrEx>
          <w:tblCellMar>
            <w:top w:w="0" w:type="dxa"/>
            <w:left w:w="108" w:type="dxa"/>
            <w:bottom w:w="0" w:type="dxa"/>
            <w:right w:w="108" w:type="dxa"/>
          </w:tblCellMar>
        </w:tblPrEx>
        <w:trPr>
          <w:trHeight w:val="484" w:hRule="atLeast"/>
        </w:trPr>
        <w:tc>
          <w:tcPr>
            <w:tcW w:w="974" w:type="dxa"/>
            <w:vMerge w:val="restart"/>
            <w:tcBorders>
              <w:top w:val="single" w:color="000000" w:sz="4" w:space="0"/>
              <w:left w:val="single" w:color="000000" w:sz="4" w:space="0"/>
              <w:bottom w:val="single" w:color="000000" w:sz="4" w:space="0"/>
              <w:right w:val="single" w:color="000000" w:sz="4" w:space="0"/>
            </w:tcBorders>
            <w:vAlign w:val="center"/>
          </w:tcPr>
          <w:p w14:paraId="47D8EA2A">
            <w:pPr>
              <w:pageBreakBefore w:val="0"/>
              <w:shd w:val="clear"/>
              <w:topLinePunct w:val="0"/>
              <w:bidi w:val="0"/>
              <w:spacing w:after="0" w:line="360" w:lineRule="auto"/>
              <w:jc w:val="center"/>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2、品类齐全度（20分）</w:t>
            </w:r>
          </w:p>
        </w:tc>
        <w:tc>
          <w:tcPr>
            <w:tcW w:w="3515" w:type="dxa"/>
            <w:tcBorders>
              <w:top w:val="single" w:color="000000" w:sz="4" w:space="0"/>
              <w:left w:val="single" w:color="000000" w:sz="4" w:space="0"/>
              <w:bottom w:val="single" w:color="000000" w:sz="4" w:space="0"/>
              <w:right w:val="single" w:color="000000" w:sz="4" w:space="0"/>
            </w:tcBorders>
            <w:vAlign w:val="center"/>
          </w:tcPr>
          <w:p w14:paraId="4C486BDA">
            <w:pPr>
              <w:pageBreakBefore w:val="0"/>
              <w:shd w:val="clear"/>
              <w:topLinePunct w:val="0"/>
              <w:bidi w:val="0"/>
              <w:spacing w:after="0" w:line="360" w:lineRule="auto"/>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(1)品类齐全，能充分满足使用要求。</w:t>
            </w:r>
          </w:p>
        </w:tc>
        <w:tc>
          <w:tcPr>
            <w:tcW w:w="928" w:type="dxa"/>
            <w:tcBorders>
              <w:top w:val="single" w:color="000000" w:sz="4" w:space="0"/>
              <w:left w:val="single" w:color="000000" w:sz="4" w:space="0"/>
              <w:bottom w:val="single" w:color="000000" w:sz="4" w:space="0"/>
              <w:right w:val="single" w:color="000000" w:sz="4" w:space="0"/>
            </w:tcBorders>
            <w:vAlign w:val="center"/>
          </w:tcPr>
          <w:p w14:paraId="23008FBB">
            <w:pPr>
              <w:pageBreakBefore w:val="0"/>
              <w:shd w:val="clear"/>
              <w:topLinePunct w:val="0"/>
              <w:bidi w:val="0"/>
              <w:spacing w:after="0" w:line="360" w:lineRule="auto"/>
              <w:jc w:val="center"/>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14-20分</w:t>
            </w:r>
          </w:p>
        </w:tc>
        <w:tc>
          <w:tcPr>
            <w:tcW w:w="928" w:type="dxa"/>
            <w:vMerge w:val="restart"/>
            <w:tcBorders>
              <w:top w:val="single" w:color="000000" w:sz="4" w:space="0"/>
              <w:left w:val="single" w:color="000000" w:sz="4" w:space="0"/>
              <w:bottom w:val="single" w:color="000000" w:sz="4" w:space="0"/>
              <w:right w:val="single" w:color="000000" w:sz="4" w:space="0"/>
            </w:tcBorders>
            <w:vAlign w:val="center"/>
          </w:tcPr>
          <w:p w14:paraId="20F05BA4">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928" w:type="dxa"/>
            <w:vMerge w:val="restart"/>
            <w:tcBorders>
              <w:top w:val="single" w:color="000000" w:sz="4" w:space="0"/>
              <w:left w:val="single" w:color="000000" w:sz="4" w:space="0"/>
              <w:bottom w:val="single" w:color="000000" w:sz="4" w:space="0"/>
              <w:right w:val="single" w:color="000000" w:sz="4" w:space="0"/>
            </w:tcBorders>
            <w:vAlign w:val="center"/>
          </w:tcPr>
          <w:p w14:paraId="06AEB3A1">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1087" w:type="dxa"/>
            <w:vMerge w:val="restart"/>
            <w:tcBorders>
              <w:top w:val="single" w:color="000000" w:sz="4" w:space="0"/>
              <w:left w:val="single" w:color="000000" w:sz="4" w:space="0"/>
              <w:bottom w:val="single" w:color="000000" w:sz="4" w:space="0"/>
              <w:right w:val="single" w:color="000000" w:sz="4" w:space="0"/>
            </w:tcBorders>
            <w:vAlign w:val="center"/>
          </w:tcPr>
          <w:p w14:paraId="3638EE86">
            <w:pPr>
              <w:pageBreakBefore w:val="0"/>
              <w:shd w:val="clear"/>
              <w:topLinePunct w:val="0"/>
              <w:bidi w:val="0"/>
              <w:spacing w:after="0" w:line="360" w:lineRule="auto"/>
              <w:jc w:val="center"/>
              <w:rPr>
                <w:rFonts w:hint="eastAsia" w:ascii="宋体" w:hAnsi="宋体" w:cs="宋体"/>
                <w:color w:val="auto"/>
                <w:sz w:val="20"/>
                <w:szCs w:val="20"/>
                <w:highlight w:val="none"/>
              </w:rPr>
            </w:pPr>
          </w:p>
        </w:tc>
      </w:tr>
      <w:tr w14:paraId="7FF4FA29">
        <w:tblPrEx>
          <w:tblCellMar>
            <w:top w:w="0" w:type="dxa"/>
            <w:left w:w="108" w:type="dxa"/>
            <w:bottom w:w="0" w:type="dxa"/>
            <w:right w:w="108" w:type="dxa"/>
          </w:tblCellMar>
        </w:tblPrEx>
        <w:trPr>
          <w:trHeight w:val="484" w:hRule="atLeast"/>
        </w:trPr>
        <w:tc>
          <w:tcPr>
            <w:tcW w:w="974" w:type="dxa"/>
            <w:vMerge w:val="continue"/>
            <w:tcBorders>
              <w:top w:val="single" w:color="000000" w:sz="4" w:space="0"/>
              <w:left w:val="single" w:color="000000" w:sz="4" w:space="0"/>
              <w:bottom w:val="single" w:color="000000" w:sz="4" w:space="0"/>
              <w:right w:val="single" w:color="000000" w:sz="4" w:space="0"/>
            </w:tcBorders>
            <w:vAlign w:val="center"/>
          </w:tcPr>
          <w:p w14:paraId="072346C5">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3515" w:type="dxa"/>
            <w:tcBorders>
              <w:top w:val="single" w:color="000000" w:sz="4" w:space="0"/>
              <w:left w:val="single" w:color="000000" w:sz="4" w:space="0"/>
              <w:bottom w:val="single" w:color="000000" w:sz="4" w:space="0"/>
              <w:right w:val="single" w:color="000000" w:sz="4" w:space="0"/>
            </w:tcBorders>
            <w:vAlign w:val="center"/>
          </w:tcPr>
          <w:p w14:paraId="103D57BD">
            <w:pPr>
              <w:pageBreakBefore w:val="0"/>
              <w:shd w:val="clear"/>
              <w:topLinePunct w:val="0"/>
              <w:bidi w:val="0"/>
              <w:spacing w:after="0" w:line="360" w:lineRule="auto"/>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(2)品类基本齐全，偶尔与实际需求不相符，但对出品造成较小影响。</w:t>
            </w:r>
          </w:p>
        </w:tc>
        <w:tc>
          <w:tcPr>
            <w:tcW w:w="928" w:type="dxa"/>
            <w:tcBorders>
              <w:top w:val="single" w:color="000000" w:sz="4" w:space="0"/>
              <w:left w:val="single" w:color="000000" w:sz="4" w:space="0"/>
              <w:bottom w:val="single" w:color="000000" w:sz="4" w:space="0"/>
              <w:right w:val="single" w:color="000000" w:sz="4" w:space="0"/>
            </w:tcBorders>
            <w:vAlign w:val="center"/>
          </w:tcPr>
          <w:p w14:paraId="55A1D7A0">
            <w:pPr>
              <w:pageBreakBefore w:val="0"/>
              <w:shd w:val="clear"/>
              <w:topLinePunct w:val="0"/>
              <w:bidi w:val="0"/>
              <w:spacing w:after="0" w:line="360" w:lineRule="auto"/>
              <w:jc w:val="center"/>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7-13分</w:t>
            </w:r>
          </w:p>
        </w:tc>
        <w:tc>
          <w:tcPr>
            <w:tcW w:w="928" w:type="dxa"/>
            <w:vMerge w:val="continue"/>
            <w:tcBorders>
              <w:top w:val="single" w:color="000000" w:sz="4" w:space="0"/>
              <w:left w:val="single" w:color="000000" w:sz="4" w:space="0"/>
              <w:bottom w:val="single" w:color="000000" w:sz="4" w:space="0"/>
              <w:right w:val="single" w:color="000000" w:sz="4" w:space="0"/>
            </w:tcBorders>
            <w:vAlign w:val="center"/>
          </w:tcPr>
          <w:p w14:paraId="71E2D295">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928" w:type="dxa"/>
            <w:vMerge w:val="continue"/>
            <w:tcBorders>
              <w:top w:val="single" w:color="000000" w:sz="4" w:space="0"/>
              <w:left w:val="single" w:color="000000" w:sz="4" w:space="0"/>
              <w:bottom w:val="single" w:color="000000" w:sz="4" w:space="0"/>
              <w:right w:val="single" w:color="000000" w:sz="4" w:space="0"/>
            </w:tcBorders>
            <w:vAlign w:val="center"/>
          </w:tcPr>
          <w:p w14:paraId="3674DA72">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1087" w:type="dxa"/>
            <w:vMerge w:val="continue"/>
            <w:tcBorders>
              <w:top w:val="single" w:color="000000" w:sz="4" w:space="0"/>
              <w:left w:val="single" w:color="000000" w:sz="4" w:space="0"/>
              <w:bottom w:val="single" w:color="000000" w:sz="4" w:space="0"/>
              <w:right w:val="single" w:color="000000" w:sz="4" w:space="0"/>
            </w:tcBorders>
            <w:vAlign w:val="center"/>
          </w:tcPr>
          <w:p w14:paraId="331A86E7">
            <w:pPr>
              <w:pageBreakBefore w:val="0"/>
              <w:shd w:val="clear"/>
              <w:topLinePunct w:val="0"/>
              <w:bidi w:val="0"/>
              <w:spacing w:after="0" w:line="360" w:lineRule="auto"/>
              <w:jc w:val="center"/>
              <w:rPr>
                <w:rFonts w:hint="eastAsia" w:ascii="宋体" w:hAnsi="宋体" w:cs="宋体"/>
                <w:color w:val="auto"/>
                <w:sz w:val="20"/>
                <w:szCs w:val="20"/>
                <w:highlight w:val="none"/>
              </w:rPr>
            </w:pPr>
          </w:p>
        </w:tc>
      </w:tr>
      <w:tr w14:paraId="1CC43619">
        <w:tblPrEx>
          <w:tblCellMar>
            <w:top w:w="0" w:type="dxa"/>
            <w:left w:w="108" w:type="dxa"/>
            <w:bottom w:w="0" w:type="dxa"/>
            <w:right w:w="108" w:type="dxa"/>
          </w:tblCellMar>
        </w:tblPrEx>
        <w:trPr>
          <w:trHeight w:val="755" w:hRule="atLeast"/>
        </w:trPr>
        <w:tc>
          <w:tcPr>
            <w:tcW w:w="974" w:type="dxa"/>
            <w:vMerge w:val="continue"/>
            <w:tcBorders>
              <w:top w:val="single" w:color="000000" w:sz="4" w:space="0"/>
              <w:left w:val="single" w:color="000000" w:sz="4" w:space="0"/>
              <w:bottom w:val="single" w:color="000000" w:sz="4" w:space="0"/>
              <w:right w:val="single" w:color="000000" w:sz="4" w:space="0"/>
            </w:tcBorders>
            <w:vAlign w:val="center"/>
          </w:tcPr>
          <w:p w14:paraId="5C5024C3">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3515" w:type="dxa"/>
            <w:tcBorders>
              <w:top w:val="single" w:color="000000" w:sz="4" w:space="0"/>
              <w:left w:val="single" w:color="000000" w:sz="4" w:space="0"/>
              <w:bottom w:val="single" w:color="000000" w:sz="4" w:space="0"/>
              <w:right w:val="single" w:color="000000" w:sz="4" w:space="0"/>
            </w:tcBorders>
            <w:vAlign w:val="center"/>
          </w:tcPr>
          <w:p w14:paraId="772B6A37">
            <w:pPr>
              <w:pageBreakBefore w:val="0"/>
              <w:shd w:val="clear"/>
              <w:topLinePunct w:val="0"/>
              <w:bidi w:val="0"/>
              <w:spacing w:after="0" w:line="360" w:lineRule="auto"/>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(3)品类较少，供货差异较大，无法满足正常需求，且对出品造成较大影响。</w:t>
            </w:r>
          </w:p>
        </w:tc>
        <w:tc>
          <w:tcPr>
            <w:tcW w:w="928" w:type="dxa"/>
            <w:tcBorders>
              <w:top w:val="single" w:color="000000" w:sz="4" w:space="0"/>
              <w:left w:val="single" w:color="000000" w:sz="4" w:space="0"/>
              <w:bottom w:val="single" w:color="000000" w:sz="4" w:space="0"/>
              <w:right w:val="single" w:color="000000" w:sz="4" w:space="0"/>
            </w:tcBorders>
            <w:vAlign w:val="center"/>
          </w:tcPr>
          <w:p w14:paraId="4075C999">
            <w:pPr>
              <w:pageBreakBefore w:val="0"/>
              <w:shd w:val="clear"/>
              <w:topLinePunct w:val="0"/>
              <w:bidi w:val="0"/>
              <w:spacing w:after="0" w:line="360" w:lineRule="auto"/>
              <w:jc w:val="center"/>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0-6分</w:t>
            </w:r>
          </w:p>
        </w:tc>
        <w:tc>
          <w:tcPr>
            <w:tcW w:w="928" w:type="dxa"/>
            <w:vMerge w:val="continue"/>
            <w:tcBorders>
              <w:top w:val="single" w:color="000000" w:sz="4" w:space="0"/>
              <w:left w:val="single" w:color="000000" w:sz="4" w:space="0"/>
              <w:bottom w:val="single" w:color="000000" w:sz="4" w:space="0"/>
              <w:right w:val="single" w:color="000000" w:sz="4" w:space="0"/>
            </w:tcBorders>
            <w:vAlign w:val="center"/>
          </w:tcPr>
          <w:p w14:paraId="4E989C7C">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928" w:type="dxa"/>
            <w:vMerge w:val="continue"/>
            <w:tcBorders>
              <w:top w:val="single" w:color="000000" w:sz="4" w:space="0"/>
              <w:left w:val="single" w:color="000000" w:sz="4" w:space="0"/>
              <w:bottom w:val="single" w:color="000000" w:sz="4" w:space="0"/>
              <w:right w:val="single" w:color="000000" w:sz="4" w:space="0"/>
            </w:tcBorders>
            <w:vAlign w:val="center"/>
          </w:tcPr>
          <w:p w14:paraId="3E8B3F5D">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1087" w:type="dxa"/>
            <w:vMerge w:val="continue"/>
            <w:tcBorders>
              <w:top w:val="single" w:color="000000" w:sz="4" w:space="0"/>
              <w:left w:val="single" w:color="000000" w:sz="4" w:space="0"/>
              <w:bottom w:val="single" w:color="000000" w:sz="4" w:space="0"/>
              <w:right w:val="single" w:color="000000" w:sz="4" w:space="0"/>
            </w:tcBorders>
            <w:vAlign w:val="center"/>
          </w:tcPr>
          <w:p w14:paraId="744DDAFC">
            <w:pPr>
              <w:pageBreakBefore w:val="0"/>
              <w:shd w:val="clear"/>
              <w:topLinePunct w:val="0"/>
              <w:bidi w:val="0"/>
              <w:spacing w:after="0" w:line="360" w:lineRule="auto"/>
              <w:jc w:val="center"/>
              <w:rPr>
                <w:rFonts w:hint="eastAsia" w:ascii="宋体" w:hAnsi="宋体" w:cs="宋体"/>
                <w:color w:val="auto"/>
                <w:sz w:val="20"/>
                <w:szCs w:val="20"/>
                <w:highlight w:val="none"/>
              </w:rPr>
            </w:pPr>
          </w:p>
        </w:tc>
      </w:tr>
      <w:tr w14:paraId="27E98CAD">
        <w:tblPrEx>
          <w:tblCellMar>
            <w:top w:w="0" w:type="dxa"/>
            <w:left w:w="108" w:type="dxa"/>
            <w:bottom w:w="0" w:type="dxa"/>
            <w:right w:w="108" w:type="dxa"/>
          </w:tblCellMar>
        </w:tblPrEx>
        <w:trPr>
          <w:trHeight w:val="484" w:hRule="atLeast"/>
        </w:trPr>
        <w:tc>
          <w:tcPr>
            <w:tcW w:w="974" w:type="dxa"/>
            <w:vMerge w:val="restart"/>
            <w:tcBorders>
              <w:top w:val="single" w:color="000000" w:sz="4" w:space="0"/>
              <w:left w:val="single" w:color="000000" w:sz="4" w:space="0"/>
              <w:bottom w:val="single" w:color="000000" w:sz="4" w:space="0"/>
              <w:right w:val="single" w:color="000000" w:sz="4" w:space="0"/>
            </w:tcBorders>
            <w:vAlign w:val="center"/>
          </w:tcPr>
          <w:p w14:paraId="2C546080">
            <w:pPr>
              <w:pageBreakBefore w:val="0"/>
              <w:shd w:val="clear"/>
              <w:topLinePunct w:val="0"/>
              <w:bidi w:val="0"/>
              <w:spacing w:after="0" w:line="360" w:lineRule="auto"/>
              <w:jc w:val="center"/>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3、产品剩余质保期（20分）</w:t>
            </w:r>
          </w:p>
        </w:tc>
        <w:tc>
          <w:tcPr>
            <w:tcW w:w="3515" w:type="dxa"/>
            <w:tcBorders>
              <w:top w:val="single" w:color="000000" w:sz="4" w:space="0"/>
              <w:left w:val="single" w:color="000000" w:sz="4" w:space="0"/>
              <w:bottom w:val="single" w:color="000000" w:sz="4" w:space="0"/>
              <w:right w:val="single" w:color="000000" w:sz="4" w:space="0"/>
            </w:tcBorders>
            <w:vAlign w:val="center"/>
          </w:tcPr>
          <w:p w14:paraId="20A3AC49">
            <w:pPr>
              <w:pageBreakBefore w:val="0"/>
              <w:shd w:val="clear"/>
              <w:topLinePunct w:val="0"/>
              <w:bidi w:val="0"/>
              <w:spacing w:after="0" w:line="360" w:lineRule="auto"/>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 xml:space="preserve"> (1)产品剩余质保期长，远超行业标准，能充分保障使用周期。</w:t>
            </w:r>
          </w:p>
        </w:tc>
        <w:tc>
          <w:tcPr>
            <w:tcW w:w="928" w:type="dxa"/>
            <w:tcBorders>
              <w:top w:val="single" w:color="000000" w:sz="4" w:space="0"/>
              <w:left w:val="single" w:color="000000" w:sz="4" w:space="0"/>
              <w:bottom w:val="single" w:color="000000" w:sz="4" w:space="0"/>
              <w:right w:val="single" w:color="000000" w:sz="4" w:space="0"/>
            </w:tcBorders>
            <w:vAlign w:val="center"/>
          </w:tcPr>
          <w:p w14:paraId="78123CE1">
            <w:pPr>
              <w:pageBreakBefore w:val="0"/>
              <w:shd w:val="clear"/>
              <w:topLinePunct w:val="0"/>
              <w:bidi w:val="0"/>
              <w:spacing w:after="0" w:line="360" w:lineRule="auto"/>
              <w:jc w:val="center"/>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14-20分</w:t>
            </w:r>
          </w:p>
        </w:tc>
        <w:tc>
          <w:tcPr>
            <w:tcW w:w="928" w:type="dxa"/>
            <w:vMerge w:val="restart"/>
            <w:tcBorders>
              <w:top w:val="single" w:color="000000" w:sz="4" w:space="0"/>
              <w:left w:val="single" w:color="000000" w:sz="4" w:space="0"/>
              <w:bottom w:val="single" w:color="000000" w:sz="4" w:space="0"/>
              <w:right w:val="single" w:color="000000" w:sz="4" w:space="0"/>
            </w:tcBorders>
            <w:vAlign w:val="center"/>
          </w:tcPr>
          <w:p w14:paraId="3ECA930D">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928" w:type="dxa"/>
            <w:vMerge w:val="restart"/>
            <w:tcBorders>
              <w:top w:val="single" w:color="000000" w:sz="4" w:space="0"/>
              <w:left w:val="single" w:color="000000" w:sz="4" w:space="0"/>
              <w:bottom w:val="single" w:color="000000" w:sz="4" w:space="0"/>
              <w:right w:val="single" w:color="000000" w:sz="4" w:space="0"/>
            </w:tcBorders>
            <w:vAlign w:val="center"/>
          </w:tcPr>
          <w:p w14:paraId="0181E5B7">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1087" w:type="dxa"/>
            <w:vMerge w:val="restart"/>
            <w:tcBorders>
              <w:top w:val="single" w:color="000000" w:sz="4" w:space="0"/>
              <w:left w:val="single" w:color="000000" w:sz="4" w:space="0"/>
              <w:bottom w:val="single" w:color="000000" w:sz="4" w:space="0"/>
              <w:right w:val="single" w:color="000000" w:sz="4" w:space="0"/>
            </w:tcBorders>
            <w:vAlign w:val="center"/>
          </w:tcPr>
          <w:p w14:paraId="31151867">
            <w:pPr>
              <w:pageBreakBefore w:val="0"/>
              <w:shd w:val="clear"/>
              <w:topLinePunct w:val="0"/>
              <w:bidi w:val="0"/>
              <w:spacing w:after="0" w:line="360" w:lineRule="auto"/>
              <w:jc w:val="center"/>
              <w:rPr>
                <w:rFonts w:hint="eastAsia" w:ascii="宋体" w:hAnsi="宋体" w:cs="宋体"/>
                <w:color w:val="auto"/>
                <w:sz w:val="20"/>
                <w:szCs w:val="20"/>
                <w:highlight w:val="none"/>
              </w:rPr>
            </w:pPr>
          </w:p>
        </w:tc>
      </w:tr>
      <w:tr w14:paraId="10300EA6">
        <w:tblPrEx>
          <w:tblCellMar>
            <w:top w:w="0" w:type="dxa"/>
            <w:left w:w="108" w:type="dxa"/>
            <w:bottom w:w="0" w:type="dxa"/>
            <w:right w:w="108" w:type="dxa"/>
          </w:tblCellMar>
        </w:tblPrEx>
        <w:trPr>
          <w:trHeight w:val="484" w:hRule="atLeast"/>
        </w:trPr>
        <w:tc>
          <w:tcPr>
            <w:tcW w:w="974" w:type="dxa"/>
            <w:vMerge w:val="continue"/>
            <w:tcBorders>
              <w:top w:val="single" w:color="000000" w:sz="4" w:space="0"/>
              <w:left w:val="single" w:color="000000" w:sz="4" w:space="0"/>
              <w:bottom w:val="single" w:color="000000" w:sz="4" w:space="0"/>
              <w:right w:val="single" w:color="000000" w:sz="4" w:space="0"/>
            </w:tcBorders>
            <w:vAlign w:val="center"/>
          </w:tcPr>
          <w:p w14:paraId="334211A9">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3515" w:type="dxa"/>
            <w:tcBorders>
              <w:top w:val="single" w:color="000000" w:sz="4" w:space="0"/>
              <w:left w:val="single" w:color="000000" w:sz="4" w:space="0"/>
              <w:bottom w:val="single" w:color="000000" w:sz="4" w:space="0"/>
              <w:right w:val="single" w:color="000000" w:sz="4" w:space="0"/>
            </w:tcBorders>
            <w:vAlign w:val="center"/>
          </w:tcPr>
          <w:p w14:paraId="75647B2E">
            <w:pPr>
              <w:pageBreakBefore w:val="0"/>
              <w:shd w:val="clear"/>
              <w:topLinePunct w:val="0"/>
              <w:bidi w:val="0"/>
              <w:spacing w:after="0" w:line="360" w:lineRule="auto"/>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 xml:space="preserve"> (2)产品剩余质保期符合行业标准，基本满足使用需求。</w:t>
            </w:r>
          </w:p>
        </w:tc>
        <w:tc>
          <w:tcPr>
            <w:tcW w:w="928" w:type="dxa"/>
            <w:tcBorders>
              <w:top w:val="single" w:color="000000" w:sz="4" w:space="0"/>
              <w:left w:val="single" w:color="000000" w:sz="4" w:space="0"/>
              <w:bottom w:val="single" w:color="000000" w:sz="4" w:space="0"/>
              <w:right w:val="single" w:color="000000" w:sz="4" w:space="0"/>
            </w:tcBorders>
            <w:vAlign w:val="center"/>
          </w:tcPr>
          <w:p w14:paraId="45EA9B33">
            <w:pPr>
              <w:pageBreakBefore w:val="0"/>
              <w:shd w:val="clear"/>
              <w:topLinePunct w:val="0"/>
              <w:bidi w:val="0"/>
              <w:spacing w:after="0" w:line="360" w:lineRule="auto"/>
              <w:jc w:val="center"/>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7-13分</w:t>
            </w:r>
          </w:p>
        </w:tc>
        <w:tc>
          <w:tcPr>
            <w:tcW w:w="928" w:type="dxa"/>
            <w:vMerge w:val="continue"/>
            <w:tcBorders>
              <w:top w:val="single" w:color="000000" w:sz="4" w:space="0"/>
              <w:left w:val="single" w:color="000000" w:sz="4" w:space="0"/>
              <w:bottom w:val="single" w:color="000000" w:sz="4" w:space="0"/>
              <w:right w:val="single" w:color="000000" w:sz="4" w:space="0"/>
            </w:tcBorders>
            <w:vAlign w:val="center"/>
          </w:tcPr>
          <w:p w14:paraId="0258F922">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928" w:type="dxa"/>
            <w:vMerge w:val="continue"/>
            <w:tcBorders>
              <w:top w:val="single" w:color="000000" w:sz="4" w:space="0"/>
              <w:left w:val="single" w:color="000000" w:sz="4" w:space="0"/>
              <w:bottom w:val="single" w:color="000000" w:sz="4" w:space="0"/>
              <w:right w:val="single" w:color="000000" w:sz="4" w:space="0"/>
            </w:tcBorders>
            <w:vAlign w:val="center"/>
          </w:tcPr>
          <w:p w14:paraId="1ACB3027">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1087" w:type="dxa"/>
            <w:vMerge w:val="continue"/>
            <w:tcBorders>
              <w:top w:val="single" w:color="000000" w:sz="4" w:space="0"/>
              <w:left w:val="single" w:color="000000" w:sz="4" w:space="0"/>
              <w:bottom w:val="single" w:color="000000" w:sz="4" w:space="0"/>
              <w:right w:val="single" w:color="000000" w:sz="4" w:space="0"/>
            </w:tcBorders>
            <w:vAlign w:val="center"/>
          </w:tcPr>
          <w:p w14:paraId="1035EDA4">
            <w:pPr>
              <w:pageBreakBefore w:val="0"/>
              <w:shd w:val="clear"/>
              <w:topLinePunct w:val="0"/>
              <w:bidi w:val="0"/>
              <w:spacing w:after="0" w:line="360" w:lineRule="auto"/>
              <w:jc w:val="center"/>
              <w:rPr>
                <w:rFonts w:hint="eastAsia" w:ascii="宋体" w:hAnsi="宋体" w:cs="宋体"/>
                <w:color w:val="auto"/>
                <w:sz w:val="20"/>
                <w:szCs w:val="20"/>
                <w:highlight w:val="none"/>
              </w:rPr>
            </w:pPr>
          </w:p>
        </w:tc>
      </w:tr>
      <w:tr w14:paraId="113388D3">
        <w:tblPrEx>
          <w:tblCellMar>
            <w:top w:w="0" w:type="dxa"/>
            <w:left w:w="108" w:type="dxa"/>
            <w:bottom w:w="0" w:type="dxa"/>
            <w:right w:w="108" w:type="dxa"/>
          </w:tblCellMar>
        </w:tblPrEx>
        <w:trPr>
          <w:trHeight w:val="484" w:hRule="atLeast"/>
        </w:trPr>
        <w:tc>
          <w:tcPr>
            <w:tcW w:w="974" w:type="dxa"/>
            <w:vMerge w:val="continue"/>
            <w:tcBorders>
              <w:top w:val="single" w:color="000000" w:sz="4" w:space="0"/>
              <w:left w:val="single" w:color="000000" w:sz="4" w:space="0"/>
              <w:bottom w:val="single" w:color="000000" w:sz="4" w:space="0"/>
              <w:right w:val="single" w:color="000000" w:sz="4" w:space="0"/>
            </w:tcBorders>
            <w:vAlign w:val="center"/>
          </w:tcPr>
          <w:p w14:paraId="383625F6">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3515" w:type="dxa"/>
            <w:tcBorders>
              <w:top w:val="single" w:color="000000" w:sz="4" w:space="0"/>
              <w:left w:val="single" w:color="000000" w:sz="4" w:space="0"/>
              <w:bottom w:val="single" w:color="000000" w:sz="4" w:space="0"/>
              <w:right w:val="single" w:color="000000" w:sz="4" w:space="0"/>
            </w:tcBorders>
            <w:vAlign w:val="center"/>
          </w:tcPr>
          <w:p w14:paraId="5151CA41">
            <w:pPr>
              <w:pageBreakBefore w:val="0"/>
              <w:shd w:val="clear"/>
              <w:topLinePunct w:val="0"/>
              <w:bidi w:val="0"/>
              <w:spacing w:after="0" w:line="360" w:lineRule="auto"/>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(3)产品剩余质保期较短，不符合行业标准，无法满足正常使用需求。</w:t>
            </w:r>
          </w:p>
        </w:tc>
        <w:tc>
          <w:tcPr>
            <w:tcW w:w="928" w:type="dxa"/>
            <w:tcBorders>
              <w:top w:val="single" w:color="000000" w:sz="4" w:space="0"/>
              <w:left w:val="single" w:color="000000" w:sz="4" w:space="0"/>
              <w:bottom w:val="single" w:color="000000" w:sz="4" w:space="0"/>
              <w:right w:val="single" w:color="000000" w:sz="4" w:space="0"/>
            </w:tcBorders>
            <w:vAlign w:val="center"/>
          </w:tcPr>
          <w:p w14:paraId="62B1F22C">
            <w:pPr>
              <w:pageBreakBefore w:val="0"/>
              <w:shd w:val="clear"/>
              <w:topLinePunct w:val="0"/>
              <w:bidi w:val="0"/>
              <w:spacing w:after="0" w:line="360" w:lineRule="auto"/>
              <w:jc w:val="center"/>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0-6分</w:t>
            </w:r>
          </w:p>
        </w:tc>
        <w:tc>
          <w:tcPr>
            <w:tcW w:w="928" w:type="dxa"/>
            <w:vMerge w:val="continue"/>
            <w:tcBorders>
              <w:top w:val="single" w:color="000000" w:sz="4" w:space="0"/>
              <w:left w:val="single" w:color="000000" w:sz="4" w:space="0"/>
              <w:bottom w:val="single" w:color="000000" w:sz="4" w:space="0"/>
              <w:right w:val="single" w:color="000000" w:sz="4" w:space="0"/>
            </w:tcBorders>
            <w:vAlign w:val="center"/>
          </w:tcPr>
          <w:p w14:paraId="3AF269BE">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928" w:type="dxa"/>
            <w:vMerge w:val="continue"/>
            <w:tcBorders>
              <w:top w:val="single" w:color="000000" w:sz="4" w:space="0"/>
              <w:left w:val="single" w:color="000000" w:sz="4" w:space="0"/>
              <w:bottom w:val="single" w:color="000000" w:sz="4" w:space="0"/>
              <w:right w:val="single" w:color="000000" w:sz="4" w:space="0"/>
            </w:tcBorders>
            <w:vAlign w:val="center"/>
          </w:tcPr>
          <w:p w14:paraId="352E1890">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1087" w:type="dxa"/>
            <w:vMerge w:val="continue"/>
            <w:tcBorders>
              <w:top w:val="single" w:color="000000" w:sz="4" w:space="0"/>
              <w:left w:val="single" w:color="000000" w:sz="4" w:space="0"/>
              <w:bottom w:val="single" w:color="000000" w:sz="4" w:space="0"/>
              <w:right w:val="single" w:color="000000" w:sz="4" w:space="0"/>
            </w:tcBorders>
            <w:vAlign w:val="center"/>
          </w:tcPr>
          <w:p w14:paraId="6E869965">
            <w:pPr>
              <w:pageBreakBefore w:val="0"/>
              <w:shd w:val="clear"/>
              <w:topLinePunct w:val="0"/>
              <w:bidi w:val="0"/>
              <w:spacing w:after="0" w:line="360" w:lineRule="auto"/>
              <w:jc w:val="center"/>
              <w:rPr>
                <w:rFonts w:hint="eastAsia" w:ascii="宋体" w:hAnsi="宋体" w:cs="宋体"/>
                <w:color w:val="auto"/>
                <w:sz w:val="20"/>
                <w:szCs w:val="20"/>
                <w:highlight w:val="none"/>
              </w:rPr>
            </w:pPr>
          </w:p>
        </w:tc>
      </w:tr>
      <w:tr w14:paraId="102E4E4F">
        <w:tblPrEx>
          <w:tblCellMar>
            <w:top w:w="0" w:type="dxa"/>
            <w:left w:w="108" w:type="dxa"/>
            <w:bottom w:w="0" w:type="dxa"/>
            <w:right w:w="108" w:type="dxa"/>
          </w:tblCellMar>
        </w:tblPrEx>
        <w:trPr>
          <w:trHeight w:val="484" w:hRule="atLeast"/>
        </w:trPr>
        <w:tc>
          <w:tcPr>
            <w:tcW w:w="974" w:type="dxa"/>
            <w:vMerge w:val="restart"/>
            <w:tcBorders>
              <w:top w:val="single" w:color="000000" w:sz="4" w:space="0"/>
              <w:left w:val="single" w:color="000000" w:sz="4" w:space="0"/>
              <w:bottom w:val="single" w:color="000000" w:sz="4" w:space="0"/>
              <w:right w:val="single" w:color="000000" w:sz="4" w:space="0"/>
            </w:tcBorders>
            <w:vAlign w:val="center"/>
          </w:tcPr>
          <w:p w14:paraId="3B9BAB52">
            <w:pPr>
              <w:pageBreakBefore w:val="0"/>
              <w:shd w:val="clear"/>
              <w:topLinePunct w:val="0"/>
              <w:bidi w:val="0"/>
              <w:spacing w:after="0" w:line="360" w:lineRule="auto"/>
              <w:jc w:val="center"/>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4、实际使用质量情况（20分）</w:t>
            </w:r>
          </w:p>
        </w:tc>
        <w:tc>
          <w:tcPr>
            <w:tcW w:w="3515" w:type="dxa"/>
            <w:tcBorders>
              <w:top w:val="single" w:color="000000" w:sz="4" w:space="0"/>
              <w:left w:val="single" w:color="000000" w:sz="4" w:space="0"/>
              <w:bottom w:val="single" w:color="000000" w:sz="4" w:space="0"/>
              <w:right w:val="single" w:color="000000" w:sz="4" w:space="0"/>
            </w:tcBorders>
            <w:vAlign w:val="center"/>
          </w:tcPr>
          <w:p w14:paraId="73ADABE9">
            <w:pPr>
              <w:pageBreakBefore w:val="0"/>
              <w:shd w:val="clear"/>
              <w:topLinePunct w:val="0"/>
              <w:bidi w:val="0"/>
              <w:spacing w:after="0" w:line="360" w:lineRule="auto"/>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(1)包装完好，符合相关安全、环保等管理规定，未出现质量问题。</w:t>
            </w:r>
          </w:p>
        </w:tc>
        <w:tc>
          <w:tcPr>
            <w:tcW w:w="928" w:type="dxa"/>
            <w:tcBorders>
              <w:top w:val="single" w:color="000000" w:sz="4" w:space="0"/>
              <w:left w:val="single" w:color="000000" w:sz="4" w:space="0"/>
              <w:bottom w:val="single" w:color="000000" w:sz="4" w:space="0"/>
              <w:right w:val="single" w:color="000000" w:sz="4" w:space="0"/>
            </w:tcBorders>
            <w:vAlign w:val="center"/>
          </w:tcPr>
          <w:p w14:paraId="6F1A5B3E">
            <w:pPr>
              <w:pageBreakBefore w:val="0"/>
              <w:shd w:val="clear"/>
              <w:topLinePunct w:val="0"/>
              <w:bidi w:val="0"/>
              <w:spacing w:after="0" w:line="360" w:lineRule="auto"/>
              <w:jc w:val="center"/>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14-20分</w:t>
            </w:r>
          </w:p>
        </w:tc>
        <w:tc>
          <w:tcPr>
            <w:tcW w:w="928" w:type="dxa"/>
            <w:vMerge w:val="restart"/>
            <w:tcBorders>
              <w:top w:val="single" w:color="000000" w:sz="4" w:space="0"/>
              <w:left w:val="single" w:color="000000" w:sz="4" w:space="0"/>
              <w:bottom w:val="single" w:color="000000" w:sz="4" w:space="0"/>
              <w:right w:val="single" w:color="000000" w:sz="4" w:space="0"/>
            </w:tcBorders>
            <w:vAlign w:val="center"/>
          </w:tcPr>
          <w:p w14:paraId="29D12C44">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928" w:type="dxa"/>
            <w:vMerge w:val="restart"/>
            <w:tcBorders>
              <w:top w:val="single" w:color="000000" w:sz="4" w:space="0"/>
              <w:left w:val="single" w:color="000000" w:sz="4" w:space="0"/>
              <w:bottom w:val="single" w:color="000000" w:sz="4" w:space="0"/>
              <w:right w:val="single" w:color="000000" w:sz="4" w:space="0"/>
            </w:tcBorders>
            <w:vAlign w:val="center"/>
          </w:tcPr>
          <w:p w14:paraId="45095143">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1087" w:type="dxa"/>
            <w:vMerge w:val="restart"/>
            <w:tcBorders>
              <w:top w:val="single" w:color="000000" w:sz="4" w:space="0"/>
              <w:left w:val="single" w:color="000000" w:sz="4" w:space="0"/>
              <w:bottom w:val="single" w:color="000000" w:sz="4" w:space="0"/>
              <w:right w:val="single" w:color="000000" w:sz="4" w:space="0"/>
            </w:tcBorders>
            <w:vAlign w:val="center"/>
          </w:tcPr>
          <w:p w14:paraId="4319435F">
            <w:pPr>
              <w:pageBreakBefore w:val="0"/>
              <w:shd w:val="clear"/>
              <w:topLinePunct w:val="0"/>
              <w:bidi w:val="0"/>
              <w:spacing w:after="0" w:line="360" w:lineRule="auto"/>
              <w:jc w:val="center"/>
              <w:rPr>
                <w:rFonts w:hint="eastAsia" w:ascii="宋体" w:hAnsi="宋体" w:cs="宋体"/>
                <w:color w:val="auto"/>
                <w:sz w:val="20"/>
                <w:szCs w:val="20"/>
                <w:highlight w:val="none"/>
              </w:rPr>
            </w:pPr>
          </w:p>
        </w:tc>
      </w:tr>
      <w:tr w14:paraId="5BF839B2">
        <w:tblPrEx>
          <w:tblCellMar>
            <w:top w:w="0" w:type="dxa"/>
            <w:left w:w="108" w:type="dxa"/>
            <w:bottom w:w="0" w:type="dxa"/>
            <w:right w:w="108" w:type="dxa"/>
          </w:tblCellMar>
        </w:tblPrEx>
        <w:trPr>
          <w:trHeight w:val="755" w:hRule="atLeast"/>
        </w:trPr>
        <w:tc>
          <w:tcPr>
            <w:tcW w:w="974" w:type="dxa"/>
            <w:vMerge w:val="continue"/>
            <w:tcBorders>
              <w:top w:val="single" w:color="000000" w:sz="4" w:space="0"/>
              <w:left w:val="single" w:color="000000" w:sz="4" w:space="0"/>
              <w:bottom w:val="single" w:color="000000" w:sz="4" w:space="0"/>
              <w:right w:val="single" w:color="000000" w:sz="4" w:space="0"/>
            </w:tcBorders>
            <w:vAlign w:val="center"/>
          </w:tcPr>
          <w:p w14:paraId="13B08F32">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3515" w:type="dxa"/>
            <w:tcBorders>
              <w:top w:val="single" w:color="000000" w:sz="4" w:space="0"/>
              <w:left w:val="single" w:color="000000" w:sz="4" w:space="0"/>
              <w:bottom w:val="single" w:color="000000" w:sz="4" w:space="0"/>
              <w:right w:val="single" w:color="000000" w:sz="4" w:space="0"/>
            </w:tcBorders>
            <w:vAlign w:val="center"/>
          </w:tcPr>
          <w:p w14:paraId="62BF66F9">
            <w:pPr>
              <w:pageBreakBefore w:val="0"/>
              <w:shd w:val="clear"/>
              <w:topLinePunct w:val="0"/>
              <w:bidi w:val="0"/>
              <w:spacing w:after="0" w:line="360" w:lineRule="auto"/>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(2)产品质量合格率低于98%，基本符合相关安全、环保等管理规定，可以让步接收。</w:t>
            </w:r>
          </w:p>
        </w:tc>
        <w:tc>
          <w:tcPr>
            <w:tcW w:w="928" w:type="dxa"/>
            <w:tcBorders>
              <w:top w:val="single" w:color="000000" w:sz="4" w:space="0"/>
              <w:left w:val="single" w:color="000000" w:sz="4" w:space="0"/>
              <w:bottom w:val="single" w:color="000000" w:sz="4" w:space="0"/>
              <w:right w:val="single" w:color="000000" w:sz="4" w:space="0"/>
            </w:tcBorders>
            <w:vAlign w:val="center"/>
          </w:tcPr>
          <w:p w14:paraId="730ED6DD">
            <w:pPr>
              <w:pageBreakBefore w:val="0"/>
              <w:shd w:val="clear"/>
              <w:topLinePunct w:val="0"/>
              <w:bidi w:val="0"/>
              <w:spacing w:after="0" w:line="360" w:lineRule="auto"/>
              <w:jc w:val="center"/>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7-13分</w:t>
            </w:r>
          </w:p>
        </w:tc>
        <w:tc>
          <w:tcPr>
            <w:tcW w:w="928" w:type="dxa"/>
            <w:vMerge w:val="continue"/>
            <w:tcBorders>
              <w:top w:val="single" w:color="000000" w:sz="4" w:space="0"/>
              <w:left w:val="single" w:color="000000" w:sz="4" w:space="0"/>
              <w:bottom w:val="single" w:color="000000" w:sz="4" w:space="0"/>
              <w:right w:val="single" w:color="000000" w:sz="4" w:space="0"/>
            </w:tcBorders>
            <w:vAlign w:val="center"/>
          </w:tcPr>
          <w:p w14:paraId="4D1BB87C">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928" w:type="dxa"/>
            <w:vMerge w:val="continue"/>
            <w:tcBorders>
              <w:top w:val="single" w:color="000000" w:sz="4" w:space="0"/>
              <w:left w:val="single" w:color="000000" w:sz="4" w:space="0"/>
              <w:bottom w:val="single" w:color="000000" w:sz="4" w:space="0"/>
              <w:right w:val="single" w:color="000000" w:sz="4" w:space="0"/>
            </w:tcBorders>
            <w:vAlign w:val="center"/>
          </w:tcPr>
          <w:p w14:paraId="7B2823CD">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1087" w:type="dxa"/>
            <w:vMerge w:val="continue"/>
            <w:tcBorders>
              <w:top w:val="single" w:color="000000" w:sz="4" w:space="0"/>
              <w:left w:val="single" w:color="000000" w:sz="4" w:space="0"/>
              <w:bottom w:val="single" w:color="000000" w:sz="4" w:space="0"/>
              <w:right w:val="single" w:color="000000" w:sz="4" w:space="0"/>
            </w:tcBorders>
            <w:vAlign w:val="center"/>
          </w:tcPr>
          <w:p w14:paraId="480D20EA">
            <w:pPr>
              <w:pageBreakBefore w:val="0"/>
              <w:shd w:val="clear"/>
              <w:topLinePunct w:val="0"/>
              <w:bidi w:val="0"/>
              <w:spacing w:after="0" w:line="360" w:lineRule="auto"/>
              <w:jc w:val="center"/>
              <w:rPr>
                <w:rFonts w:hint="eastAsia" w:ascii="宋体" w:hAnsi="宋体" w:cs="宋体"/>
                <w:color w:val="auto"/>
                <w:sz w:val="20"/>
                <w:szCs w:val="20"/>
                <w:highlight w:val="none"/>
              </w:rPr>
            </w:pPr>
          </w:p>
        </w:tc>
      </w:tr>
      <w:tr w14:paraId="76F5E624">
        <w:tblPrEx>
          <w:tblCellMar>
            <w:top w:w="0" w:type="dxa"/>
            <w:left w:w="108" w:type="dxa"/>
            <w:bottom w:w="0" w:type="dxa"/>
            <w:right w:w="108" w:type="dxa"/>
          </w:tblCellMar>
        </w:tblPrEx>
        <w:trPr>
          <w:trHeight w:val="484" w:hRule="atLeast"/>
        </w:trPr>
        <w:tc>
          <w:tcPr>
            <w:tcW w:w="974" w:type="dxa"/>
            <w:vMerge w:val="continue"/>
            <w:tcBorders>
              <w:top w:val="single" w:color="000000" w:sz="4" w:space="0"/>
              <w:left w:val="single" w:color="000000" w:sz="4" w:space="0"/>
              <w:bottom w:val="single" w:color="000000" w:sz="4" w:space="0"/>
              <w:right w:val="single" w:color="000000" w:sz="4" w:space="0"/>
            </w:tcBorders>
            <w:vAlign w:val="center"/>
          </w:tcPr>
          <w:p w14:paraId="3090ED1F">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3515" w:type="dxa"/>
            <w:tcBorders>
              <w:top w:val="single" w:color="000000" w:sz="4" w:space="0"/>
              <w:left w:val="single" w:color="000000" w:sz="4" w:space="0"/>
              <w:bottom w:val="single" w:color="000000" w:sz="4" w:space="0"/>
              <w:right w:val="single" w:color="000000" w:sz="4" w:space="0"/>
            </w:tcBorders>
            <w:vAlign w:val="center"/>
          </w:tcPr>
          <w:p w14:paraId="031C6F3C">
            <w:pPr>
              <w:pageBreakBefore w:val="0"/>
              <w:shd w:val="clear"/>
              <w:topLinePunct w:val="0"/>
              <w:bidi w:val="0"/>
              <w:spacing w:after="0" w:line="360" w:lineRule="auto"/>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(3)出现重大质量问题。</w:t>
            </w:r>
          </w:p>
        </w:tc>
        <w:tc>
          <w:tcPr>
            <w:tcW w:w="928" w:type="dxa"/>
            <w:tcBorders>
              <w:top w:val="single" w:color="000000" w:sz="4" w:space="0"/>
              <w:left w:val="single" w:color="000000" w:sz="4" w:space="0"/>
              <w:bottom w:val="single" w:color="000000" w:sz="4" w:space="0"/>
              <w:right w:val="single" w:color="000000" w:sz="4" w:space="0"/>
            </w:tcBorders>
            <w:vAlign w:val="center"/>
          </w:tcPr>
          <w:p w14:paraId="7EB2C363">
            <w:pPr>
              <w:pageBreakBefore w:val="0"/>
              <w:shd w:val="clear"/>
              <w:topLinePunct w:val="0"/>
              <w:bidi w:val="0"/>
              <w:spacing w:after="0" w:line="360" w:lineRule="auto"/>
              <w:jc w:val="center"/>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0-6分</w:t>
            </w:r>
          </w:p>
        </w:tc>
        <w:tc>
          <w:tcPr>
            <w:tcW w:w="928" w:type="dxa"/>
            <w:vMerge w:val="continue"/>
            <w:tcBorders>
              <w:top w:val="single" w:color="000000" w:sz="4" w:space="0"/>
              <w:left w:val="single" w:color="000000" w:sz="4" w:space="0"/>
              <w:bottom w:val="single" w:color="000000" w:sz="4" w:space="0"/>
              <w:right w:val="single" w:color="000000" w:sz="4" w:space="0"/>
            </w:tcBorders>
            <w:vAlign w:val="center"/>
          </w:tcPr>
          <w:p w14:paraId="7C64F5EA">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928" w:type="dxa"/>
            <w:vMerge w:val="continue"/>
            <w:tcBorders>
              <w:top w:val="single" w:color="000000" w:sz="4" w:space="0"/>
              <w:left w:val="single" w:color="000000" w:sz="4" w:space="0"/>
              <w:bottom w:val="single" w:color="000000" w:sz="4" w:space="0"/>
              <w:right w:val="single" w:color="000000" w:sz="4" w:space="0"/>
            </w:tcBorders>
            <w:vAlign w:val="center"/>
          </w:tcPr>
          <w:p w14:paraId="2F602967">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1087" w:type="dxa"/>
            <w:vMerge w:val="continue"/>
            <w:tcBorders>
              <w:top w:val="single" w:color="000000" w:sz="4" w:space="0"/>
              <w:left w:val="single" w:color="000000" w:sz="4" w:space="0"/>
              <w:bottom w:val="single" w:color="000000" w:sz="4" w:space="0"/>
              <w:right w:val="single" w:color="000000" w:sz="4" w:space="0"/>
            </w:tcBorders>
            <w:vAlign w:val="center"/>
          </w:tcPr>
          <w:p w14:paraId="7122EB0E">
            <w:pPr>
              <w:pageBreakBefore w:val="0"/>
              <w:shd w:val="clear"/>
              <w:topLinePunct w:val="0"/>
              <w:bidi w:val="0"/>
              <w:spacing w:after="0" w:line="360" w:lineRule="auto"/>
              <w:jc w:val="center"/>
              <w:rPr>
                <w:rFonts w:hint="eastAsia" w:ascii="宋体" w:hAnsi="宋体" w:cs="宋体"/>
                <w:color w:val="auto"/>
                <w:sz w:val="20"/>
                <w:szCs w:val="20"/>
                <w:highlight w:val="none"/>
              </w:rPr>
            </w:pPr>
          </w:p>
        </w:tc>
      </w:tr>
      <w:tr w14:paraId="5A0ED03F">
        <w:tblPrEx>
          <w:tblCellMar>
            <w:top w:w="0" w:type="dxa"/>
            <w:left w:w="108" w:type="dxa"/>
            <w:bottom w:w="0" w:type="dxa"/>
            <w:right w:w="108" w:type="dxa"/>
          </w:tblCellMar>
        </w:tblPrEx>
        <w:trPr>
          <w:trHeight w:val="484" w:hRule="atLeast"/>
        </w:trPr>
        <w:tc>
          <w:tcPr>
            <w:tcW w:w="974" w:type="dxa"/>
            <w:vMerge w:val="restart"/>
            <w:tcBorders>
              <w:top w:val="single" w:color="000000" w:sz="4" w:space="0"/>
              <w:left w:val="single" w:color="000000" w:sz="4" w:space="0"/>
              <w:bottom w:val="single" w:color="000000" w:sz="4" w:space="0"/>
              <w:right w:val="single" w:color="000000" w:sz="4" w:space="0"/>
            </w:tcBorders>
            <w:vAlign w:val="center"/>
          </w:tcPr>
          <w:p w14:paraId="0C40C443">
            <w:pPr>
              <w:pageBreakBefore w:val="0"/>
              <w:shd w:val="clear"/>
              <w:topLinePunct w:val="0"/>
              <w:bidi w:val="0"/>
              <w:spacing w:after="0" w:line="360" w:lineRule="auto"/>
              <w:jc w:val="center"/>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5、售后服务能力（20分）</w:t>
            </w:r>
          </w:p>
        </w:tc>
        <w:tc>
          <w:tcPr>
            <w:tcW w:w="3515" w:type="dxa"/>
            <w:tcBorders>
              <w:top w:val="single" w:color="000000" w:sz="4" w:space="0"/>
              <w:left w:val="single" w:color="000000" w:sz="4" w:space="0"/>
              <w:bottom w:val="single" w:color="000000" w:sz="4" w:space="0"/>
              <w:right w:val="single" w:color="000000" w:sz="4" w:space="0"/>
            </w:tcBorders>
            <w:vAlign w:val="center"/>
          </w:tcPr>
          <w:p w14:paraId="39B95B60">
            <w:pPr>
              <w:pageBreakBefore w:val="0"/>
              <w:shd w:val="clear"/>
              <w:topLinePunct w:val="0"/>
              <w:bidi w:val="0"/>
              <w:spacing w:after="0" w:line="360" w:lineRule="auto"/>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(1)出现问题，能够及时有效解决，售后服务能力较强。</w:t>
            </w:r>
          </w:p>
        </w:tc>
        <w:tc>
          <w:tcPr>
            <w:tcW w:w="928" w:type="dxa"/>
            <w:tcBorders>
              <w:top w:val="single" w:color="000000" w:sz="4" w:space="0"/>
              <w:left w:val="single" w:color="000000" w:sz="4" w:space="0"/>
              <w:bottom w:val="single" w:color="000000" w:sz="4" w:space="0"/>
              <w:right w:val="single" w:color="000000" w:sz="4" w:space="0"/>
            </w:tcBorders>
            <w:vAlign w:val="center"/>
          </w:tcPr>
          <w:p w14:paraId="40C5C046">
            <w:pPr>
              <w:pageBreakBefore w:val="0"/>
              <w:shd w:val="clear"/>
              <w:topLinePunct w:val="0"/>
              <w:bidi w:val="0"/>
              <w:spacing w:after="0" w:line="360" w:lineRule="auto"/>
              <w:jc w:val="center"/>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14-20分</w:t>
            </w:r>
          </w:p>
        </w:tc>
        <w:tc>
          <w:tcPr>
            <w:tcW w:w="928" w:type="dxa"/>
            <w:vMerge w:val="restart"/>
            <w:tcBorders>
              <w:top w:val="single" w:color="000000" w:sz="4" w:space="0"/>
              <w:left w:val="single" w:color="000000" w:sz="4" w:space="0"/>
              <w:bottom w:val="single" w:color="000000" w:sz="4" w:space="0"/>
              <w:right w:val="single" w:color="000000" w:sz="4" w:space="0"/>
            </w:tcBorders>
            <w:vAlign w:val="center"/>
          </w:tcPr>
          <w:p w14:paraId="4078E2C1">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928" w:type="dxa"/>
            <w:vMerge w:val="restart"/>
            <w:tcBorders>
              <w:top w:val="single" w:color="000000" w:sz="4" w:space="0"/>
              <w:left w:val="single" w:color="000000" w:sz="4" w:space="0"/>
              <w:bottom w:val="single" w:color="000000" w:sz="4" w:space="0"/>
              <w:right w:val="single" w:color="000000" w:sz="4" w:space="0"/>
            </w:tcBorders>
            <w:vAlign w:val="center"/>
          </w:tcPr>
          <w:p w14:paraId="1F9272C8">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1087" w:type="dxa"/>
            <w:vMerge w:val="restart"/>
            <w:tcBorders>
              <w:top w:val="single" w:color="000000" w:sz="4" w:space="0"/>
              <w:left w:val="single" w:color="000000" w:sz="4" w:space="0"/>
              <w:bottom w:val="single" w:color="000000" w:sz="4" w:space="0"/>
              <w:right w:val="single" w:color="000000" w:sz="4" w:space="0"/>
            </w:tcBorders>
            <w:vAlign w:val="center"/>
          </w:tcPr>
          <w:p w14:paraId="3D6C5909">
            <w:pPr>
              <w:pageBreakBefore w:val="0"/>
              <w:shd w:val="clear"/>
              <w:topLinePunct w:val="0"/>
              <w:bidi w:val="0"/>
              <w:spacing w:after="0" w:line="360" w:lineRule="auto"/>
              <w:jc w:val="center"/>
              <w:rPr>
                <w:rFonts w:hint="eastAsia" w:ascii="宋体" w:hAnsi="宋体" w:cs="宋体"/>
                <w:color w:val="auto"/>
                <w:sz w:val="20"/>
                <w:szCs w:val="20"/>
                <w:highlight w:val="none"/>
              </w:rPr>
            </w:pPr>
          </w:p>
        </w:tc>
      </w:tr>
      <w:tr w14:paraId="11E9F7EA">
        <w:tblPrEx>
          <w:tblCellMar>
            <w:top w:w="0" w:type="dxa"/>
            <w:left w:w="108" w:type="dxa"/>
            <w:bottom w:w="0" w:type="dxa"/>
            <w:right w:w="108" w:type="dxa"/>
          </w:tblCellMar>
        </w:tblPrEx>
        <w:trPr>
          <w:trHeight w:val="484" w:hRule="atLeast"/>
        </w:trPr>
        <w:tc>
          <w:tcPr>
            <w:tcW w:w="974" w:type="dxa"/>
            <w:vMerge w:val="continue"/>
            <w:tcBorders>
              <w:top w:val="single" w:color="000000" w:sz="4" w:space="0"/>
              <w:left w:val="single" w:color="000000" w:sz="4" w:space="0"/>
              <w:bottom w:val="single" w:color="000000" w:sz="4" w:space="0"/>
              <w:right w:val="single" w:color="000000" w:sz="4" w:space="0"/>
            </w:tcBorders>
            <w:vAlign w:val="center"/>
          </w:tcPr>
          <w:p w14:paraId="631D8FB9">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3515" w:type="dxa"/>
            <w:tcBorders>
              <w:top w:val="single" w:color="000000" w:sz="4" w:space="0"/>
              <w:left w:val="single" w:color="000000" w:sz="4" w:space="0"/>
              <w:bottom w:val="single" w:color="000000" w:sz="4" w:space="0"/>
              <w:right w:val="single" w:color="000000" w:sz="4" w:space="0"/>
            </w:tcBorders>
            <w:vAlign w:val="center"/>
          </w:tcPr>
          <w:p w14:paraId="3915987D">
            <w:pPr>
              <w:pageBreakBefore w:val="0"/>
              <w:shd w:val="clear"/>
              <w:topLinePunct w:val="0"/>
              <w:bidi w:val="0"/>
              <w:spacing w:after="0" w:line="360" w:lineRule="auto"/>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(2)出现问题时，处理问题及时性一般，售后服务能力一般。</w:t>
            </w:r>
          </w:p>
        </w:tc>
        <w:tc>
          <w:tcPr>
            <w:tcW w:w="928" w:type="dxa"/>
            <w:tcBorders>
              <w:top w:val="single" w:color="000000" w:sz="4" w:space="0"/>
              <w:left w:val="single" w:color="000000" w:sz="4" w:space="0"/>
              <w:bottom w:val="single" w:color="000000" w:sz="4" w:space="0"/>
              <w:right w:val="single" w:color="000000" w:sz="4" w:space="0"/>
            </w:tcBorders>
            <w:vAlign w:val="center"/>
          </w:tcPr>
          <w:p w14:paraId="4B2161A9">
            <w:pPr>
              <w:pageBreakBefore w:val="0"/>
              <w:shd w:val="clear"/>
              <w:topLinePunct w:val="0"/>
              <w:bidi w:val="0"/>
              <w:spacing w:after="0" w:line="360" w:lineRule="auto"/>
              <w:jc w:val="center"/>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7-13分</w:t>
            </w:r>
          </w:p>
        </w:tc>
        <w:tc>
          <w:tcPr>
            <w:tcW w:w="928" w:type="dxa"/>
            <w:vMerge w:val="continue"/>
            <w:tcBorders>
              <w:top w:val="single" w:color="000000" w:sz="4" w:space="0"/>
              <w:left w:val="single" w:color="000000" w:sz="4" w:space="0"/>
              <w:bottom w:val="single" w:color="000000" w:sz="4" w:space="0"/>
              <w:right w:val="single" w:color="000000" w:sz="4" w:space="0"/>
            </w:tcBorders>
            <w:vAlign w:val="center"/>
          </w:tcPr>
          <w:p w14:paraId="37CF52FA">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928" w:type="dxa"/>
            <w:vMerge w:val="continue"/>
            <w:tcBorders>
              <w:top w:val="single" w:color="000000" w:sz="4" w:space="0"/>
              <w:left w:val="single" w:color="000000" w:sz="4" w:space="0"/>
              <w:bottom w:val="single" w:color="000000" w:sz="4" w:space="0"/>
              <w:right w:val="single" w:color="000000" w:sz="4" w:space="0"/>
            </w:tcBorders>
            <w:vAlign w:val="center"/>
          </w:tcPr>
          <w:p w14:paraId="48871132">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1087" w:type="dxa"/>
            <w:vMerge w:val="continue"/>
            <w:tcBorders>
              <w:top w:val="single" w:color="000000" w:sz="4" w:space="0"/>
              <w:left w:val="single" w:color="000000" w:sz="4" w:space="0"/>
              <w:bottom w:val="single" w:color="000000" w:sz="4" w:space="0"/>
              <w:right w:val="single" w:color="000000" w:sz="4" w:space="0"/>
            </w:tcBorders>
            <w:vAlign w:val="center"/>
          </w:tcPr>
          <w:p w14:paraId="5C982A28">
            <w:pPr>
              <w:pageBreakBefore w:val="0"/>
              <w:shd w:val="clear"/>
              <w:topLinePunct w:val="0"/>
              <w:bidi w:val="0"/>
              <w:spacing w:after="0" w:line="360" w:lineRule="auto"/>
              <w:jc w:val="center"/>
              <w:rPr>
                <w:rFonts w:hint="eastAsia" w:ascii="宋体" w:hAnsi="宋体" w:cs="宋体"/>
                <w:color w:val="auto"/>
                <w:sz w:val="20"/>
                <w:szCs w:val="20"/>
                <w:highlight w:val="none"/>
              </w:rPr>
            </w:pPr>
          </w:p>
        </w:tc>
      </w:tr>
      <w:tr w14:paraId="27A2E3F2">
        <w:tblPrEx>
          <w:tblCellMar>
            <w:top w:w="0" w:type="dxa"/>
            <w:left w:w="108" w:type="dxa"/>
            <w:bottom w:w="0" w:type="dxa"/>
            <w:right w:w="108" w:type="dxa"/>
          </w:tblCellMar>
        </w:tblPrEx>
        <w:trPr>
          <w:trHeight w:val="484" w:hRule="atLeast"/>
        </w:trPr>
        <w:tc>
          <w:tcPr>
            <w:tcW w:w="974" w:type="dxa"/>
            <w:vMerge w:val="continue"/>
            <w:tcBorders>
              <w:top w:val="single" w:color="000000" w:sz="4" w:space="0"/>
              <w:left w:val="single" w:color="000000" w:sz="4" w:space="0"/>
              <w:bottom w:val="single" w:color="000000" w:sz="4" w:space="0"/>
              <w:right w:val="single" w:color="000000" w:sz="4" w:space="0"/>
            </w:tcBorders>
            <w:vAlign w:val="center"/>
          </w:tcPr>
          <w:p w14:paraId="33DABF3C">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3515" w:type="dxa"/>
            <w:tcBorders>
              <w:top w:val="single" w:color="000000" w:sz="4" w:space="0"/>
              <w:left w:val="single" w:color="000000" w:sz="4" w:space="0"/>
              <w:bottom w:val="single" w:color="000000" w:sz="4" w:space="0"/>
              <w:right w:val="single" w:color="000000" w:sz="4" w:space="0"/>
            </w:tcBorders>
            <w:vAlign w:val="center"/>
          </w:tcPr>
          <w:p w14:paraId="07780DFE">
            <w:pPr>
              <w:pageBreakBefore w:val="0"/>
              <w:shd w:val="clear"/>
              <w:topLinePunct w:val="0"/>
              <w:bidi w:val="0"/>
              <w:spacing w:after="0" w:line="360" w:lineRule="auto"/>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(3)出现问题时，处理问题及时性较差，售后服务能力较差。</w:t>
            </w:r>
          </w:p>
        </w:tc>
        <w:tc>
          <w:tcPr>
            <w:tcW w:w="928" w:type="dxa"/>
            <w:tcBorders>
              <w:top w:val="single" w:color="000000" w:sz="4" w:space="0"/>
              <w:left w:val="single" w:color="000000" w:sz="4" w:space="0"/>
              <w:bottom w:val="single" w:color="000000" w:sz="4" w:space="0"/>
              <w:right w:val="single" w:color="000000" w:sz="4" w:space="0"/>
            </w:tcBorders>
            <w:vAlign w:val="center"/>
          </w:tcPr>
          <w:p w14:paraId="2140E881">
            <w:pPr>
              <w:pageBreakBefore w:val="0"/>
              <w:shd w:val="clear"/>
              <w:topLinePunct w:val="0"/>
              <w:bidi w:val="0"/>
              <w:spacing w:after="0" w:line="360" w:lineRule="auto"/>
              <w:jc w:val="center"/>
              <w:textAlignment w:val="center"/>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0-6分</w:t>
            </w:r>
          </w:p>
        </w:tc>
        <w:tc>
          <w:tcPr>
            <w:tcW w:w="928" w:type="dxa"/>
            <w:vMerge w:val="continue"/>
            <w:tcBorders>
              <w:top w:val="single" w:color="000000" w:sz="4" w:space="0"/>
              <w:left w:val="single" w:color="000000" w:sz="4" w:space="0"/>
              <w:bottom w:val="single" w:color="000000" w:sz="4" w:space="0"/>
              <w:right w:val="single" w:color="000000" w:sz="4" w:space="0"/>
            </w:tcBorders>
            <w:vAlign w:val="center"/>
          </w:tcPr>
          <w:p w14:paraId="45B1CB89">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928" w:type="dxa"/>
            <w:vMerge w:val="continue"/>
            <w:tcBorders>
              <w:top w:val="single" w:color="000000" w:sz="4" w:space="0"/>
              <w:left w:val="single" w:color="000000" w:sz="4" w:space="0"/>
              <w:bottom w:val="single" w:color="000000" w:sz="4" w:space="0"/>
              <w:right w:val="single" w:color="000000" w:sz="4" w:space="0"/>
            </w:tcBorders>
            <w:vAlign w:val="center"/>
          </w:tcPr>
          <w:p w14:paraId="458CE2F8">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1087" w:type="dxa"/>
            <w:vMerge w:val="continue"/>
            <w:tcBorders>
              <w:top w:val="single" w:color="000000" w:sz="4" w:space="0"/>
              <w:left w:val="single" w:color="000000" w:sz="4" w:space="0"/>
              <w:bottom w:val="single" w:color="000000" w:sz="4" w:space="0"/>
              <w:right w:val="single" w:color="000000" w:sz="4" w:space="0"/>
            </w:tcBorders>
            <w:vAlign w:val="center"/>
          </w:tcPr>
          <w:p w14:paraId="5007B95E">
            <w:pPr>
              <w:pageBreakBefore w:val="0"/>
              <w:shd w:val="clear"/>
              <w:topLinePunct w:val="0"/>
              <w:bidi w:val="0"/>
              <w:spacing w:after="0" w:line="360" w:lineRule="auto"/>
              <w:jc w:val="center"/>
              <w:rPr>
                <w:rFonts w:hint="eastAsia" w:ascii="宋体" w:hAnsi="宋体" w:cs="宋体"/>
                <w:color w:val="auto"/>
                <w:sz w:val="20"/>
                <w:szCs w:val="20"/>
                <w:highlight w:val="none"/>
              </w:rPr>
            </w:pPr>
          </w:p>
        </w:tc>
      </w:tr>
      <w:tr w14:paraId="53BFCADA">
        <w:tblPrEx>
          <w:tblCellMar>
            <w:top w:w="0" w:type="dxa"/>
            <w:left w:w="108" w:type="dxa"/>
            <w:bottom w:w="0" w:type="dxa"/>
            <w:right w:w="108" w:type="dxa"/>
          </w:tblCellMar>
        </w:tblPrEx>
        <w:trPr>
          <w:trHeight w:val="484" w:hRule="atLeast"/>
        </w:trPr>
        <w:tc>
          <w:tcPr>
            <w:tcW w:w="5417" w:type="dxa"/>
            <w:gridSpan w:val="3"/>
            <w:tcBorders>
              <w:top w:val="single" w:color="000000" w:sz="4" w:space="0"/>
              <w:left w:val="single" w:color="000000" w:sz="4" w:space="0"/>
              <w:bottom w:val="single" w:color="000000" w:sz="4" w:space="0"/>
              <w:right w:val="single" w:color="000000" w:sz="4" w:space="0"/>
            </w:tcBorders>
            <w:vAlign w:val="center"/>
          </w:tcPr>
          <w:p w14:paraId="74FABAF2">
            <w:pPr>
              <w:pageBreakBefore w:val="0"/>
              <w:shd w:val="clear"/>
              <w:topLinePunct w:val="0"/>
              <w:bidi w:val="0"/>
              <w:spacing w:after="0" w:line="360" w:lineRule="auto"/>
              <w:jc w:val="center"/>
              <w:textAlignment w:val="center"/>
              <w:rPr>
                <w:rFonts w:hint="eastAsia" w:ascii="宋体" w:hAnsi="宋体" w:cs="宋体"/>
                <w:b/>
                <w:bCs/>
                <w:color w:val="auto"/>
                <w:sz w:val="20"/>
                <w:szCs w:val="20"/>
                <w:highlight w:val="none"/>
              </w:rPr>
            </w:pPr>
            <w:r>
              <w:rPr>
                <w:rFonts w:hint="eastAsia" w:ascii="宋体" w:hAnsi="宋体" w:cs="宋体"/>
                <w:b/>
                <w:bCs/>
                <w:color w:val="auto"/>
                <w:sz w:val="20"/>
                <w:szCs w:val="20"/>
                <w:highlight w:val="none"/>
                <w:lang w:bidi="ar"/>
              </w:rPr>
              <w:t>综合得分</w:t>
            </w:r>
          </w:p>
        </w:tc>
        <w:tc>
          <w:tcPr>
            <w:tcW w:w="928" w:type="dxa"/>
            <w:tcBorders>
              <w:top w:val="single" w:color="000000" w:sz="4" w:space="0"/>
              <w:left w:val="single" w:color="000000" w:sz="4" w:space="0"/>
              <w:bottom w:val="single" w:color="000000" w:sz="4" w:space="0"/>
              <w:right w:val="single" w:color="000000" w:sz="4" w:space="0"/>
            </w:tcBorders>
            <w:vAlign w:val="center"/>
          </w:tcPr>
          <w:p w14:paraId="1E64025F">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928" w:type="dxa"/>
            <w:tcBorders>
              <w:top w:val="single" w:color="000000" w:sz="4" w:space="0"/>
              <w:left w:val="single" w:color="000000" w:sz="4" w:space="0"/>
              <w:bottom w:val="single" w:color="000000" w:sz="4" w:space="0"/>
              <w:right w:val="single" w:color="000000" w:sz="4" w:space="0"/>
            </w:tcBorders>
            <w:vAlign w:val="center"/>
          </w:tcPr>
          <w:p w14:paraId="0B4AFAA1">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1087" w:type="dxa"/>
            <w:tcBorders>
              <w:top w:val="single" w:color="000000" w:sz="4" w:space="0"/>
              <w:left w:val="single" w:color="000000" w:sz="4" w:space="0"/>
              <w:bottom w:val="single" w:color="000000" w:sz="4" w:space="0"/>
              <w:right w:val="single" w:color="000000" w:sz="4" w:space="0"/>
            </w:tcBorders>
            <w:vAlign w:val="center"/>
          </w:tcPr>
          <w:p w14:paraId="487D9EB6">
            <w:pPr>
              <w:pageBreakBefore w:val="0"/>
              <w:shd w:val="clear"/>
              <w:topLinePunct w:val="0"/>
              <w:bidi w:val="0"/>
              <w:spacing w:after="0" w:line="360" w:lineRule="auto"/>
              <w:jc w:val="center"/>
              <w:rPr>
                <w:rFonts w:hint="eastAsia" w:ascii="宋体" w:hAnsi="宋体" w:cs="宋体"/>
                <w:color w:val="auto"/>
                <w:sz w:val="20"/>
                <w:szCs w:val="20"/>
                <w:highlight w:val="none"/>
              </w:rPr>
            </w:pPr>
          </w:p>
        </w:tc>
      </w:tr>
      <w:tr w14:paraId="49EB37DC">
        <w:tblPrEx>
          <w:tblCellMar>
            <w:top w:w="0" w:type="dxa"/>
            <w:left w:w="108" w:type="dxa"/>
            <w:bottom w:w="0" w:type="dxa"/>
            <w:right w:w="108" w:type="dxa"/>
          </w:tblCellMar>
        </w:tblPrEx>
        <w:trPr>
          <w:trHeight w:val="484" w:hRule="atLeast"/>
        </w:trPr>
        <w:tc>
          <w:tcPr>
            <w:tcW w:w="5417" w:type="dxa"/>
            <w:gridSpan w:val="3"/>
            <w:tcBorders>
              <w:top w:val="single" w:color="000000" w:sz="4" w:space="0"/>
              <w:left w:val="single" w:color="000000" w:sz="4" w:space="0"/>
              <w:bottom w:val="single" w:color="000000" w:sz="4" w:space="0"/>
              <w:right w:val="single" w:color="000000" w:sz="4" w:space="0"/>
            </w:tcBorders>
            <w:vAlign w:val="center"/>
          </w:tcPr>
          <w:p w14:paraId="0BFE34DF">
            <w:pPr>
              <w:pageBreakBefore w:val="0"/>
              <w:shd w:val="clear"/>
              <w:topLinePunct w:val="0"/>
              <w:bidi w:val="0"/>
              <w:spacing w:after="0" w:line="360" w:lineRule="auto"/>
              <w:jc w:val="center"/>
              <w:textAlignment w:val="center"/>
              <w:rPr>
                <w:rFonts w:hint="eastAsia" w:ascii="宋体" w:hAnsi="宋体" w:cs="宋体"/>
                <w:b/>
                <w:bCs/>
                <w:color w:val="auto"/>
                <w:sz w:val="20"/>
                <w:szCs w:val="20"/>
                <w:highlight w:val="none"/>
              </w:rPr>
            </w:pPr>
            <w:r>
              <w:rPr>
                <w:rFonts w:hint="eastAsia" w:ascii="宋体" w:hAnsi="宋体" w:cs="宋体"/>
                <w:b/>
                <w:bCs/>
                <w:color w:val="auto"/>
                <w:sz w:val="20"/>
                <w:szCs w:val="20"/>
                <w:highlight w:val="none"/>
                <w:lang w:bidi="ar"/>
              </w:rPr>
              <w:t>评分人员签名</w:t>
            </w:r>
          </w:p>
        </w:tc>
        <w:tc>
          <w:tcPr>
            <w:tcW w:w="928" w:type="dxa"/>
            <w:tcBorders>
              <w:top w:val="single" w:color="000000" w:sz="4" w:space="0"/>
              <w:left w:val="single" w:color="000000" w:sz="4" w:space="0"/>
              <w:bottom w:val="single" w:color="000000" w:sz="4" w:space="0"/>
              <w:right w:val="single" w:color="000000" w:sz="4" w:space="0"/>
            </w:tcBorders>
            <w:vAlign w:val="center"/>
          </w:tcPr>
          <w:p w14:paraId="0D4D8AFB">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928" w:type="dxa"/>
            <w:tcBorders>
              <w:top w:val="single" w:color="000000" w:sz="4" w:space="0"/>
              <w:left w:val="single" w:color="000000" w:sz="4" w:space="0"/>
              <w:bottom w:val="single" w:color="000000" w:sz="4" w:space="0"/>
              <w:right w:val="single" w:color="000000" w:sz="4" w:space="0"/>
            </w:tcBorders>
            <w:vAlign w:val="center"/>
          </w:tcPr>
          <w:p w14:paraId="40E5202F">
            <w:pPr>
              <w:pageBreakBefore w:val="0"/>
              <w:shd w:val="clear"/>
              <w:topLinePunct w:val="0"/>
              <w:bidi w:val="0"/>
              <w:spacing w:after="0" w:line="360" w:lineRule="auto"/>
              <w:jc w:val="center"/>
              <w:rPr>
                <w:rFonts w:hint="eastAsia" w:ascii="宋体" w:hAnsi="宋体" w:cs="宋体"/>
                <w:color w:val="auto"/>
                <w:sz w:val="20"/>
                <w:szCs w:val="20"/>
                <w:highlight w:val="none"/>
              </w:rPr>
            </w:pPr>
          </w:p>
        </w:tc>
        <w:tc>
          <w:tcPr>
            <w:tcW w:w="1087" w:type="dxa"/>
            <w:tcBorders>
              <w:top w:val="single" w:color="000000" w:sz="4" w:space="0"/>
              <w:left w:val="single" w:color="000000" w:sz="4" w:space="0"/>
              <w:bottom w:val="single" w:color="000000" w:sz="4" w:space="0"/>
              <w:right w:val="single" w:color="000000" w:sz="4" w:space="0"/>
            </w:tcBorders>
            <w:vAlign w:val="center"/>
          </w:tcPr>
          <w:p w14:paraId="49CCB448">
            <w:pPr>
              <w:pageBreakBefore w:val="0"/>
              <w:shd w:val="clear"/>
              <w:topLinePunct w:val="0"/>
              <w:bidi w:val="0"/>
              <w:spacing w:after="0" w:line="360" w:lineRule="auto"/>
              <w:jc w:val="center"/>
              <w:rPr>
                <w:rFonts w:hint="eastAsia" w:ascii="宋体" w:hAnsi="宋体" w:cs="宋体"/>
                <w:color w:val="auto"/>
                <w:sz w:val="20"/>
                <w:szCs w:val="20"/>
                <w:highlight w:val="none"/>
              </w:rPr>
            </w:pPr>
          </w:p>
        </w:tc>
      </w:tr>
      <w:tr w14:paraId="22326A33">
        <w:tblPrEx>
          <w:tblCellMar>
            <w:top w:w="0" w:type="dxa"/>
            <w:left w:w="108" w:type="dxa"/>
            <w:bottom w:w="0" w:type="dxa"/>
            <w:right w:w="108" w:type="dxa"/>
          </w:tblCellMar>
        </w:tblPrEx>
        <w:trPr>
          <w:trHeight w:val="484" w:hRule="atLeast"/>
        </w:trPr>
        <w:tc>
          <w:tcPr>
            <w:tcW w:w="5417" w:type="dxa"/>
            <w:gridSpan w:val="3"/>
            <w:tcBorders>
              <w:top w:val="single" w:color="000000" w:sz="4" w:space="0"/>
              <w:left w:val="single" w:color="000000" w:sz="4" w:space="0"/>
              <w:bottom w:val="single" w:color="000000" w:sz="4" w:space="0"/>
              <w:right w:val="single" w:color="000000" w:sz="4" w:space="0"/>
            </w:tcBorders>
            <w:vAlign w:val="center"/>
          </w:tcPr>
          <w:p w14:paraId="784B6D1A">
            <w:pPr>
              <w:pageBreakBefore w:val="0"/>
              <w:shd w:val="clear"/>
              <w:topLinePunct w:val="0"/>
              <w:bidi w:val="0"/>
              <w:spacing w:after="0" w:line="360" w:lineRule="auto"/>
              <w:jc w:val="center"/>
              <w:textAlignment w:val="center"/>
              <w:rPr>
                <w:rFonts w:hint="eastAsia" w:ascii="宋体" w:hAnsi="宋体" w:cs="宋体"/>
                <w:b/>
                <w:bCs/>
                <w:color w:val="auto"/>
                <w:sz w:val="20"/>
                <w:szCs w:val="20"/>
                <w:highlight w:val="none"/>
              </w:rPr>
            </w:pPr>
            <w:r>
              <w:rPr>
                <w:rFonts w:hint="eastAsia" w:ascii="宋体" w:hAnsi="宋体" w:cs="宋体"/>
                <w:b/>
                <w:bCs/>
                <w:color w:val="auto"/>
                <w:sz w:val="20"/>
                <w:szCs w:val="20"/>
                <w:highlight w:val="none"/>
                <w:lang w:bidi="ar"/>
              </w:rPr>
              <w:t>总分</w:t>
            </w:r>
          </w:p>
        </w:tc>
        <w:tc>
          <w:tcPr>
            <w:tcW w:w="2943" w:type="dxa"/>
            <w:gridSpan w:val="3"/>
            <w:tcBorders>
              <w:top w:val="single" w:color="000000" w:sz="4" w:space="0"/>
              <w:left w:val="single" w:color="000000" w:sz="4" w:space="0"/>
              <w:bottom w:val="single" w:color="000000" w:sz="4" w:space="0"/>
              <w:right w:val="single" w:color="000000" w:sz="4" w:space="0"/>
            </w:tcBorders>
            <w:vAlign w:val="center"/>
          </w:tcPr>
          <w:p w14:paraId="497990E8">
            <w:pPr>
              <w:pageBreakBefore w:val="0"/>
              <w:shd w:val="clear"/>
              <w:topLinePunct w:val="0"/>
              <w:bidi w:val="0"/>
              <w:spacing w:after="0" w:line="360" w:lineRule="auto"/>
              <w:jc w:val="center"/>
              <w:rPr>
                <w:rFonts w:hint="eastAsia" w:ascii="宋体" w:hAnsi="宋体" w:cs="宋体"/>
                <w:color w:val="auto"/>
                <w:sz w:val="20"/>
                <w:szCs w:val="20"/>
                <w:highlight w:val="none"/>
              </w:rPr>
            </w:pPr>
          </w:p>
        </w:tc>
      </w:tr>
      <w:tr w14:paraId="23207FB3">
        <w:tblPrEx>
          <w:tblCellMar>
            <w:top w:w="0" w:type="dxa"/>
            <w:left w:w="108" w:type="dxa"/>
            <w:bottom w:w="0" w:type="dxa"/>
            <w:right w:w="108" w:type="dxa"/>
          </w:tblCellMar>
        </w:tblPrEx>
        <w:trPr>
          <w:trHeight w:val="488" w:hRule="atLeast"/>
        </w:trPr>
        <w:tc>
          <w:tcPr>
            <w:tcW w:w="5417" w:type="dxa"/>
            <w:gridSpan w:val="3"/>
            <w:tcBorders>
              <w:top w:val="single" w:color="000000" w:sz="4" w:space="0"/>
              <w:left w:val="single" w:color="000000" w:sz="4" w:space="0"/>
              <w:bottom w:val="single" w:color="000000" w:sz="4" w:space="0"/>
              <w:right w:val="single" w:color="000000" w:sz="4" w:space="0"/>
            </w:tcBorders>
            <w:vAlign w:val="center"/>
          </w:tcPr>
          <w:p w14:paraId="4A56F803">
            <w:pPr>
              <w:pageBreakBefore w:val="0"/>
              <w:shd w:val="clear"/>
              <w:topLinePunct w:val="0"/>
              <w:bidi w:val="0"/>
              <w:spacing w:after="0" w:line="360" w:lineRule="auto"/>
              <w:jc w:val="center"/>
              <w:textAlignment w:val="center"/>
              <w:rPr>
                <w:rFonts w:hint="eastAsia" w:ascii="宋体" w:hAnsi="宋体" w:cs="宋体"/>
                <w:b/>
                <w:bCs/>
                <w:color w:val="auto"/>
                <w:sz w:val="20"/>
                <w:szCs w:val="20"/>
                <w:highlight w:val="none"/>
              </w:rPr>
            </w:pPr>
            <w:r>
              <w:rPr>
                <w:rFonts w:hint="eastAsia" w:ascii="宋体" w:hAnsi="宋体" w:cs="宋体"/>
                <w:b/>
                <w:bCs/>
                <w:color w:val="auto"/>
                <w:sz w:val="20"/>
                <w:szCs w:val="20"/>
                <w:highlight w:val="none"/>
                <w:lang w:bidi="ar"/>
              </w:rPr>
              <w:t>结论</w:t>
            </w:r>
          </w:p>
        </w:tc>
        <w:tc>
          <w:tcPr>
            <w:tcW w:w="2943" w:type="dxa"/>
            <w:gridSpan w:val="3"/>
            <w:tcBorders>
              <w:top w:val="single" w:color="000000" w:sz="4" w:space="0"/>
              <w:left w:val="single" w:color="000000" w:sz="4" w:space="0"/>
              <w:bottom w:val="single" w:color="000000" w:sz="4" w:space="0"/>
              <w:right w:val="single" w:color="000000" w:sz="4" w:space="0"/>
            </w:tcBorders>
            <w:vAlign w:val="center"/>
          </w:tcPr>
          <w:p w14:paraId="6EDD0C9D">
            <w:pPr>
              <w:pageBreakBefore w:val="0"/>
              <w:shd w:val="clear"/>
              <w:topLinePunct w:val="0"/>
              <w:bidi w:val="0"/>
              <w:spacing w:after="0" w:line="360" w:lineRule="auto"/>
              <w:jc w:val="center"/>
              <w:rPr>
                <w:rFonts w:hint="eastAsia" w:ascii="宋体" w:hAnsi="宋体" w:cs="宋体"/>
                <w:color w:val="auto"/>
                <w:sz w:val="20"/>
                <w:szCs w:val="20"/>
                <w:highlight w:val="none"/>
              </w:rPr>
            </w:pPr>
          </w:p>
        </w:tc>
      </w:tr>
      <w:tr w14:paraId="19692F65">
        <w:tblPrEx>
          <w:tblCellMar>
            <w:top w:w="0" w:type="dxa"/>
            <w:left w:w="108" w:type="dxa"/>
            <w:bottom w:w="0" w:type="dxa"/>
            <w:right w:w="108" w:type="dxa"/>
          </w:tblCellMar>
        </w:tblPrEx>
        <w:trPr>
          <w:trHeight w:val="1872" w:hRule="atLeast"/>
        </w:trPr>
        <w:tc>
          <w:tcPr>
            <w:tcW w:w="8360" w:type="dxa"/>
            <w:gridSpan w:val="6"/>
            <w:tcBorders>
              <w:top w:val="nil"/>
              <w:left w:val="nil"/>
              <w:bottom w:val="nil"/>
              <w:right w:val="nil"/>
            </w:tcBorders>
            <w:vAlign w:val="bottom"/>
          </w:tcPr>
          <w:p w14:paraId="24818E94">
            <w:pPr>
              <w:pageBreakBefore w:val="0"/>
              <w:shd w:val="clear"/>
              <w:topLinePunct w:val="0"/>
              <w:bidi w:val="0"/>
              <w:spacing w:after="0" w:line="360" w:lineRule="auto"/>
              <w:textAlignment w:val="bottom"/>
              <w:rPr>
                <w:rFonts w:hint="eastAsia" w:ascii="宋体" w:hAnsi="宋体" w:cs="宋体"/>
                <w:color w:val="auto"/>
                <w:sz w:val="20"/>
                <w:szCs w:val="20"/>
                <w:highlight w:val="none"/>
                <w:lang w:bidi="ar"/>
              </w:rPr>
            </w:pPr>
            <w:r>
              <w:rPr>
                <w:rFonts w:hint="eastAsia" w:ascii="宋体" w:hAnsi="宋体" w:cs="宋体"/>
                <w:color w:val="auto"/>
                <w:sz w:val="20"/>
                <w:szCs w:val="20"/>
                <w:highlight w:val="none"/>
                <w:lang w:bidi="ar"/>
              </w:rPr>
              <w:t>填写说明：此表为供应商评价表，每</w:t>
            </w:r>
            <w:r>
              <w:rPr>
                <w:rFonts w:hint="eastAsia" w:ascii="宋体" w:hAnsi="宋体" w:cs="宋体"/>
                <w:color w:val="auto"/>
                <w:sz w:val="20"/>
                <w:szCs w:val="20"/>
                <w:highlight w:val="none"/>
                <w:lang w:val="en-US" w:eastAsia="zh-CN" w:bidi="ar"/>
              </w:rPr>
              <w:t>半年</w:t>
            </w:r>
            <w:r>
              <w:rPr>
                <w:rFonts w:hint="eastAsia" w:ascii="宋体" w:hAnsi="宋体" w:cs="宋体"/>
                <w:color w:val="auto"/>
                <w:sz w:val="20"/>
                <w:szCs w:val="20"/>
                <w:highlight w:val="none"/>
                <w:lang w:bidi="ar"/>
              </w:rPr>
              <w:t>考核一次</w:t>
            </w:r>
          </w:p>
          <w:p w14:paraId="2DEAB62E">
            <w:pPr>
              <w:pageBreakBefore w:val="0"/>
              <w:shd w:val="clear"/>
              <w:topLinePunct w:val="0"/>
              <w:bidi w:val="0"/>
              <w:spacing w:after="0" w:line="360" w:lineRule="auto"/>
              <w:textAlignment w:val="bottom"/>
              <w:rPr>
                <w:rFonts w:hint="eastAsia" w:ascii="宋体" w:hAnsi="宋体" w:cs="宋体"/>
                <w:color w:val="auto"/>
                <w:sz w:val="20"/>
                <w:szCs w:val="20"/>
                <w:highlight w:val="none"/>
                <w:lang w:bidi="ar"/>
              </w:rPr>
            </w:pPr>
            <w:r>
              <w:rPr>
                <w:rFonts w:hint="eastAsia" w:ascii="宋体" w:hAnsi="宋体" w:cs="宋体"/>
                <w:color w:val="auto"/>
                <w:sz w:val="20"/>
                <w:szCs w:val="20"/>
                <w:highlight w:val="none"/>
                <w:lang w:bidi="ar"/>
              </w:rPr>
              <w:t>评价结论：</w:t>
            </w:r>
          </w:p>
          <w:p w14:paraId="419F94C9">
            <w:pPr>
              <w:pageBreakBefore w:val="0"/>
              <w:shd w:val="clear"/>
              <w:topLinePunct w:val="0"/>
              <w:bidi w:val="0"/>
              <w:spacing w:after="0" w:line="360" w:lineRule="auto"/>
              <w:textAlignment w:val="bottom"/>
              <w:rPr>
                <w:rFonts w:hint="eastAsia" w:ascii="宋体" w:hAnsi="宋体" w:cs="宋体"/>
                <w:color w:val="auto"/>
                <w:sz w:val="20"/>
                <w:szCs w:val="20"/>
                <w:highlight w:val="none"/>
                <w:lang w:bidi="ar"/>
              </w:rPr>
            </w:pPr>
            <w:r>
              <w:rPr>
                <w:rFonts w:hint="eastAsia" w:ascii="宋体" w:hAnsi="宋体" w:cs="宋体"/>
                <w:color w:val="auto"/>
                <w:sz w:val="20"/>
                <w:szCs w:val="20"/>
                <w:highlight w:val="none"/>
                <w:lang w:bidi="ar"/>
              </w:rPr>
              <w:t>1、分数≥</w:t>
            </w:r>
            <w:r>
              <w:rPr>
                <w:rFonts w:hint="eastAsia" w:ascii="宋体" w:hAnsi="宋体" w:cs="宋体"/>
                <w:color w:val="auto"/>
                <w:sz w:val="20"/>
                <w:szCs w:val="20"/>
                <w:highlight w:val="none"/>
                <w:lang w:val="en-US" w:eastAsia="zh-CN" w:bidi="ar"/>
              </w:rPr>
              <w:t>8</w:t>
            </w:r>
            <w:r>
              <w:rPr>
                <w:rFonts w:hint="eastAsia" w:ascii="宋体" w:hAnsi="宋体" w:cs="宋体"/>
                <w:color w:val="auto"/>
                <w:sz w:val="20"/>
                <w:szCs w:val="20"/>
                <w:highlight w:val="none"/>
                <w:lang w:bidi="ar"/>
              </w:rPr>
              <w:t>0分，结论:优秀，继续合作。</w:t>
            </w:r>
          </w:p>
          <w:p w14:paraId="7F27BF60">
            <w:pPr>
              <w:pageBreakBefore w:val="0"/>
              <w:shd w:val="clear"/>
              <w:topLinePunct w:val="0"/>
              <w:bidi w:val="0"/>
              <w:spacing w:after="0" w:line="360" w:lineRule="auto"/>
              <w:textAlignment w:val="bottom"/>
              <w:rPr>
                <w:rFonts w:hint="eastAsia" w:ascii="宋体" w:hAnsi="宋体" w:cs="宋体"/>
                <w:color w:val="auto"/>
                <w:sz w:val="20"/>
                <w:szCs w:val="20"/>
                <w:highlight w:val="none"/>
                <w:lang w:bidi="ar"/>
              </w:rPr>
            </w:pPr>
            <w:r>
              <w:rPr>
                <w:rFonts w:hint="eastAsia" w:ascii="宋体" w:hAnsi="宋体" w:cs="宋体"/>
                <w:color w:val="auto"/>
                <w:sz w:val="20"/>
                <w:szCs w:val="20"/>
                <w:highlight w:val="none"/>
                <w:lang w:bidi="ar"/>
              </w:rPr>
              <w:t>2、</w:t>
            </w:r>
            <w:r>
              <w:rPr>
                <w:rFonts w:hint="eastAsia" w:ascii="宋体" w:hAnsi="宋体" w:cs="宋体"/>
                <w:color w:val="auto"/>
                <w:sz w:val="20"/>
                <w:szCs w:val="20"/>
                <w:highlight w:val="none"/>
                <w:lang w:val="en-US" w:eastAsia="zh-CN" w:bidi="ar"/>
              </w:rPr>
              <w:t>8</w:t>
            </w:r>
            <w:r>
              <w:rPr>
                <w:rFonts w:hint="eastAsia" w:ascii="宋体" w:hAnsi="宋体" w:cs="宋体"/>
                <w:color w:val="auto"/>
                <w:sz w:val="20"/>
                <w:szCs w:val="20"/>
                <w:highlight w:val="none"/>
                <w:lang w:bidi="ar"/>
              </w:rPr>
              <w:t>0分&gt;分数≥</w:t>
            </w:r>
            <w:r>
              <w:rPr>
                <w:rFonts w:hint="eastAsia" w:ascii="宋体" w:hAnsi="宋体" w:cs="宋体"/>
                <w:color w:val="auto"/>
                <w:sz w:val="20"/>
                <w:szCs w:val="20"/>
                <w:highlight w:val="none"/>
                <w:lang w:val="en-US" w:eastAsia="zh-CN" w:bidi="ar"/>
              </w:rPr>
              <w:t>6</w:t>
            </w:r>
            <w:r>
              <w:rPr>
                <w:rFonts w:hint="eastAsia" w:ascii="宋体" w:hAnsi="宋体" w:cs="宋体"/>
                <w:color w:val="auto"/>
                <w:sz w:val="20"/>
                <w:szCs w:val="20"/>
                <w:highlight w:val="none"/>
                <w:lang w:bidi="ar"/>
              </w:rPr>
              <w:t>0分，结论:继续合作，问题点限时整改，</w:t>
            </w:r>
          </w:p>
          <w:p w14:paraId="48FA92D5">
            <w:pPr>
              <w:pageBreakBefore w:val="0"/>
              <w:shd w:val="clear"/>
              <w:topLinePunct w:val="0"/>
              <w:bidi w:val="0"/>
              <w:spacing w:after="0" w:line="360" w:lineRule="auto"/>
              <w:textAlignment w:val="bottom"/>
              <w:rPr>
                <w:rFonts w:hint="eastAsia" w:ascii="宋体" w:hAnsi="宋体" w:cs="宋体"/>
                <w:color w:val="auto"/>
                <w:sz w:val="20"/>
                <w:szCs w:val="20"/>
                <w:highlight w:val="none"/>
              </w:rPr>
            </w:pPr>
            <w:r>
              <w:rPr>
                <w:rFonts w:hint="eastAsia" w:ascii="宋体" w:hAnsi="宋体" w:cs="宋体"/>
                <w:color w:val="auto"/>
                <w:sz w:val="20"/>
                <w:szCs w:val="20"/>
                <w:highlight w:val="none"/>
                <w:lang w:bidi="ar"/>
              </w:rPr>
              <w:t>3、60分&gt;分数，或出现重大质量问题，结论:不合格，甲方有权解除合同，停止合作。</w:t>
            </w:r>
          </w:p>
        </w:tc>
      </w:tr>
    </w:tbl>
    <w:p w14:paraId="6140580A">
      <w:pPr>
        <w:pageBreakBefore w:val="0"/>
        <w:shd w:val="clear"/>
        <w:topLinePunct w:val="0"/>
        <w:bidi w:val="0"/>
        <w:spacing w:after="0"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br w:type="page"/>
      </w:r>
    </w:p>
    <w:p w14:paraId="641171B1">
      <w:pPr>
        <w:pStyle w:val="10"/>
        <w:pageBreakBefore w:val="0"/>
        <w:shd w:val="clear"/>
        <w:topLinePunct w:val="0"/>
        <w:bidi w:val="0"/>
        <w:spacing w:before="0" w:after="0" w:line="360" w:lineRule="auto"/>
        <w:rPr>
          <w:rFonts w:hint="eastAsia"/>
          <w:b/>
          <w:bCs/>
          <w:color w:val="auto"/>
          <w:sz w:val="21"/>
          <w:szCs w:val="21"/>
          <w:highlight w:val="none"/>
          <w:lang w:val="en-US"/>
        </w:rPr>
      </w:pPr>
      <w:r>
        <w:rPr>
          <w:rFonts w:hint="eastAsia"/>
          <w:b/>
          <w:bCs/>
          <w:color w:val="auto"/>
          <w:sz w:val="21"/>
          <w:szCs w:val="21"/>
          <w:highlight w:val="none"/>
          <w:lang w:val="en-US"/>
        </w:rPr>
        <w:t>附件</w:t>
      </w:r>
      <w:r>
        <w:rPr>
          <w:rFonts w:hint="eastAsia"/>
          <w:b/>
          <w:bCs/>
          <w:color w:val="auto"/>
          <w:sz w:val="21"/>
          <w:szCs w:val="21"/>
          <w:highlight w:val="none"/>
          <w:lang w:val="en-US" w:eastAsia="zh-CN"/>
        </w:rPr>
        <w:t>五</w:t>
      </w:r>
      <w:r>
        <w:rPr>
          <w:rFonts w:hint="eastAsia"/>
          <w:b/>
          <w:bCs/>
          <w:color w:val="auto"/>
          <w:sz w:val="21"/>
          <w:szCs w:val="21"/>
          <w:highlight w:val="none"/>
          <w:lang w:val="en-US"/>
        </w:rPr>
        <w:t>：阳光合作协议</w:t>
      </w:r>
    </w:p>
    <w:p w14:paraId="7C07799E">
      <w:pPr>
        <w:pageBreakBefore w:val="0"/>
        <w:shd w:val="clear"/>
        <w:topLinePunct w:val="0"/>
        <w:bidi w:val="0"/>
        <w:spacing w:after="0" w:line="360" w:lineRule="auto"/>
        <w:ind w:firstLine="562" w:firstLineChars="200"/>
        <w:jc w:val="center"/>
        <w:rPr>
          <w:rFonts w:hint="eastAsia" w:ascii="宋体" w:hAnsi="宋体" w:cs="宋体"/>
          <w:b/>
          <w:color w:val="auto"/>
          <w:sz w:val="28"/>
          <w:szCs w:val="28"/>
          <w:highlight w:val="none"/>
        </w:rPr>
      </w:pPr>
      <w:r>
        <w:rPr>
          <w:rFonts w:hint="eastAsia" w:ascii="宋体" w:hAnsi="宋体" w:cs="宋体"/>
          <w:b/>
          <w:color w:val="auto"/>
          <w:sz w:val="28"/>
          <w:szCs w:val="28"/>
          <w:highlight w:val="none"/>
        </w:rPr>
        <w:t>阳光合作协议</w:t>
      </w:r>
    </w:p>
    <w:p w14:paraId="33659DCA">
      <w:pPr>
        <w:pageBreakBefore w:val="0"/>
        <w:shd w:val="clear"/>
        <w:kinsoku w:val="0"/>
        <w:wordWrap w:val="0"/>
        <w:topLinePunct w:val="0"/>
        <w:bidi w:val="0"/>
        <w:spacing w:after="0"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甲方</w:t>
      </w:r>
      <w:r>
        <w:rPr>
          <w:rFonts w:hint="eastAsia" w:ascii="宋体" w:hAnsi="宋体" w:eastAsia="宋体"/>
          <w:color w:val="auto"/>
          <w:highlight w:val="none"/>
          <w:lang w:val="en-US" w:eastAsia="zh-CN"/>
        </w:rPr>
        <w:t>1</w:t>
      </w:r>
      <w:r>
        <w:rPr>
          <w:rFonts w:hint="eastAsia" w:ascii="宋体" w:hAnsi="宋体" w:eastAsia="宋体"/>
          <w:color w:val="auto"/>
          <w:highlight w:val="none"/>
        </w:rPr>
        <w:t>（采购方全称）：</w:t>
      </w:r>
    </w:p>
    <w:p w14:paraId="7D113F9B">
      <w:pPr>
        <w:pageBreakBefore w:val="0"/>
        <w:shd w:val="clear"/>
        <w:kinsoku w:val="0"/>
        <w:wordWrap w:val="0"/>
        <w:topLinePunct w:val="0"/>
        <w:bidi w:val="0"/>
        <w:spacing w:after="0" w:line="360" w:lineRule="auto"/>
        <w:ind w:firstLine="420" w:firstLineChars="200"/>
        <w:rPr>
          <w:rFonts w:hint="default" w:ascii="宋体" w:hAnsi="宋体" w:eastAsia="宋体"/>
          <w:color w:val="auto"/>
          <w:highlight w:val="none"/>
          <w:lang w:val="en-US" w:eastAsia="zh-CN"/>
        </w:rPr>
      </w:pPr>
      <w:r>
        <w:rPr>
          <w:rFonts w:hint="eastAsia" w:ascii="宋体" w:hAnsi="宋体" w:eastAsia="宋体"/>
          <w:color w:val="auto"/>
          <w:highlight w:val="none"/>
          <w:lang w:val="en-US" w:eastAsia="zh-CN"/>
        </w:rPr>
        <w:t>甲方2</w:t>
      </w:r>
      <w:r>
        <w:rPr>
          <w:rFonts w:hint="eastAsia" w:ascii="宋体" w:hAnsi="宋体" w:eastAsia="宋体"/>
          <w:color w:val="auto"/>
          <w:highlight w:val="none"/>
        </w:rPr>
        <w:t>（采购方全称）：</w:t>
      </w:r>
    </w:p>
    <w:p w14:paraId="6F2CA36A">
      <w:pPr>
        <w:pageBreakBefore w:val="0"/>
        <w:shd w:val="clear"/>
        <w:kinsoku w:val="0"/>
        <w:wordWrap w:val="0"/>
        <w:topLinePunct w:val="0"/>
        <w:bidi w:val="0"/>
        <w:spacing w:after="0"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乙方（供应方全称）：</w:t>
      </w:r>
    </w:p>
    <w:p w14:paraId="103B8F8D">
      <w:pPr>
        <w:keepNext w:val="0"/>
        <w:keepLines w:val="0"/>
        <w:pageBreakBefore w:val="0"/>
        <w:widowControl w:val="0"/>
        <w:shd w:val="clear"/>
        <w:kinsoku/>
        <w:wordWrap/>
        <w:overflowPunct/>
        <w:topLinePunct w:val="0"/>
        <w:autoSpaceDE/>
        <w:autoSpaceDN/>
        <w:bidi w:val="0"/>
        <w:adjustRightInd/>
        <w:snapToGrid/>
        <w:spacing w:after="0" w:line="360" w:lineRule="auto"/>
        <w:ind w:firstLine="420" w:firstLineChars="200"/>
        <w:contextualSpacing/>
        <w:textAlignment w:val="auto"/>
        <w:rPr>
          <w:rFonts w:hint="eastAsia" w:ascii="宋体" w:hAnsi="宋体"/>
          <w:color w:val="auto"/>
          <w:highlight w:val="none"/>
        </w:rPr>
      </w:pPr>
    </w:p>
    <w:p w14:paraId="737826B4">
      <w:pPr>
        <w:pageBreakBefore w:val="0"/>
        <w:shd w:val="clear"/>
        <w:kinsoku w:val="0"/>
        <w:wordWrap w:val="0"/>
        <w:topLinePunct w:val="0"/>
        <w:bidi w:val="0"/>
        <w:spacing w:after="0" w:line="360" w:lineRule="auto"/>
        <w:ind w:firstLine="420" w:firstLineChars="200"/>
        <w:rPr>
          <w:rFonts w:ascii="宋体"/>
          <w:color w:val="auto"/>
          <w:highlight w:val="none"/>
        </w:rPr>
      </w:pPr>
      <w:r>
        <w:rPr>
          <w:rFonts w:hint="eastAsia" w:ascii="宋体" w:hAnsi="宋体"/>
          <w:color w:val="auto"/>
          <w:highlight w:val="none"/>
        </w:rPr>
        <w:t>甲乙双方于2026年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日签署了</w:t>
      </w:r>
      <w:r>
        <w:rPr>
          <w:rFonts w:hint="eastAsia" w:ascii="宋体" w:hAnsi="宋体"/>
          <w:color w:val="auto"/>
          <w:highlight w:val="none"/>
          <w:u w:val="single"/>
        </w:rPr>
        <w:t xml:space="preserve">                  </w:t>
      </w:r>
      <w:r>
        <w:rPr>
          <w:rFonts w:hint="eastAsia" w:ascii="宋体" w:hAnsi="宋体"/>
          <w:color w:val="auto"/>
          <w:highlight w:val="none"/>
        </w:rPr>
        <w:t>项目合同（以下简称原合同），为加强双方阳光合作，保证职员职业安全，甲乙双方经协商签订本协议并作为双方共同遵守的阳光合作行为准则。</w:t>
      </w:r>
    </w:p>
    <w:p w14:paraId="349ED121">
      <w:pPr>
        <w:pageBreakBefore w:val="0"/>
        <w:shd w:val="clear"/>
        <w:kinsoku w:val="0"/>
        <w:wordWrap w:val="0"/>
        <w:topLinePunct w:val="0"/>
        <w:bidi w:val="0"/>
        <w:spacing w:after="0" w:line="360" w:lineRule="auto"/>
        <w:ind w:firstLine="422" w:firstLineChars="200"/>
        <w:rPr>
          <w:rFonts w:hint="eastAsia" w:ascii="宋体" w:hAnsi="宋体" w:eastAsia="宋体"/>
          <w:b/>
          <w:bCs/>
          <w:color w:val="auto"/>
          <w:highlight w:val="none"/>
        </w:rPr>
      </w:pPr>
      <w:r>
        <w:rPr>
          <w:rFonts w:hint="eastAsia" w:ascii="宋体" w:hAnsi="宋体" w:eastAsia="宋体"/>
          <w:b/>
          <w:bCs/>
          <w:color w:val="auto"/>
          <w:highlight w:val="none"/>
        </w:rPr>
        <w:t>一、甲方责任</w:t>
      </w:r>
    </w:p>
    <w:p w14:paraId="2E754A93">
      <w:pPr>
        <w:pageBreakBefore w:val="0"/>
        <w:shd w:val="clear"/>
        <w:kinsoku w:val="0"/>
        <w:wordWrap w:val="0"/>
        <w:topLinePunct w:val="0"/>
        <w:bidi w:val="0"/>
        <w:spacing w:after="0"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1.甲方有责任向乙方介绍本单位有关采购管理通用原则和本协议的规定。</w:t>
      </w:r>
    </w:p>
    <w:p w14:paraId="451A7021">
      <w:pPr>
        <w:pageBreakBefore w:val="0"/>
        <w:shd w:val="clear"/>
        <w:kinsoku w:val="0"/>
        <w:wordWrap w:val="0"/>
        <w:topLinePunct w:val="0"/>
        <w:bidi w:val="0"/>
        <w:spacing w:after="0"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2.甲方有责任对本单位相关人员进行阳光合作教育。</w:t>
      </w:r>
    </w:p>
    <w:p w14:paraId="5C132119">
      <w:pPr>
        <w:pageBreakBefore w:val="0"/>
        <w:shd w:val="clear"/>
        <w:kinsoku w:val="0"/>
        <w:wordWrap w:val="0"/>
        <w:topLinePunct w:val="0"/>
        <w:bidi w:val="0"/>
        <w:spacing w:after="0"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 xml:space="preserve">3.甲方人员应严格遵守本单位有关阳光合作管理的规定，不得接受乙方任何形式的回扣、实物、现金、有价证券、礼券等有价物品，不得参加乙方提供的旅游或其他可能影响职务行为公正履行的活动。 </w:t>
      </w:r>
    </w:p>
    <w:p w14:paraId="758BF176">
      <w:pPr>
        <w:pageBreakBefore w:val="0"/>
        <w:shd w:val="clear"/>
        <w:kinsoku w:val="0"/>
        <w:wordWrap w:val="0"/>
        <w:topLinePunct w:val="0"/>
        <w:bidi w:val="0"/>
        <w:spacing w:after="0"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4.甲方人员如违反阳光合作管理制度及本协议规定，甲方视情节轻重、影响大小给予行政及经济处罚。</w:t>
      </w:r>
    </w:p>
    <w:p w14:paraId="0E798207">
      <w:pPr>
        <w:pageBreakBefore w:val="0"/>
        <w:shd w:val="clear"/>
        <w:kinsoku w:val="0"/>
        <w:wordWrap w:val="0"/>
        <w:topLinePunct w:val="0"/>
        <w:bidi w:val="0"/>
        <w:spacing w:after="0"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5．对于乙方举报甲方人员违反阳光合作规定的情况，甲方应及时进行调查，根据调查情况进行处理，并将调查结果向乙方反馈。</w:t>
      </w:r>
    </w:p>
    <w:p w14:paraId="7E7E972E">
      <w:pPr>
        <w:pageBreakBefore w:val="0"/>
        <w:shd w:val="clear"/>
        <w:kinsoku w:val="0"/>
        <w:wordWrap w:val="0"/>
        <w:topLinePunct w:val="0"/>
        <w:bidi w:val="0"/>
        <w:spacing w:after="0"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6.接受举报的一方应为举报方保密，不得对举报方进行报复，对举报属实和严格遵守《阳光合作协议》的合作方，在同等条件下给予后续合作的优先权。</w:t>
      </w:r>
    </w:p>
    <w:p w14:paraId="1097328D">
      <w:pPr>
        <w:pageBreakBefore w:val="0"/>
        <w:shd w:val="clear"/>
        <w:kinsoku w:val="0"/>
        <w:wordWrap w:val="0"/>
        <w:topLinePunct w:val="0"/>
        <w:bidi w:val="0"/>
        <w:spacing w:after="0" w:line="360" w:lineRule="auto"/>
        <w:ind w:firstLine="422" w:firstLineChars="200"/>
        <w:rPr>
          <w:rFonts w:hint="eastAsia" w:ascii="宋体" w:hAnsi="宋体" w:eastAsia="宋体"/>
          <w:b/>
          <w:bCs/>
          <w:color w:val="auto"/>
          <w:highlight w:val="none"/>
        </w:rPr>
      </w:pPr>
      <w:r>
        <w:rPr>
          <w:rFonts w:hint="eastAsia" w:ascii="宋体" w:hAnsi="宋体" w:eastAsia="宋体"/>
          <w:b/>
          <w:bCs/>
          <w:color w:val="auto"/>
          <w:highlight w:val="none"/>
        </w:rPr>
        <w:t>二、乙方责任</w:t>
      </w:r>
    </w:p>
    <w:p w14:paraId="22994F23">
      <w:pPr>
        <w:pageBreakBefore w:val="0"/>
        <w:shd w:val="clear"/>
        <w:kinsoku w:val="0"/>
        <w:wordWrap w:val="0"/>
        <w:topLinePunct w:val="0"/>
        <w:bidi w:val="0"/>
        <w:spacing w:after="0"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1.乙方应保证乙方人员了解甲方有关采购管理通用原则和及本协议的规定，并遵照执行。</w:t>
      </w:r>
    </w:p>
    <w:p w14:paraId="65359BB4">
      <w:pPr>
        <w:pageBreakBefore w:val="0"/>
        <w:shd w:val="clear"/>
        <w:kinsoku w:val="0"/>
        <w:wordWrap w:val="0"/>
        <w:topLinePunct w:val="0"/>
        <w:bidi w:val="0"/>
        <w:spacing w:after="0"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2.乙方不得以任何形式给予甲方人员回扣、赠送实物、现金、有价证券、礼券等有价物品或提供旅游等其他可能影响职务行为公正履行的活动（以下统称“财物”）。</w:t>
      </w:r>
    </w:p>
    <w:p w14:paraId="6F001FB2">
      <w:pPr>
        <w:pageBreakBefore w:val="0"/>
        <w:shd w:val="clear"/>
        <w:kinsoku w:val="0"/>
        <w:wordWrap w:val="0"/>
        <w:topLinePunct w:val="0"/>
        <w:bidi w:val="0"/>
        <w:spacing w:after="0"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3.乙方有责任接受甲方对乙方在合作期间阳光合作管理执行情况的监督，并对甲方相关调查工作主动配合。</w:t>
      </w:r>
    </w:p>
    <w:p w14:paraId="6208C7C0">
      <w:pPr>
        <w:pageBreakBefore w:val="0"/>
        <w:shd w:val="clear"/>
        <w:kinsoku w:val="0"/>
        <w:wordWrap w:val="0"/>
        <w:topLinePunct w:val="0"/>
        <w:bidi w:val="0"/>
        <w:spacing w:after="0"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4.乙方有义务就甲方人员任何形式的索取或收受财物行为及时向甲方（直接联系人为东莞实业投资控股集团有限公司风控法务部）举报。如乙方或其人员向甲方人员给予财物，或甲方人员向乙方索取财物，乙方满足其要求并且未向甲方举报的，一经查实（包括但不限于被甲方核实属实，或者被司法机关或第三方核实属实的），甲方将在内部通报；乙方除应向甲方赔偿由此给甲方造成的损失外，乙方还应向甲方支付相当于原合同总价的10%的违约金，并对乙方知情不报人员进行相应处罚；连续出现2次及以上类似情况或者如因乙方在合作期间贿赂甲方人员，被司法机关立案查处核实属实的，甲方有权解除原合同，如甲方解除原合同的，则乙方应退还甲方所支付的所有款项并按原合同与本合同约定承担违约责任，且五年之内不得作为东实集团（东莞实业投资控股集团有限公司及下属子公司）合格供应商。</w:t>
      </w:r>
    </w:p>
    <w:p w14:paraId="0CEF92C7">
      <w:pPr>
        <w:pageBreakBefore w:val="0"/>
        <w:shd w:val="clear"/>
        <w:kinsoku w:val="0"/>
        <w:wordWrap w:val="0"/>
        <w:topLinePunct w:val="0"/>
        <w:bidi w:val="0"/>
        <w:spacing w:after="0"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5．甲方接受乙方实名或匿名举报，保证为举报者的信息保密，常设举报部门及电话： 举报受理部门：东莞实业投资控股集团有限公司风控法务部</w:t>
      </w:r>
    </w:p>
    <w:p w14:paraId="39426A27">
      <w:pPr>
        <w:pageBreakBefore w:val="0"/>
        <w:shd w:val="clear"/>
        <w:kinsoku w:val="0"/>
        <w:wordWrap w:val="0"/>
        <w:topLinePunct w:val="0"/>
        <w:bidi w:val="0"/>
        <w:spacing w:after="0"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东实集团举报邮箱：dgsyxf@163.com</w:t>
      </w:r>
    </w:p>
    <w:p w14:paraId="3921FD54">
      <w:pPr>
        <w:pageBreakBefore w:val="0"/>
        <w:shd w:val="clear"/>
        <w:kinsoku w:val="0"/>
        <w:wordWrap w:val="0"/>
        <w:topLinePunct w:val="0"/>
        <w:bidi w:val="0"/>
        <w:spacing w:after="0"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东实集团举报电话：0769-28820703（周一至周五9:00-12:00和14:00-18:00）</w:t>
      </w:r>
    </w:p>
    <w:p w14:paraId="2B99E695">
      <w:pPr>
        <w:pageBreakBefore w:val="0"/>
        <w:shd w:val="clear"/>
        <w:kinsoku w:val="0"/>
        <w:wordWrap w:val="0"/>
        <w:topLinePunct w:val="0"/>
        <w:bidi w:val="0"/>
        <w:spacing w:after="0"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邮寄地址：东莞市东城区八一路1号机关二号大院9号楼，东莞实业投资控股集团有限公司风控法务部收，邮编523000。</w:t>
      </w:r>
    </w:p>
    <w:p w14:paraId="6219AE89">
      <w:pPr>
        <w:pageBreakBefore w:val="0"/>
        <w:shd w:val="clear"/>
        <w:kinsoku w:val="0"/>
        <w:wordWrap w:val="0"/>
        <w:topLinePunct w:val="0"/>
        <w:bidi w:val="0"/>
        <w:spacing w:after="0" w:line="360" w:lineRule="auto"/>
        <w:ind w:firstLine="422" w:firstLineChars="200"/>
        <w:rPr>
          <w:rFonts w:hint="eastAsia" w:ascii="宋体" w:hAnsi="宋体" w:eastAsia="宋体"/>
          <w:b/>
          <w:bCs/>
          <w:color w:val="auto"/>
          <w:highlight w:val="none"/>
        </w:rPr>
      </w:pPr>
      <w:r>
        <w:rPr>
          <w:rFonts w:hint="eastAsia" w:ascii="宋体" w:hAnsi="宋体" w:eastAsia="宋体"/>
          <w:b/>
          <w:bCs/>
          <w:color w:val="auto"/>
          <w:highlight w:val="none"/>
        </w:rPr>
        <w:t>三、其他</w:t>
      </w:r>
    </w:p>
    <w:p w14:paraId="34475305">
      <w:pPr>
        <w:pageBreakBefore w:val="0"/>
        <w:shd w:val="clear"/>
        <w:kinsoku w:val="0"/>
        <w:wordWrap w:val="0"/>
        <w:topLinePunct w:val="0"/>
        <w:bidi w:val="0"/>
        <w:spacing w:after="0"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1.本协议是原合同的补充协议，与原合同有同等法律效力。</w:t>
      </w:r>
    </w:p>
    <w:p w14:paraId="4C4C820E">
      <w:pPr>
        <w:pageBreakBefore w:val="0"/>
        <w:shd w:val="clear"/>
        <w:kinsoku w:val="0"/>
        <w:wordWrap w:val="0"/>
        <w:topLinePunct w:val="0"/>
        <w:bidi w:val="0"/>
        <w:spacing w:after="0"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2.本协议一式两份，甲方执一份，乙方执一份,具有同等法律效力。</w:t>
      </w:r>
    </w:p>
    <w:p w14:paraId="309978D1">
      <w:pPr>
        <w:pageBreakBefore w:val="0"/>
        <w:shd w:val="clear"/>
        <w:kinsoku w:val="0"/>
        <w:wordWrap w:val="0"/>
        <w:topLinePunct w:val="0"/>
        <w:bidi w:val="0"/>
        <w:spacing w:after="0"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3.本协议经双方签署后生效。</w:t>
      </w:r>
    </w:p>
    <w:p w14:paraId="397D6879">
      <w:pPr>
        <w:keepNext w:val="0"/>
        <w:keepLines w:val="0"/>
        <w:pageBreakBefore w:val="0"/>
        <w:widowControl w:val="0"/>
        <w:shd w:val="clear"/>
        <w:kinsoku/>
        <w:wordWrap/>
        <w:overflowPunct/>
        <w:topLinePunct w:val="0"/>
        <w:autoSpaceDE/>
        <w:autoSpaceDN/>
        <w:bidi w:val="0"/>
        <w:adjustRightInd/>
        <w:snapToGrid/>
        <w:spacing w:after="0" w:line="360" w:lineRule="auto"/>
        <w:ind w:firstLine="420" w:firstLineChars="200"/>
        <w:contextualSpacing/>
        <w:textAlignment w:val="auto"/>
        <w:rPr>
          <w:rFonts w:hint="eastAsia" w:ascii="宋体" w:hAnsi="宋体"/>
          <w:color w:val="auto"/>
          <w:highlight w:val="none"/>
        </w:rPr>
      </w:pPr>
    </w:p>
    <w:p w14:paraId="315F1707">
      <w:pPr>
        <w:keepNext w:val="0"/>
        <w:keepLines w:val="0"/>
        <w:pageBreakBefore w:val="0"/>
        <w:widowControl w:val="0"/>
        <w:shd w:val="clear"/>
        <w:kinsoku/>
        <w:wordWrap/>
        <w:overflowPunct/>
        <w:topLinePunct w:val="0"/>
        <w:autoSpaceDE/>
        <w:autoSpaceDN/>
        <w:bidi w:val="0"/>
        <w:adjustRightInd/>
        <w:snapToGrid/>
        <w:spacing w:after="0" w:line="360" w:lineRule="auto"/>
        <w:ind w:firstLine="420" w:firstLineChars="200"/>
        <w:contextualSpacing/>
        <w:textAlignment w:val="auto"/>
        <w:rPr>
          <w:rFonts w:ascii="宋体"/>
          <w:color w:val="auto"/>
          <w:highlight w:val="none"/>
        </w:rPr>
      </w:pPr>
      <w:r>
        <w:rPr>
          <w:rFonts w:hint="eastAsia" w:ascii="宋体" w:hAnsi="宋体"/>
          <w:color w:val="auto"/>
          <w:highlight w:val="none"/>
        </w:rPr>
        <w:t>甲方</w:t>
      </w:r>
      <w:r>
        <w:rPr>
          <w:rFonts w:hint="eastAsia" w:ascii="宋体" w:hAnsi="宋体"/>
          <w:color w:val="auto"/>
          <w:highlight w:val="none"/>
          <w:lang w:val="en-US" w:eastAsia="zh-CN"/>
        </w:rPr>
        <w:t>1</w:t>
      </w:r>
      <w:r>
        <w:rPr>
          <w:rFonts w:hint="eastAsia" w:ascii="宋体" w:hAnsi="宋体"/>
          <w:color w:val="auto"/>
          <w:highlight w:val="none"/>
        </w:rPr>
        <w:t xml:space="preserve">（盖章）：                      </w:t>
      </w:r>
      <w:r>
        <w:rPr>
          <w:rFonts w:hint="eastAsia" w:ascii="宋体" w:hAnsi="宋体"/>
          <w:color w:val="auto"/>
          <w:highlight w:val="none"/>
          <w:lang w:val="en-US" w:eastAsia="zh-CN"/>
        </w:rPr>
        <w:t xml:space="preserve"> 甲方2</w:t>
      </w:r>
      <w:r>
        <w:rPr>
          <w:rFonts w:hint="eastAsia" w:ascii="宋体" w:hAnsi="宋体"/>
          <w:color w:val="auto"/>
          <w:highlight w:val="none"/>
        </w:rPr>
        <w:t>（盖章）：</w:t>
      </w:r>
      <w:r>
        <w:rPr>
          <w:rFonts w:ascii="宋体"/>
          <w:color w:val="auto"/>
          <w:highlight w:val="none"/>
        </w:rPr>
        <w:t xml:space="preserve"> </w:t>
      </w:r>
    </w:p>
    <w:p w14:paraId="44AAEE85">
      <w:pPr>
        <w:keepNext w:val="0"/>
        <w:keepLines w:val="0"/>
        <w:pageBreakBefore w:val="0"/>
        <w:widowControl w:val="0"/>
        <w:shd w:val="clear"/>
        <w:kinsoku/>
        <w:wordWrap/>
        <w:overflowPunct/>
        <w:topLinePunct w:val="0"/>
        <w:autoSpaceDE/>
        <w:autoSpaceDN/>
        <w:bidi w:val="0"/>
        <w:adjustRightInd/>
        <w:snapToGrid/>
        <w:spacing w:after="0" w:line="360" w:lineRule="auto"/>
        <w:ind w:firstLine="420" w:firstLineChars="200"/>
        <w:contextualSpacing/>
        <w:textAlignment w:val="auto"/>
        <w:rPr>
          <w:rFonts w:ascii="宋体"/>
          <w:color w:val="auto"/>
          <w:highlight w:val="none"/>
        </w:rPr>
      </w:pPr>
      <w:r>
        <w:rPr>
          <w:rFonts w:hint="eastAsia" w:ascii="宋体" w:hAnsi="宋体"/>
          <w:color w:val="auto"/>
          <w:highlight w:val="none"/>
        </w:rPr>
        <w:t>法定代表人（授权代表）：</w:t>
      </w:r>
      <w:r>
        <w:rPr>
          <w:rFonts w:hint="eastAsia" w:ascii="宋体"/>
          <w:color w:val="auto"/>
          <w:highlight w:val="none"/>
        </w:rPr>
        <w:tab/>
      </w:r>
      <w:r>
        <w:rPr>
          <w:rFonts w:hint="eastAsia" w:ascii="宋体"/>
          <w:color w:val="auto"/>
          <w:highlight w:val="none"/>
        </w:rPr>
        <w:tab/>
      </w:r>
      <w:r>
        <w:rPr>
          <w:rFonts w:hint="eastAsia" w:ascii="宋体" w:hAnsi="宋体"/>
          <w:color w:val="auto"/>
          <w:highlight w:val="none"/>
        </w:rPr>
        <w:t>法定代表人（授权代表）：</w:t>
      </w:r>
    </w:p>
    <w:p w14:paraId="7670BC2B">
      <w:pPr>
        <w:pStyle w:val="31"/>
        <w:keepNext w:val="0"/>
        <w:keepLines w:val="0"/>
        <w:pageBreakBefore w:val="0"/>
        <w:widowControl w:val="0"/>
        <w:shd w:val="clear"/>
        <w:kinsoku/>
        <w:wordWrap/>
        <w:overflowPunct/>
        <w:topLinePunct w:val="0"/>
        <w:autoSpaceDE/>
        <w:autoSpaceDN/>
        <w:bidi w:val="0"/>
        <w:adjustRightInd/>
        <w:snapToGrid/>
        <w:spacing w:after="0" w:line="360" w:lineRule="auto"/>
        <w:textAlignment w:val="auto"/>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 xml:space="preserve">签约日期：2026年  月  日   </w:t>
      </w:r>
      <w:r>
        <w:rPr>
          <w:rFonts w:hint="eastAsia" w:ascii="宋体" w:hAnsi="宋体" w:cs="宋体"/>
          <w:b w:val="0"/>
          <w:bCs w:val="0"/>
          <w:color w:val="auto"/>
          <w:sz w:val="21"/>
          <w:szCs w:val="21"/>
          <w:highlight w:val="none"/>
        </w:rPr>
        <w:tab/>
      </w:r>
      <w:r>
        <w:rPr>
          <w:rFonts w:hint="eastAsia" w:ascii="宋体" w:hAnsi="宋体" w:cs="宋体"/>
          <w:b w:val="0"/>
          <w:bCs w:val="0"/>
          <w:color w:val="auto"/>
          <w:sz w:val="21"/>
          <w:szCs w:val="21"/>
          <w:highlight w:val="none"/>
        </w:rPr>
        <w:t xml:space="preserve">       签约日期：2026年  月  日</w:t>
      </w:r>
    </w:p>
    <w:p w14:paraId="6A5F50F0">
      <w:pPr>
        <w:keepNext w:val="0"/>
        <w:keepLines w:val="0"/>
        <w:pageBreakBefore w:val="0"/>
        <w:widowControl w:val="0"/>
        <w:shd w:val="clear"/>
        <w:kinsoku/>
        <w:wordWrap/>
        <w:overflowPunct/>
        <w:topLinePunct w:val="0"/>
        <w:autoSpaceDE/>
        <w:autoSpaceDN/>
        <w:bidi w:val="0"/>
        <w:adjustRightInd/>
        <w:snapToGrid/>
        <w:spacing w:after="0" w:line="360" w:lineRule="auto"/>
        <w:ind w:firstLine="420" w:firstLineChars="200"/>
        <w:contextualSpacing/>
        <w:textAlignment w:val="auto"/>
        <w:rPr>
          <w:rFonts w:hint="eastAsia" w:ascii="宋体" w:hAnsi="宋体"/>
          <w:color w:val="auto"/>
          <w:highlight w:val="none"/>
        </w:rPr>
      </w:pPr>
    </w:p>
    <w:p w14:paraId="5DF171B4">
      <w:pPr>
        <w:keepNext w:val="0"/>
        <w:keepLines w:val="0"/>
        <w:pageBreakBefore w:val="0"/>
        <w:widowControl w:val="0"/>
        <w:shd w:val="clear"/>
        <w:kinsoku/>
        <w:wordWrap/>
        <w:overflowPunct/>
        <w:topLinePunct w:val="0"/>
        <w:autoSpaceDE/>
        <w:autoSpaceDN/>
        <w:bidi w:val="0"/>
        <w:adjustRightInd/>
        <w:snapToGrid/>
        <w:spacing w:after="0" w:line="360" w:lineRule="auto"/>
        <w:ind w:firstLine="420" w:firstLineChars="200"/>
        <w:contextualSpacing/>
        <w:textAlignment w:val="auto"/>
        <w:rPr>
          <w:rFonts w:hint="eastAsia" w:ascii="宋体" w:hAnsi="宋体"/>
          <w:color w:val="auto"/>
          <w:highlight w:val="none"/>
        </w:rPr>
      </w:pPr>
    </w:p>
    <w:p w14:paraId="17F546AB">
      <w:pPr>
        <w:keepNext w:val="0"/>
        <w:keepLines w:val="0"/>
        <w:pageBreakBefore w:val="0"/>
        <w:widowControl w:val="0"/>
        <w:shd w:val="clear"/>
        <w:kinsoku/>
        <w:wordWrap/>
        <w:overflowPunct/>
        <w:topLinePunct w:val="0"/>
        <w:autoSpaceDE/>
        <w:autoSpaceDN/>
        <w:bidi w:val="0"/>
        <w:adjustRightInd/>
        <w:snapToGrid/>
        <w:spacing w:after="0" w:line="360" w:lineRule="auto"/>
        <w:ind w:firstLine="420" w:firstLineChars="200"/>
        <w:contextualSpacing/>
        <w:textAlignment w:val="auto"/>
        <w:rPr>
          <w:rFonts w:ascii="宋体"/>
          <w:color w:val="auto"/>
          <w:highlight w:val="none"/>
        </w:rPr>
      </w:pPr>
      <w:r>
        <w:rPr>
          <w:rFonts w:hint="eastAsia" w:ascii="宋体" w:hAnsi="宋体"/>
          <w:color w:val="auto"/>
          <w:highlight w:val="none"/>
        </w:rPr>
        <w:t>乙方（盖章）：</w:t>
      </w:r>
      <w:r>
        <w:rPr>
          <w:rFonts w:ascii="宋体"/>
          <w:color w:val="auto"/>
          <w:highlight w:val="none"/>
        </w:rPr>
        <w:t xml:space="preserve"> </w:t>
      </w:r>
    </w:p>
    <w:p w14:paraId="7D09F9DA">
      <w:pPr>
        <w:keepNext w:val="0"/>
        <w:keepLines w:val="0"/>
        <w:pageBreakBefore w:val="0"/>
        <w:widowControl w:val="0"/>
        <w:shd w:val="clear"/>
        <w:kinsoku/>
        <w:wordWrap/>
        <w:overflowPunct/>
        <w:topLinePunct w:val="0"/>
        <w:autoSpaceDE/>
        <w:autoSpaceDN/>
        <w:bidi w:val="0"/>
        <w:adjustRightInd/>
        <w:snapToGrid/>
        <w:spacing w:after="0" w:line="360" w:lineRule="auto"/>
        <w:ind w:firstLine="420" w:firstLineChars="200"/>
        <w:contextualSpacing/>
        <w:textAlignment w:val="auto"/>
        <w:rPr>
          <w:rFonts w:ascii="宋体"/>
          <w:color w:val="auto"/>
          <w:highlight w:val="none"/>
        </w:rPr>
      </w:pPr>
      <w:r>
        <w:rPr>
          <w:rFonts w:hint="eastAsia" w:ascii="宋体" w:hAnsi="宋体"/>
          <w:color w:val="auto"/>
          <w:highlight w:val="none"/>
        </w:rPr>
        <w:t>法定代表人（授权代表）：</w:t>
      </w:r>
    </w:p>
    <w:p w14:paraId="6878B79F">
      <w:pPr>
        <w:pStyle w:val="31"/>
        <w:keepNext w:val="0"/>
        <w:keepLines w:val="0"/>
        <w:pageBreakBefore w:val="0"/>
        <w:widowControl w:val="0"/>
        <w:shd w:val="clear"/>
        <w:kinsoku/>
        <w:wordWrap/>
        <w:overflowPunct/>
        <w:topLinePunct w:val="0"/>
        <w:autoSpaceDE/>
        <w:autoSpaceDN/>
        <w:bidi w:val="0"/>
        <w:adjustRightInd/>
        <w:snapToGrid/>
        <w:spacing w:after="0" w:line="360" w:lineRule="auto"/>
        <w:textAlignment w:val="auto"/>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签约日期：2026年  月  日</w:t>
      </w:r>
    </w:p>
    <w:p w14:paraId="06B74063">
      <w:pPr>
        <w:shd w:val="clea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br w:type="page"/>
      </w:r>
    </w:p>
    <w:p w14:paraId="59AB455F">
      <w:pPr>
        <w:pStyle w:val="4"/>
        <w:pageBreakBefore w:val="0"/>
        <w:shd w:val="clear"/>
        <w:topLinePunct w:val="0"/>
        <w:bidi w:val="0"/>
        <w:spacing w:before="0" w:after="0" w:line="360" w:lineRule="auto"/>
        <w:rPr>
          <w:rFonts w:hint="eastAsia" w:ascii="宋体" w:hAnsi="宋体" w:eastAsia="宋体" w:cs="宋体"/>
          <w:color w:val="auto"/>
          <w:sz w:val="28"/>
          <w:szCs w:val="28"/>
          <w:highlight w:val="none"/>
        </w:rPr>
      </w:pPr>
      <w:bookmarkStart w:id="206" w:name="_Toc10852"/>
      <w:r>
        <w:rPr>
          <w:rFonts w:hint="eastAsia" w:ascii="宋体" w:hAnsi="宋体" w:eastAsia="宋体" w:cs="宋体"/>
          <w:color w:val="auto"/>
          <w:sz w:val="28"/>
          <w:szCs w:val="28"/>
          <w:highlight w:val="none"/>
        </w:rPr>
        <w:t>第六部分附件－投标文件格式</w:t>
      </w:r>
      <w:bookmarkEnd w:id="205"/>
      <w:bookmarkEnd w:id="206"/>
    </w:p>
    <w:p w14:paraId="21BB9283">
      <w:pPr>
        <w:pageBreakBefore w:val="0"/>
        <w:shd w:val="clear"/>
        <w:topLinePunct w:val="0"/>
        <w:bidi w:val="0"/>
        <w:spacing w:after="0" w:line="360" w:lineRule="auto"/>
        <w:rPr>
          <w:rFonts w:hint="eastAsia" w:ascii="宋体" w:hAnsi="宋体" w:cs="宋体"/>
          <w:color w:val="auto"/>
          <w:highlight w:val="none"/>
        </w:rPr>
      </w:pPr>
    </w:p>
    <w:p w14:paraId="5C73B65B">
      <w:pPr>
        <w:pStyle w:val="6"/>
        <w:pageBreakBefore w:val="0"/>
        <w:widowControl w:val="0"/>
        <w:shd w:val="clear"/>
        <w:overflowPunct w:val="0"/>
        <w:topLinePunct w:val="0"/>
        <w:bidi w:val="0"/>
        <w:spacing w:after="0" w:line="360" w:lineRule="auto"/>
        <w:rPr>
          <w:rFonts w:hint="eastAsia" w:ascii="宋体" w:hAnsi="宋体" w:cs="宋体"/>
          <w:color w:val="auto"/>
          <w:sz w:val="21"/>
          <w:szCs w:val="21"/>
          <w:highlight w:val="none"/>
        </w:rPr>
      </w:pPr>
      <w:bookmarkStart w:id="207" w:name="_Toc16848"/>
      <w:bookmarkStart w:id="208" w:name="_Toc15883"/>
      <w:r>
        <w:rPr>
          <w:rFonts w:hint="eastAsia" w:ascii="宋体" w:hAnsi="宋体" w:cs="宋体"/>
          <w:color w:val="auto"/>
          <w:sz w:val="21"/>
          <w:szCs w:val="21"/>
          <w:highlight w:val="none"/>
        </w:rPr>
        <w:t>投标文件目录</w:t>
      </w:r>
      <w:bookmarkEnd w:id="207"/>
      <w:bookmarkEnd w:id="208"/>
    </w:p>
    <w:p w14:paraId="232E4289">
      <w:pPr>
        <w:pageBreakBefore w:val="0"/>
        <w:shd w:val="clear"/>
        <w:topLinePunct w:val="0"/>
        <w:bidi w:val="0"/>
        <w:spacing w:after="0" w:line="360" w:lineRule="auto"/>
        <w:jc w:val="center"/>
        <w:rPr>
          <w:rFonts w:hint="eastAsia" w:ascii="宋体" w:hAnsi="宋体" w:cs="宋体"/>
          <w:color w:val="auto"/>
          <w:sz w:val="32"/>
          <w:szCs w:val="32"/>
          <w:highlight w:val="none"/>
        </w:rPr>
      </w:pPr>
    </w:p>
    <w:p w14:paraId="79F7D53C">
      <w:pPr>
        <w:pageBreakBefore w:val="0"/>
        <w:shd w:val="clear"/>
        <w:topLinePunct w:val="0"/>
        <w:bidi w:val="0"/>
        <w:spacing w:after="0" w:line="360" w:lineRule="auto"/>
        <w:jc w:val="center"/>
        <w:rPr>
          <w:rFonts w:hint="eastAsia" w:ascii="宋体" w:hAnsi="宋体" w:cs="宋体"/>
          <w:color w:val="auto"/>
          <w:sz w:val="32"/>
          <w:szCs w:val="32"/>
          <w:highlight w:val="none"/>
        </w:rPr>
      </w:pPr>
      <w:r>
        <w:rPr>
          <w:rFonts w:hint="eastAsia" w:ascii="宋体" w:hAnsi="宋体" w:cs="宋体"/>
          <w:color w:val="auto"/>
          <w:sz w:val="32"/>
          <w:szCs w:val="32"/>
          <w:highlight w:val="none"/>
        </w:rPr>
        <w:t>目录</w:t>
      </w:r>
    </w:p>
    <w:p w14:paraId="416D47C8">
      <w:pPr>
        <w:pageBreakBefore w:val="0"/>
        <w:shd w:val="clear"/>
        <w:topLinePunct w:val="0"/>
        <w:bidi w:val="0"/>
        <w:adjustRightInd/>
        <w:snapToGrid/>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格式自理。</w:t>
      </w:r>
    </w:p>
    <w:p w14:paraId="08CDED9A">
      <w:pPr>
        <w:pageBreakBefore w:val="0"/>
        <w:shd w:val="clear"/>
        <w:topLinePunct w:val="0"/>
        <w:bidi w:val="0"/>
        <w:adjustRightInd/>
        <w:snapToGrid/>
        <w:spacing w:after="0" w:line="360" w:lineRule="auto"/>
        <w:rPr>
          <w:rFonts w:hint="eastAsia" w:ascii="宋体" w:hAnsi="宋体" w:cs="宋体"/>
          <w:color w:val="auto"/>
          <w:szCs w:val="21"/>
          <w:highlight w:val="none"/>
        </w:rPr>
      </w:pPr>
    </w:p>
    <w:p w14:paraId="60B535DF">
      <w:pPr>
        <w:pageBreakBefore w:val="0"/>
        <w:shd w:val="clear"/>
        <w:topLinePunct w:val="0"/>
        <w:bidi w:val="0"/>
        <w:adjustRightInd/>
        <w:snapToGrid/>
        <w:spacing w:after="0" w:line="360" w:lineRule="auto"/>
        <w:rPr>
          <w:rFonts w:hint="eastAsia" w:ascii="宋体" w:hAnsi="宋体" w:cs="宋体"/>
          <w:color w:val="auto"/>
          <w:szCs w:val="21"/>
          <w:highlight w:val="none"/>
        </w:rPr>
      </w:pPr>
    </w:p>
    <w:p w14:paraId="67FAA5B4">
      <w:pPr>
        <w:pageBreakBefore w:val="0"/>
        <w:shd w:val="clear"/>
        <w:topLinePunct w:val="0"/>
        <w:bidi w:val="0"/>
        <w:adjustRightInd/>
        <w:snapToGrid/>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注：</w:t>
      </w:r>
    </w:p>
    <w:p w14:paraId="69AB2FD4">
      <w:pPr>
        <w:pageBreakBefore w:val="0"/>
        <w:shd w:val="clear"/>
        <w:topLinePunct w:val="0"/>
        <w:bidi w:val="0"/>
        <w:adjustRightInd/>
        <w:snapToGrid/>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1、投标人制作的投标文件应当具备目录。</w:t>
      </w:r>
      <w:r>
        <w:rPr>
          <w:rFonts w:hint="eastAsia" w:ascii="宋体" w:hAnsi="宋体" w:cs="宋体"/>
          <w:color w:val="auto"/>
          <w:szCs w:val="21"/>
          <w:highlight w:val="none"/>
        </w:rPr>
        <w:br w:type="page"/>
      </w:r>
    </w:p>
    <w:p w14:paraId="0BF732B0">
      <w:pPr>
        <w:pageBreakBefore w:val="0"/>
        <w:shd w:val="clear"/>
        <w:topLinePunct w:val="0"/>
        <w:bidi w:val="0"/>
        <w:adjustRightInd/>
        <w:snapToGrid/>
        <w:spacing w:after="0" w:line="360" w:lineRule="auto"/>
        <w:rPr>
          <w:rFonts w:hint="eastAsia" w:ascii="宋体" w:hAnsi="宋体" w:cs="宋体"/>
          <w:color w:val="auto"/>
          <w:szCs w:val="21"/>
          <w:highlight w:val="none"/>
        </w:rPr>
      </w:pPr>
    </w:p>
    <w:p w14:paraId="1117ACBE">
      <w:pPr>
        <w:pageBreakBefore w:val="0"/>
        <w:shd w:val="clear"/>
        <w:topLinePunct w:val="0"/>
        <w:bidi w:val="0"/>
        <w:spacing w:after="0" w:line="360" w:lineRule="auto"/>
        <w:jc w:val="center"/>
        <w:rPr>
          <w:rFonts w:hint="eastAsia" w:ascii="宋体" w:hAnsi="宋体" w:cs="宋体"/>
          <w:color w:val="auto"/>
          <w:sz w:val="52"/>
          <w:szCs w:val="52"/>
          <w:highlight w:val="none"/>
        </w:rPr>
      </w:pPr>
      <w:bookmarkStart w:id="209" w:name="_Toc18450"/>
      <w:bookmarkStart w:id="210" w:name="_Toc30918"/>
      <w:bookmarkStart w:id="211" w:name="_Toc28154"/>
      <w:bookmarkStart w:id="212" w:name="_Toc21746"/>
      <w:bookmarkStart w:id="213" w:name="_Toc20335"/>
    </w:p>
    <w:p w14:paraId="468E57AE">
      <w:pPr>
        <w:pStyle w:val="4"/>
        <w:pageBreakBefore w:val="0"/>
        <w:shd w:val="clear"/>
        <w:topLinePunct w:val="0"/>
        <w:bidi w:val="0"/>
        <w:spacing w:before="0" w:after="0" w:line="360" w:lineRule="auto"/>
        <w:jc w:val="center"/>
        <w:rPr>
          <w:rFonts w:hint="eastAsia" w:ascii="宋体" w:hAnsi="宋体" w:eastAsia="宋体" w:cs="宋体"/>
          <w:color w:val="auto"/>
          <w:sz w:val="72"/>
          <w:szCs w:val="72"/>
          <w:highlight w:val="none"/>
        </w:rPr>
      </w:pPr>
      <w:bookmarkStart w:id="214" w:name="_Toc29589"/>
      <w:bookmarkStart w:id="215" w:name="_Toc1590"/>
      <w:r>
        <w:rPr>
          <w:rFonts w:hint="eastAsia" w:ascii="宋体" w:hAnsi="宋体" w:eastAsia="宋体" w:cs="宋体"/>
          <w:color w:val="auto"/>
          <w:sz w:val="72"/>
          <w:szCs w:val="72"/>
          <w:highlight w:val="none"/>
        </w:rPr>
        <w:t>价格文件</w:t>
      </w:r>
      <w:bookmarkEnd w:id="209"/>
      <w:bookmarkEnd w:id="210"/>
      <w:bookmarkEnd w:id="214"/>
      <w:bookmarkEnd w:id="215"/>
      <w:bookmarkStart w:id="216" w:name="_Hlt10456397"/>
      <w:bookmarkEnd w:id="216"/>
      <w:bookmarkStart w:id="217" w:name="_Hlt10519799"/>
      <w:bookmarkEnd w:id="217"/>
    </w:p>
    <w:p w14:paraId="420569AC">
      <w:pPr>
        <w:pageBreakBefore w:val="0"/>
        <w:shd w:val="clear"/>
        <w:topLinePunct w:val="0"/>
        <w:bidi w:val="0"/>
        <w:spacing w:after="0" w:line="360" w:lineRule="auto"/>
        <w:jc w:val="center"/>
        <w:rPr>
          <w:rFonts w:hint="eastAsia" w:ascii="宋体" w:hAnsi="宋体" w:cs="宋体"/>
          <w:color w:val="auto"/>
          <w:sz w:val="72"/>
          <w:szCs w:val="72"/>
          <w:highlight w:val="none"/>
        </w:rPr>
      </w:pPr>
      <w:r>
        <w:rPr>
          <w:rFonts w:hint="eastAsia" w:ascii="宋体" w:hAnsi="宋体" w:cs="宋体"/>
          <w:color w:val="auto"/>
          <w:sz w:val="72"/>
          <w:szCs w:val="72"/>
          <w:highlight w:val="none"/>
        </w:rPr>
        <w:t>（单独装订成册）</w:t>
      </w:r>
      <w:bookmarkEnd w:id="211"/>
      <w:bookmarkEnd w:id="212"/>
      <w:bookmarkEnd w:id="213"/>
    </w:p>
    <w:p w14:paraId="3236833F">
      <w:pPr>
        <w:pageBreakBefore w:val="0"/>
        <w:shd w:val="clear"/>
        <w:topLinePunct w:val="0"/>
        <w:bidi w:val="0"/>
        <w:spacing w:after="0" w:line="360" w:lineRule="auto"/>
        <w:rPr>
          <w:rFonts w:hint="eastAsia" w:ascii="宋体" w:hAnsi="宋体" w:cs="宋体"/>
          <w:color w:val="auto"/>
          <w:highlight w:val="none"/>
        </w:rPr>
      </w:pPr>
    </w:p>
    <w:p w14:paraId="361E0E16">
      <w:pPr>
        <w:pStyle w:val="10"/>
        <w:pageBreakBefore w:val="0"/>
        <w:shd w:val="clear"/>
        <w:topLinePunct w:val="0"/>
        <w:bidi w:val="0"/>
        <w:spacing w:before="0" w:after="0" w:line="360" w:lineRule="auto"/>
        <w:rPr>
          <w:rFonts w:hint="eastAsia"/>
          <w:color w:val="auto"/>
          <w:highlight w:val="none"/>
        </w:rPr>
      </w:pPr>
    </w:p>
    <w:p w14:paraId="21E78D5B">
      <w:pPr>
        <w:pStyle w:val="29"/>
        <w:pageBreakBefore w:val="0"/>
        <w:shd w:val="clear"/>
        <w:topLinePunct w:val="0"/>
        <w:bidi w:val="0"/>
        <w:spacing w:before="0" w:after="0" w:line="360" w:lineRule="auto"/>
        <w:ind w:left="0" w:firstLine="240"/>
        <w:rPr>
          <w:rFonts w:hint="eastAsia"/>
          <w:color w:val="auto"/>
          <w:highlight w:val="none"/>
        </w:rPr>
      </w:pPr>
    </w:p>
    <w:p w14:paraId="39DA2C6D">
      <w:pPr>
        <w:pageBreakBefore w:val="0"/>
        <w:shd w:val="clear"/>
        <w:topLinePunct w:val="0"/>
        <w:bidi w:val="0"/>
        <w:spacing w:after="0" w:line="360" w:lineRule="auto"/>
        <w:rPr>
          <w:rFonts w:hint="eastAsia" w:ascii="宋体" w:hAnsi="宋体" w:cs="宋体"/>
          <w:b/>
          <w:bCs/>
          <w:color w:val="auto"/>
          <w:spacing w:val="-6"/>
          <w:sz w:val="32"/>
          <w:szCs w:val="32"/>
          <w:highlight w:val="none"/>
        </w:rPr>
      </w:pPr>
      <w:r>
        <w:rPr>
          <w:rFonts w:hint="eastAsia" w:ascii="宋体" w:hAnsi="宋体" w:cs="宋体"/>
          <w:b/>
          <w:bCs/>
          <w:color w:val="auto"/>
          <w:spacing w:val="52"/>
          <w:sz w:val="32"/>
          <w:szCs w:val="32"/>
          <w:highlight w:val="none"/>
        </w:rPr>
        <w:t>项目名</w:t>
      </w:r>
      <w:r>
        <w:rPr>
          <w:rFonts w:hint="eastAsia" w:ascii="宋体" w:hAnsi="宋体" w:cs="宋体"/>
          <w:b/>
          <w:bCs/>
          <w:color w:val="auto"/>
          <w:spacing w:val="1"/>
          <w:sz w:val="32"/>
          <w:szCs w:val="32"/>
          <w:highlight w:val="none"/>
        </w:rPr>
        <w:t>称</w:t>
      </w:r>
      <w:r>
        <w:rPr>
          <w:rFonts w:hint="eastAsia" w:ascii="宋体" w:hAnsi="宋体" w:cs="宋体"/>
          <w:b/>
          <w:bCs/>
          <w:color w:val="auto"/>
          <w:spacing w:val="-6"/>
          <w:sz w:val="32"/>
          <w:szCs w:val="32"/>
          <w:highlight w:val="none"/>
        </w:rPr>
        <w:t>：</w:t>
      </w:r>
    </w:p>
    <w:p w14:paraId="65EE0225">
      <w:pPr>
        <w:pageBreakBefore w:val="0"/>
        <w:shd w:val="clear"/>
        <w:topLinePunct w:val="0"/>
        <w:bidi w:val="0"/>
        <w:spacing w:after="0" w:line="360" w:lineRule="auto"/>
        <w:rPr>
          <w:rFonts w:hint="eastAsia" w:ascii="宋体" w:hAnsi="宋体" w:cs="宋体"/>
          <w:b/>
          <w:bCs/>
          <w:color w:val="auto"/>
          <w:sz w:val="32"/>
          <w:szCs w:val="32"/>
          <w:highlight w:val="none"/>
        </w:rPr>
      </w:pPr>
      <w:r>
        <w:rPr>
          <w:rFonts w:hint="eastAsia" w:ascii="宋体" w:hAnsi="宋体" w:cs="宋体"/>
          <w:b/>
          <w:bCs/>
          <w:color w:val="auto"/>
          <w:spacing w:val="53"/>
          <w:kern w:val="0"/>
          <w:sz w:val="32"/>
          <w:szCs w:val="32"/>
          <w:highlight w:val="none"/>
          <w:fitText w:val="1600" w:id="160241941"/>
        </w:rPr>
        <w:t>项目编</w:t>
      </w:r>
      <w:r>
        <w:rPr>
          <w:rFonts w:hint="eastAsia" w:ascii="宋体" w:hAnsi="宋体" w:cs="宋体"/>
          <w:b/>
          <w:bCs/>
          <w:color w:val="auto"/>
          <w:spacing w:val="1"/>
          <w:kern w:val="0"/>
          <w:sz w:val="32"/>
          <w:szCs w:val="32"/>
          <w:highlight w:val="none"/>
          <w:fitText w:val="1600" w:id="160241941"/>
        </w:rPr>
        <w:t>号</w:t>
      </w:r>
      <w:r>
        <w:rPr>
          <w:rFonts w:hint="eastAsia" w:ascii="宋体" w:hAnsi="宋体" w:cs="宋体"/>
          <w:b/>
          <w:bCs/>
          <w:color w:val="auto"/>
          <w:sz w:val="32"/>
          <w:szCs w:val="32"/>
          <w:highlight w:val="none"/>
        </w:rPr>
        <w:t>：</w:t>
      </w:r>
    </w:p>
    <w:p w14:paraId="369D13B6">
      <w:pPr>
        <w:pStyle w:val="27"/>
        <w:pageBreakBefore w:val="0"/>
        <w:widowControl/>
        <w:shd w:val="clear"/>
        <w:topLinePunct w:val="0"/>
        <w:bidi w:val="0"/>
        <w:adjustRightInd w:val="0"/>
        <w:snapToGrid w:val="0"/>
        <w:spacing w:after="0" w:line="360" w:lineRule="auto"/>
        <w:jc w:val="left"/>
        <w:rPr>
          <w:rFonts w:hint="eastAsia" w:ascii="宋体" w:hAnsi="宋体" w:cs="宋体"/>
          <w:b/>
          <w:color w:val="auto"/>
          <w:spacing w:val="1280"/>
          <w:kern w:val="0"/>
          <w:sz w:val="32"/>
          <w:szCs w:val="32"/>
          <w:highlight w:val="none"/>
        </w:rPr>
      </w:pPr>
      <w:r>
        <w:rPr>
          <w:rFonts w:hint="eastAsia" w:ascii="宋体" w:hAnsi="宋体" w:cs="宋体"/>
          <w:b/>
          <w:color w:val="auto"/>
          <w:spacing w:val="106"/>
          <w:kern w:val="0"/>
          <w:sz w:val="32"/>
          <w:szCs w:val="32"/>
          <w:highlight w:val="none"/>
          <w:lang w:bidi="ar"/>
        </w:rPr>
        <w:t>包组号（如有）：</w:t>
      </w:r>
    </w:p>
    <w:p w14:paraId="3FE2A9BD">
      <w:pPr>
        <w:pageBreakBefore w:val="0"/>
        <w:shd w:val="clear"/>
        <w:topLinePunct w:val="0"/>
        <w:bidi w:val="0"/>
        <w:spacing w:after="0" w:line="360" w:lineRule="auto"/>
        <w:rPr>
          <w:rFonts w:hint="eastAsia" w:ascii="宋体" w:hAnsi="宋体" w:cs="宋体"/>
          <w:b/>
          <w:color w:val="auto"/>
          <w:sz w:val="32"/>
          <w:szCs w:val="32"/>
          <w:highlight w:val="none"/>
        </w:rPr>
      </w:pPr>
      <w:r>
        <w:rPr>
          <w:rFonts w:hint="eastAsia" w:ascii="宋体" w:hAnsi="宋体" w:cs="宋体"/>
          <w:b/>
          <w:color w:val="auto"/>
          <w:spacing w:val="0"/>
          <w:w w:val="100"/>
          <w:kern w:val="0"/>
          <w:sz w:val="32"/>
          <w:szCs w:val="32"/>
          <w:highlight w:val="none"/>
          <w:fitText w:val="1600" w:id="1"/>
        </w:rPr>
        <w:t>投标人名称</w:t>
      </w:r>
      <w:r>
        <w:rPr>
          <w:rFonts w:hint="eastAsia" w:ascii="宋体" w:hAnsi="宋体" w:cs="宋体"/>
          <w:b/>
          <w:color w:val="auto"/>
          <w:sz w:val="32"/>
          <w:szCs w:val="32"/>
          <w:highlight w:val="none"/>
        </w:rPr>
        <w:t>：</w:t>
      </w:r>
    </w:p>
    <w:p w14:paraId="5FD280DA">
      <w:pPr>
        <w:pageBreakBefore w:val="0"/>
        <w:shd w:val="clear"/>
        <w:topLinePunct w:val="0"/>
        <w:bidi w:val="0"/>
        <w:spacing w:after="0" w:line="360" w:lineRule="auto"/>
        <w:rPr>
          <w:rFonts w:hint="eastAsia" w:ascii="宋体" w:hAnsi="宋体" w:cs="宋体"/>
          <w:b/>
          <w:color w:val="auto"/>
          <w:sz w:val="32"/>
          <w:szCs w:val="32"/>
          <w:highlight w:val="none"/>
        </w:rPr>
      </w:pPr>
      <w:r>
        <w:rPr>
          <w:rFonts w:hint="eastAsia" w:ascii="宋体" w:hAnsi="宋体" w:cs="宋体"/>
          <w:b/>
          <w:color w:val="auto"/>
          <w:spacing w:val="32"/>
          <w:kern w:val="0"/>
          <w:sz w:val="32"/>
          <w:szCs w:val="32"/>
          <w:highlight w:val="none"/>
          <w:fitText w:val="1600" w:id="2"/>
        </w:rPr>
        <w:t xml:space="preserve">日    </w:t>
      </w:r>
      <w:r>
        <w:rPr>
          <w:rFonts w:hint="eastAsia" w:ascii="宋体" w:hAnsi="宋体" w:cs="宋体"/>
          <w:b/>
          <w:color w:val="auto"/>
          <w:spacing w:val="0"/>
          <w:kern w:val="0"/>
          <w:sz w:val="32"/>
          <w:szCs w:val="32"/>
          <w:highlight w:val="none"/>
          <w:fitText w:val="1600" w:id="2"/>
        </w:rPr>
        <w:t>期</w:t>
      </w:r>
      <w:r>
        <w:rPr>
          <w:rFonts w:hint="eastAsia" w:ascii="宋体" w:hAnsi="宋体" w:cs="宋体"/>
          <w:b/>
          <w:color w:val="auto"/>
          <w:sz w:val="32"/>
          <w:szCs w:val="32"/>
          <w:highlight w:val="none"/>
        </w:rPr>
        <w:t>：</w:t>
      </w:r>
    </w:p>
    <w:p w14:paraId="71D77A23">
      <w:pPr>
        <w:pageBreakBefore w:val="0"/>
        <w:shd w:val="clear"/>
        <w:topLinePunct w:val="0"/>
        <w:bidi w:val="0"/>
        <w:spacing w:after="0" w:line="360" w:lineRule="auto"/>
        <w:rPr>
          <w:rFonts w:hint="eastAsia" w:ascii="宋体" w:hAnsi="宋体" w:cs="宋体"/>
          <w:color w:val="auto"/>
          <w:highlight w:val="none"/>
        </w:rPr>
      </w:pPr>
    </w:p>
    <w:p w14:paraId="7B33A72C">
      <w:pPr>
        <w:pStyle w:val="10"/>
        <w:pageBreakBefore w:val="0"/>
        <w:shd w:val="clear"/>
        <w:topLinePunct w:val="0"/>
        <w:bidi w:val="0"/>
        <w:spacing w:before="0" w:after="0" w:line="360" w:lineRule="auto"/>
        <w:rPr>
          <w:rFonts w:hint="eastAsia"/>
          <w:color w:val="auto"/>
          <w:highlight w:val="none"/>
        </w:rPr>
      </w:pPr>
    </w:p>
    <w:p w14:paraId="715707AC">
      <w:pPr>
        <w:pStyle w:val="29"/>
        <w:pageBreakBefore w:val="0"/>
        <w:shd w:val="clear"/>
        <w:topLinePunct w:val="0"/>
        <w:bidi w:val="0"/>
        <w:spacing w:before="0" w:after="0" w:line="360" w:lineRule="auto"/>
        <w:ind w:firstLine="240"/>
        <w:rPr>
          <w:rFonts w:hint="eastAsia"/>
          <w:color w:val="auto"/>
          <w:highlight w:val="none"/>
        </w:rPr>
      </w:pPr>
    </w:p>
    <w:p w14:paraId="4733C85D">
      <w:pPr>
        <w:pStyle w:val="23"/>
        <w:pageBreakBefore w:val="0"/>
        <w:shd w:val="clear"/>
        <w:topLinePunct w:val="0"/>
        <w:bidi w:val="0"/>
        <w:spacing w:after="0" w:line="360" w:lineRule="auto"/>
        <w:rPr>
          <w:rFonts w:hint="eastAsia" w:ascii="宋体" w:hAnsi="宋体" w:cs="宋体"/>
          <w:color w:val="auto"/>
          <w:highlight w:val="none"/>
        </w:rPr>
      </w:pPr>
    </w:p>
    <w:p w14:paraId="1044AB35">
      <w:pPr>
        <w:pageBreakBefore w:val="0"/>
        <w:shd w:val="clear"/>
        <w:topLinePunct w:val="0"/>
        <w:bidi w:val="0"/>
        <w:spacing w:after="0" w:line="360" w:lineRule="auto"/>
        <w:rPr>
          <w:rFonts w:hint="eastAsia" w:ascii="宋体" w:hAnsi="宋体" w:cs="宋体"/>
          <w:color w:val="auto"/>
          <w:highlight w:val="none"/>
        </w:rPr>
      </w:pPr>
    </w:p>
    <w:p w14:paraId="084EFBEF">
      <w:pPr>
        <w:pStyle w:val="10"/>
        <w:pageBreakBefore w:val="0"/>
        <w:shd w:val="clear"/>
        <w:topLinePunct w:val="0"/>
        <w:bidi w:val="0"/>
        <w:spacing w:before="0" w:after="0" w:line="360" w:lineRule="auto"/>
        <w:rPr>
          <w:rFonts w:hint="eastAsia"/>
          <w:color w:val="auto"/>
          <w:highlight w:val="none"/>
        </w:rPr>
      </w:pPr>
    </w:p>
    <w:p w14:paraId="145A8E9D">
      <w:pPr>
        <w:pStyle w:val="29"/>
        <w:pageBreakBefore w:val="0"/>
        <w:shd w:val="clear"/>
        <w:topLinePunct w:val="0"/>
        <w:bidi w:val="0"/>
        <w:spacing w:before="0" w:after="0" w:line="360" w:lineRule="auto"/>
        <w:ind w:firstLine="240"/>
        <w:rPr>
          <w:rFonts w:hint="eastAsia"/>
          <w:color w:val="auto"/>
          <w:highlight w:val="none"/>
        </w:rPr>
      </w:pPr>
    </w:p>
    <w:p w14:paraId="7D57C6F4">
      <w:pPr>
        <w:pStyle w:val="23"/>
        <w:pageBreakBefore w:val="0"/>
        <w:shd w:val="clear"/>
        <w:topLinePunct w:val="0"/>
        <w:bidi w:val="0"/>
        <w:spacing w:after="0" w:line="360" w:lineRule="auto"/>
        <w:rPr>
          <w:rFonts w:hint="eastAsia" w:ascii="宋体" w:hAnsi="宋体" w:cs="宋体"/>
          <w:color w:val="auto"/>
          <w:highlight w:val="none"/>
        </w:rPr>
      </w:pPr>
    </w:p>
    <w:p w14:paraId="694CFFE9">
      <w:pPr>
        <w:pStyle w:val="23"/>
        <w:pageBreakBefore w:val="0"/>
        <w:shd w:val="clear"/>
        <w:topLinePunct w:val="0"/>
        <w:bidi w:val="0"/>
        <w:spacing w:after="0" w:line="360" w:lineRule="auto"/>
        <w:ind w:left="0"/>
        <w:rPr>
          <w:rFonts w:hint="eastAsia" w:ascii="宋体" w:hAnsi="宋体" w:cs="宋体"/>
          <w:color w:val="auto"/>
          <w:highlight w:val="none"/>
        </w:rPr>
      </w:pPr>
    </w:p>
    <w:p w14:paraId="6C8B198F">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br w:type="page"/>
      </w:r>
    </w:p>
    <w:p w14:paraId="230998AD">
      <w:pPr>
        <w:pStyle w:val="6"/>
        <w:pageBreakBefore w:val="0"/>
        <w:widowControl w:val="0"/>
        <w:shd w:val="clear"/>
        <w:overflowPunct w:val="0"/>
        <w:topLinePunct w:val="0"/>
        <w:bidi w:val="0"/>
        <w:spacing w:after="0" w:line="360" w:lineRule="auto"/>
        <w:rPr>
          <w:rFonts w:hint="eastAsia" w:ascii="宋体" w:hAnsi="宋体" w:cs="宋体"/>
          <w:color w:val="auto"/>
          <w:sz w:val="21"/>
          <w:szCs w:val="21"/>
          <w:highlight w:val="none"/>
        </w:rPr>
      </w:pPr>
      <w:bookmarkStart w:id="218" w:name="_Toc27529"/>
      <w:bookmarkStart w:id="219" w:name="_Toc1267"/>
      <w:r>
        <w:rPr>
          <w:rFonts w:hint="eastAsia" w:ascii="宋体" w:hAnsi="宋体" w:cs="宋体"/>
          <w:color w:val="auto"/>
          <w:sz w:val="21"/>
          <w:szCs w:val="21"/>
          <w:highlight w:val="none"/>
        </w:rPr>
        <w:t>附件1.开标一览表格式</w:t>
      </w:r>
      <w:bookmarkEnd w:id="218"/>
      <w:bookmarkEnd w:id="219"/>
    </w:p>
    <w:p w14:paraId="04C2FC55">
      <w:pPr>
        <w:pageBreakBefore w:val="0"/>
        <w:shd w:val="clear"/>
        <w:topLinePunct w:val="0"/>
        <w:bidi w:val="0"/>
        <w:spacing w:after="0" w:line="360" w:lineRule="auto"/>
        <w:jc w:val="center"/>
        <w:rPr>
          <w:rFonts w:hint="eastAsia" w:ascii="宋体" w:hAnsi="宋体" w:cs="宋体"/>
          <w:color w:val="auto"/>
          <w:sz w:val="32"/>
          <w:szCs w:val="32"/>
          <w:highlight w:val="none"/>
        </w:rPr>
      </w:pPr>
      <w:r>
        <w:rPr>
          <w:rFonts w:hint="eastAsia" w:ascii="宋体" w:hAnsi="宋体" w:cs="宋体"/>
          <w:color w:val="auto"/>
          <w:sz w:val="32"/>
          <w:szCs w:val="32"/>
          <w:highlight w:val="none"/>
        </w:rPr>
        <w:t>开标一览表（适用包A/包B）</w:t>
      </w:r>
    </w:p>
    <w:p w14:paraId="5C43942E">
      <w:pPr>
        <w:pageBreakBefore w:val="0"/>
        <w:shd w:val="clear"/>
        <w:topLinePunct w:val="0"/>
        <w:bidi w:val="0"/>
        <w:spacing w:after="0" w:line="360" w:lineRule="auto"/>
        <w:rPr>
          <w:rFonts w:hint="eastAsia" w:ascii="宋体" w:hAnsi="宋体" w:cs="宋体"/>
          <w:color w:val="auto"/>
          <w:highlight w:val="none"/>
        </w:rPr>
      </w:pPr>
    </w:p>
    <w:p w14:paraId="74F77630">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投标人名称：</w:t>
      </w:r>
    </w:p>
    <w:p w14:paraId="0703AEC5">
      <w:pPr>
        <w:pageBreakBefore w:val="0"/>
        <w:shd w:val="clear"/>
        <w:topLinePunct w:val="0"/>
        <w:bidi w:val="0"/>
        <w:spacing w:after="0" w:line="360" w:lineRule="auto"/>
        <w:rPr>
          <w:rFonts w:hint="eastAsia" w:ascii="宋体" w:hAnsi="宋体" w:cs="宋体"/>
          <w:color w:val="auto"/>
          <w:highlight w:val="none"/>
        </w:rPr>
      </w:pPr>
      <w:r>
        <w:rPr>
          <w:rFonts w:hint="eastAsia" w:ascii="宋体" w:hAnsi="宋体" w:cs="宋体"/>
          <w:color w:val="auto"/>
          <w:szCs w:val="21"/>
          <w:highlight w:val="none"/>
        </w:rPr>
        <w:t>采购项目编号：</w:t>
      </w:r>
      <w:r>
        <w:rPr>
          <w:rFonts w:hint="eastAsia" w:ascii="宋体" w:hAnsi="宋体" w:cs="宋体"/>
          <w:color w:val="auto"/>
          <w:szCs w:val="21"/>
          <w:highlight w:val="none"/>
        </w:rPr>
        <w:br w:type="textWrapping"/>
      </w:r>
      <w:r>
        <w:rPr>
          <w:rFonts w:hint="eastAsia" w:ascii="宋体" w:hAnsi="宋体" w:cs="宋体"/>
          <w:color w:val="auto"/>
          <w:kern w:val="28"/>
          <w:szCs w:val="21"/>
          <w:highlight w:val="none"/>
        </w:rPr>
        <w:t>采购</w:t>
      </w:r>
      <w:r>
        <w:rPr>
          <w:rFonts w:hint="eastAsia" w:ascii="宋体" w:hAnsi="宋体" w:cs="宋体"/>
          <w:color w:val="auto"/>
          <w:szCs w:val="21"/>
          <w:highlight w:val="none"/>
        </w:rPr>
        <w:t>包号：</w:t>
      </w:r>
    </w:p>
    <w:tbl>
      <w:tblPr>
        <w:tblStyle w:val="32"/>
        <w:tblW w:w="81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3"/>
        <w:gridCol w:w="2389"/>
        <w:gridCol w:w="1790"/>
        <w:gridCol w:w="2270"/>
      </w:tblGrid>
      <w:tr w14:paraId="273DD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1683" w:type="dxa"/>
            <w:vAlign w:val="center"/>
          </w:tcPr>
          <w:p w14:paraId="2E3B0954">
            <w:pPr>
              <w:pageBreakBefore w:val="0"/>
              <w:shd w:val="clear"/>
              <w:topLinePunct w:val="0"/>
              <w:bidi w:val="0"/>
              <w:spacing w:after="0" w:line="360" w:lineRule="auto"/>
              <w:jc w:val="center"/>
              <w:rPr>
                <w:rFonts w:hint="eastAsia" w:ascii="宋体" w:hAnsi="宋体" w:cs="宋体"/>
                <w:color w:val="auto"/>
                <w:kern w:val="28"/>
                <w:szCs w:val="21"/>
                <w:highlight w:val="none"/>
              </w:rPr>
            </w:pPr>
            <w:r>
              <w:rPr>
                <w:rFonts w:hint="eastAsia" w:ascii="宋体" w:hAnsi="宋体" w:cs="宋体"/>
                <w:color w:val="auto"/>
                <w:szCs w:val="21"/>
                <w:highlight w:val="none"/>
              </w:rPr>
              <w:t>项目名称</w:t>
            </w:r>
          </w:p>
        </w:tc>
        <w:tc>
          <w:tcPr>
            <w:tcW w:w="2389" w:type="dxa"/>
            <w:vAlign w:val="center"/>
          </w:tcPr>
          <w:p w14:paraId="240BBC06">
            <w:pPr>
              <w:pageBreakBefore w:val="0"/>
              <w:shd w:val="clear"/>
              <w:topLinePunct w:val="0"/>
              <w:bidi w:val="0"/>
              <w:spacing w:after="0" w:line="360" w:lineRule="auto"/>
              <w:jc w:val="center"/>
              <w:rPr>
                <w:rFonts w:hint="eastAsia" w:ascii="宋体" w:hAnsi="宋体" w:cs="宋体"/>
                <w:color w:val="auto"/>
                <w:kern w:val="28"/>
                <w:szCs w:val="21"/>
                <w:highlight w:val="none"/>
              </w:rPr>
            </w:pPr>
            <w:r>
              <w:rPr>
                <w:rFonts w:hint="eastAsia" w:ascii="宋体" w:hAnsi="宋体" w:cs="宋体"/>
                <w:color w:val="auto"/>
                <w:kern w:val="28"/>
                <w:szCs w:val="21"/>
                <w:highlight w:val="none"/>
              </w:rPr>
              <w:t>投标不含税总价（元）</w:t>
            </w:r>
          </w:p>
        </w:tc>
        <w:tc>
          <w:tcPr>
            <w:tcW w:w="1790" w:type="dxa"/>
            <w:vAlign w:val="center"/>
          </w:tcPr>
          <w:p w14:paraId="078DE27C">
            <w:pPr>
              <w:pageBreakBefore w:val="0"/>
              <w:shd w:val="clear"/>
              <w:topLinePunct w:val="0"/>
              <w:bidi w:val="0"/>
              <w:spacing w:after="0" w:line="360" w:lineRule="auto"/>
              <w:jc w:val="center"/>
              <w:rPr>
                <w:rFonts w:hint="eastAsia" w:ascii="宋体" w:hAnsi="宋体" w:cs="宋体"/>
                <w:color w:val="auto"/>
                <w:kern w:val="28"/>
                <w:szCs w:val="21"/>
                <w:highlight w:val="none"/>
              </w:rPr>
            </w:pPr>
            <w:r>
              <w:rPr>
                <w:rFonts w:hint="eastAsia" w:ascii="宋体" w:hAnsi="宋体" w:cs="宋体"/>
                <w:color w:val="auto"/>
                <w:kern w:val="28"/>
                <w:szCs w:val="21"/>
                <w:highlight w:val="none"/>
              </w:rPr>
              <w:t>增值税</w:t>
            </w:r>
            <w:r>
              <w:rPr>
                <w:rFonts w:hint="eastAsia" w:ascii="宋体" w:hAnsi="宋体" w:cs="宋体"/>
                <w:color w:val="auto"/>
                <w:kern w:val="28"/>
                <w:szCs w:val="21"/>
                <w:highlight w:val="none"/>
                <w:lang w:val="en-US" w:eastAsia="zh-CN"/>
              </w:rPr>
              <w:t>专票</w:t>
            </w:r>
            <w:r>
              <w:rPr>
                <w:rFonts w:hint="eastAsia" w:ascii="宋体" w:hAnsi="宋体" w:cs="宋体"/>
                <w:color w:val="auto"/>
                <w:kern w:val="28"/>
                <w:szCs w:val="21"/>
                <w:highlight w:val="none"/>
              </w:rPr>
              <w:t>税率</w:t>
            </w:r>
          </w:p>
        </w:tc>
        <w:tc>
          <w:tcPr>
            <w:tcW w:w="2270" w:type="dxa"/>
            <w:vAlign w:val="center"/>
          </w:tcPr>
          <w:p w14:paraId="7DC3EE4F">
            <w:pPr>
              <w:pageBreakBefore w:val="0"/>
              <w:shd w:val="clear"/>
              <w:topLinePunct w:val="0"/>
              <w:bidi w:val="0"/>
              <w:spacing w:after="0" w:line="360" w:lineRule="auto"/>
              <w:jc w:val="center"/>
              <w:rPr>
                <w:rFonts w:hint="eastAsia" w:ascii="宋体" w:hAnsi="宋体" w:cs="宋体"/>
                <w:color w:val="auto"/>
                <w:kern w:val="28"/>
                <w:szCs w:val="21"/>
                <w:highlight w:val="none"/>
              </w:rPr>
            </w:pPr>
            <w:r>
              <w:rPr>
                <w:rFonts w:hint="eastAsia" w:ascii="宋体" w:hAnsi="宋体" w:cs="宋体"/>
                <w:color w:val="auto"/>
                <w:kern w:val="28"/>
                <w:szCs w:val="21"/>
                <w:highlight w:val="none"/>
              </w:rPr>
              <w:t>投标含税总价（元）</w:t>
            </w:r>
          </w:p>
        </w:tc>
      </w:tr>
      <w:tr w14:paraId="3ABF1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7" w:hRule="atLeast"/>
          <w:jc w:val="center"/>
        </w:trPr>
        <w:tc>
          <w:tcPr>
            <w:tcW w:w="1683" w:type="dxa"/>
            <w:vAlign w:val="center"/>
          </w:tcPr>
          <w:p w14:paraId="017F1CC7">
            <w:pPr>
              <w:pageBreakBefore w:val="0"/>
              <w:shd w:val="clear"/>
              <w:topLinePunct w:val="0"/>
              <w:bidi w:val="0"/>
              <w:spacing w:after="0" w:line="360" w:lineRule="auto"/>
              <w:jc w:val="center"/>
              <w:rPr>
                <w:rFonts w:hint="eastAsia" w:ascii="宋体" w:hAnsi="宋体" w:cs="宋体"/>
                <w:color w:val="auto"/>
                <w:szCs w:val="21"/>
                <w:highlight w:val="none"/>
              </w:rPr>
            </w:pPr>
          </w:p>
        </w:tc>
        <w:tc>
          <w:tcPr>
            <w:tcW w:w="2389" w:type="dxa"/>
            <w:vAlign w:val="center"/>
          </w:tcPr>
          <w:p w14:paraId="39414909">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小写：</w:t>
            </w:r>
          </w:p>
          <w:p w14:paraId="356ECBA1">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大写：</w:t>
            </w:r>
          </w:p>
        </w:tc>
        <w:tc>
          <w:tcPr>
            <w:tcW w:w="1790" w:type="dxa"/>
            <w:vAlign w:val="center"/>
          </w:tcPr>
          <w:p w14:paraId="5DE19F2E">
            <w:pPr>
              <w:pStyle w:val="69"/>
              <w:pageBreakBefore w:val="0"/>
              <w:shd w:val="clear"/>
              <w:topLinePunct w:val="0"/>
              <w:bidi w:val="0"/>
              <w:spacing w:after="0" w:line="360" w:lineRule="auto"/>
              <w:ind w:firstLine="1050" w:firstLineChars="500"/>
              <w:rPr>
                <w:rFonts w:hint="eastAsia" w:hAnsi="宋体" w:eastAsia="宋体"/>
                <w:color w:val="auto"/>
                <w:sz w:val="21"/>
                <w:szCs w:val="21"/>
                <w:highlight w:val="none"/>
                <w:lang w:val="en-US" w:eastAsia="zh-CN"/>
              </w:rPr>
            </w:pPr>
            <w:r>
              <w:rPr>
                <w:rFonts w:hint="eastAsia" w:hAnsi="宋体"/>
                <w:color w:val="auto"/>
                <w:sz w:val="21"/>
                <w:szCs w:val="21"/>
                <w:highlight w:val="none"/>
                <w:lang w:val="en-US" w:eastAsia="zh-CN"/>
              </w:rPr>
              <w:t>%</w:t>
            </w:r>
          </w:p>
        </w:tc>
        <w:tc>
          <w:tcPr>
            <w:tcW w:w="2270" w:type="dxa"/>
            <w:vAlign w:val="center"/>
          </w:tcPr>
          <w:p w14:paraId="23C89A9E">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小写：</w:t>
            </w:r>
          </w:p>
          <w:p w14:paraId="2B415070">
            <w:pPr>
              <w:pageBreakBefore w:val="0"/>
              <w:shd w:val="clear"/>
              <w:topLinePunct w:val="0"/>
              <w:bidi w:val="0"/>
              <w:spacing w:after="0" w:line="360" w:lineRule="auto"/>
              <w:rPr>
                <w:rFonts w:hint="eastAsia" w:hAnsi="宋体"/>
                <w:color w:val="auto"/>
                <w:sz w:val="21"/>
                <w:szCs w:val="21"/>
                <w:highlight w:val="none"/>
              </w:rPr>
            </w:pPr>
            <w:r>
              <w:rPr>
                <w:rFonts w:hint="eastAsia" w:ascii="宋体" w:hAnsi="宋体" w:cs="宋体"/>
                <w:color w:val="auto"/>
                <w:szCs w:val="21"/>
                <w:highlight w:val="none"/>
              </w:rPr>
              <w:t>大写：</w:t>
            </w:r>
          </w:p>
        </w:tc>
      </w:tr>
    </w:tbl>
    <w:p w14:paraId="1D2DF0AA">
      <w:pPr>
        <w:pageBreakBefore w:val="0"/>
        <w:shd w:val="clear"/>
        <w:topLinePunct w:val="0"/>
        <w:bidi w:val="0"/>
        <w:spacing w:after="0" w:line="360" w:lineRule="auto"/>
        <w:rPr>
          <w:rFonts w:hint="eastAsia" w:ascii="宋体" w:hAnsi="宋体" w:cs="宋体"/>
          <w:color w:val="auto"/>
          <w:szCs w:val="21"/>
          <w:highlight w:val="none"/>
        </w:rPr>
      </w:pPr>
    </w:p>
    <w:p w14:paraId="0BB4D23E">
      <w:pPr>
        <w:pageBreakBefore w:val="0"/>
        <w:shd w:val="clear"/>
        <w:topLinePunct w:val="0"/>
        <w:bidi w:val="0"/>
        <w:spacing w:after="0" w:line="360" w:lineRule="auto"/>
        <w:ind w:firstLine="359" w:firstLineChars="171"/>
        <w:rPr>
          <w:rFonts w:hint="eastAsia" w:ascii="宋体" w:hAnsi="宋体" w:cs="宋体"/>
          <w:color w:val="auto"/>
          <w:szCs w:val="21"/>
          <w:highlight w:val="none"/>
        </w:rPr>
      </w:pPr>
    </w:p>
    <w:p w14:paraId="45AADBFD">
      <w:pPr>
        <w:pageBreakBefore w:val="0"/>
        <w:shd w:val="clear"/>
        <w:topLinePunct w:val="0"/>
        <w:bidi w:val="0"/>
        <w:spacing w:after="0" w:line="360" w:lineRule="auto"/>
        <w:ind w:firstLine="359" w:firstLineChars="171"/>
        <w:rPr>
          <w:rFonts w:hint="eastAsia" w:ascii="宋体" w:hAnsi="宋体" w:cs="宋体"/>
          <w:color w:val="auto"/>
          <w:szCs w:val="21"/>
          <w:highlight w:val="none"/>
        </w:rPr>
      </w:pPr>
      <w:r>
        <w:rPr>
          <w:rFonts w:hint="eastAsia" w:ascii="宋体" w:hAnsi="宋体" w:cs="宋体"/>
          <w:color w:val="auto"/>
          <w:szCs w:val="21"/>
          <w:highlight w:val="none"/>
        </w:rPr>
        <w:t>投标人代表签字：</w:t>
      </w:r>
    </w:p>
    <w:p w14:paraId="5095C04C">
      <w:pPr>
        <w:pageBreakBefore w:val="0"/>
        <w:shd w:val="clear"/>
        <w:topLinePunct w:val="0"/>
        <w:bidi w:val="0"/>
        <w:spacing w:after="0" w:line="360" w:lineRule="auto"/>
        <w:ind w:firstLine="359" w:firstLineChars="171"/>
        <w:rPr>
          <w:rFonts w:hint="eastAsia" w:ascii="宋体" w:hAnsi="宋体" w:cs="宋体"/>
          <w:color w:val="auto"/>
          <w:szCs w:val="21"/>
          <w:highlight w:val="none"/>
        </w:rPr>
      </w:pPr>
      <w:r>
        <w:rPr>
          <w:rFonts w:hint="eastAsia" w:ascii="宋体" w:hAnsi="宋体" w:cs="宋体"/>
          <w:color w:val="auto"/>
          <w:szCs w:val="21"/>
          <w:highlight w:val="none"/>
        </w:rPr>
        <w:t>投标人盖章：</w:t>
      </w:r>
    </w:p>
    <w:p w14:paraId="4A643567">
      <w:pPr>
        <w:pageBreakBefore w:val="0"/>
        <w:shd w:val="clear"/>
        <w:topLinePunct w:val="0"/>
        <w:bidi w:val="0"/>
        <w:spacing w:after="0" w:line="360" w:lineRule="auto"/>
        <w:ind w:firstLine="359" w:firstLineChars="171"/>
        <w:rPr>
          <w:rFonts w:hint="eastAsia" w:ascii="宋体" w:hAnsi="宋体" w:cs="宋体"/>
          <w:color w:val="auto"/>
          <w:szCs w:val="21"/>
          <w:highlight w:val="none"/>
        </w:rPr>
      </w:pPr>
      <w:r>
        <w:rPr>
          <w:rFonts w:hint="eastAsia" w:ascii="宋体" w:hAnsi="宋体" w:cs="宋体"/>
          <w:color w:val="auto"/>
          <w:szCs w:val="21"/>
          <w:highlight w:val="none"/>
        </w:rPr>
        <w:t>日期：</w:t>
      </w:r>
    </w:p>
    <w:p w14:paraId="0FB5322D">
      <w:pPr>
        <w:pageBreakBefore w:val="0"/>
        <w:shd w:val="clear"/>
        <w:topLinePunct w:val="0"/>
        <w:bidi w:val="0"/>
        <w:spacing w:after="0" w:line="360" w:lineRule="auto"/>
        <w:ind w:firstLine="359" w:firstLineChars="171"/>
        <w:rPr>
          <w:rFonts w:hint="eastAsia" w:ascii="宋体" w:hAnsi="宋体" w:cs="宋体"/>
          <w:color w:val="auto"/>
          <w:szCs w:val="21"/>
          <w:highlight w:val="none"/>
        </w:rPr>
      </w:pPr>
    </w:p>
    <w:p w14:paraId="56F9FE67">
      <w:pPr>
        <w:pageBreakBefore w:val="0"/>
        <w:shd w:val="clear"/>
        <w:topLinePunct w:val="0"/>
        <w:bidi w:val="0"/>
        <w:spacing w:after="0" w:line="360" w:lineRule="auto"/>
        <w:ind w:left="391" w:hanging="390" w:hangingChars="186"/>
        <w:rPr>
          <w:rFonts w:hint="eastAsia" w:ascii="宋体" w:hAnsi="宋体" w:cs="宋体"/>
          <w:color w:val="auto"/>
          <w:szCs w:val="21"/>
          <w:highlight w:val="none"/>
        </w:rPr>
      </w:pPr>
      <w:r>
        <w:rPr>
          <w:rFonts w:hint="eastAsia" w:ascii="宋体" w:hAnsi="宋体" w:cs="宋体"/>
          <w:color w:val="auto"/>
          <w:szCs w:val="21"/>
          <w:highlight w:val="none"/>
        </w:rPr>
        <w:t xml:space="preserve">  注：</w:t>
      </w:r>
    </w:p>
    <w:p w14:paraId="4F92C683">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1、投标报价须用大写金额和小写金额两种方式表示的投标报价，报价保留小数点后两位。投标报价大小写不一致，以大写为准。投标报价必须准确唯一且应包含采购文件要求的所有费用。</w:t>
      </w:r>
    </w:p>
    <w:p w14:paraId="2203270C">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w:t>
      </w:r>
      <w:r>
        <w:rPr>
          <w:rFonts w:hint="eastAsia" w:ascii="宋体" w:hAnsi="宋体"/>
          <w:b w:val="0"/>
          <w:bCs w:val="0"/>
          <w:color w:val="auto"/>
          <w:szCs w:val="21"/>
          <w:highlight w:val="none"/>
          <w:lang w:val="en-US" w:eastAsia="zh-CN"/>
        </w:rPr>
        <w:t>含税投标</w:t>
      </w:r>
      <w:r>
        <w:rPr>
          <w:rFonts w:hint="eastAsia" w:ascii="宋体" w:hAnsi="宋体"/>
          <w:b w:val="0"/>
          <w:bCs w:val="0"/>
          <w:color w:val="auto"/>
          <w:szCs w:val="21"/>
          <w:highlight w:val="none"/>
        </w:rPr>
        <w:t>总价</w:t>
      </w:r>
      <w:r>
        <w:rPr>
          <w:rFonts w:hint="eastAsia" w:ascii="宋体" w:hAnsi="宋体" w:cs="宋体"/>
          <w:color w:val="auto"/>
          <w:szCs w:val="21"/>
          <w:highlight w:val="none"/>
        </w:rPr>
        <w:t xml:space="preserve"> = ∑</w:t>
      </w:r>
      <w:r>
        <w:rPr>
          <w:rFonts w:hint="eastAsia" w:ascii="宋体" w:hAnsi="宋体" w:cs="宋体"/>
          <w:color w:val="auto"/>
          <w:szCs w:val="21"/>
          <w:highlight w:val="none"/>
          <w:lang w:val="en-US" w:eastAsia="zh-CN"/>
        </w:rPr>
        <w:t>[</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采购清单</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年度</w:t>
      </w:r>
      <w:r>
        <w:rPr>
          <w:rFonts w:hint="eastAsia" w:ascii="宋体" w:hAnsi="宋体" w:cs="宋体"/>
          <w:color w:val="auto"/>
          <w:szCs w:val="21"/>
          <w:highlight w:val="none"/>
        </w:rPr>
        <w:t>预估数量 × 不含税投标单价 × (1+增值税税率)</w:t>
      </w:r>
      <w:r>
        <w:rPr>
          <w:rFonts w:hint="eastAsia" w:ascii="宋体" w:hAnsi="宋体" w:cs="宋体"/>
          <w:color w:val="auto"/>
          <w:szCs w:val="21"/>
          <w:highlight w:val="none"/>
          <w:lang w:val="en-US" w:eastAsia="zh-CN"/>
        </w:rPr>
        <w:t>]</w:t>
      </w:r>
      <w:r>
        <w:rPr>
          <w:rFonts w:hint="eastAsia" w:ascii="宋体" w:hAnsi="宋体"/>
          <w:b w:val="0"/>
          <w:bCs w:val="0"/>
          <w:color w:val="auto"/>
          <w:szCs w:val="21"/>
          <w:highlight w:val="none"/>
          <w:lang w:val="en-US" w:eastAsia="zh-CN"/>
        </w:rPr>
        <w:t>。</w:t>
      </w:r>
    </w:p>
    <w:p w14:paraId="59EF5194">
      <w:pPr>
        <w:pageBreakBefore w:val="0"/>
        <w:shd w:val="clear"/>
        <w:topLinePunct w:val="0"/>
        <w:bidi w:val="0"/>
        <w:spacing w:after="0" w:line="360" w:lineRule="auto"/>
        <w:ind w:firstLine="420" w:firstLineChars="200"/>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3、如有多个税率，则须在</w:t>
      </w:r>
      <w:r>
        <w:rPr>
          <w:rFonts w:hint="eastAsia" w:ascii="宋体" w:hAnsi="宋体" w:cs="宋体"/>
          <w:color w:val="auto"/>
          <w:kern w:val="28"/>
          <w:szCs w:val="21"/>
          <w:highlight w:val="none"/>
        </w:rPr>
        <w:t>增值税</w:t>
      </w:r>
      <w:r>
        <w:rPr>
          <w:rFonts w:hint="eastAsia" w:ascii="宋体" w:hAnsi="宋体" w:cs="宋体"/>
          <w:color w:val="auto"/>
          <w:kern w:val="28"/>
          <w:szCs w:val="21"/>
          <w:highlight w:val="none"/>
          <w:lang w:val="en-US" w:eastAsia="zh-CN"/>
        </w:rPr>
        <w:t>专票</w:t>
      </w:r>
      <w:r>
        <w:rPr>
          <w:rFonts w:hint="eastAsia" w:ascii="宋体" w:hAnsi="宋体" w:cs="宋体"/>
          <w:color w:val="auto"/>
          <w:kern w:val="28"/>
          <w:szCs w:val="21"/>
          <w:highlight w:val="none"/>
        </w:rPr>
        <w:t>税率</w:t>
      </w:r>
      <w:r>
        <w:rPr>
          <w:rFonts w:hint="eastAsia" w:ascii="宋体" w:hAnsi="宋体" w:cs="宋体"/>
          <w:color w:val="auto"/>
          <w:kern w:val="28"/>
          <w:szCs w:val="21"/>
          <w:highlight w:val="none"/>
          <w:lang w:val="en-US" w:eastAsia="zh-CN"/>
        </w:rPr>
        <w:t>中分别</w:t>
      </w:r>
      <w:r>
        <w:rPr>
          <w:rFonts w:hint="eastAsia" w:ascii="宋体" w:hAnsi="宋体" w:cs="宋体"/>
          <w:color w:val="auto"/>
          <w:szCs w:val="21"/>
          <w:highlight w:val="none"/>
          <w:lang w:val="en-US" w:eastAsia="zh-CN"/>
        </w:rPr>
        <w:t>填写多个税率。</w:t>
      </w:r>
    </w:p>
    <w:p w14:paraId="1F549D9D">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、温馨提示：未按采购文件要求报价、填写开标一览表是导致投标人废标的常见问题，请投标人仔细填写，认真核对。</w:t>
      </w:r>
    </w:p>
    <w:p w14:paraId="2103A2B0">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br w:type="page"/>
      </w:r>
    </w:p>
    <w:p w14:paraId="4C3ABD01">
      <w:pPr>
        <w:pStyle w:val="6"/>
        <w:widowControl w:val="0"/>
        <w:shd w:val="clear"/>
        <w:overflowPunct w:val="0"/>
        <w:spacing w:line="240" w:lineRule="auto"/>
        <w:rPr>
          <w:rFonts w:ascii="宋体" w:hAnsi="宋体"/>
          <w:color w:val="auto"/>
          <w:sz w:val="21"/>
          <w:szCs w:val="21"/>
          <w:highlight w:val="none"/>
        </w:rPr>
      </w:pPr>
      <w:bookmarkStart w:id="220" w:name="_Toc15588"/>
      <w:bookmarkStart w:id="221" w:name="_Toc9316"/>
      <w:bookmarkStart w:id="222" w:name="_Toc8473"/>
      <w:r>
        <w:rPr>
          <w:rFonts w:hint="eastAsia" w:ascii="宋体" w:hAnsi="宋体"/>
          <w:color w:val="auto"/>
          <w:sz w:val="21"/>
          <w:szCs w:val="21"/>
          <w:highlight w:val="none"/>
        </w:rPr>
        <w:t>附件</w:t>
      </w:r>
      <w:r>
        <w:rPr>
          <w:rFonts w:hint="eastAsia" w:ascii="宋体" w:hAnsi="宋体"/>
          <w:color w:val="auto"/>
          <w:sz w:val="21"/>
          <w:szCs w:val="21"/>
          <w:highlight w:val="none"/>
          <w:lang w:val="en-US" w:eastAsia="zh-CN"/>
        </w:rPr>
        <w:t>2</w:t>
      </w:r>
      <w:r>
        <w:rPr>
          <w:rFonts w:hint="eastAsia" w:ascii="宋体" w:hAnsi="宋体"/>
          <w:color w:val="auto"/>
          <w:sz w:val="21"/>
          <w:szCs w:val="21"/>
          <w:highlight w:val="none"/>
        </w:rPr>
        <w:t>.报价明细表格式</w:t>
      </w:r>
      <w:bookmarkEnd w:id="220"/>
      <w:bookmarkEnd w:id="221"/>
      <w:bookmarkEnd w:id="222"/>
    </w:p>
    <w:p w14:paraId="4320506F">
      <w:pPr>
        <w:pageBreakBefore w:val="0"/>
        <w:shd w:val="clear"/>
        <w:topLinePunct w:val="0"/>
        <w:bidi w:val="0"/>
        <w:spacing w:after="0" w:line="360" w:lineRule="auto"/>
        <w:ind w:firstLine="420" w:firstLineChars="200"/>
        <w:rPr>
          <w:rFonts w:hint="eastAsia" w:ascii="宋体" w:hAnsi="宋体" w:cs="宋体"/>
          <w:color w:val="auto"/>
          <w:szCs w:val="21"/>
          <w:highlight w:val="none"/>
          <w:lang w:val="en-US" w:eastAsia="zh-CN"/>
        </w:rPr>
      </w:pPr>
    </w:p>
    <w:p w14:paraId="416F7DE6">
      <w:pPr>
        <w:pageBreakBefore w:val="0"/>
        <w:shd w:val="clear"/>
        <w:topLinePunct w:val="0"/>
        <w:bidi w:val="0"/>
        <w:spacing w:after="0"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包A：</w:t>
      </w:r>
      <w:r>
        <w:rPr>
          <w:rFonts w:hint="eastAsia" w:ascii="宋体" w:hAnsi="宋体" w:eastAsia="宋体" w:cs="宋体"/>
          <w:color w:val="auto"/>
          <w:sz w:val="22"/>
          <w:szCs w:val="22"/>
          <w:highlight w:val="none"/>
        </w:rPr>
        <w:t>请供应商</w:t>
      </w:r>
      <w:r>
        <w:rPr>
          <w:rFonts w:hint="eastAsia" w:ascii="宋体" w:hAnsi="宋体" w:eastAsia="宋体" w:cs="宋体"/>
          <w:color w:val="auto"/>
          <w:sz w:val="22"/>
          <w:szCs w:val="22"/>
          <w:highlight w:val="none"/>
          <w:lang w:val="en-US" w:eastAsia="zh-CN"/>
        </w:rPr>
        <w:t>根据公告附件《</w:t>
      </w:r>
      <w:r>
        <w:rPr>
          <w:rFonts w:hint="eastAsia" w:ascii="宋体" w:hAnsi="宋体" w:cs="宋体"/>
          <w:b/>
          <w:bCs/>
          <w:color w:val="auto"/>
          <w:sz w:val="21"/>
          <w:szCs w:val="21"/>
          <w:highlight w:val="none"/>
          <w:lang w:val="en-US" w:eastAsia="zh-CN"/>
        </w:rPr>
        <w:t>东莞迎宾馆海鲜水产类客用食材协议供应采购项目-</w:t>
      </w:r>
      <w:r>
        <w:rPr>
          <w:rFonts w:hint="eastAsia" w:ascii="宋体" w:hAnsi="宋体" w:cs="宋体"/>
          <w:b/>
          <w:bCs/>
          <w:color w:val="auto"/>
          <w:sz w:val="21"/>
          <w:szCs w:val="21"/>
          <w:highlight w:val="none"/>
          <w:lang w:val="zh-CN" w:eastAsia="zh-CN" w:bidi="zh-CN"/>
        </w:rPr>
        <w:t>海鲜水产类采购清单</w:t>
      </w:r>
      <w:r>
        <w:rPr>
          <w:rFonts w:hint="eastAsia" w:ascii="宋体" w:hAnsi="宋体" w:cs="宋体"/>
          <w:b/>
          <w:bCs/>
          <w:color w:val="auto"/>
          <w:sz w:val="21"/>
          <w:szCs w:val="21"/>
          <w:highlight w:val="none"/>
          <w:lang w:val="en-US" w:eastAsia="zh-CN" w:bidi="zh-CN"/>
        </w:rPr>
        <w:t>报价明细表</w:t>
      </w:r>
      <w:r>
        <w:rPr>
          <w:rFonts w:hint="eastAsia" w:ascii="宋体" w:hAnsi="宋体" w:eastAsia="宋体" w:cs="宋体"/>
          <w:color w:val="auto"/>
          <w:sz w:val="22"/>
          <w:szCs w:val="22"/>
          <w:highlight w:val="none"/>
          <w:lang w:val="en-US" w:eastAsia="zh-CN"/>
        </w:rPr>
        <w:t>》内容填写</w:t>
      </w:r>
      <w:r>
        <w:rPr>
          <w:rFonts w:hint="eastAsia" w:ascii="宋体" w:hAnsi="宋体" w:eastAsia="宋体" w:cs="宋体"/>
          <w:color w:val="auto"/>
          <w:sz w:val="22"/>
          <w:szCs w:val="22"/>
          <w:highlight w:val="none"/>
        </w:rPr>
        <w:t>详细的报价。</w:t>
      </w:r>
    </w:p>
    <w:p w14:paraId="7B385210">
      <w:pPr>
        <w:pageBreakBefore w:val="0"/>
        <w:shd w:val="clear"/>
        <w:topLinePunct w:val="0"/>
        <w:bidi w:val="0"/>
        <w:spacing w:after="0" w:line="360" w:lineRule="auto"/>
        <w:ind w:firstLine="440" w:firstLineChars="200"/>
        <w:rPr>
          <w:rFonts w:hint="default" w:ascii="宋体" w:hAnsi="宋体" w:eastAsia="宋体" w:cs="宋体"/>
          <w:color w:val="auto"/>
          <w:szCs w:val="21"/>
          <w:highlight w:val="none"/>
          <w:lang w:val="en-US" w:eastAsia="zh-CN"/>
        </w:rPr>
      </w:pPr>
      <w:r>
        <w:rPr>
          <w:rFonts w:hint="eastAsia" w:ascii="宋体" w:hAnsi="宋体" w:eastAsia="宋体" w:cs="宋体"/>
          <w:color w:val="auto"/>
          <w:sz w:val="22"/>
          <w:szCs w:val="22"/>
          <w:highlight w:val="none"/>
          <w:lang w:val="en-US" w:eastAsia="zh-CN"/>
        </w:rPr>
        <w:t>包B：</w:t>
      </w:r>
      <w:r>
        <w:rPr>
          <w:rFonts w:hint="eastAsia" w:ascii="宋体" w:hAnsi="宋体" w:eastAsia="宋体" w:cs="宋体"/>
          <w:color w:val="auto"/>
          <w:sz w:val="22"/>
          <w:szCs w:val="22"/>
          <w:highlight w:val="none"/>
        </w:rPr>
        <w:t>请供应商</w:t>
      </w:r>
      <w:r>
        <w:rPr>
          <w:rFonts w:hint="eastAsia" w:ascii="宋体" w:hAnsi="宋体" w:eastAsia="宋体" w:cs="宋体"/>
          <w:color w:val="auto"/>
          <w:sz w:val="22"/>
          <w:szCs w:val="22"/>
          <w:highlight w:val="none"/>
          <w:lang w:val="en-US" w:eastAsia="zh-CN"/>
        </w:rPr>
        <w:t>根据公告附件《</w:t>
      </w:r>
      <w:r>
        <w:rPr>
          <w:rFonts w:hint="eastAsia" w:ascii="宋体" w:hAnsi="宋体" w:cs="宋体"/>
          <w:b/>
          <w:bCs/>
          <w:color w:val="auto"/>
          <w:sz w:val="21"/>
          <w:szCs w:val="21"/>
          <w:highlight w:val="none"/>
          <w:lang w:val="en-US" w:eastAsia="zh-CN"/>
        </w:rPr>
        <w:t>东莞迎宾馆冻品类客用食材协议供应采购项目-冻品</w:t>
      </w:r>
      <w:r>
        <w:rPr>
          <w:rFonts w:hint="eastAsia" w:ascii="宋体" w:hAnsi="宋体" w:cs="宋体"/>
          <w:b/>
          <w:bCs/>
          <w:color w:val="auto"/>
          <w:sz w:val="21"/>
          <w:szCs w:val="21"/>
          <w:highlight w:val="none"/>
          <w:lang w:val="zh-CN" w:eastAsia="zh-CN" w:bidi="zh-CN"/>
        </w:rPr>
        <w:t>采购清单报价明细表</w:t>
      </w:r>
      <w:r>
        <w:rPr>
          <w:rFonts w:hint="eastAsia" w:ascii="宋体" w:hAnsi="宋体" w:eastAsia="宋体" w:cs="宋体"/>
          <w:color w:val="auto"/>
          <w:sz w:val="22"/>
          <w:szCs w:val="22"/>
          <w:highlight w:val="none"/>
          <w:lang w:val="en-US" w:eastAsia="zh-CN"/>
        </w:rPr>
        <w:t>》内容填写</w:t>
      </w:r>
      <w:r>
        <w:rPr>
          <w:rFonts w:hint="eastAsia" w:ascii="宋体" w:hAnsi="宋体" w:eastAsia="宋体" w:cs="宋体"/>
          <w:color w:val="auto"/>
          <w:sz w:val="22"/>
          <w:szCs w:val="22"/>
          <w:highlight w:val="none"/>
        </w:rPr>
        <w:t>详细的报价。</w:t>
      </w:r>
    </w:p>
    <w:p w14:paraId="7877CE89">
      <w:pPr>
        <w:pageBreakBefore w:val="0"/>
        <w:shd w:val="clear"/>
        <w:topLinePunct w:val="0"/>
        <w:bidi w:val="0"/>
        <w:spacing w:after="0" w:line="360" w:lineRule="auto"/>
        <w:ind w:firstLine="420" w:firstLineChars="200"/>
        <w:rPr>
          <w:rFonts w:hint="eastAsia" w:ascii="宋体" w:hAnsi="宋体" w:cs="宋体"/>
          <w:color w:val="auto"/>
          <w:szCs w:val="21"/>
          <w:highlight w:val="none"/>
          <w:lang w:val="en-US" w:eastAsia="zh-CN"/>
        </w:rPr>
      </w:pPr>
    </w:p>
    <w:p w14:paraId="4313BB9B">
      <w:pPr>
        <w:pageBreakBefore w:val="0"/>
        <w:shd w:val="clear"/>
        <w:topLinePunct w:val="0"/>
        <w:bidi w:val="0"/>
        <w:spacing w:after="0" w:line="360" w:lineRule="auto"/>
        <w:ind w:firstLine="422" w:firstLineChars="200"/>
        <w:rPr>
          <w:rFonts w:hint="eastAsia" w:ascii="宋体" w:hAnsi="宋体" w:cs="宋体"/>
          <w:b/>
          <w:bCs/>
          <w:color w:val="auto"/>
          <w:szCs w:val="21"/>
          <w:highlight w:val="none"/>
          <w:lang w:val="en-US" w:eastAsia="zh-CN"/>
        </w:rPr>
      </w:pPr>
    </w:p>
    <w:p w14:paraId="3B1CFFA9">
      <w:pPr>
        <w:pageBreakBefore w:val="0"/>
        <w:shd w:val="clear"/>
        <w:topLinePunct w:val="0"/>
        <w:bidi w:val="0"/>
        <w:spacing w:after="0" w:line="360" w:lineRule="auto"/>
        <w:ind w:firstLine="420" w:firstLineChars="200"/>
        <w:rPr>
          <w:rFonts w:hint="default" w:ascii="宋体" w:hAnsi="宋体" w:eastAsia="宋体" w:cs="宋体"/>
          <w:b w:val="0"/>
          <w:bCs w:val="0"/>
          <w:color w:val="auto"/>
          <w:szCs w:val="21"/>
          <w:highlight w:val="none"/>
          <w:lang w:val="en-US" w:eastAsia="zh-CN"/>
        </w:rPr>
      </w:pPr>
      <w:r>
        <w:rPr>
          <w:rFonts w:hint="eastAsia" w:ascii="宋体" w:hAnsi="宋体" w:cs="宋体"/>
          <w:b w:val="0"/>
          <w:bCs w:val="0"/>
          <w:color w:val="auto"/>
          <w:szCs w:val="21"/>
          <w:highlight w:val="none"/>
          <w:lang w:val="en-US" w:eastAsia="zh-CN"/>
        </w:rPr>
        <w:t>注：1、</w:t>
      </w:r>
      <w:r>
        <w:rPr>
          <w:rFonts w:hint="eastAsia" w:ascii="宋体" w:hAnsi="宋体" w:eastAsia="宋体" w:cs="宋体"/>
          <w:b w:val="0"/>
          <w:bCs w:val="0"/>
          <w:color w:val="auto"/>
          <w:szCs w:val="21"/>
          <w:highlight w:val="none"/>
        </w:rPr>
        <w:t>投标人应对照</w:t>
      </w:r>
      <w:r>
        <w:rPr>
          <w:rFonts w:hint="eastAsia" w:ascii="宋体" w:hAnsi="宋体" w:cs="宋体"/>
          <w:b w:val="0"/>
          <w:bCs w:val="0"/>
          <w:color w:val="auto"/>
          <w:szCs w:val="21"/>
          <w:highlight w:val="none"/>
          <w:lang w:val="en-US" w:eastAsia="zh-CN"/>
        </w:rPr>
        <w:t>所投包组，完整填写报价明细内容。并将填写好的《</w:t>
      </w:r>
      <w:r>
        <w:rPr>
          <w:rFonts w:hint="eastAsia" w:ascii="宋体" w:hAnsi="宋体"/>
          <w:b w:val="0"/>
          <w:bCs w:val="0"/>
          <w:color w:val="auto"/>
          <w:sz w:val="21"/>
          <w:szCs w:val="21"/>
          <w:highlight w:val="none"/>
        </w:rPr>
        <w:t>报价明细表</w:t>
      </w:r>
      <w:r>
        <w:rPr>
          <w:rFonts w:hint="eastAsia" w:ascii="宋体" w:hAnsi="宋体" w:cs="宋体"/>
          <w:b w:val="0"/>
          <w:bCs w:val="0"/>
          <w:color w:val="auto"/>
          <w:szCs w:val="21"/>
          <w:highlight w:val="none"/>
          <w:lang w:val="en-US" w:eastAsia="zh-CN"/>
        </w:rPr>
        <w:t>》打印装订至价格文件中，《</w:t>
      </w:r>
      <w:r>
        <w:rPr>
          <w:rFonts w:hint="eastAsia" w:ascii="宋体" w:hAnsi="宋体"/>
          <w:b w:val="0"/>
          <w:bCs w:val="0"/>
          <w:color w:val="auto"/>
          <w:sz w:val="21"/>
          <w:szCs w:val="21"/>
          <w:highlight w:val="none"/>
        </w:rPr>
        <w:t>报价明细表</w:t>
      </w:r>
      <w:r>
        <w:rPr>
          <w:rFonts w:hint="eastAsia" w:ascii="宋体" w:hAnsi="宋体" w:cs="宋体"/>
          <w:b w:val="0"/>
          <w:bCs w:val="0"/>
          <w:color w:val="auto"/>
          <w:szCs w:val="21"/>
          <w:highlight w:val="none"/>
          <w:lang w:val="en-US" w:eastAsia="zh-CN"/>
        </w:rPr>
        <w:t>》</w:t>
      </w:r>
      <w:r>
        <w:rPr>
          <w:rFonts w:hint="eastAsia" w:ascii="宋体" w:hAnsi="宋体" w:eastAsia="宋体" w:cs="宋体"/>
          <w:b w:val="0"/>
          <w:color w:val="auto"/>
          <w:szCs w:val="21"/>
          <w:highlight w:val="none"/>
        </w:rPr>
        <w:t>EXCEL</w:t>
      </w:r>
      <w:r>
        <w:rPr>
          <w:rFonts w:hint="eastAsia" w:ascii="宋体" w:hAnsi="宋体" w:eastAsia="宋体" w:cs="宋体"/>
          <w:b w:val="0"/>
          <w:color w:val="auto"/>
          <w:szCs w:val="21"/>
          <w:highlight w:val="none"/>
          <w:lang w:val="en-US" w:eastAsia="zh-CN"/>
        </w:rPr>
        <w:t>版须放入电子文件内。</w:t>
      </w:r>
    </w:p>
    <w:p w14:paraId="69956184">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、投标人须根据</w:t>
      </w:r>
      <w:r>
        <w:rPr>
          <w:rFonts w:hint="eastAsia" w:ascii="宋体" w:hAnsi="宋体" w:cs="宋体"/>
          <w:color w:val="auto"/>
          <w:szCs w:val="21"/>
          <w:highlight w:val="none"/>
          <w:lang w:val="en-US" w:eastAsia="zh-CN"/>
        </w:rPr>
        <w:t>所投包组《采购清单》</w:t>
      </w:r>
      <w:r>
        <w:rPr>
          <w:rFonts w:hint="eastAsia" w:ascii="宋体" w:hAnsi="宋体" w:cs="宋体"/>
          <w:color w:val="auto"/>
          <w:szCs w:val="21"/>
          <w:highlight w:val="none"/>
        </w:rPr>
        <w:t>分别报出不含税投标单价及不含税投标总价。各分项不含税投标单价均不得超过采购清单各分项不含税单价最高限价，任意一项超出均视为无效投标。</w:t>
      </w:r>
    </w:p>
    <w:p w14:paraId="292869CD">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、不含税总价 = ∑（《</w:t>
      </w:r>
      <w:r>
        <w:rPr>
          <w:rFonts w:hint="eastAsia" w:ascii="宋体" w:hAnsi="宋体" w:cs="宋体"/>
          <w:color w:val="auto"/>
          <w:szCs w:val="21"/>
          <w:highlight w:val="none"/>
          <w:lang w:val="en-US" w:eastAsia="zh-CN"/>
        </w:rPr>
        <w:t>采购清单</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年度</w:t>
      </w:r>
      <w:r>
        <w:rPr>
          <w:rFonts w:hint="eastAsia" w:ascii="宋体" w:hAnsi="宋体" w:cs="宋体"/>
          <w:color w:val="auto"/>
          <w:szCs w:val="21"/>
          <w:highlight w:val="none"/>
        </w:rPr>
        <w:t>预估数量 × 投标人填报的不含税投标单价）。清单内列明的数量均为预估数量，具体</w:t>
      </w:r>
      <w:r>
        <w:rPr>
          <w:rFonts w:hint="eastAsia" w:ascii="宋体" w:hAnsi="宋体" w:cs="宋体"/>
          <w:color w:val="auto"/>
          <w:highlight w:val="none"/>
        </w:rPr>
        <w:t>采购数量以采购人实际下单为准</w:t>
      </w:r>
      <w:r>
        <w:rPr>
          <w:rFonts w:hint="eastAsia" w:ascii="宋体" w:hAnsi="宋体" w:cs="宋体"/>
          <w:color w:val="auto"/>
          <w:szCs w:val="21"/>
          <w:highlight w:val="none"/>
        </w:rPr>
        <w:t>。</w:t>
      </w:r>
    </w:p>
    <w:p w14:paraId="74DC0110">
      <w:pPr>
        <w:pageBreakBefore w:val="0"/>
        <w:shd w:val="clear"/>
        <w:topLinePunct w:val="0"/>
        <w:bidi w:val="0"/>
        <w:spacing w:after="0" w:line="360" w:lineRule="auto"/>
        <w:ind w:firstLine="359" w:firstLineChars="171"/>
        <w:rPr>
          <w:rFonts w:hint="eastAsia" w:ascii="宋体" w:hAnsi="宋体" w:cs="宋体"/>
          <w:color w:val="auto"/>
          <w:szCs w:val="21"/>
          <w:highlight w:val="none"/>
        </w:rPr>
      </w:pPr>
    </w:p>
    <w:p w14:paraId="23A3481D">
      <w:pPr>
        <w:pageBreakBefore w:val="0"/>
        <w:shd w:val="clear"/>
        <w:topLinePunct w:val="0"/>
        <w:bidi w:val="0"/>
        <w:spacing w:after="0" w:line="360" w:lineRule="auto"/>
        <w:ind w:firstLine="359" w:firstLineChars="171"/>
        <w:rPr>
          <w:rFonts w:hint="eastAsia" w:ascii="宋体" w:hAnsi="宋体" w:cs="宋体"/>
          <w:color w:val="auto"/>
          <w:szCs w:val="21"/>
          <w:highlight w:val="none"/>
        </w:rPr>
      </w:pPr>
    </w:p>
    <w:p w14:paraId="1F368FB2">
      <w:pPr>
        <w:pageBreakBefore w:val="0"/>
        <w:shd w:val="clear"/>
        <w:topLinePunct w:val="0"/>
        <w:bidi w:val="0"/>
        <w:spacing w:after="0" w:line="360" w:lineRule="auto"/>
        <w:ind w:firstLine="359" w:firstLineChars="171"/>
        <w:rPr>
          <w:rFonts w:hint="eastAsia" w:ascii="宋体" w:hAnsi="宋体" w:cs="宋体"/>
          <w:color w:val="auto"/>
          <w:szCs w:val="21"/>
          <w:highlight w:val="none"/>
        </w:rPr>
      </w:pPr>
      <w:r>
        <w:rPr>
          <w:rFonts w:hint="eastAsia" w:ascii="宋体" w:hAnsi="宋体" w:cs="宋体"/>
          <w:color w:val="auto"/>
          <w:szCs w:val="21"/>
          <w:highlight w:val="none"/>
        </w:rPr>
        <w:t>投标人代表签字：</w:t>
      </w:r>
    </w:p>
    <w:p w14:paraId="070F6BA9">
      <w:pPr>
        <w:pageBreakBefore w:val="0"/>
        <w:shd w:val="clear"/>
        <w:topLinePunct w:val="0"/>
        <w:bidi w:val="0"/>
        <w:spacing w:after="0" w:line="360" w:lineRule="auto"/>
        <w:ind w:firstLine="359" w:firstLineChars="171"/>
        <w:rPr>
          <w:rFonts w:hint="eastAsia" w:ascii="宋体" w:hAnsi="宋体" w:cs="宋体"/>
          <w:color w:val="auto"/>
          <w:szCs w:val="21"/>
          <w:highlight w:val="none"/>
        </w:rPr>
      </w:pPr>
      <w:r>
        <w:rPr>
          <w:rFonts w:hint="eastAsia" w:ascii="宋体" w:hAnsi="宋体" w:cs="宋体"/>
          <w:color w:val="auto"/>
          <w:szCs w:val="21"/>
          <w:highlight w:val="none"/>
        </w:rPr>
        <w:t>投标人盖章：</w:t>
      </w:r>
    </w:p>
    <w:p w14:paraId="3434395C">
      <w:pPr>
        <w:shd w:val="clear"/>
        <w:ind w:firstLine="359" w:firstLineChars="171"/>
        <w:rPr>
          <w:rFonts w:ascii="宋体" w:hAnsi="宋体" w:cs="宋体"/>
          <w:color w:val="auto"/>
          <w:szCs w:val="21"/>
          <w:highlight w:val="none"/>
        </w:rPr>
      </w:pPr>
      <w:r>
        <w:rPr>
          <w:rFonts w:hint="eastAsia" w:ascii="宋体" w:hAnsi="宋体" w:cs="宋体"/>
          <w:color w:val="auto"/>
          <w:szCs w:val="21"/>
          <w:highlight w:val="none"/>
        </w:rPr>
        <w:t>日期：</w:t>
      </w:r>
    </w:p>
    <w:p w14:paraId="685143BE">
      <w:pPr>
        <w:pageBreakBefore w:val="0"/>
        <w:shd w:val="clear"/>
        <w:topLinePunct w:val="0"/>
        <w:bidi w:val="0"/>
        <w:spacing w:after="0" w:line="240" w:lineRule="auto"/>
        <w:jc w:val="left"/>
        <w:rPr>
          <w:rFonts w:hint="eastAsia" w:ascii="宋体" w:hAnsi="宋体" w:cs="宋体"/>
          <w:color w:val="auto"/>
          <w:sz w:val="72"/>
          <w:szCs w:val="72"/>
          <w:highlight w:val="none"/>
        </w:rPr>
      </w:pPr>
      <w:r>
        <w:rPr>
          <w:rFonts w:hint="eastAsia" w:ascii="宋体" w:hAnsi="宋体" w:cs="宋体"/>
          <w:color w:val="auto"/>
          <w:sz w:val="72"/>
          <w:szCs w:val="72"/>
          <w:highlight w:val="none"/>
        </w:rPr>
        <w:br w:type="page"/>
      </w:r>
    </w:p>
    <w:p w14:paraId="0B5DAEC5">
      <w:pPr>
        <w:pageBreakBefore w:val="0"/>
        <w:shd w:val="clear"/>
        <w:topLinePunct w:val="0"/>
        <w:bidi w:val="0"/>
        <w:spacing w:after="0" w:line="360" w:lineRule="auto"/>
        <w:jc w:val="center"/>
        <w:rPr>
          <w:rFonts w:hint="eastAsia" w:ascii="宋体" w:hAnsi="宋体" w:cs="宋体"/>
          <w:color w:val="auto"/>
          <w:sz w:val="72"/>
          <w:szCs w:val="72"/>
          <w:highlight w:val="none"/>
        </w:rPr>
      </w:pPr>
    </w:p>
    <w:p w14:paraId="491498AE">
      <w:pPr>
        <w:pageBreakBefore w:val="0"/>
        <w:shd w:val="clear"/>
        <w:topLinePunct w:val="0"/>
        <w:bidi w:val="0"/>
        <w:spacing w:after="0" w:line="360" w:lineRule="auto"/>
        <w:jc w:val="center"/>
        <w:rPr>
          <w:rFonts w:hint="eastAsia" w:ascii="宋体" w:hAnsi="宋体" w:cs="宋体"/>
          <w:color w:val="auto"/>
          <w:sz w:val="72"/>
          <w:szCs w:val="72"/>
          <w:highlight w:val="none"/>
        </w:rPr>
      </w:pPr>
    </w:p>
    <w:p w14:paraId="4D363DE0">
      <w:pPr>
        <w:pageBreakBefore w:val="0"/>
        <w:shd w:val="clear"/>
        <w:topLinePunct w:val="0"/>
        <w:bidi w:val="0"/>
        <w:spacing w:after="0" w:line="360" w:lineRule="auto"/>
        <w:jc w:val="both"/>
        <w:rPr>
          <w:rFonts w:hint="eastAsia" w:ascii="宋体" w:hAnsi="宋体" w:cs="宋体"/>
          <w:color w:val="auto"/>
          <w:sz w:val="72"/>
          <w:szCs w:val="72"/>
          <w:highlight w:val="none"/>
        </w:rPr>
      </w:pPr>
    </w:p>
    <w:p w14:paraId="46452320">
      <w:pPr>
        <w:pStyle w:val="4"/>
        <w:pageBreakBefore w:val="0"/>
        <w:shd w:val="clear"/>
        <w:topLinePunct w:val="0"/>
        <w:bidi w:val="0"/>
        <w:spacing w:before="0" w:after="0" w:line="360" w:lineRule="auto"/>
        <w:jc w:val="center"/>
        <w:rPr>
          <w:rFonts w:hint="eastAsia" w:ascii="宋体" w:hAnsi="宋体" w:eastAsia="宋体" w:cs="宋体"/>
          <w:color w:val="auto"/>
          <w:sz w:val="72"/>
          <w:szCs w:val="72"/>
          <w:highlight w:val="none"/>
        </w:rPr>
      </w:pPr>
      <w:bookmarkStart w:id="223" w:name="_Toc20228"/>
      <w:bookmarkStart w:id="224" w:name="_Toc25255"/>
      <w:r>
        <w:rPr>
          <w:rFonts w:hint="eastAsia" w:ascii="宋体" w:hAnsi="宋体" w:eastAsia="宋体" w:cs="宋体"/>
          <w:color w:val="auto"/>
          <w:sz w:val="72"/>
          <w:szCs w:val="72"/>
          <w:highlight w:val="none"/>
        </w:rPr>
        <w:t>商务文件</w:t>
      </w:r>
      <w:bookmarkEnd w:id="223"/>
      <w:bookmarkEnd w:id="224"/>
    </w:p>
    <w:p w14:paraId="07E11D63">
      <w:pPr>
        <w:pageBreakBefore w:val="0"/>
        <w:shd w:val="clear"/>
        <w:topLinePunct w:val="0"/>
        <w:bidi w:val="0"/>
        <w:spacing w:after="0" w:line="360" w:lineRule="auto"/>
        <w:jc w:val="center"/>
        <w:rPr>
          <w:rFonts w:hint="eastAsia" w:ascii="宋体" w:hAnsi="宋体" w:cs="宋体"/>
          <w:color w:val="auto"/>
          <w:sz w:val="72"/>
          <w:szCs w:val="72"/>
          <w:highlight w:val="none"/>
        </w:rPr>
      </w:pPr>
      <w:r>
        <w:rPr>
          <w:rFonts w:hint="eastAsia" w:ascii="宋体" w:hAnsi="宋体" w:cs="宋体"/>
          <w:color w:val="auto"/>
          <w:sz w:val="72"/>
          <w:szCs w:val="72"/>
          <w:highlight w:val="none"/>
        </w:rPr>
        <w:t>（单独装订成册）</w:t>
      </w:r>
    </w:p>
    <w:p w14:paraId="16F46C56">
      <w:pPr>
        <w:pageBreakBefore w:val="0"/>
        <w:shd w:val="clear"/>
        <w:topLinePunct w:val="0"/>
        <w:bidi w:val="0"/>
        <w:spacing w:after="0" w:line="360" w:lineRule="auto"/>
        <w:rPr>
          <w:rFonts w:hint="eastAsia" w:ascii="宋体" w:hAnsi="宋体" w:cs="宋体"/>
          <w:color w:val="auto"/>
          <w:highlight w:val="none"/>
        </w:rPr>
      </w:pPr>
    </w:p>
    <w:p w14:paraId="29D0CB08">
      <w:pPr>
        <w:pStyle w:val="10"/>
        <w:pageBreakBefore w:val="0"/>
        <w:shd w:val="clear"/>
        <w:topLinePunct w:val="0"/>
        <w:bidi w:val="0"/>
        <w:spacing w:before="0" w:after="0" w:line="360" w:lineRule="auto"/>
        <w:rPr>
          <w:rFonts w:hint="eastAsia"/>
          <w:color w:val="auto"/>
          <w:highlight w:val="none"/>
        </w:rPr>
      </w:pPr>
    </w:p>
    <w:p w14:paraId="37C36112">
      <w:pPr>
        <w:pStyle w:val="29"/>
        <w:pageBreakBefore w:val="0"/>
        <w:shd w:val="clear"/>
        <w:topLinePunct w:val="0"/>
        <w:bidi w:val="0"/>
        <w:spacing w:before="0" w:after="0" w:line="360" w:lineRule="auto"/>
        <w:ind w:firstLine="240"/>
        <w:rPr>
          <w:rFonts w:hint="eastAsia"/>
          <w:color w:val="auto"/>
          <w:highlight w:val="none"/>
        </w:rPr>
      </w:pPr>
    </w:p>
    <w:p w14:paraId="02844456">
      <w:pPr>
        <w:pageBreakBefore w:val="0"/>
        <w:shd w:val="clear"/>
        <w:topLinePunct w:val="0"/>
        <w:bidi w:val="0"/>
        <w:spacing w:after="0" w:line="360" w:lineRule="auto"/>
        <w:rPr>
          <w:rFonts w:hint="eastAsia" w:ascii="宋体" w:hAnsi="宋体" w:cs="宋体"/>
          <w:b/>
          <w:bCs/>
          <w:color w:val="auto"/>
          <w:spacing w:val="-6"/>
          <w:sz w:val="32"/>
          <w:szCs w:val="32"/>
          <w:highlight w:val="none"/>
        </w:rPr>
      </w:pPr>
      <w:r>
        <w:rPr>
          <w:rFonts w:hint="eastAsia" w:ascii="宋体" w:hAnsi="宋体" w:cs="宋体"/>
          <w:b/>
          <w:bCs/>
          <w:color w:val="auto"/>
          <w:spacing w:val="53"/>
          <w:kern w:val="0"/>
          <w:sz w:val="32"/>
          <w:szCs w:val="32"/>
          <w:highlight w:val="none"/>
          <w:fitText w:val="1600" w:id="3"/>
        </w:rPr>
        <w:t>项目名</w:t>
      </w:r>
      <w:r>
        <w:rPr>
          <w:rFonts w:hint="eastAsia" w:ascii="宋体" w:hAnsi="宋体" w:cs="宋体"/>
          <w:b/>
          <w:bCs/>
          <w:color w:val="auto"/>
          <w:spacing w:val="1"/>
          <w:kern w:val="0"/>
          <w:sz w:val="32"/>
          <w:szCs w:val="32"/>
          <w:highlight w:val="none"/>
          <w:fitText w:val="1600" w:id="3"/>
        </w:rPr>
        <w:t>称</w:t>
      </w:r>
      <w:r>
        <w:rPr>
          <w:rFonts w:hint="eastAsia" w:ascii="宋体" w:hAnsi="宋体" w:cs="宋体"/>
          <w:b/>
          <w:bCs/>
          <w:color w:val="auto"/>
          <w:spacing w:val="-6"/>
          <w:sz w:val="32"/>
          <w:szCs w:val="32"/>
          <w:highlight w:val="none"/>
        </w:rPr>
        <w:t>：</w:t>
      </w:r>
    </w:p>
    <w:p w14:paraId="7367E361">
      <w:pPr>
        <w:pageBreakBefore w:val="0"/>
        <w:shd w:val="clear"/>
        <w:topLinePunct w:val="0"/>
        <w:bidi w:val="0"/>
        <w:spacing w:after="0" w:line="360" w:lineRule="auto"/>
        <w:rPr>
          <w:rFonts w:hint="eastAsia" w:ascii="宋体" w:hAnsi="宋体" w:cs="宋体"/>
          <w:b/>
          <w:bCs/>
          <w:color w:val="auto"/>
          <w:sz w:val="32"/>
          <w:szCs w:val="32"/>
          <w:highlight w:val="none"/>
        </w:rPr>
      </w:pPr>
      <w:r>
        <w:rPr>
          <w:rFonts w:hint="eastAsia" w:ascii="宋体" w:hAnsi="宋体" w:cs="宋体"/>
          <w:b/>
          <w:bCs/>
          <w:color w:val="auto"/>
          <w:spacing w:val="53"/>
          <w:kern w:val="0"/>
          <w:sz w:val="32"/>
          <w:szCs w:val="32"/>
          <w:highlight w:val="none"/>
          <w:fitText w:val="1600" w:id="4"/>
        </w:rPr>
        <w:t>项目编</w:t>
      </w:r>
      <w:r>
        <w:rPr>
          <w:rFonts w:hint="eastAsia" w:ascii="宋体" w:hAnsi="宋体" w:cs="宋体"/>
          <w:b/>
          <w:bCs/>
          <w:color w:val="auto"/>
          <w:spacing w:val="1"/>
          <w:kern w:val="0"/>
          <w:sz w:val="32"/>
          <w:szCs w:val="32"/>
          <w:highlight w:val="none"/>
          <w:fitText w:val="1600" w:id="4"/>
        </w:rPr>
        <w:t>号</w:t>
      </w:r>
      <w:r>
        <w:rPr>
          <w:rFonts w:hint="eastAsia" w:ascii="宋体" w:hAnsi="宋体" w:cs="宋体"/>
          <w:b/>
          <w:bCs/>
          <w:color w:val="auto"/>
          <w:sz w:val="32"/>
          <w:szCs w:val="32"/>
          <w:highlight w:val="none"/>
        </w:rPr>
        <w:t>：</w:t>
      </w:r>
    </w:p>
    <w:p w14:paraId="0F4BB796">
      <w:pPr>
        <w:pStyle w:val="10"/>
        <w:pageBreakBefore w:val="0"/>
        <w:shd w:val="clear"/>
        <w:topLinePunct w:val="0"/>
        <w:bidi w:val="0"/>
        <w:spacing w:before="0" w:after="0" w:line="360" w:lineRule="auto"/>
        <w:ind w:left="0"/>
        <w:rPr>
          <w:rFonts w:hint="eastAsia"/>
          <w:b/>
          <w:color w:val="auto"/>
          <w:spacing w:val="1280"/>
          <w:sz w:val="32"/>
          <w:szCs w:val="32"/>
          <w:highlight w:val="none"/>
        </w:rPr>
      </w:pPr>
      <w:r>
        <w:rPr>
          <w:rFonts w:hint="eastAsia"/>
          <w:b/>
          <w:color w:val="auto"/>
          <w:spacing w:val="106"/>
          <w:sz w:val="32"/>
          <w:szCs w:val="32"/>
          <w:highlight w:val="none"/>
          <w:lang w:val="en-US" w:bidi="ar-SA"/>
        </w:rPr>
        <w:t>包组号（如有）：</w:t>
      </w:r>
    </w:p>
    <w:p w14:paraId="5A1D61D6">
      <w:pPr>
        <w:pageBreakBefore w:val="0"/>
        <w:shd w:val="clear"/>
        <w:topLinePunct w:val="0"/>
        <w:bidi w:val="0"/>
        <w:spacing w:after="0" w:line="360" w:lineRule="auto"/>
        <w:rPr>
          <w:rFonts w:hint="eastAsia" w:ascii="宋体" w:hAnsi="宋体" w:cs="宋体"/>
          <w:b/>
          <w:color w:val="auto"/>
          <w:sz w:val="32"/>
          <w:szCs w:val="32"/>
          <w:highlight w:val="none"/>
        </w:rPr>
      </w:pPr>
      <w:r>
        <w:rPr>
          <w:rFonts w:hint="eastAsia" w:ascii="宋体" w:hAnsi="宋体" w:cs="宋体"/>
          <w:b/>
          <w:color w:val="auto"/>
          <w:spacing w:val="0"/>
          <w:w w:val="100"/>
          <w:kern w:val="0"/>
          <w:sz w:val="32"/>
          <w:szCs w:val="32"/>
          <w:highlight w:val="none"/>
          <w:fitText w:val="1600" w:id="5"/>
        </w:rPr>
        <w:t>投标人名称</w:t>
      </w:r>
      <w:r>
        <w:rPr>
          <w:rFonts w:hint="eastAsia" w:ascii="宋体" w:hAnsi="宋体" w:cs="宋体"/>
          <w:b/>
          <w:color w:val="auto"/>
          <w:sz w:val="32"/>
          <w:szCs w:val="32"/>
          <w:highlight w:val="none"/>
        </w:rPr>
        <w:t>：</w:t>
      </w:r>
    </w:p>
    <w:p w14:paraId="12AD16D3">
      <w:pPr>
        <w:pageBreakBefore w:val="0"/>
        <w:shd w:val="clear"/>
        <w:topLinePunct w:val="0"/>
        <w:bidi w:val="0"/>
        <w:spacing w:after="0" w:line="360" w:lineRule="auto"/>
        <w:rPr>
          <w:rFonts w:hint="eastAsia" w:ascii="宋体" w:hAnsi="宋体" w:cs="宋体"/>
          <w:b/>
          <w:color w:val="auto"/>
          <w:sz w:val="32"/>
          <w:szCs w:val="32"/>
          <w:highlight w:val="none"/>
        </w:rPr>
      </w:pPr>
      <w:r>
        <w:rPr>
          <w:rFonts w:hint="eastAsia" w:ascii="宋体" w:hAnsi="宋体" w:cs="宋体"/>
          <w:b/>
          <w:color w:val="auto"/>
          <w:spacing w:val="32"/>
          <w:kern w:val="0"/>
          <w:sz w:val="32"/>
          <w:szCs w:val="32"/>
          <w:highlight w:val="none"/>
          <w:fitText w:val="1600" w:id="6"/>
        </w:rPr>
        <w:t xml:space="preserve">日    </w:t>
      </w:r>
      <w:r>
        <w:rPr>
          <w:rFonts w:hint="eastAsia" w:ascii="宋体" w:hAnsi="宋体" w:cs="宋体"/>
          <w:b/>
          <w:color w:val="auto"/>
          <w:spacing w:val="0"/>
          <w:kern w:val="0"/>
          <w:sz w:val="32"/>
          <w:szCs w:val="32"/>
          <w:highlight w:val="none"/>
          <w:fitText w:val="1600" w:id="6"/>
        </w:rPr>
        <w:t>期</w:t>
      </w:r>
      <w:r>
        <w:rPr>
          <w:rFonts w:hint="eastAsia" w:ascii="宋体" w:hAnsi="宋体" w:cs="宋体"/>
          <w:b/>
          <w:color w:val="auto"/>
          <w:sz w:val="32"/>
          <w:szCs w:val="32"/>
          <w:highlight w:val="none"/>
        </w:rPr>
        <w:t>：</w:t>
      </w:r>
    </w:p>
    <w:p w14:paraId="2BEF1E52">
      <w:pPr>
        <w:pStyle w:val="10"/>
        <w:pageBreakBefore w:val="0"/>
        <w:shd w:val="clear"/>
        <w:topLinePunct w:val="0"/>
        <w:bidi w:val="0"/>
        <w:spacing w:before="0" w:after="0" w:line="360" w:lineRule="auto"/>
        <w:rPr>
          <w:rFonts w:hint="eastAsia"/>
          <w:b/>
          <w:color w:val="auto"/>
          <w:sz w:val="32"/>
          <w:szCs w:val="32"/>
          <w:highlight w:val="none"/>
        </w:rPr>
      </w:pPr>
    </w:p>
    <w:p w14:paraId="3575B8A1">
      <w:pPr>
        <w:pStyle w:val="29"/>
        <w:pageBreakBefore w:val="0"/>
        <w:shd w:val="clear"/>
        <w:topLinePunct w:val="0"/>
        <w:bidi w:val="0"/>
        <w:spacing w:before="0" w:after="0" w:line="360" w:lineRule="auto"/>
        <w:ind w:firstLine="321"/>
        <w:rPr>
          <w:rFonts w:hint="eastAsia"/>
          <w:b/>
          <w:color w:val="auto"/>
          <w:sz w:val="32"/>
          <w:szCs w:val="32"/>
          <w:highlight w:val="none"/>
        </w:rPr>
      </w:pPr>
    </w:p>
    <w:p w14:paraId="2DA3C2ED">
      <w:pPr>
        <w:shd w:val="clear"/>
        <w:rPr>
          <w:rFonts w:hint="eastAsia" w:ascii="宋体" w:hAnsi="宋体" w:cs="宋体"/>
          <w:color w:val="auto"/>
          <w:sz w:val="21"/>
          <w:szCs w:val="21"/>
          <w:highlight w:val="none"/>
        </w:rPr>
      </w:pPr>
      <w:bookmarkStart w:id="225" w:name="_Toc9810"/>
      <w:r>
        <w:rPr>
          <w:rFonts w:hint="eastAsia" w:ascii="宋体" w:hAnsi="宋体" w:cs="宋体"/>
          <w:color w:val="auto"/>
          <w:sz w:val="21"/>
          <w:szCs w:val="21"/>
          <w:highlight w:val="none"/>
        </w:rPr>
        <w:br w:type="page"/>
      </w:r>
    </w:p>
    <w:p w14:paraId="2B11FE28">
      <w:pPr>
        <w:pStyle w:val="6"/>
        <w:pageBreakBefore w:val="0"/>
        <w:widowControl w:val="0"/>
        <w:shd w:val="clear"/>
        <w:overflowPunct w:val="0"/>
        <w:topLinePunct w:val="0"/>
        <w:bidi w:val="0"/>
        <w:spacing w:after="0" w:line="360" w:lineRule="auto"/>
        <w:rPr>
          <w:rFonts w:hint="eastAsia" w:ascii="宋体" w:hAnsi="宋体" w:cs="宋体"/>
          <w:color w:val="auto"/>
          <w:sz w:val="21"/>
          <w:szCs w:val="21"/>
          <w:highlight w:val="none"/>
        </w:rPr>
      </w:pPr>
      <w:bookmarkStart w:id="226" w:name="_Toc7137"/>
      <w:r>
        <w:rPr>
          <w:rFonts w:hint="eastAsia" w:ascii="宋体" w:hAnsi="宋体" w:cs="宋体"/>
          <w:color w:val="auto"/>
          <w:sz w:val="21"/>
          <w:szCs w:val="21"/>
          <w:highlight w:val="none"/>
        </w:rPr>
        <w:t>附件</w:t>
      </w:r>
      <w:r>
        <w:rPr>
          <w:rFonts w:hint="eastAsia" w:ascii="宋体" w:hAnsi="宋体" w:cs="宋体"/>
          <w:color w:val="auto"/>
          <w:sz w:val="21"/>
          <w:szCs w:val="21"/>
          <w:highlight w:val="none"/>
          <w:lang w:val="en-US" w:eastAsia="zh-CN"/>
        </w:rPr>
        <w:t>3</w:t>
      </w:r>
      <w:r>
        <w:rPr>
          <w:rFonts w:hint="eastAsia" w:ascii="宋体" w:hAnsi="宋体" w:cs="宋体"/>
          <w:color w:val="auto"/>
          <w:sz w:val="21"/>
          <w:szCs w:val="21"/>
          <w:highlight w:val="none"/>
        </w:rPr>
        <w:t>.投标文件商务部分索引表</w:t>
      </w:r>
      <w:bookmarkEnd w:id="225"/>
      <w:bookmarkEnd w:id="226"/>
    </w:p>
    <w:p w14:paraId="210DAAF4">
      <w:pPr>
        <w:pageBreakBefore w:val="0"/>
        <w:shd w:val="clear"/>
        <w:topLinePunct w:val="0"/>
        <w:bidi w:val="0"/>
        <w:adjustRightInd/>
        <w:snapToGrid/>
        <w:spacing w:after="0" w:line="360" w:lineRule="auto"/>
        <w:rPr>
          <w:rFonts w:hint="eastAsia" w:ascii="宋体" w:hAnsi="宋体" w:cs="宋体"/>
          <w:color w:val="auto"/>
          <w:szCs w:val="21"/>
          <w:highlight w:val="none"/>
        </w:rPr>
      </w:pPr>
    </w:p>
    <w:p w14:paraId="22B16ADF">
      <w:pPr>
        <w:pageBreakBefore w:val="0"/>
        <w:shd w:val="clear"/>
        <w:topLinePunct w:val="0"/>
        <w:bidi w:val="0"/>
        <w:spacing w:after="0" w:line="360" w:lineRule="auto"/>
        <w:jc w:val="center"/>
        <w:rPr>
          <w:rFonts w:hint="eastAsia" w:ascii="宋体" w:hAnsi="宋体" w:cs="宋体"/>
          <w:color w:val="auto"/>
          <w:sz w:val="32"/>
          <w:szCs w:val="32"/>
          <w:highlight w:val="none"/>
        </w:rPr>
      </w:pPr>
      <w:r>
        <w:rPr>
          <w:rFonts w:hint="eastAsia" w:ascii="宋体" w:hAnsi="宋体" w:cs="宋体"/>
          <w:color w:val="auto"/>
          <w:sz w:val="32"/>
          <w:szCs w:val="32"/>
          <w:highlight w:val="none"/>
        </w:rPr>
        <w:t>投标文件商务部分索引表</w:t>
      </w:r>
    </w:p>
    <w:tbl>
      <w:tblPr>
        <w:tblStyle w:val="3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0"/>
        <w:gridCol w:w="1420"/>
        <w:gridCol w:w="1419"/>
        <w:gridCol w:w="1420"/>
        <w:gridCol w:w="1420"/>
        <w:gridCol w:w="1423"/>
      </w:tblGrid>
      <w:tr w14:paraId="2EC45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1420" w:type="dxa"/>
            <w:vAlign w:val="center"/>
          </w:tcPr>
          <w:p w14:paraId="5B5961EB">
            <w:pPr>
              <w:pageBreakBefore w:val="0"/>
              <w:shd w:val="clear"/>
              <w:topLinePunct w:val="0"/>
              <w:bidi w:val="0"/>
              <w:spacing w:after="0" w:line="360" w:lineRule="auto"/>
              <w:jc w:val="center"/>
              <w:rPr>
                <w:rFonts w:hint="eastAsia" w:ascii="宋体" w:hAnsi="宋体" w:cs="宋体"/>
                <w:color w:val="auto"/>
                <w:highlight w:val="none"/>
              </w:rPr>
            </w:pPr>
            <w:r>
              <w:rPr>
                <w:rFonts w:hint="eastAsia" w:ascii="宋体" w:hAnsi="宋体" w:cs="宋体"/>
                <w:color w:val="auto"/>
                <w:highlight w:val="none"/>
              </w:rPr>
              <w:t>序号</w:t>
            </w:r>
          </w:p>
        </w:tc>
        <w:tc>
          <w:tcPr>
            <w:tcW w:w="1420" w:type="dxa"/>
            <w:vAlign w:val="center"/>
          </w:tcPr>
          <w:p w14:paraId="7D1FE433">
            <w:pPr>
              <w:pageBreakBefore w:val="0"/>
              <w:shd w:val="clear"/>
              <w:topLinePunct w:val="0"/>
              <w:bidi w:val="0"/>
              <w:spacing w:after="0" w:line="360" w:lineRule="auto"/>
              <w:jc w:val="center"/>
              <w:rPr>
                <w:rFonts w:hint="eastAsia" w:ascii="宋体" w:hAnsi="宋体" w:cs="宋体"/>
                <w:color w:val="auto"/>
                <w:highlight w:val="none"/>
              </w:rPr>
            </w:pPr>
            <w:r>
              <w:rPr>
                <w:rFonts w:hint="eastAsia" w:ascii="宋体" w:hAnsi="宋体" w:cs="宋体"/>
                <w:color w:val="auto"/>
                <w:highlight w:val="none"/>
              </w:rPr>
              <w:t>评审因素</w:t>
            </w:r>
          </w:p>
        </w:tc>
        <w:tc>
          <w:tcPr>
            <w:tcW w:w="1419" w:type="dxa"/>
            <w:vAlign w:val="center"/>
          </w:tcPr>
          <w:p w14:paraId="17274FBE">
            <w:pPr>
              <w:pageBreakBefore w:val="0"/>
              <w:shd w:val="clear"/>
              <w:topLinePunct w:val="0"/>
              <w:bidi w:val="0"/>
              <w:spacing w:after="0" w:line="360" w:lineRule="auto"/>
              <w:jc w:val="center"/>
              <w:rPr>
                <w:rFonts w:hint="eastAsia" w:ascii="宋体" w:hAnsi="宋体" w:cs="宋体"/>
                <w:color w:val="auto"/>
                <w:highlight w:val="none"/>
              </w:rPr>
            </w:pPr>
            <w:r>
              <w:rPr>
                <w:rFonts w:hint="eastAsia" w:ascii="宋体" w:hAnsi="宋体" w:cs="宋体"/>
                <w:color w:val="auto"/>
                <w:highlight w:val="none"/>
              </w:rPr>
              <w:t>满分</w:t>
            </w:r>
          </w:p>
        </w:tc>
        <w:tc>
          <w:tcPr>
            <w:tcW w:w="1420" w:type="dxa"/>
            <w:vAlign w:val="center"/>
          </w:tcPr>
          <w:p w14:paraId="528DDD00">
            <w:pPr>
              <w:pageBreakBefore w:val="0"/>
              <w:shd w:val="clear"/>
              <w:topLinePunct w:val="0"/>
              <w:bidi w:val="0"/>
              <w:spacing w:after="0" w:line="360" w:lineRule="auto"/>
              <w:jc w:val="center"/>
              <w:rPr>
                <w:rFonts w:hint="eastAsia" w:ascii="宋体" w:hAnsi="宋体" w:cs="宋体"/>
                <w:color w:val="auto"/>
                <w:highlight w:val="none"/>
              </w:rPr>
            </w:pPr>
            <w:r>
              <w:rPr>
                <w:rFonts w:hint="eastAsia" w:ascii="宋体" w:hAnsi="宋体" w:cs="宋体"/>
                <w:color w:val="auto"/>
                <w:highlight w:val="none"/>
              </w:rPr>
              <w:t>评分标准</w:t>
            </w:r>
          </w:p>
        </w:tc>
        <w:tc>
          <w:tcPr>
            <w:tcW w:w="1420" w:type="dxa"/>
            <w:vAlign w:val="center"/>
          </w:tcPr>
          <w:p w14:paraId="2CB4BC4F">
            <w:pPr>
              <w:pageBreakBefore w:val="0"/>
              <w:shd w:val="clear"/>
              <w:topLinePunct w:val="0"/>
              <w:bidi w:val="0"/>
              <w:spacing w:after="0" w:line="360" w:lineRule="auto"/>
              <w:jc w:val="center"/>
              <w:rPr>
                <w:rFonts w:hint="eastAsia" w:ascii="宋体" w:hAnsi="宋体" w:cs="宋体"/>
                <w:color w:val="auto"/>
                <w:highlight w:val="none"/>
              </w:rPr>
            </w:pPr>
            <w:r>
              <w:rPr>
                <w:rFonts w:hint="eastAsia" w:ascii="宋体" w:hAnsi="宋体" w:cs="宋体"/>
                <w:color w:val="auto"/>
                <w:highlight w:val="none"/>
              </w:rPr>
              <w:t>自评分</w:t>
            </w:r>
          </w:p>
        </w:tc>
        <w:tc>
          <w:tcPr>
            <w:tcW w:w="1423" w:type="dxa"/>
            <w:vAlign w:val="center"/>
          </w:tcPr>
          <w:p w14:paraId="491140D1">
            <w:pPr>
              <w:pageBreakBefore w:val="0"/>
              <w:shd w:val="clear"/>
              <w:topLinePunct w:val="0"/>
              <w:bidi w:val="0"/>
              <w:spacing w:after="0" w:line="360" w:lineRule="auto"/>
              <w:jc w:val="center"/>
              <w:rPr>
                <w:rFonts w:hint="eastAsia" w:ascii="宋体" w:hAnsi="宋体" w:cs="宋体"/>
                <w:color w:val="auto"/>
                <w:highlight w:val="none"/>
              </w:rPr>
            </w:pPr>
            <w:r>
              <w:rPr>
                <w:rFonts w:hint="eastAsia" w:ascii="宋体" w:hAnsi="宋体" w:cs="宋体"/>
                <w:color w:val="auto"/>
                <w:highlight w:val="none"/>
              </w:rPr>
              <w:t>页码索引</w:t>
            </w:r>
          </w:p>
        </w:tc>
      </w:tr>
      <w:tr w14:paraId="05384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1420" w:type="dxa"/>
            <w:vAlign w:val="center"/>
          </w:tcPr>
          <w:p w14:paraId="5D3E9321">
            <w:pPr>
              <w:pageBreakBefore w:val="0"/>
              <w:shd w:val="clear"/>
              <w:topLinePunct w:val="0"/>
              <w:bidi w:val="0"/>
              <w:spacing w:after="0" w:line="360" w:lineRule="auto"/>
              <w:jc w:val="center"/>
              <w:rPr>
                <w:rFonts w:hint="eastAsia" w:ascii="宋体" w:hAnsi="宋体" w:cs="宋体"/>
                <w:color w:val="auto"/>
                <w:highlight w:val="none"/>
              </w:rPr>
            </w:pPr>
          </w:p>
        </w:tc>
        <w:tc>
          <w:tcPr>
            <w:tcW w:w="1420" w:type="dxa"/>
            <w:vAlign w:val="center"/>
          </w:tcPr>
          <w:p w14:paraId="23EBEF1F">
            <w:pPr>
              <w:pageBreakBefore w:val="0"/>
              <w:shd w:val="clear"/>
              <w:topLinePunct w:val="0"/>
              <w:bidi w:val="0"/>
              <w:spacing w:after="0" w:line="360" w:lineRule="auto"/>
              <w:jc w:val="center"/>
              <w:rPr>
                <w:rFonts w:hint="eastAsia" w:ascii="宋体" w:hAnsi="宋体" w:cs="宋体"/>
                <w:color w:val="auto"/>
                <w:highlight w:val="none"/>
              </w:rPr>
            </w:pPr>
          </w:p>
        </w:tc>
        <w:tc>
          <w:tcPr>
            <w:tcW w:w="1419" w:type="dxa"/>
            <w:vAlign w:val="center"/>
          </w:tcPr>
          <w:p w14:paraId="72BC5081">
            <w:pPr>
              <w:pageBreakBefore w:val="0"/>
              <w:shd w:val="clear"/>
              <w:topLinePunct w:val="0"/>
              <w:bidi w:val="0"/>
              <w:spacing w:after="0" w:line="360" w:lineRule="auto"/>
              <w:jc w:val="center"/>
              <w:rPr>
                <w:rFonts w:hint="eastAsia" w:ascii="宋体" w:hAnsi="宋体" w:cs="宋体"/>
                <w:color w:val="auto"/>
                <w:highlight w:val="none"/>
              </w:rPr>
            </w:pPr>
          </w:p>
        </w:tc>
        <w:tc>
          <w:tcPr>
            <w:tcW w:w="1420" w:type="dxa"/>
            <w:vAlign w:val="center"/>
          </w:tcPr>
          <w:p w14:paraId="3062EF80">
            <w:pPr>
              <w:pageBreakBefore w:val="0"/>
              <w:shd w:val="clear"/>
              <w:topLinePunct w:val="0"/>
              <w:bidi w:val="0"/>
              <w:spacing w:after="0" w:line="360" w:lineRule="auto"/>
              <w:jc w:val="center"/>
              <w:rPr>
                <w:rFonts w:hint="eastAsia" w:ascii="宋体" w:hAnsi="宋体" w:cs="宋体"/>
                <w:color w:val="auto"/>
                <w:highlight w:val="none"/>
              </w:rPr>
            </w:pPr>
          </w:p>
        </w:tc>
        <w:tc>
          <w:tcPr>
            <w:tcW w:w="1420" w:type="dxa"/>
            <w:vAlign w:val="center"/>
          </w:tcPr>
          <w:p w14:paraId="517C2A28">
            <w:pPr>
              <w:pageBreakBefore w:val="0"/>
              <w:shd w:val="clear"/>
              <w:topLinePunct w:val="0"/>
              <w:bidi w:val="0"/>
              <w:spacing w:after="0" w:line="360" w:lineRule="auto"/>
              <w:jc w:val="center"/>
              <w:rPr>
                <w:rFonts w:hint="eastAsia" w:ascii="宋体" w:hAnsi="宋体" w:cs="宋体"/>
                <w:color w:val="auto"/>
                <w:highlight w:val="none"/>
              </w:rPr>
            </w:pPr>
          </w:p>
        </w:tc>
        <w:tc>
          <w:tcPr>
            <w:tcW w:w="1423" w:type="dxa"/>
            <w:vAlign w:val="center"/>
          </w:tcPr>
          <w:p w14:paraId="4FC58F65">
            <w:pPr>
              <w:pageBreakBefore w:val="0"/>
              <w:shd w:val="clear"/>
              <w:topLinePunct w:val="0"/>
              <w:bidi w:val="0"/>
              <w:spacing w:after="0" w:line="360" w:lineRule="auto"/>
              <w:jc w:val="center"/>
              <w:rPr>
                <w:rFonts w:hint="eastAsia" w:ascii="宋体" w:hAnsi="宋体" w:cs="宋体"/>
                <w:color w:val="auto"/>
                <w:highlight w:val="none"/>
              </w:rPr>
            </w:pPr>
          </w:p>
        </w:tc>
      </w:tr>
      <w:tr w14:paraId="166BC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1420" w:type="dxa"/>
            <w:vAlign w:val="center"/>
          </w:tcPr>
          <w:p w14:paraId="43775550">
            <w:pPr>
              <w:pageBreakBefore w:val="0"/>
              <w:shd w:val="clear"/>
              <w:topLinePunct w:val="0"/>
              <w:bidi w:val="0"/>
              <w:spacing w:after="0" w:line="360" w:lineRule="auto"/>
              <w:jc w:val="center"/>
              <w:rPr>
                <w:rFonts w:hint="eastAsia" w:ascii="宋体" w:hAnsi="宋体" w:cs="宋体"/>
                <w:color w:val="auto"/>
                <w:highlight w:val="none"/>
              </w:rPr>
            </w:pPr>
          </w:p>
        </w:tc>
        <w:tc>
          <w:tcPr>
            <w:tcW w:w="1420" w:type="dxa"/>
            <w:vAlign w:val="center"/>
          </w:tcPr>
          <w:p w14:paraId="02328A38">
            <w:pPr>
              <w:pageBreakBefore w:val="0"/>
              <w:shd w:val="clear"/>
              <w:topLinePunct w:val="0"/>
              <w:bidi w:val="0"/>
              <w:spacing w:after="0" w:line="360" w:lineRule="auto"/>
              <w:jc w:val="center"/>
              <w:rPr>
                <w:rFonts w:hint="eastAsia" w:ascii="宋体" w:hAnsi="宋体" w:cs="宋体"/>
                <w:color w:val="auto"/>
                <w:highlight w:val="none"/>
              </w:rPr>
            </w:pPr>
          </w:p>
        </w:tc>
        <w:tc>
          <w:tcPr>
            <w:tcW w:w="1419" w:type="dxa"/>
            <w:vAlign w:val="center"/>
          </w:tcPr>
          <w:p w14:paraId="5E7E1D74">
            <w:pPr>
              <w:pageBreakBefore w:val="0"/>
              <w:shd w:val="clear"/>
              <w:topLinePunct w:val="0"/>
              <w:bidi w:val="0"/>
              <w:spacing w:after="0" w:line="360" w:lineRule="auto"/>
              <w:jc w:val="center"/>
              <w:rPr>
                <w:rFonts w:hint="eastAsia" w:ascii="宋体" w:hAnsi="宋体" w:cs="宋体"/>
                <w:color w:val="auto"/>
                <w:highlight w:val="none"/>
              </w:rPr>
            </w:pPr>
          </w:p>
        </w:tc>
        <w:tc>
          <w:tcPr>
            <w:tcW w:w="1420" w:type="dxa"/>
            <w:vAlign w:val="center"/>
          </w:tcPr>
          <w:p w14:paraId="10D9F331">
            <w:pPr>
              <w:pageBreakBefore w:val="0"/>
              <w:shd w:val="clear"/>
              <w:topLinePunct w:val="0"/>
              <w:bidi w:val="0"/>
              <w:spacing w:after="0" w:line="360" w:lineRule="auto"/>
              <w:jc w:val="center"/>
              <w:rPr>
                <w:rFonts w:hint="eastAsia" w:ascii="宋体" w:hAnsi="宋体" w:cs="宋体"/>
                <w:color w:val="auto"/>
                <w:highlight w:val="none"/>
              </w:rPr>
            </w:pPr>
          </w:p>
        </w:tc>
        <w:tc>
          <w:tcPr>
            <w:tcW w:w="1420" w:type="dxa"/>
            <w:vAlign w:val="center"/>
          </w:tcPr>
          <w:p w14:paraId="2BED809E">
            <w:pPr>
              <w:pageBreakBefore w:val="0"/>
              <w:shd w:val="clear"/>
              <w:topLinePunct w:val="0"/>
              <w:bidi w:val="0"/>
              <w:spacing w:after="0" w:line="360" w:lineRule="auto"/>
              <w:jc w:val="center"/>
              <w:rPr>
                <w:rFonts w:hint="eastAsia" w:ascii="宋体" w:hAnsi="宋体" w:cs="宋体"/>
                <w:color w:val="auto"/>
                <w:highlight w:val="none"/>
              </w:rPr>
            </w:pPr>
          </w:p>
        </w:tc>
        <w:tc>
          <w:tcPr>
            <w:tcW w:w="1423" w:type="dxa"/>
            <w:vAlign w:val="center"/>
          </w:tcPr>
          <w:p w14:paraId="1396DBBD">
            <w:pPr>
              <w:pageBreakBefore w:val="0"/>
              <w:shd w:val="clear"/>
              <w:topLinePunct w:val="0"/>
              <w:bidi w:val="0"/>
              <w:spacing w:after="0" w:line="360" w:lineRule="auto"/>
              <w:jc w:val="center"/>
              <w:rPr>
                <w:rFonts w:hint="eastAsia" w:ascii="宋体" w:hAnsi="宋体" w:cs="宋体"/>
                <w:color w:val="auto"/>
                <w:highlight w:val="none"/>
              </w:rPr>
            </w:pPr>
          </w:p>
        </w:tc>
      </w:tr>
      <w:tr w14:paraId="46187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1420" w:type="dxa"/>
            <w:vAlign w:val="center"/>
          </w:tcPr>
          <w:p w14:paraId="69B03CA2">
            <w:pPr>
              <w:pageBreakBefore w:val="0"/>
              <w:shd w:val="clear"/>
              <w:topLinePunct w:val="0"/>
              <w:bidi w:val="0"/>
              <w:spacing w:after="0" w:line="360" w:lineRule="auto"/>
              <w:jc w:val="center"/>
              <w:rPr>
                <w:rFonts w:hint="eastAsia" w:ascii="宋体" w:hAnsi="宋体" w:cs="宋体"/>
                <w:color w:val="auto"/>
                <w:highlight w:val="none"/>
              </w:rPr>
            </w:pPr>
          </w:p>
        </w:tc>
        <w:tc>
          <w:tcPr>
            <w:tcW w:w="1420" w:type="dxa"/>
            <w:vAlign w:val="center"/>
          </w:tcPr>
          <w:p w14:paraId="59A4D62D">
            <w:pPr>
              <w:pageBreakBefore w:val="0"/>
              <w:shd w:val="clear"/>
              <w:topLinePunct w:val="0"/>
              <w:bidi w:val="0"/>
              <w:spacing w:after="0" w:line="360" w:lineRule="auto"/>
              <w:jc w:val="center"/>
              <w:rPr>
                <w:rFonts w:hint="eastAsia" w:ascii="宋体" w:hAnsi="宋体" w:cs="宋体"/>
                <w:color w:val="auto"/>
                <w:highlight w:val="none"/>
              </w:rPr>
            </w:pPr>
          </w:p>
        </w:tc>
        <w:tc>
          <w:tcPr>
            <w:tcW w:w="1419" w:type="dxa"/>
            <w:vAlign w:val="center"/>
          </w:tcPr>
          <w:p w14:paraId="61BCB0F3">
            <w:pPr>
              <w:pageBreakBefore w:val="0"/>
              <w:shd w:val="clear"/>
              <w:topLinePunct w:val="0"/>
              <w:bidi w:val="0"/>
              <w:spacing w:after="0" w:line="360" w:lineRule="auto"/>
              <w:jc w:val="center"/>
              <w:rPr>
                <w:rFonts w:hint="eastAsia" w:ascii="宋体" w:hAnsi="宋体" w:cs="宋体"/>
                <w:color w:val="auto"/>
                <w:highlight w:val="none"/>
              </w:rPr>
            </w:pPr>
          </w:p>
        </w:tc>
        <w:tc>
          <w:tcPr>
            <w:tcW w:w="1420" w:type="dxa"/>
            <w:vAlign w:val="center"/>
          </w:tcPr>
          <w:p w14:paraId="7FFEAEF8">
            <w:pPr>
              <w:pageBreakBefore w:val="0"/>
              <w:shd w:val="clear"/>
              <w:topLinePunct w:val="0"/>
              <w:bidi w:val="0"/>
              <w:spacing w:after="0" w:line="360" w:lineRule="auto"/>
              <w:jc w:val="center"/>
              <w:rPr>
                <w:rFonts w:hint="eastAsia" w:ascii="宋体" w:hAnsi="宋体" w:cs="宋体"/>
                <w:color w:val="auto"/>
                <w:highlight w:val="none"/>
              </w:rPr>
            </w:pPr>
          </w:p>
        </w:tc>
        <w:tc>
          <w:tcPr>
            <w:tcW w:w="1420" w:type="dxa"/>
            <w:vAlign w:val="center"/>
          </w:tcPr>
          <w:p w14:paraId="6E7D8C4B">
            <w:pPr>
              <w:pageBreakBefore w:val="0"/>
              <w:shd w:val="clear"/>
              <w:topLinePunct w:val="0"/>
              <w:bidi w:val="0"/>
              <w:spacing w:after="0" w:line="360" w:lineRule="auto"/>
              <w:jc w:val="center"/>
              <w:rPr>
                <w:rFonts w:hint="eastAsia" w:ascii="宋体" w:hAnsi="宋体" w:cs="宋体"/>
                <w:color w:val="auto"/>
                <w:highlight w:val="none"/>
              </w:rPr>
            </w:pPr>
          </w:p>
        </w:tc>
        <w:tc>
          <w:tcPr>
            <w:tcW w:w="1423" w:type="dxa"/>
            <w:vAlign w:val="center"/>
          </w:tcPr>
          <w:p w14:paraId="0584C98E">
            <w:pPr>
              <w:pageBreakBefore w:val="0"/>
              <w:shd w:val="clear"/>
              <w:topLinePunct w:val="0"/>
              <w:bidi w:val="0"/>
              <w:spacing w:after="0" w:line="360" w:lineRule="auto"/>
              <w:jc w:val="center"/>
              <w:rPr>
                <w:rFonts w:hint="eastAsia" w:ascii="宋体" w:hAnsi="宋体" w:cs="宋体"/>
                <w:color w:val="auto"/>
                <w:highlight w:val="none"/>
              </w:rPr>
            </w:pPr>
          </w:p>
        </w:tc>
      </w:tr>
      <w:tr w14:paraId="3E5B1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1420" w:type="dxa"/>
            <w:vAlign w:val="center"/>
          </w:tcPr>
          <w:p w14:paraId="33C02C90">
            <w:pPr>
              <w:pageBreakBefore w:val="0"/>
              <w:shd w:val="clear"/>
              <w:topLinePunct w:val="0"/>
              <w:bidi w:val="0"/>
              <w:spacing w:after="0" w:line="360" w:lineRule="auto"/>
              <w:jc w:val="center"/>
              <w:rPr>
                <w:rFonts w:hint="eastAsia" w:ascii="宋体" w:hAnsi="宋体" w:cs="宋体"/>
                <w:color w:val="auto"/>
                <w:highlight w:val="none"/>
              </w:rPr>
            </w:pPr>
          </w:p>
        </w:tc>
        <w:tc>
          <w:tcPr>
            <w:tcW w:w="1420" w:type="dxa"/>
            <w:vAlign w:val="center"/>
          </w:tcPr>
          <w:p w14:paraId="648A7C85">
            <w:pPr>
              <w:pageBreakBefore w:val="0"/>
              <w:shd w:val="clear"/>
              <w:topLinePunct w:val="0"/>
              <w:bidi w:val="0"/>
              <w:spacing w:after="0" w:line="360" w:lineRule="auto"/>
              <w:jc w:val="center"/>
              <w:rPr>
                <w:rFonts w:hint="eastAsia" w:ascii="宋体" w:hAnsi="宋体" w:cs="宋体"/>
                <w:color w:val="auto"/>
                <w:highlight w:val="none"/>
              </w:rPr>
            </w:pPr>
          </w:p>
        </w:tc>
        <w:tc>
          <w:tcPr>
            <w:tcW w:w="1419" w:type="dxa"/>
            <w:vAlign w:val="center"/>
          </w:tcPr>
          <w:p w14:paraId="58DF190B">
            <w:pPr>
              <w:pageBreakBefore w:val="0"/>
              <w:shd w:val="clear"/>
              <w:topLinePunct w:val="0"/>
              <w:bidi w:val="0"/>
              <w:spacing w:after="0" w:line="360" w:lineRule="auto"/>
              <w:jc w:val="center"/>
              <w:rPr>
                <w:rFonts w:hint="eastAsia" w:ascii="宋体" w:hAnsi="宋体" w:cs="宋体"/>
                <w:color w:val="auto"/>
                <w:highlight w:val="none"/>
              </w:rPr>
            </w:pPr>
          </w:p>
        </w:tc>
        <w:tc>
          <w:tcPr>
            <w:tcW w:w="1420" w:type="dxa"/>
            <w:vAlign w:val="center"/>
          </w:tcPr>
          <w:p w14:paraId="3437942F">
            <w:pPr>
              <w:pageBreakBefore w:val="0"/>
              <w:shd w:val="clear"/>
              <w:topLinePunct w:val="0"/>
              <w:bidi w:val="0"/>
              <w:spacing w:after="0" w:line="360" w:lineRule="auto"/>
              <w:jc w:val="center"/>
              <w:rPr>
                <w:rFonts w:hint="eastAsia" w:ascii="宋体" w:hAnsi="宋体" w:cs="宋体"/>
                <w:color w:val="auto"/>
                <w:highlight w:val="none"/>
              </w:rPr>
            </w:pPr>
          </w:p>
        </w:tc>
        <w:tc>
          <w:tcPr>
            <w:tcW w:w="1420" w:type="dxa"/>
            <w:vAlign w:val="center"/>
          </w:tcPr>
          <w:p w14:paraId="554162D5">
            <w:pPr>
              <w:pageBreakBefore w:val="0"/>
              <w:shd w:val="clear"/>
              <w:topLinePunct w:val="0"/>
              <w:bidi w:val="0"/>
              <w:spacing w:after="0" w:line="360" w:lineRule="auto"/>
              <w:jc w:val="center"/>
              <w:rPr>
                <w:rFonts w:hint="eastAsia" w:ascii="宋体" w:hAnsi="宋体" w:cs="宋体"/>
                <w:color w:val="auto"/>
                <w:highlight w:val="none"/>
              </w:rPr>
            </w:pPr>
          </w:p>
        </w:tc>
        <w:tc>
          <w:tcPr>
            <w:tcW w:w="1423" w:type="dxa"/>
            <w:vAlign w:val="center"/>
          </w:tcPr>
          <w:p w14:paraId="2A6BD355">
            <w:pPr>
              <w:pageBreakBefore w:val="0"/>
              <w:shd w:val="clear"/>
              <w:topLinePunct w:val="0"/>
              <w:bidi w:val="0"/>
              <w:spacing w:after="0" w:line="360" w:lineRule="auto"/>
              <w:jc w:val="center"/>
              <w:rPr>
                <w:rFonts w:hint="eastAsia" w:ascii="宋体" w:hAnsi="宋体" w:cs="宋体"/>
                <w:color w:val="auto"/>
                <w:highlight w:val="none"/>
              </w:rPr>
            </w:pPr>
          </w:p>
        </w:tc>
      </w:tr>
      <w:tr w14:paraId="3A31D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1420" w:type="dxa"/>
            <w:vAlign w:val="center"/>
          </w:tcPr>
          <w:p w14:paraId="10C437CD">
            <w:pPr>
              <w:pageBreakBefore w:val="0"/>
              <w:shd w:val="clear"/>
              <w:topLinePunct w:val="0"/>
              <w:bidi w:val="0"/>
              <w:spacing w:after="0" w:line="360" w:lineRule="auto"/>
              <w:jc w:val="center"/>
              <w:rPr>
                <w:rFonts w:hint="eastAsia" w:ascii="宋体" w:hAnsi="宋体" w:cs="宋体"/>
                <w:color w:val="auto"/>
                <w:highlight w:val="none"/>
              </w:rPr>
            </w:pPr>
          </w:p>
        </w:tc>
        <w:tc>
          <w:tcPr>
            <w:tcW w:w="1420" w:type="dxa"/>
            <w:vAlign w:val="center"/>
          </w:tcPr>
          <w:p w14:paraId="0F58E1FC">
            <w:pPr>
              <w:pageBreakBefore w:val="0"/>
              <w:shd w:val="clear"/>
              <w:topLinePunct w:val="0"/>
              <w:bidi w:val="0"/>
              <w:spacing w:after="0" w:line="360" w:lineRule="auto"/>
              <w:jc w:val="center"/>
              <w:rPr>
                <w:rFonts w:hint="eastAsia" w:ascii="宋体" w:hAnsi="宋体" w:cs="宋体"/>
                <w:color w:val="auto"/>
                <w:highlight w:val="none"/>
              </w:rPr>
            </w:pPr>
          </w:p>
        </w:tc>
        <w:tc>
          <w:tcPr>
            <w:tcW w:w="1419" w:type="dxa"/>
            <w:vAlign w:val="center"/>
          </w:tcPr>
          <w:p w14:paraId="103C35DE">
            <w:pPr>
              <w:pageBreakBefore w:val="0"/>
              <w:shd w:val="clear"/>
              <w:topLinePunct w:val="0"/>
              <w:bidi w:val="0"/>
              <w:spacing w:after="0" w:line="360" w:lineRule="auto"/>
              <w:jc w:val="center"/>
              <w:rPr>
                <w:rFonts w:hint="eastAsia" w:ascii="宋体" w:hAnsi="宋体" w:cs="宋体"/>
                <w:color w:val="auto"/>
                <w:highlight w:val="none"/>
              </w:rPr>
            </w:pPr>
          </w:p>
        </w:tc>
        <w:tc>
          <w:tcPr>
            <w:tcW w:w="1420" w:type="dxa"/>
            <w:vAlign w:val="center"/>
          </w:tcPr>
          <w:p w14:paraId="062ACD0E">
            <w:pPr>
              <w:pageBreakBefore w:val="0"/>
              <w:shd w:val="clear"/>
              <w:topLinePunct w:val="0"/>
              <w:bidi w:val="0"/>
              <w:spacing w:after="0" w:line="360" w:lineRule="auto"/>
              <w:jc w:val="center"/>
              <w:rPr>
                <w:rFonts w:hint="eastAsia" w:ascii="宋体" w:hAnsi="宋体" w:cs="宋体"/>
                <w:color w:val="auto"/>
                <w:highlight w:val="none"/>
              </w:rPr>
            </w:pPr>
          </w:p>
        </w:tc>
        <w:tc>
          <w:tcPr>
            <w:tcW w:w="1420" w:type="dxa"/>
            <w:vAlign w:val="center"/>
          </w:tcPr>
          <w:p w14:paraId="217B0C7D">
            <w:pPr>
              <w:pageBreakBefore w:val="0"/>
              <w:shd w:val="clear"/>
              <w:topLinePunct w:val="0"/>
              <w:bidi w:val="0"/>
              <w:spacing w:after="0" w:line="360" w:lineRule="auto"/>
              <w:jc w:val="center"/>
              <w:rPr>
                <w:rFonts w:hint="eastAsia" w:ascii="宋体" w:hAnsi="宋体" w:cs="宋体"/>
                <w:color w:val="auto"/>
                <w:highlight w:val="none"/>
              </w:rPr>
            </w:pPr>
          </w:p>
        </w:tc>
        <w:tc>
          <w:tcPr>
            <w:tcW w:w="1423" w:type="dxa"/>
            <w:vAlign w:val="center"/>
          </w:tcPr>
          <w:p w14:paraId="0D41C935">
            <w:pPr>
              <w:pageBreakBefore w:val="0"/>
              <w:shd w:val="clear"/>
              <w:topLinePunct w:val="0"/>
              <w:bidi w:val="0"/>
              <w:spacing w:after="0" w:line="360" w:lineRule="auto"/>
              <w:jc w:val="center"/>
              <w:rPr>
                <w:rFonts w:hint="eastAsia" w:ascii="宋体" w:hAnsi="宋体" w:cs="宋体"/>
                <w:color w:val="auto"/>
                <w:highlight w:val="none"/>
              </w:rPr>
            </w:pPr>
          </w:p>
        </w:tc>
      </w:tr>
      <w:tr w14:paraId="524DD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1420" w:type="dxa"/>
            <w:vAlign w:val="center"/>
          </w:tcPr>
          <w:p w14:paraId="29DB9179">
            <w:pPr>
              <w:pageBreakBefore w:val="0"/>
              <w:shd w:val="clear"/>
              <w:topLinePunct w:val="0"/>
              <w:bidi w:val="0"/>
              <w:spacing w:after="0" w:line="360" w:lineRule="auto"/>
              <w:jc w:val="center"/>
              <w:rPr>
                <w:rFonts w:hint="eastAsia" w:ascii="宋体" w:hAnsi="宋体" w:cs="宋体"/>
                <w:color w:val="auto"/>
                <w:highlight w:val="none"/>
              </w:rPr>
            </w:pPr>
          </w:p>
        </w:tc>
        <w:tc>
          <w:tcPr>
            <w:tcW w:w="1420" w:type="dxa"/>
            <w:vAlign w:val="center"/>
          </w:tcPr>
          <w:p w14:paraId="1FAF702F">
            <w:pPr>
              <w:pageBreakBefore w:val="0"/>
              <w:shd w:val="clear"/>
              <w:topLinePunct w:val="0"/>
              <w:bidi w:val="0"/>
              <w:spacing w:after="0" w:line="360" w:lineRule="auto"/>
              <w:jc w:val="center"/>
              <w:rPr>
                <w:rFonts w:hint="eastAsia" w:ascii="宋体" w:hAnsi="宋体" w:cs="宋体"/>
                <w:color w:val="auto"/>
                <w:highlight w:val="none"/>
              </w:rPr>
            </w:pPr>
          </w:p>
        </w:tc>
        <w:tc>
          <w:tcPr>
            <w:tcW w:w="1419" w:type="dxa"/>
            <w:vAlign w:val="center"/>
          </w:tcPr>
          <w:p w14:paraId="239B6D95">
            <w:pPr>
              <w:pageBreakBefore w:val="0"/>
              <w:shd w:val="clear"/>
              <w:topLinePunct w:val="0"/>
              <w:bidi w:val="0"/>
              <w:spacing w:after="0" w:line="360" w:lineRule="auto"/>
              <w:jc w:val="center"/>
              <w:rPr>
                <w:rFonts w:hint="eastAsia" w:ascii="宋体" w:hAnsi="宋体" w:cs="宋体"/>
                <w:color w:val="auto"/>
                <w:highlight w:val="none"/>
              </w:rPr>
            </w:pPr>
          </w:p>
        </w:tc>
        <w:tc>
          <w:tcPr>
            <w:tcW w:w="1420" w:type="dxa"/>
            <w:vAlign w:val="center"/>
          </w:tcPr>
          <w:p w14:paraId="4255F864">
            <w:pPr>
              <w:pageBreakBefore w:val="0"/>
              <w:shd w:val="clear"/>
              <w:topLinePunct w:val="0"/>
              <w:bidi w:val="0"/>
              <w:spacing w:after="0" w:line="360" w:lineRule="auto"/>
              <w:jc w:val="center"/>
              <w:rPr>
                <w:rFonts w:hint="eastAsia" w:ascii="宋体" w:hAnsi="宋体" w:cs="宋体"/>
                <w:color w:val="auto"/>
                <w:highlight w:val="none"/>
              </w:rPr>
            </w:pPr>
          </w:p>
        </w:tc>
        <w:tc>
          <w:tcPr>
            <w:tcW w:w="1420" w:type="dxa"/>
            <w:vAlign w:val="center"/>
          </w:tcPr>
          <w:p w14:paraId="44652130">
            <w:pPr>
              <w:pageBreakBefore w:val="0"/>
              <w:shd w:val="clear"/>
              <w:topLinePunct w:val="0"/>
              <w:bidi w:val="0"/>
              <w:spacing w:after="0" w:line="360" w:lineRule="auto"/>
              <w:jc w:val="center"/>
              <w:rPr>
                <w:rFonts w:hint="eastAsia" w:ascii="宋体" w:hAnsi="宋体" w:cs="宋体"/>
                <w:color w:val="auto"/>
                <w:highlight w:val="none"/>
              </w:rPr>
            </w:pPr>
          </w:p>
        </w:tc>
        <w:tc>
          <w:tcPr>
            <w:tcW w:w="1423" w:type="dxa"/>
            <w:vAlign w:val="center"/>
          </w:tcPr>
          <w:p w14:paraId="35639544">
            <w:pPr>
              <w:pageBreakBefore w:val="0"/>
              <w:shd w:val="clear"/>
              <w:topLinePunct w:val="0"/>
              <w:bidi w:val="0"/>
              <w:spacing w:after="0" w:line="360" w:lineRule="auto"/>
              <w:jc w:val="center"/>
              <w:rPr>
                <w:rFonts w:hint="eastAsia" w:ascii="宋体" w:hAnsi="宋体" w:cs="宋体"/>
                <w:color w:val="auto"/>
                <w:highlight w:val="none"/>
              </w:rPr>
            </w:pPr>
          </w:p>
        </w:tc>
      </w:tr>
    </w:tbl>
    <w:p w14:paraId="68776326">
      <w:pPr>
        <w:pageBreakBefore w:val="0"/>
        <w:shd w:val="clear"/>
        <w:topLinePunct w:val="0"/>
        <w:bidi w:val="0"/>
        <w:spacing w:after="0" w:line="360" w:lineRule="auto"/>
        <w:rPr>
          <w:rFonts w:hint="eastAsia" w:ascii="宋体" w:hAnsi="宋体" w:cs="宋体"/>
          <w:color w:val="auto"/>
          <w:szCs w:val="21"/>
          <w:highlight w:val="none"/>
        </w:rPr>
      </w:pPr>
    </w:p>
    <w:p w14:paraId="46F778BF">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注：</w:t>
      </w:r>
    </w:p>
    <w:p w14:paraId="009CF43A">
      <w:pPr>
        <w:pageBreakBefore w:val="0"/>
        <w:numPr>
          <w:ilvl w:val="0"/>
          <w:numId w:val="8"/>
        </w:numPr>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该表格为参考格式，投标人可按实际情况自行制订评分标准索引表。</w:t>
      </w:r>
    </w:p>
    <w:p w14:paraId="5A5FC03B">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br w:type="page"/>
      </w:r>
    </w:p>
    <w:p w14:paraId="6879ADB9">
      <w:pPr>
        <w:pStyle w:val="6"/>
        <w:pageBreakBefore w:val="0"/>
        <w:widowControl w:val="0"/>
        <w:shd w:val="clear"/>
        <w:overflowPunct w:val="0"/>
        <w:topLinePunct w:val="0"/>
        <w:bidi w:val="0"/>
        <w:spacing w:after="0" w:line="360" w:lineRule="auto"/>
        <w:rPr>
          <w:rFonts w:hint="eastAsia" w:ascii="宋体" w:hAnsi="宋体" w:cs="宋体"/>
          <w:color w:val="auto"/>
          <w:highlight w:val="none"/>
        </w:rPr>
      </w:pPr>
      <w:bookmarkStart w:id="227" w:name="_Toc22627"/>
      <w:bookmarkStart w:id="228" w:name="_Toc20078"/>
      <w:r>
        <w:rPr>
          <w:rFonts w:hint="eastAsia" w:ascii="宋体" w:hAnsi="宋体" w:cs="宋体"/>
          <w:color w:val="auto"/>
          <w:sz w:val="21"/>
          <w:szCs w:val="21"/>
          <w:highlight w:val="none"/>
        </w:rPr>
        <w:t>附件</w:t>
      </w:r>
      <w:r>
        <w:rPr>
          <w:rFonts w:hint="eastAsia" w:ascii="宋体" w:hAnsi="宋体" w:cs="宋体"/>
          <w:color w:val="auto"/>
          <w:sz w:val="21"/>
          <w:szCs w:val="21"/>
          <w:highlight w:val="none"/>
          <w:lang w:val="en-US" w:eastAsia="zh-CN"/>
        </w:rPr>
        <w:t>4</w:t>
      </w:r>
      <w:r>
        <w:rPr>
          <w:rFonts w:hint="eastAsia" w:ascii="宋体" w:hAnsi="宋体" w:cs="宋体"/>
          <w:color w:val="auto"/>
          <w:sz w:val="21"/>
          <w:szCs w:val="21"/>
          <w:highlight w:val="none"/>
        </w:rPr>
        <w:t>.投标书格式</w:t>
      </w:r>
      <w:bookmarkEnd w:id="227"/>
      <w:bookmarkEnd w:id="228"/>
    </w:p>
    <w:p w14:paraId="2F7DEDEE">
      <w:pPr>
        <w:pageBreakBefore w:val="0"/>
        <w:shd w:val="clear"/>
        <w:topLinePunct w:val="0"/>
        <w:bidi w:val="0"/>
        <w:spacing w:after="0" w:line="360" w:lineRule="auto"/>
        <w:jc w:val="center"/>
        <w:rPr>
          <w:rFonts w:hint="eastAsia" w:ascii="宋体" w:hAnsi="宋体" w:cs="宋体"/>
          <w:color w:val="auto"/>
          <w:szCs w:val="21"/>
          <w:highlight w:val="none"/>
        </w:rPr>
      </w:pPr>
      <w:r>
        <w:rPr>
          <w:rFonts w:hint="eastAsia" w:ascii="宋体" w:hAnsi="宋体" w:cs="宋体"/>
          <w:color w:val="auto"/>
          <w:sz w:val="32"/>
          <w:szCs w:val="32"/>
          <w:highlight w:val="none"/>
        </w:rPr>
        <w:t>投标书</w:t>
      </w:r>
    </w:p>
    <w:p w14:paraId="5603EA68">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致：xxx公司（采购人）：</w:t>
      </w:r>
    </w:p>
    <w:p w14:paraId="05F31726">
      <w:pPr>
        <w:pageBreakBefore w:val="0"/>
        <w:shd w:val="clear"/>
        <w:topLinePunct w:val="0"/>
        <w:bidi w:val="0"/>
        <w:spacing w:after="0" w:line="360" w:lineRule="auto"/>
        <w:rPr>
          <w:rFonts w:hint="eastAsia" w:ascii="宋体" w:hAnsi="宋体" w:cs="宋体"/>
          <w:color w:val="auto"/>
          <w:szCs w:val="21"/>
          <w:highlight w:val="none"/>
        </w:rPr>
      </w:pPr>
    </w:p>
    <w:p w14:paraId="191FEA8C">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根据贵方为</w:t>
      </w:r>
      <w:r>
        <w:rPr>
          <w:rFonts w:hint="eastAsia" w:ascii="宋体" w:hAnsi="宋体" w:cs="宋体"/>
          <w:color w:val="auto"/>
          <w:szCs w:val="21"/>
          <w:highlight w:val="none"/>
          <w:u w:val="single"/>
        </w:rPr>
        <w:t>（项目名称）（采购项目编号）</w:t>
      </w:r>
      <w:r>
        <w:rPr>
          <w:rFonts w:hint="eastAsia" w:ascii="宋体" w:hAnsi="宋体" w:cs="宋体"/>
          <w:color w:val="auto"/>
          <w:szCs w:val="21"/>
          <w:highlight w:val="none"/>
        </w:rPr>
        <w:t>项目采购公告/采购邀请，签字代表</w:t>
      </w:r>
      <w:r>
        <w:rPr>
          <w:rFonts w:hint="eastAsia" w:ascii="宋体" w:hAnsi="宋体" w:cs="宋体"/>
          <w:color w:val="auto"/>
          <w:szCs w:val="21"/>
          <w:highlight w:val="none"/>
          <w:u w:val="single"/>
        </w:rPr>
        <w:t>（姓名、职务）</w:t>
      </w:r>
      <w:r>
        <w:rPr>
          <w:rFonts w:hint="eastAsia" w:ascii="宋体" w:hAnsi="宋体" w:cs="宋体"/>
          <w:color w:val="auto"/>
          <w:szCs w:val="21"/>
          <w:highlight w:val="none"/>
        </w:rPr>
        <w:t>经正式授权并代表投标人</w:t>
      </w:r>
      <w:r>
        <w:rPr>
          <w:rFonts w:hint="eastAsia" w:ascii="宋体" w:hAnsi="宋体" w:cs="宋体"/>
          <w:color w:val="auto"/>
          <w:szCs w:val="21"/>
          <w:highlight w:val="none"/>
          <w:u w:val="single"/>
        </w:rPr>
        <w:t>（投标人名称、地址）</w:t>
      </w:r>
      <w:r>
        <w:rPr>
          <w:rFonts w:hint="eastAsia" w:ascii="宋体" w:hAnsi="宋体" w:cs="宋体"/>
          <w:color w:val="auto"/>
          <w:szCs w:val="21"/>
          <w:highlight w:val="none"/>
        </w:rPr>
        <w:t>提交投标文件及“唱标信封”：</w:t>
      </w:r>
    </w:p>
    <w:p w14:paraId="30C8AEBB">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在此，签字代表宣布同意如下： </w:t>
      </w:r>
    </w:p>
    <w:p w14:paraId="6BB123DD">
      <w:pPr>
        <w:pageBreakBefore w:val="0"/>
        <w:widowControl w:val="0"/>
        <w:numPr>
          <w:ilvl w:val="0"/>
          <w:numId w:val="9"/>
        </w:numPr>
        <w:shd w:val="clear"/>
        <w:topLinePunct w:val="0"/>
        <w:bidi w:val="0"/>
        <w:adjustRightInd/>
        <w:snapToGrid/>
        <w:spacing w:after="0" w:line="360" w:lineRule="auto"/>
        <w:jc w:val="both"/>
        <w:rPr>
          <w:rFonts w:hint="eastAsia" w:ascii="宋体" w:hAnsi="宋体" w:cs="宋体"/>
          <w:color w:val="auto"/>
          <w:szCs w:val="21"/>
          <w:highlight w:val="none"/>
        </w:rPr>
      </w:pPr>
      <w:r>
        <w:rPr>
          <w:rFonts w:hint="eastAsia" w:ascii="宋体" w:hAnsi="宋体" w:cs="宋体"/>
          <w:color w:val="auto"/>
          <w:szCs w:val="21"/>
          <w:highlight w:val="none"/>
        </w:rPr>
        <w:t xml:space="preserve">我方将按采购文件的规定履行合同责任和义务。 </w:t>
      </w:r>
    </w:p>
    <w:p w14:paraId="1F8E77FC">
      <w:pPr>
        <w:pageBreakBefore w:val="0"/>
        <w:widowControl w:val="0"/>
        <w:numPr>
          <w:ilvl w:val="0"/>
          <w:numId w:val="9"/>
        </w:numPr>
        <w:shd w:val="clear"/>
        <w:topLinePunct w:val="0"/>
        <w:bidi w:val="0"/>
        <w:adjustRightInd/>
        <w:snapToGrid/>
        <w:spacing w:after="0" w:line="360" w:lineRule="auto"/>
        <w:jc w:val="both"/>
        <w:rPr>
          <w:rFonts w:hint="eastAsia" w:ascii="宋体" w:hAnsi="宋体" w:cs="宋体"/>
          <w:color w:val="auto"/>
          <w:szCs w:val="21"/>
          <w:highlight w:val="none"/>
        </w:rPr>
      </w:pPr>
      <w:r>
        <w:rPr>
          <w:rFonts w:hint="eastAsia" w:ascii="宋体" w:hAnsi="宋体" w:cs="宋体"/>
          <w:b/>
          <w:color w:val="auto"/>
          <w:szCs w:val="21"/>
          <w:highlight w:val="none"/>
        </w:rPr>
        <w:t>我方已完整阅读了本项目采购文件的所有内容（包括澄清，以及所有已提供的参考资料和有关附件），并完全理解上述文件所表达的意思，该项目递交投标文件时间截止后，我方承诺不再对上述文件内容进行异议。</w:t>
      </w:r>
    </w:p>
    <w:p w14:paraId="7231B1F2">
      <w:pPr>
        <w:pageBreakBefore w:val="0"/>
        <w:widowControl w:val="0"/>
        <w:numPr>
          <w:ilvl w:val="0"/>
          <w:numId w:val="9"/>
        </w:numPr>
        <w:shd w:val="clear"/>
        <w:topLinePunct w:val="0"/>
        <w:bidi w:val="0"/>
        <w:adjustRightInd/>
        <w:snapToGrid/>
        <w:spacing w:after="0" w:line="360" w:lineRule="auto"/>
        <w:jc w:val="both"/>
        <w:rPr>
          <w:rFonts w:hint="eastAsia" w:ascii="宋体" w:hAnsi="宋体" w:cs="宋体"/>
          <w:color w:val="auto"/>
          <w:szCs w:val="21"/>
          <w:highlight w:val="none"/>
        </w:rPr>
      </w:pPr>
      <w:r>
        <w:rPr>
          <w:rFonts w:hint="eastAsia" w:ascii="宋体" w:hAnsi="宋体" w:cs="宋体"/>
          <w:color w:val="auto"/>
          <w:szCs w:val="21"/>
          <w:highlight w:val="none"/>
        </w:rPr>
        <w:t>本投标有效期为自开标日起</w:t>
      </w:r>
      <w:r>
        <w:rPr>
          <w:rFonts w:hint="eastAsia" w:ascii="宋体" w:hAnsi="宋体" w:cs="宋体"/>
          <w:color w:val="auto"/>
          <w:szCs w:val="21"/>
          <w:highlight w:val="none"/>
          <w:u w:val="single"/>
        </w:rPr>
        <w:t>90</w:t>
      </w:r>
      <w:r>
        <w:rPr>
          <w:rFonts w:hint="eastAsia" w:ascii="宋体" w:hAnsi="宋体" w:cs="宋体"/>
          <w:color w:val="auto"/>
          <w:szCs w:val="21"/>
          <w:highlight w:val="none"/>
        </w:rPr>
        <w:t xml:space="preserve">个日历日。 </w:t>
      </w:r>
    </w:p>
    <w:p w14:paraId="73F4161C">
      <w:pPr>
        <w:pageBreakBefore w:val="0"/>
        <w:widowControl w:val="0"/>
        <w:numPr>
          <w:ilvl w:val="0"/>
          <w:numId w:val="9"/>
        </w:numPr>
        <w:shd w:val="clear"/>
        <w:topLinePunct w:val="0"/>
        <w:bidi w:val="0"/>
        <w:adjustRightInd/>
        <w:snapToGrid/>
        <w:spacing w:after="0" w:line="360" w:lineRule="auto"/>
        <w:jc w:val="both"/>
        <w:rPr>
          <w:rFonts w:hint="eastAsia" w:ascii="宋体" w:hAnsi="宋体" w:cs="宋体"/>
          <w:color w:val="auto"/>
          <w:szCs w:val="21"/>
          <w:highlight w:val="none"/>
        </w:rPr>
      </w:pPr>
      <w:r>
        <w:rPr>
          <w:rFonts w:hint="eastAsia" w:ascii="宋体" w:hAnsi="宋体" w:cs="宋体"/>
          <w:color w:val="auto"/>
          <w:szCs w:val="21"/>
          <w:highlight w:val="none"/>
        </w:rPr>
        <w:t>我方保证遵守投标人须知中关于没收投标保证金的规定。</w:t>
      </w:r>
    </w:p>
    <w:p w14:paraId="58935786">
      <w:pPr>
        <w:pageBreakBefore w:val="0"/>
        <w:widowControl w:val="0"/>
        <w:numPr>
          <w:ilvl w:val="0"/>
          <w:numId w:val="9"/>
        </w:numPr>
        <w:shd w:val="clear"/>
        <w:topLinePunct w:val="0"/>
        <w:bidi w:val="0"/>
        <w:adjustRightInd/>
        <w:snapToGrid/>
        <w:spacing w:after="0" w:line="360" w:lineRule="auto"/>
        <w:jc w:val="both"/>
        <w:rPr>
          <w:rFonts w:hint="eastAsia" w:ascii="宋体" w:hAnsi="宋体" w:cs="宋体"/>
          <w:color w:val="auto"/>
          <w:szCs w:val="21"/>
          <w:highlight w:val="none"/>
        </w:rPr>
      </w:pPr>
      <w:r>
        <w:rPr>
          <w:rFonts w:hint="eastAsia" w:ascii="宋体" w:hAnsi="宋体" w:cs="宋体"/>
          <w:color w:val="auto"/>
          <w:szCs w:val="21"/>
          <w:highlight w:val="none"/>
        </w:rPr>
        <w:t xml:space="preserve">我方承诺，与买方聘请的为此项目提供咨询服务的公司及任何附属机构均无关联，我方不是买方的附属机构。 </w:t>
      </w:r>
    </w:p>
    <w:p w14:paraId="02E42FE3">
      <w:pPr>
        <w:pageBreakBefore w:val="0"/>
        <w:widowControl w:val="0"/>
        <w:numPr>
          <w:ilvl w:val="0"/>
          <w:numId w:val="9"/>
        </w:numPr>
        <w:shd w:val="clear"/>
        <w:topLinePunct w:val="0"/>
        <w:bidi w:val="0"/>
        <w:adjustRightInd/>
        <w:snapToGrid/>
        <w:spacing w:after="0" w:line="360" w:lineRule="auto"/>
        <w:jc w:val="both"/>
        <w:rPr>
          <w:rFonts w:hint="eastAsia" w:ascii="宋体" w:hAnsi="宋体" w:cs="宋体"/>
          <w:color w:val="auto"/>
          <w:szCs w:val="21"/>
          <w:highlight w:val="none"/>
        </w:rPr>
      </w:pPr>
      <w:r>
        <w:rPr>
          <w:rFonts w:hint="eastAsia" w:ascii="宋体" w:hAnsi="宋体" w:cs="宋体"/>
          <w:color w:val="auto"/>
          <w:szCs w:val="21"/>
          <w:highlight w:val="none"/>
        </w:rPr>
        <w:t>我方承诺，我方具备投标人邀请中所要求的资格条件，已清楚采购文件所有要求及有关规定；并承诺参加本次采购活动中，如有违法、违规、弄虚作假行为，所造成的损失、不良后果及法律责任，一律由我方承担；</w:t>
      </w:r>
    </w:p>
    <w:p w14:paraId="71107495">
      <w:pPr>
        <w:pageBreakBefore w:val="0"/>
        <w:widowControl w:val="0"/>
        <w:numPr>
          <w:ilvl w:val="0"/>
          <w:numId w:val="9"/>
        </w:numPr>
        <w:shd w:val="clear"/>
        <w:topLinePunct w:val="0"/>
        <w:bidi w:val="0"/>
        <w:adjustRightInd/>
        <w:snapToGrid/>
        <w:spacing w:after="0" w:line="360" w:lineRule="auto"/>
        <w:jc w:val="both"/>
        <w:rPr>
          <w:rFonts w:hint="eastAsia" w:ascii="宋体" w:hAnsi="宋体" w:cs="宋体"/>
          <w:color w:val="auto"/>
          <w:szCs w:val="21"/>
          <w:highlight w:val="none"/>
        </w:rPr>
      </w:pPr>
      <w:r>
        <w:rPr>
          <w:rFonts w:hint="eastAsia" w:ascii="宋体" w:hAnsi="宋体" w:cs="宋体"/>
          <w:color w:val="auto"/>
          <w:szCs w:val="21"/>
          <w:highlight w:val="none"/>
        </w:rPr>
        <w:t>我方同意提供按照贵方可能要求的与其投标有关的一切数据或资料。</w:t>
      </w:r>
    </w:p>
    <w:p w14:paraId="36DE721B">
      <w:pPr>
        <w:pageBreakBefore w:val="0"/>
        <w:widowControl w:val="0"/>
        <w:numPr>
          <w:ilvl w:val="0"/>
          <w:numId w:val="9"/>
        </w:numPr>
        <w:shd w:val="clear"/>
        <w:topLinePunct w:val="0"/>
        <w:bidi w:val="0"/>
        <w:adjustRightInd/>
        <w:snapToGrid/>
        <w:spacing w:after="0" w:line="360" w:lineRule="auto"/>
        <w:jc w:val="both"/>
        <w:rPr>
          <w:rFonts w:hint="eastAsia" w:ascii="宋体" w:hAnsi="宋体" w:cs="宋体"/>
          <w:color w:val="auto"/>
          <w:szCs w:val="21"/>
          <w:highlight w:val="none"/>
        </w:rPr>
      </w:pPr>
      <w:r>
        <w:rPr>
          <w:rFonts w:hint="eastAsia" w:ascii="宋体" w:hAnsi="宋体" w:cs="宋体"/>
          <w:color w:val="auto"/>
          <w:szCs w:val="21"/>
          <w:highlight w:val="none"/>
        </w:rPr>
        <w:t>与本投标有关的一切正式信函请寄：</w:t>
      </w:r>
    </w:p>
    <w:p w14:paraId="63A13F7E">
      <w:pPr>
        <w:pageBreakBefore w:val="0"/>
        <w:shd w:val="clear"/>
        <w:topLinePunct w:val="0"/>
        <w:bidi w:val="0"/>
        <w:spacing w:after="0" w:line="360" w:lineRule="auto"/>
        <w:rPr>
          <w:rFonts w:hint="eastAsia" w:ascii="宋体" w:hAnsi="宋体" w:cs="宋体"/>
          <w:color w:val="auto"/>
          <w:szCs w:val="21"/>
          <w:highlight w:val="none"/>
        </w:rPr>
      </w:pPr>
    </w:p>
    <w:p w14:paraId="3881CC68">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地址：　　　　　　　　　　　　　　　　　　　 电子邮箱：</w:t>
      </w:r>
    </w:p>
    <w:p w14:paraId="4BBEC63F">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电话/移动电话：　　　　　　　　　　　　　　　</w:t>
      </w:r>
    </w:p>
    <w:p w14:paraId="4E08EA76">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投标人法定代表人（或其授权代表）签字： </w:t>
      </w:r>
    </w:p>
    <w:p w14:paraId="3D5E8E37">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投标人名称（全称）： </w:t>
      </w:r>
    </w:p>
    <w:p w14:paraId="7F6348F5">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投标人盖章： </w:t>
      </w:r>
    </w:p>
    <w:p w14:paraId="3702C057">
      <w:pPr>
        <w:pageBreakBefore w:val="0"/>
        <w:shd w:val="clear"/>
        <w:topLinePunct w:val="0"/>
        <w:bidi w:val="0"/>
        <w:spacing w:after="0" w:line="360" w:lineRule="auto"/>
        <w:rPr>
          <w:rFonts w:hint="eastAsia" w:ascii="宋体" w:hAnsi="宋体" w:cs="宋体"/>
          <w:color w:val="auto"/>
          <w:highlight w:val="none"/>
        </w:rPr>
      </w:pPr>
      <w:r>
        <w:rPr>
          <w:rFonts w:hint="eastAsia" w:ascii="宋体" w:hAnsi="宋体" w:cs="宋体"/>
          <w:color w:val="auto"/>
          <w:szCs w:val="21"/>
          <w:highlight w:val="none"/>
        </w:rPr>
        <w:t>日期：</w:t>
      </w:r>
      <w:r>
        <w:rPr>
          <w:rFonts w:hint="eastAsia" w:ascii="宋体" w:hAnsi="宋体" w:cs="宋体"/>
          <w:color w:val="auto"/>
          <w:highlight w:val="none"/>
        </w:rPr>
        <w:br w:type="page"/>
      </w:r>
    </w:p>
    <w:p w14:paraId="43FDD4A4">
      <w:pPr>
        <w:pStyle w:val="6"/>
        <w:pageBreakBefore w:val="0"/>
        <w:widowControl w:val="0"/>
        <w:shd w:val="clear"/>
        <w:overflowPunct w:val="0"/>
        <w:topLinePunct w:val="0"/>
        <w:bidi w:val="0"/>
        <w:spacing w:after="0" w:line="360" w:lineRule="auto"/>
        <w:rPr>
          <w:rFonts w:hint="eastAsia" w:ascii="宋体" w:hAnsi="宋体" w:cs="宋体"/>
          <w:color w:val="auto"/>
          <w:sz w:val="21"/>
          <w:szCs w:val="21"/>
          <w:highlight w:val="none"/>
        </w:rPr>
      </w:pPr>
      <w:bookmarkStart w:id="229" w:name="_Toc1217"/>
      <w:bookmarkStart w:id="230" w:name="_Toc29231"/>
      <w:r>
        <w:rPr>
          <w:rFonts w:hint="eastAsia" w:ascii="宋体" w:hAnsi="宋体" w:cs="宋体"/>
          <w:color w:val="auto"/>
          <w:sz w:val="21"/>
          <w:szCs w:val="21"/>
          <w:highlight w:val="none"/>
        </w:rPr>
        <w:t>附件</w:t>
      </w:r>
      <w:r>
        <w:rPr>
          <w:rFonts w:hint="eastAsia" w:ascii="宋体" w:hAnsi="宋体" w:cs="宋体"/>
          <w:color w:val="auto"/>
          <w:sz w:val="21"/>
          <w:szCs w:val="21"/>
          <w:highlight w:val="none"/>
          <w:lang w:val="en-US" w:eastAsia="zh-CN"/>
        </w:rPr>
        <w:t>5</w:t>
      </w:r>
      <w:r>
        <w:rPr>
          <w:rFonts w:hint="eastAsia" w:ascii="宋体" w:hAnsi="宋体" w:cs="宋体"/>
          <w:color w:val="auto"/>
          <w:sz w:val="21"/>
          <w:szCs w:val="21"/>
          <w:highlight w:val="none"/>
        </w:rPr>
        <w:t>.法定代表人证明书格式</w:t>
      </w:r>
      <w:bookmarkEnd w:id="229"/>
      <w:bookmarkEnd w:id="230"/>
    </w:p>
    <w:p w14:paraId="12935F7E">
      <w:pPr>
        <w:pageBreakBefore w:val="0"/>
        <w:shd w:val="clear"/>
        <w:topLinePunct w:val="0"/>
        <w:bidi w:val="0"/>
        <w:spacing w:after="0" w:line="360" w:lineRule="auto"/>
        <w:rPr>
          <w:rFonts w:hint="eastAsia" w:ascii="宋体" w:hAnsi="宋体" w:cs="宋体"/>
          <w:color w:val="auto"/>
          <w:highlight w:val="none"/>
        </w:rPr>
      </w:pPr>
    </w:p>
    <w:p w14:paraId="3774CED9">
      <w:pPr>
        <w:pageBreakBefore w:val="0"/>
        <w:shd w:val="clear"/>
        <w:topLinePunct w:val="0"/>
        <w:bidi w:val="0"/>
        <w:spacing w:after="0" w:line="360" w:lineRule="auto"/>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法定代表人证明书</w:t>
      </w:r>
    </w:p>
    <w:p w14:paraId="09065469">
      <w:pPr>
        <w:pStyle w:val="48"/>
        <w:pageBreakBefore w:val="0"/>
        <w:shd w:val="clear"/>
        <w:topLinePunct w:val="0"/>
        <w:bidi w:val="0"/>
        <w:spacing w:after="0" w:line="360" w:lineRule="auto"/>
        <w:ind w:firstLine="0" w:firstLineChars="0"/>
        <w:rPr>
          <w:rFonts w:hint="eastAsia" w:ascii="宋体" w:eastAsia="宋体" w:cs="宋体"/>
          <w:color w:val="auto"/>
          <w:sz w:val="21"/>
          <w:szCs w:val="21"/>
          <w:highlight w:val="none"/>
        </w:rPr>
      </w:pPr>
      <w:r>
        <w:rPr>
          <w:rFonts w:hint="eastAsia" w:ascii="宋体" w:eastAsia="宋体" w:cs="宋体"/>
          <w:color w:val="auto"/>
          <w:sz w:val="21"/>
          <w:szCs w:val="21"/>
          <w:highlight w:val="none"/>
        </w:rPr>
        <w:t>致：xxx公司（采购人）：</w:t>
      </w:r>
    </w:p>
    <w:p w14:paraId="3FF85AC6">
      <w:pPr>
        <w:pStyle w:val="48"/>
        <w:pageBreakBefore w:val="0"/>
        <w:shd w:val="clear"/>
        <w:topLinePunct w:val="0"/>
        <w:bidi w:val="0"/>
        <w:spacing w:after="0" w:line="360" w:lineRule="auto"/>
        <w:ind w:firstLine="433"/>
        <w:rPr>
          <w:rFonts w:hint="eastAsia" w:ascii="宋体" w:eastAsia="宋体" w:cs="宋体"/>
          <w:color w:val="auto"/>
          <w:sz w:val="21"/>
          <w:szCs w:val="21"/>
          <w:highlight w:val="none"/>
        </w:rPr>
      </w:pPr>
    </w:p>
    <w:p w14:paraId="7FA606A2">
      <w:pPr>
        <w:pStyle w:val="48"/>
        <w:pageBreakBefore w:val="0"/>
        <w:shd w:val="clear"/>
        <w:topLinePunct w:val="0"/>
        <w:bidi w:val="0"/>
        <w:spacing w:after="0" w:line="360" w:lineRule="auto"/>
        <w:ind w:firstLine="433"/>
        <w:rPr>
          <w:rFonts w:hint="eastAsia" w:ascii="宋体" w:eastAsia="宋体" w:cs="宋体"/>
          <w:color w:val="auto"/>
          <w:sz w:val="21"/>
          <w:szCs w:val="21"/>
          <w:highlight w:val="none"/>
          <w:u w:val="single"/>
        </w:rPr>
      </w:pPr>
      <w:r>
        <w:rPr>
          <w:rFonts w:hint="eastAsia" w:ascii="宋体" w:eastAsia="宋体" w:cs="宋体"/>
          <w:color w:val="auto"/>
          <w:sz w:val="21"/>
          <w:szCs w:val="21"/>
          <w:highlight w:val="none"/>
        </w:rPr>
        <w:t>投标人名称:</w:t>
      </w:r>
    </w:p>
    <w:p w14:paraId="7CA52E05">
      <w:pPr>
        <w:pStyle w:val="48"/>
        <w:pageBreakBefore w:val="0"/>
        <w:shd w:val="clear"/>
        <w:topLinePunct w:val="0"/>
        <w:bidi w:val="0"/>
        <w:spacing w:after="0" w:line="360" w:lineRule="auto"/>
        <w:ind w:firstLine="433"/>
        <w:rPr>
          <w:rFonts w:hint="eastAsia" w:ascii="宋体" w:eastAsia="宋体" w:cs="宋体"/>
          <w:color w:val="auto"/>
          <w:sz w:val="21"/>
          <w:szCs w:val="21"/>
          <w:highlight w:val="none"/>
          <w:u w:val="single"/>
        </w:rPr>
      </w:pPr>
      <w:r>
        <w:rPr>
          <w:rFonts w:hint="eastAsia" w:ascii="宋体" w:eastAsia="宋体" w:cs="宋体"/>
          <w:color w:val="auto"/>
          <w:sz w:val="21"/>
          <w:szCs w:val="21"/>
          <w:highlight w:val="none"/>
        </w:rPr>
        <w:t>单 位 性质：</w:t>
      </w:r>
    </w:p>
    <w:p w14:paraId="192B0771">
      <w:pPr>
        <w:pStyle w:val="48"/>
        <w:pageBreakBefore w:val="0"/>
        <w:shd w:val="clear"/>
        <w:topLinePunct w:val="0"/>
        <w:bidi w:val="0"/>
        <w:spacing w:after="0" w:line="360" w:lineRule="auto"/>
        <w:ind w:firstLine="433"/>
        <w:rPr>
          <w:rFonts w:hint="eastAsia" w:ascii="宋体" w:eastAsia="宋体" w:cs="宋体"/>
          <w:color w:val="auto"/>
          <w:sz w:val="21"/>
          <w:szCs w:val="21"/>
          <w:highlight w:val="none"/>
          <w:u w:val="single"/>
        </w:rPr>
      </w:pPr>
      <w:r>
        <w:rPr>
          <w:rFonts w:hint="eastAsia" w:ascii="宋体" w:eastAsia="宋体" w:cs="宋体"/>
          <w:color w:val="auto"/>
          <w:sz w:val="21"/>
          <w:szCs w:val="21"/>
          <w:highlight w:val="none"/>
        </w:rPr>
        <w:t>地      址：</w:t>
      </w:r>
    </w:p>
    <w:p w14:paraId="7454E778">
      <w:pPr>
        <w:pStyle w:val="48"/>
        <w:pageBreakBefore w:val="0"/>
        <w:shd w:val="clear"/>
        <w:topLinePunct w:val="0"/>
        <w:bidi w:val="0"/>
        <w:spacing w:after="0" w:line="360" w:lineRule="auto"/>
        <w:ind w:firstLine="433"/>
        <w:rPr>
          <w:rFonts w:hint="eastAsia" w:ascii="宋体" w:eastAsia="宋体" w:cs="宋体"/>
          <w:color w:val="auto"/>
          <w:sz w:val="21"/>
          <w:szCs w:val="21"/>
          <w:highlight w:val="none"/>
        </w:rPr>
      </w:pPr>
      <w:r>
        <w:rPr>
          <w:rFonts w:hint="eastAsia" w:ascii="宋体" w:eastAsia="宋体" w:cs="宋体"/>
          <w:color w:val="auto"/>
          <w:sz w:val="21"/>
          <w:szCs w:val="21"/>
          <w:highlight w:val="none"/>
        </w:rPr>
        <w:t>成 立 时间：年月日</w:t>
      </w:r>
    </w:p>
    <w:p w14:paraId="463A80CD">
      <w:pPr>
        <w:pStyle w:val="48"/>
        <w:pageBreakBefore w:val="0"/>
        <w:shd w:val="clear"/>
        <w:topLinePunct w:val="0"/>
        <w:bidi w:val="0"/>
        <w:spacing w:after="0" w:line="360" w:lineRule="auto"/>
        <w:ind w:firstLine="433"/>
        <w:rPr>
          <w:rFonts w:hint="eastAsia" w:ascii="宋体" w:eastAsia="宋体" w:cs="宋体"/>
          <w:color w:val="auto"/>
          <w:sz w:val="21"/>
          <w:szCs w:val="21"/>
          <w:highlight w:val="none"/>
        </w:rPr>
      </w:pPr>
      <w:r>
        <w:rPr>
          <w:rFonts w:hint="eastAsia" w:ascii="宋体" w:eastAsia="宋体" w:cs="宋体"/>
          <w:color w:val="auto"/>
          <w:sz w:val="21"/>
          <w:szCs w:val="21"/>
          <w:highlight w:val="none"/>
        </w:rPr>
        <w:t>经 营 期限：</w:t>
      </w:r>
    </w:p>
    <w:p w14:paraId="03C419F8">
      <w:pPr>
        <w:pStyle w:val="48"/>
        <w:pageBreakBefore w:val="0"/>
        <w:shd w:val="clear"/>
        <w:topLinePunct w:val="0"/>
        <w:bidi w:val="0"/>
        <w:spacing w:after="0" w:line="360" w:lineRule="auto"/>
        <w:ind w:firstLine="433"/>
        <w:rPr>
          <w:rFonts w:hint="eastAsia" w:ascii="宋体" w:eastAsia="宋体" w:cs="宋体"/>
          <w:color w:val="auto"/>
          <w:sz w:val="21"/>
          <w:szCs w:val="21"/>
          <w:highlight w:val="none"/>
        </w:rPr>
      </w:pPr>
      <w:r>
        <w:rPr>
          <w:rFonts w:hint="eastAsia" w:ascii="宋体" w:eastAsia="宋体" w:cs="宋体"/>
          <w:color w:val="auto"/>
          <w:sz w:val="21"/>
          <w:szCs w:val="21"/>
          <w:highlight w:val="none"/>
        </w:rPr>
        <w:t>姓名：性别：年龄：职务：</w:t>
      </w:r>
    </w:p>
    <w:p w14:paraId="1553C0A5">
      <w:pPr>
        <w:pStyle w:val="48"/>
        <w:pageBreakBefore w:val="0"/>
        <w:shd w:val="clear"/>
        <w:topLinePunct w:val="0"/>
        <w:bidi w:val="0"/>
        <w:spacing w:after="0" w:line="360" w:lineRule="auto"/>
        <w:ind w:firstLine="433"/>
        <w:rPr>
          <w:rFonts w:hint="eastAsia" w:ascii="宋体" w:eastAsia="宋体" w:cs="宋体"/>
          <w:color w:val="auto"/>
          <w:sz w:val="21"/>
          <w:szCs w:val="21"/>
          <w:highlight w:val="none"/>
        </w:rPr>
      </w:pPr>
      <w:r>
        <w:rPr>
          <w:rFonts w:hint="eastAsia" w:ascii="宋体" w:eastAsia="宋体" w:cs="宋体"/>
          <w:color w:val="auto"/>
          <w:sz w:val="21"/>
          <w:szCs w:val="21"/>
          <w:highlight w:val="none"/>
        </w:rPr>
        <w:t>系（投标人名称）的法定代表人。</w:t>
      </w:r>
    </w:p>
    <w:p w14:paraId="405BE02D">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特此证明。</w:t>
      </w:r>
    </w:p>
    <w:p w14:paraId="351E00B0">
      <w:pPr>
        <w:pStyle w:val="48"/>
        <w:pageBreakBefore w:val="0"/>
        <w:shd w:val="clear"/>
        <w:topLinePunct w:val="0"/>
        <w:bidi w:val="0"/>
        <w:spacing w:after="0" w:line="360" w:lineRule="auto"/>
        <w:ind w:firstLine="3517" w:firstLineChars="1675"/>
        <w:rPr>
          <w:rFonts w:hint="eastAsia" w:ascii="宋体" w:eastAsia="宋体" w:cs="宋体"/>
          <w:color w:val="auto"/>
          <w:sz w:val="21"/>
          <w:szCs w:val="21"/>
          <w:highlight w:val="none"/>
        </w:rPr>
      </w:pPr>
    </w:p>
    <w:p w14:paraId="533A27DF">
      <w:pPr>
        <w:pStyle w:val="48"/>
        <w:pageBreakBefore w:val="0"/>
        <w:shd w:val="clear"/>
        <w:topLinePunct w:val="0"/>
        <w:bidi w:val="0"/>
        <w:spacing w:after="0" w:line="360" w:lineRule="auto"/>
        <w:ind w:firstLine="3517" w:firstLineChars="1675"/>
        <w:rPr>
          <w:rFonts w:hint="eastAsia" w:ascii="宋体" w:eastAsia="宋体" w:cs="宋体"/>
          <w:color w:val="auto"/>
          <w:sz w:val="21"/>
          <w:szCs w:val="21"/>
          <w:highlight w:val="none"/>
        </w:rPr>
      </w:pPr>
      <w:r>
        <w:rPr>
          <w:rFonts w:hint="eastAsia" w:ascii="宋体" w:eastAsia="宋体" w:cs="宋体"/>
          <w:color w:val="auto"/>
          <w:sz w:val="21"/>
          <w:szCs w:val="21"/>
          <w:highlight w:val="none"/>
        </w:rPr>
        <w:t>投标人名称（加盖公章）：</w:t>
      </w:r>
    </w:p>
    <w:p w14:paraId="2F30B3CB">
      <w:pPr>
        <w:pStyle w:val="48"/>
        <w:pageBreakBefore w:val="0"/>
        <w:shd w:val="clear"/>
        <w:topLinePunct w:val="0"/>
        <w:bidi w:val="0"/>
        <w:spacing w:after="0" w:line="360" w:lineRule="auto"/>
        <w:ind w:firstLine="3517" w:firstLineChars="1675"/>
        <w:rPr>
          <w:rFonts w:hint="eastAsia" w:ascii="宋体" w:eastAsia="宋体" w:cs="宋体"/>
          <w:color w:val="auto"/>
          <w:sz w:val="21"/>
          <w:szCs w:val="21"/>
          <w:highlight w:val="none"/>
        </w:rPr>
      </w:pPr>
      <w:r>
        <w:rPr>
          <w:rFonts w:hint="eastAsia" w:ascii="宋体" w:eastAsia="宋体" w:cs="宋体"/>
          <w:color w:val="auto"/>
          <w:sz w:val="21"/>
          <w:szCs w:val="21"/>
          <w:highlight w:val="none"/>
        </w:rPr>
        <w:t>法定代表人（签名或盖私章）：</w:t>
      </w:r>
    </w:p>
    <w:p w14:paraId="012D748D">
      <w:pPr>
        <w:pStyle w:val="48"/>
        <w:pageBreakBefore w:val="0"/>
        <w:shd w:val="clear"/>
        <w:topLinePunct w:val="0"/>
        <w:bidi w:val="0"/>
        <w:spacing w:after="0" w:line="360" w:lineRule="auto"/>
        <w:ind w:firstLine="3517" w:firstLineChars="1675"/>
        <w:rPr>
          <w:rFonts w:hint="eastAsia" w:ascii="宋体" w:eastAsia="宋体" w:cs="宋体"/>
          <w:color w:val="auto"/>
          <w:sz w:val="21"/>
          <w:szCs w:val="21"/>
          <w:highlight w:val="none"/>
        </w:rPr>
      </w:pPr>
      <w:r>
        <w:rPr>
          <w:rFonts w:hint="eastAsia" w:ascii="宋体" w:eastAsia="宋体" w:cs="宋体"/>
          <w:color w:val="auto"/>
          <w:sz w:val="21"/>
          <w:szCs w:val="21"/>
          <w:highlight w:val="none"/>
        </w:rPr>
        <w:t>法定代表人联系方式：</w:t>
      </w:r>
    </w:p>
    <w:p w14:paraId="7655E7C7">
      <w:pPr>
        <w:pStyle w:val="48"/>
        <w:pageBreakBefore w:val="0"/>
        <w:shd w:val="clear"/>
        <w:topLinePunct w:val="0"/>
        <w:bidi w:val="0"/>
        <w:spacing w:after="0" w:line="360" w:lineRule="auto"/>
        <w:ind w:firstLine="3517" w:firstLineChars="1675"/>
        <w:rPr>
          <w:rFonts w:hint="eastAsia" w:ascii="宋体" w:eastAsia="宋体" w:cs="宋体"/>
          <w:color w:val="auto"/>
          <w:sz w:val="21"/>
          <w:szCs w:val="21"/>
          <w:highlight w:val="none"/>
          <w:u w:val="single"/>
        </w:rPr>
      </w:pPr>
      <w:r>
        <w:rPr>
          <w:rFonts w:hint="eastAsia" w:ascii="宋体" w:eastAsia="宋体" w:cs="宋体"/>
          <w:color w:val="auto"/>
          <w:sz w:val="21"/>
          <w:szCs w:val="21"/>
          <w:highlight w:val="none"/>
        </w:rPr>
        <w:t>身份证号码：</w:t>
      </w:r>
    </w:p>
    <w:p w14:paraId="1A762FCD">
      <w:pPr>
        <w:pStyle w:val="48"/>
        <w:pageBreakBefore w:val="0"/>
        <w:shd w:val="clear"/>
        <w:topLinePunct w:val="0"/>
        <w:bidi w:val="0"/>
        <w:spacing w:after="0" w:line="360" w:lineRule="auto"/>
        <w:ind w:firstLine="3507" w:firstLineChars="1670"/>
        <w:rPr>
          <w:rFonts w:hint="eastAsia" w:ascii="宋体" w:eastAsia="宋体" w:cs="宋体"/>
          <w:color w:val="auto"/>
          <w:sz w:val="21"/>
          <w:szCs w:val="21"/>
          <w:highlight w:val="none"/>
        </w:rPr>
      </w:pPr>
      <w:r>
        <w:rPr>
          <w:rFonts w:hint="eastAsia" w:ascii="宋体" w:eastAsia="宋体" w:cs="宋体"/>
          <w:color w:val="auto"/>
          <w:sz w:val="21"/>
          <w:szCs w:val="21"/>
          <w:highlight w:val="none"/>
        </w:rPr>
        <w:t>日     期：  年  月  日</w:t>
      </w:r>
    </w:p>
    <w:p w14:paraId="7712147A">
      <w:pPr>
        <w:pageBreakBefore w:val="0"/>
        <w:shd w:val="clear"/>
        <w:topLinePunct w:val="0"/>
        <w:bidi w:val="0"/>
        <w:spacing w:after="0" w:line="360" w:lineRule="auto"/>
        <w:ind w:firstLine="420" w:firstLineChars="200"/>
        <w:rPr>
          <w:rFonts w:hint="eastAsia" w:ascii="宋体" w:hAnsi="宋体" w:cs="宋体"/>
          <w:color w:val="auto"/>
          <w:szCs w:val="21"/>
          <w:highlight w:val="none"/>
        </w:rPr>
      </w:pPr>
    </w:p>
    <w:p w14:paraId="7E8849E5">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注：法定代表人身份证明书需附法人代表身份证复印件。</w:t>
      </w:r>
    </w:p>
    <w:tbl>
      <w:tblPr>
        <w:tblStyle w:val="32"/>
        <w:tblW w:w="8364" w:type="dxa"/>
        <w:jc w:val="center"/>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4182"/>
        <w:gridCol w:w="4182"/>
      </w:tblGrid>
      <w:tr w14:paraId="49F1D308">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2517" w:hRule="atLeast"/>
          <w:jc w:val="center"/>
        </w:trPr>
        <w:tc>
          <w:tcPr>
            <w:tcW w:w="4182" w:type="dxa"/>
            <w:vAlign w:val="center"/>
          </w:tcPr>
          <w:p w14:paraId="164EB583">
            <w:pPr>
              <w:pStyle w:val="48"/>
              <w:pageBreakBefore w:val="0"/>
              <w:shd w:val="clear"/>
              <w:topLinePunct w:val="0"/>
              <w:bidi w:val="0"/>
              <w:spacing w:after="0" w:line="360" w:lineRule="auto"/>
              <w:ind w:firstLine="0" w:firstLineChars="0"/>
              <w:jc w:val="center"/>
              <w:rPr>
                <w:rFonts w:hint="eastAsia" w:ascii="宋体" w:eastAsia="宋体" w:cs="宋体"/>
                <w:color w:val="auto"/>
                <w:sz w:val="22"/>
                <w:highlight w:val="none"/>
              </w:rPr>
            </w:pPr>
            <w:r>
              <w:rPr>
                <w:rFonts w:hint="eastAsia" w:ascii="宋体" w:eastAsia="宋体" w:cs="宋体"/>
                <w:color w:val="auto"/>
                <w:sz w:val="22"/>
                <w:highlight w:val="none"/>
              </w:rPr>
              <w:t>正面</w:t>
            </w:r>
          </w:p>
        </w:tc>
        <w:tc>
          <w:tcPr>
            <w:tcW w:w="4182" w:type="dxa"/>
            <w:vAlign w:val="center"/>
          </w:tcPr>
          <w:p w14:paraId="0ABBD388">
            <w:pPr>
              <w:pStyle w:val="48"/>
              <w:pageBreakBefore w:val="0"/>
              <w:shd w:val="clear"/>
              <w:topLinePunct w:val="0"/>
              <w:bidi w:val="0"/>
              <w:spacing w:after="0" w:line="360" w:lineRule="auto"/>
              <w:ind w:firstLine="0" w:firstLineChars="0"/>
              <w:jc w:val="center"/>
              <w:rPr>
                <w:rFonts w:hint="eastAsia" w:ascii="宋体" w:eastAsia="宋体" w:cs="宋体"/>
                <w:color w:val="auto"/>
                <w:sz w:val="22"/>
                <w:highlight w:val="none"/>
              </w:rPr>
            </w:pPr>
            <w:r>
              <w:rPr>
                <w:rFonts w:hint="eastAsia" w:ascii="宋体" w:eastAsia="宋体" w:cs="宋体"/>
                <w:color w:val="auto"/>
                <w:sz w:val="22"/>
                <w:highlight w:val="none"/>
              </w:rPr>
              <w:t>背面</w:t>
            </w:r>
          </w:p>
        </w:tc>
      </w:tr>
    </w:tbl>
    <w:p w14:paraId="76752FDA">
      <w:pPr>
        <w:pageBreakBefore w:val="0"/>
        <w:shd w:val="clear"/>
        <w:topLinePunct w:val="0"/>
        <w:bidi w:val="0"/>
        <w:spacing w:after="0" w:line="360" w:lineRule="auto"/>
        <w:rPr>
          <w:rFonts w:hint="eastAsia" w:ascii="宋体" w:hAnsi="宋体" w:cs="宋体"/>
          <w:color w:val="auto"/>
          <w:highlight w:val="none"/>
        </w:rPr>
      </w:pPr>
    </w:p>
    <w:p w14:paraId="76F2541D">
      <w:pPr>
        <w:pStyle w:val="6"/>
        <w:pageBreakBefore w:val="0"/>
        <w:widowControl w:val="0"/>
        <w:shd w:val="clear"/>
        <w:overflowPunct w:val="0"/>
        <w:topLinePunct w:val="0"/>
        <w:bidi w:val="0"/>
        <w:spacing w:after="0" w:line="360" w:lineRule="auto"/>
        <w:rPr>
          <w:rFonts w:hint="eastAsia" w:ascii="宋体" w:hAnsi="宋体" w:cs="宋体"/>
          <w:color w:val="auto"/>
          <w:highlight w:val="none"/>
        </w:rPr>
      </w:pPr>
      <w:bookmarkStart w:id="231" w:name="_Toc14439"/>
      <w:bookmarkStart w:id="232" w:name="_Toc4704"/>
      <w:r>
        <w:rPr>
          <w:rFonts w:hint="eastAsia" w:ascii="宋体" w:hAnsi="宋体" w:cs="宋体"/>
          <w:color w:val="auto"/>
          <w:sz w:val="21"/>
          <w:szCs w:val="21"/>
          <w:highlight w:val="none"/>
        </w:rPr>
        <w:t>附件</w:t>
      </w:r>
      <w:r>
        <w:rPr>
          <w:rFonts w:hint="eastAsia" w:ascii="宋体" w:hAnsi="宋体" w:cs="宋体"/>
          <w:color w:val="auto"/>
          <w:sz w:val="21"/>
          <w:szCs w:val="21"/>
          <w:highlight w:val="none"/>
          <w:lang w:val="en-US" w:eastAsia="zh-CN"/>
        </w:rPr>
        <w:t>6</w:t>
      </w:r>
      <w:r>
        <w:rPr>
          <w:rFonts w:hint="eastAsia" w:ascii="宋体" w:hAnsi="宋体" w:cs="宋体"/>
          <w:color w:val="auto"/>
          <w:sz w:val="21"/>
          <w:szCs w:val="21"/>
          <w:highlight w:val="none"/>
        </w:rPr>
        <w:t>.法定代表人授权书格式</w:t>
      </w:r>
      <w:bookmarkEnd w:id="231"/>
      <w:bookmarkEnd w:id="232"/>
    </w:p>
    <w:p w14:paraId="25C539F1">
      <w:pPr>
        <w:pageBreakBefore w:val="0"/>
        <w:shd w:val="clear"/>
        <w:topLinePunct w:val="0"/>
        <w:bidi w:val="0"/>
        <w:spacing w:after="0" w:line="360" w:lineRule="auto"/>
        <w:rPr>
          <w:rFonts w:hint="eastAsia" w:ascii="宋体" w:hAnsi="宋体" w:cs="宋体"/>
          <w:color w:val="auto"/>
          <w:highlight w:val="none"/>
        </w:rPr>
      </w:pPr>
    </w:p>
    <w:p w14:paraId="0D4ABB36">
      <w:pPr>
        <w:pageBreakBefore w:val="0"/>
        <w:shd w:val="clear"/>
        <w:topLinePunct w:val="0"/>
        <w:bidi w:val="0"/>
        <w:spacing w:after="0" w:line="360" w:lineRule="auto"/>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法定代表人授权书</w:t>
      </w:r>
    </w:p>
    <w:p w14:paraId="7818237C">
      <w:pPr>
        <w:pStyle w:val="48"/>
        <w:pageBreakBefore w:val="0"/>
        <w:shd w:val="clear"/>
        <w:topLinePunct w:val="0"/>
        <w:bidi w:val="0"/>
        <w:spacing w:after="0" w:line="360" w:lineRule="auto"/>
        <w:ind w:firstLine="0" w:firstLineChars="0"/>
        <w:rPr>
          <w:rFonts w:hint="eastAsia" w:ascii="宋体" w:eastAsia="宋体" w:cs="宋体"/>
          <w:color w:val="auto"/>
          <w:sz w:val="21"/>
          <w:szCs w:val="21"/>
          <w:highlight w:val="none"/>
        </w:rPr>
      </w:pPr>
      <w:r>
        <w:rPr>
          <w:rFonts w:hint="eastAsia" w:ascii="宋体" w:eastAsia="宋体" w:cs="宋体"/>
          <w:color w:val="auto"/>
          <w:sz w:val="21"/>
          <w:szCs w:val="21"/>
          <w:highlight w:val="none"/>
        </w:rPr>
        <w:t>致：xxx公司（采购人）：</w:t>
      </w:r>
    </w:p>
    <w:p w14:paraId="27B2C5E9">
      <w:pPr>
        <w:pStyle w:val="48"/>
        <w:pageBreakBefore w:val="0"/>
        <w:shd w:val="clear"/>
        <w:topLinePunct w:val="0"/>
        <w:bidi w:val="0"/>
        <w:spacing w:after="0" w:line="360" w:lineRule="auto"/>
        <w:ind w:firstLine="433"/>
        <w:rPr>
          <w:rFonts w:hint="eastAsia" w:ascii="宋体" w:eastAsia="宋体" w:cs="宋体"/>
          <w:color w:val="auto"/>
          <w:sz w:val="21"/>
          <w:szCs w:val="21"/>
          <w:highlight w:val="none"/>
        </w:rPr>
      </w:pPr>
    </w:p>
    <w:p w14:paraId="57C77DD4">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本授权书声明：注册于</w:t>
      </w:r>
      <w:r>
        <w:rPr>
          <w:rFonts w:hint="eastAsia" w:ascii="宋体" w:hAnsi="宋体" w:cs="宋体"/>
          <w:color w:val="auto"/>
          <w:szCs w:val="21"/>
          <w:highlight w:val="none"/>
          <w:u w:val="single"/>
        </w:rPr>
        <w:t>（国家或地区的名称）</w:t>
      </w:r>
      <w:r>
        <w:rPr>
          <w:rFonts w:hint="eastAsia" w:ascii="宋体" w:hAnsi="宋体" w:cs="宋体"/>
          <w:color w:val="auto"/>
          <w:szCs w:val="21"/>
          <w:highlight w:val="none"/>
        </w:rPr>
        <w:t>的</w:t>
      </w:r>
      <w:r>
        <w:rPr>
          <w:rFonts w:hint="eastAsia" w:ascii="宋体" w:hAnsi="宋体" w:cs="宋体"/>
          <w:color w:val="auto"/>
          <w:szCs w:val="21"/>
          <w:highlight w:val="none"/>
          <w:u w:val="single"/>
        </w:rPr>
        <w:t>（单位名称）</w:t>
      </w:r>
      <w:r>
        <w:rPr>
          <w:rFonts w:hint="eastAsia" w:ascii="宋体" w:hAnsi="宋体" w:cs="宋体"/>
          <w:color w:val="auto"/>
          <w:szCs w:val="21"/>
          <w:highlight w:val="none"/>
        </w:rPr>
        <w:t>的在下面签字的</w:t>
      </w:r>
      <w:r>
        <w:rPr>
          <w:rFonts w:hint="eastAsia" w:ascii="宋体" w:hAnsi="宋体" w:cs="宋体"/>
          <w:color w:val="auto"/>
          <w:szCs w:val="21"/>
          <w:highlight w:val="none"/>
          <w:u w:val="single"/>
        </w:rPr>
        <w:t>（法定代表人姓名、职务）</w:t>
      </w:r>
      <w:r>
        <w:rPr>
          <w:rFonts w:hint="eastAsia" w:ascii="宋体" w:hAnsi="宋体" w:cs="宋体"/>
          <w:color w:val="auto"/>
          <w:szCs w:val="21"/>
          <w:highlight w:val="none"/>
        </w:rPr>
        <w:t>代表本单位授权</w:t>
      </w:r>
      <w:r>
        <w:rPr>
          <w:rFonts w:hint="eastAsia" w:ascii="宋体" w:hAnsi="宋体" w:cs="宋体"/>
          <w:color w:val="auto"/>
          <w:szCs w:val="21"/>
          <w:highlight w:val="none"/>
          <w:u w:val="single"/>
        </w:rPr>
        <w:t>（单位名称）</w:t>
      </w:r>
      <w:r>
        <w:rPr>
          <w:rFonts w:hint="eastAsia" w:ascii="宋体" w:hAnsi="宋体" w:cs="宋体"/>
          <w:color w:val="auto"/>
          <w:szCs w:val="21"/>
          <w:highlight w:val="none"/>
        </w:rPr>
        <w:t>的在下面签字的</w:t>
      </w:r>
      <w:r>
        <w:rPr>
          <w:rFonts w:hint="eastAsia" w:ascii="宋体" w:hAnsi="宋体" w:cs="宋体"/>
          <w:color w:val="auto"/>
          <w:szCs w:val="21"/>
          <w:highlight w:val="none"/>
          <w:u w:val="single"/>
        </w:rPr>
        <w:t>（被授权人的姓名、职务）</w:t>
      </w:r>
      <w:r>
        <w:rPr>
          <w:rFonts w:hint="eastAsia" w:ascii="宋体" w:hAnsi="宋体" w:cs="宋体"/>
          <w:color w:val="auto"/>
          <w:szCs w:val="21"/>
          <w:highlight w:val="none"/>
        </w:rPr>
        <w:t>为本单位的合法代理人，就</w:t>
      </w:r>
      <w:r>
        <w:rPr>
          <w:rFonts w:hint="eastAsia" w:ascii="宋体" w:hAnsi="宋体" w:cs="宋体"/>
          <w:color w:val="auto"/>
          <w:szCs w:val="21"/>
          <w:highlight w:val="none"/>
          <w:u w:val="single"/>
        </w:rPr>
        <w:t>（项目名称）</w:t>
      </w:r>
      <w:r>
        <w:rPr>
          <w:rFonts w:hint="eastAsia" w:ascii="宋体" w:hAnsi="宋体" w:cs="宋体"/>
          <w:color w:val="auto"/>
          <w:szCs w:val="21"/>
          <w:highlight w:val="none"/>
        </w:rPr>
        <w:t>投标及参加项目谈判，以本单位名义处理一切与之有关的事务。</w:t>
      </w:r>
    </w:p>
    <w:p w14:paraId="705C5E1D">
      <w:pPr>
        <w:pageBreakBefore w:val="0"/>
        <w:shd w:val="clear"/>
        <w:topLinePunct w:val="0"/>
        <w:bidi w:val="0"/>
        <w:spacing w:after="0" w:line="360" w:lineRule="auto"/>
        <w:ind w:firstLine="315" w:firstLineChars="150"/>
        <w:rPr>
          <w:rFonts w:hint="eastAsia" w:ascii="宋体" w:hAnsi="宋体" w:cs="宋体"/>
          <w:color w:val="auto"/>
          <w:szCs w:val="21"/>
          <w:highlight w:val="none"/>
        </w:rPr>
      </w:pPr>
      <w:r>
        <w:rPr>
          <w:rFonts w:hint="eastAsia" w:ascii="宋体" w:hAnsi="宋体" w:cs="宋体"/>
          <w:color w:val="auto"/>
          <w:szCs w:val="21"/>
          <w:highlight w:val="none"/>
        </w:rPr>
        <w:t>本授权书于</w:t>
      </w:r>
      <w:r>
        <w:rPr>
          <w:rFonts w:hint="eastAsia" w:ascii="宋体" w:hAnsi="宋体" w:cs="宋体"/>
          <w:color w:val="auto"/>
          <w:szCs w:val="21"/>
          <w:highlight w:val="none"/>
          <w:u w:val="single"/>
        </w:rPr>
        <w:t>　　</w:t>
      </w:r>
      <w:r>
        <w:rPr>
          <w:rFonts w:hint="eastAsia" w:ascii="宋体" w:hAnsi="宋体" w:cs="宋体"/>
          <w:color w:val="auto"/>
          <w:szCs w:val="21"/>
          <w:highlight w:val="none"/>
        </w:rPr>
        <w:t>年</w:t>
      </w:r>
      <w:r>
        <w:rPr>
          <w:rFonts w:hint="eastAsia" w:ascii="宋体" w:hAnsi="宋体" w:cs="宋体"/>
          <w:color w:val="auto"/>
          <w:szCs w:val="21"/>
          <w:highlight w:val="none"/>
          <w:u w:val="single"/>
        </w:rPr>
        <w:t>　　</w:t>
      </w:r>
      <w:r>
        <w:rPr>
          <w:rFonts w:hint="eastAsia" w:ascii="宋体" w:hAnsi="宋体" w:cs="宋体"/>
          <w:color w:val="auto"/>
          <w:szCs w:val="21"/>
          <w:highlight w:val="none"/>
        </w:rPr>
        <w:t>月</w:t>
      </w:r>
      <w:r>
        <w:rPr>
          <w:rFonts w:hint="eastAsia" w:ascii="宋体" w:hAnsi="宋体" w:cs="宋体"/>
          <w:color w:val="auto"/>
          <w:szCs w:val="21"/>
          <w:highlight w:val="none"/>
          <w:u w:val="single"/>
        </w:rPr>
        <w:t>　　</w:t>
      </w:r>
      <w:r>
        <w:rPr>
          <w:rFonts w:hint="eastAsia" w:ascii="宋体" w:hAnsi="宋体" w:cs="宋体"/>
          <w:color w:val="auto"/>
          <w:szCs w:val="21"/>
          <w:highlight w:val="none"/>
        </w:rPr>
        <w:t>日签字生效，特此声明。</w:t>
      </w:r>
    </w:p>
    <w:p w14:paraId="0BF27538">
      <w:pPr>
        <w:pStyle w:val="48"/>
        <w:pageBreakBefore w:val="0"/>
        <w:shd w:val="clear"/>
        <w:topLinePunct w:val="0"/>
        <w:bidi w:val="0"/>
        <w:spacing w:after="0" w:line="360" w:lineRule="auto"/>
        <w:ind w:firstLine="3517" w:firstLineChars="1675"/>
        <w:rPr>
          <w:rFonts w:hint="eastAsia" w:ascii="宋体" w:eastAsia="宋体" w:cs="宋体"/>
          <w:color w:val="auto"/>
          <w:sz w:val="21"/>
          <w:szCs w:val="21"/>
          <w:highlight w:val="none"/>
        </w:rPr>
      </w:pPr>
    </w:p>
    <w:p w14:paraId="5909A604">
      <w:pPr>
        <w:pStyle w:val="48"/>
        <w:pageBreakBefore w:val="0"/>
        <w:shd w:val="clear"/>
        <w:topLinePunct w:val="0"/>
        <w:bidi w:val="0"/>
        <w:spacing w:after="0" w:line="360" w:lineRule="auto"/>
        <w:ind w:firstLine="3517" w:firstLineChars="1675"/>
        <w:rPr>
          <w:rFonts w:hint="eastAsia" w:ascii="宋体" w:eastAsia="宋体" w:cs="宋体"/>
          <w:color w:val="auto"/>
          <w:sz w:val="21"/>
          <w:szCs w:val="21"/>
          <w:highlight w:val="none"/>
        </w:rPr>
      </w:pPr>
      <w:r>
        <w:rPr>
          <w:rFonts w:hint="eastAsia" w:ascii="宋体" w:eastAsia="宋体" w:cs="宋体"/>
          <w:color w:val="auto"/>
          <w:sz w:val="21"/>
          <w:szCs w:val="21"/>
          <w:highlight w:val="none"/>
        </w:rPr>
        <w:t>投标人名称（加盖公章）：</w:t>
      </w:r>
    </w:p>
    <w:p w14:paraId="28C79F13">
      <w:pPr>
        <w:pStyle w:val="48"/>
        <w:pageBreakBefore w:val="0"/>
        <w:shd w:val="clear"/>
        <w:topLinePunct w:val="0"/>
        <w:bidi w:val="0"/>
        <w:spacing w:after="0" w:line="360" w:lineRule="auto"/>
        <w:ind w:firstLine="3517" w:firstLineChars="1675"/>
        <w:rPr>
          <w:rFonts w:hint="eastAsia" w:ascii="宋体" w:eastAsia="宋体" w:cs="宋体"/>
          <w:color w:val="auto"/>
          <w:sz w:val="21"/>
          <w:szCs w:val="21"/>
          <w:highlight w:val="none"/>
          <w:u w:val="single"/>
        </w:rPr>
      </w:pPr>
      <w:r>
        <w:rPr>
          <w:rFonts w:hint="eastAsia" w:ascii="宋体" w:eastAsia="宋体" w:cs="宋体"/>
          <w:color w:val="auto"/>
          <w:sz w:val="21"/>
          <w:szCs w:val="21"/>
          <w:highlight w:val="none"/>
        </w:rPr>
        <w:t>法定代表人签字（签名或盖私章）：</w:t>
      </w:r>
    </w:p>
    <w:p w14:paraId="1B90A107">
      <w:pPr>
        <w:pStyle w:val="48"/>
        <w:pageBreakBefore w:val="0"/>
        <w:shd w:val="clear"/>
        <w:topLinePunct w:val="0"/>
        <w:bidi w:val="0"/>
        <w:spacing w:after="0" w:line="360" w:lineRule="auto"/>
        <w:ind w:firstLine="3517" w:firstLineChars="1675"/>
        <w:rPr>
          <w:rFonts w:hint="eastAsia" w:ascii="宋体" w:eastAsia="宋体" w:cs="宋体"/>
          <w:color w:val="auto"/>
          <w:sz w:val="21"/>
          <w:szCs w:val="21"/>
          <w:highlight w:val="none"/>
        </w:rPr>
      </w:pPr>
      <w:r>
        <w:rPr>
          <w:rFonts w:hint="eastAsia" w:ascii="宋体" w:eastAsia="宋体" w:cs="宋体"/>
          <w:color w:val="auto"/>
          <w:sz w:val="21"/>
          <w:szCs w:val="21"/>
          <w:highlight w:val="none"/>
        </w:rPr>
        <w:t>被授权人签字：</w:t>
      </w:r>
    </w:p>
    <w:p w14:paraId="5631E7BF">
      <w:pPr>
        <w:pStyle w:val="48"/>
        <w:pageBreakBefore w:val="0"/>
        <w:shd w:val="clear"/>
        <w:topLinePunct w:val="0"/>
        <w:bidi w:val="0"/>
        <w:spacing w:after="0" w:line="360" w:lineRule="auto"/>
        <w:ind w:firstLine="3517" w:firstLineChars="1675"/>
        <w:rPr>
          <w:rFonts w:hint="eastAsia" w:ascii="宋体" w:eastAsia="宋体" w:cs="宋体"/>
          <w:color w:val="auto"/>
          <w:sz w:val="21"/>
          <w:szCs w:val="21"/>
          <w:highlight w:val="none"/>
          <w:u w:val="single"/>
        </w:rPr>
      </w:pPr>
      <w:r>
        <w:rPr>
          <w:rFonts w:hint="eastAsia" w:ascii="宋体" w:eastAsia="宋体" w:cs="宋体"/>
          <w:color w:val="auto"/>
          <w:sz w:val="21"/>
          <w:szCs w:val="21"/>
          <w:highlight w:val="none"/>
        </w:rPr>
        <w:t>职务：</w:t>
      </w:r>
    </w:p>
    <w:p w14:paraId="4917A247">
      <w:pPr>
        <w:pStyle w:val="48"/>
        <w:pageBreakBefore w:val="0"/>
        <w:shd w:val="clear"/>
        <w:topLinePunct w:val="0"/>
        <w:bidi w:val="0"/>
        <w:spacing w:after="0" w:line="360" w:lineRule="auto"/>
        <w:ind w:firstLine="3517" w:firstLineChars="1675"/>
        <w:rPr>
          <w:rFonts w:hint="eastAsia" w:ascii="宋体" w:eastAsia="宋体" w:cs="宋体"/>
          <w:color w:val="auto"/>
          <w:sz w:val="21"/>
          <w:szCs w:val="21"/>
          <w:highlight w:val="none"/>
        </w:rPr>
      </w:pPr>
      <w:r>
        <w:rPr>
          <w:rFonts w:hint="eastAsia" w:ascii="宋体" w:eastAsia="宋体" w:cs="宋体"/>
          <w:color w:val="auto"/>
          <w:sz w:val="21"/>
          <w:szCs w:val="21"/>
          <w:highlight w:val="none"/>
        </w:rPr>
        <w:t xml:space="preserve">移动电话： </w:t>
      </w:r>
    </w:p>
    <w:p w14:paraId="59D7FE57">
      <w:pPr>
        <w:pStyle w:val="48"/>
        <w:pageBreakBefore w:val="0"/>
        <w:shd w:val="clear"/>
        <w:topLinePunct w:val="0"/>
        <w:bidi w:val="0"/>
        <w:spacing w:after="0" w:line="360" w:lineRule="auto"/>
        <w:ind w:firstLine="3517" w:firstLineChars="1675"/>
        <w:rPr>
          <w:rFonts w:hint="eastAsia" w:ascii="宋体" w:eastAsia="宋体" w:cs="宋体"/>
          <w:color w:val="auto"/>
          <w:sz w:val="21"/>
          <w:szCs w:val="21"/>
          <w:highlight w:val="none"/>
        </w:rPr>
      </w:pPr>
      <w:r>
        <w:rPr>
          <w:rFonts w:hint="eastAsia" w:ascii="宋体" w:eastAsia="宋体" w:cs="宋体"/>
          <w:color w:val="auto"/>
          <w:sz w:val="21"/>
          <w:szCs w:val="21"/>
          <w:highlight w:val="none"/>
        </w:rPr>
        <w:t>详细通讯地址：</w:t>
      </w:r>
    </w:p>
    <w:p w14:paraId="564F5964">
      <w:pPr>
        <w:pStyle w:val="48"/>
        <w:pageBreakBefore w:val="0"/>
        <w:shd w:val="clear"/>
        <w:topLinePunct w:val="0"/>
        <w:bidi w:val="0"/>
        <w:spacing w:after="0" w:line="360" w:lineRule="auto"/>
        <w:ind w:firstLine="3517" w:firstLineChars="1675"/>
        <w:rPr>
          <w:rFonts w:hint="eastAsia" w:ascii="宋体" w:eastAsia="宋体" w:cs="宋体"/>
          <w:color w:val="auto"/>
          <w:sz w:val="21"/>
          <w:szCs w:val="21"/>
          <w:highlight w:val="none"/>
        </w:rPr>
      </w:pPr>
      <w:r>
        <w:rPr>
          <w:rFonts w:hint="eastAsia" w:ascii="宋体" w:eastAsia="宋体" w:cs="宋体"/>
          <w:color w:val="auto"/>
          <w:sz w:val="21"/>
          <w:szCs w:val="21"/>
          <w:highlight w:val="none"/>
        </w:rPr>
        <w:t xml:space="preserve">邮箱：                          </w:t>
      </w:r>
    </w:p>
    <w:p w14:paraId="6A770DA1">
      <w:pPr>
        <w:pStyle w:val="48"/>
        <w:pageBreakBefore w:val="0"/>
        <w:shd w:val="clear"/>
        <w:topLinePunct w:val="0"/>
        <w:bidi w:val="0"/>
        <w:spacing w:after="0" w:line="360" w:lineRule="auto"/>
        <w:ind w:firstLine="3507" w:firstLineChars="1670"/>
        <w:rPr>
          <w:rFonts w:hint="eastAsia" w:ascii="宋体" w:eastAsia="宋体" w:cs="宋体"/>
          <w:color w:val="auto"/>
          <w:sz w:val="21"/>
          <w:szCs w:val="21"/>
          <w:highlight w:val="none"/>
        </w:rPr>
      </w:pPr>
      <w:r>
        <w:rPr>
          <w:rFonts w:hint="eastAsia" w:ascii="宋体" w:eastAsia="宋体" w:cs="宋体"/>
          <w:color w:val="auto"/>
          <w:sz w:val="21"/>
          <w:szCs w:val="21"/>
          <w:highlight w:val="none"/>
        </w:rPr>
        <w:t>日     期：  年  月  日</w:t>
      </w:r>
    </w:p>
    <w:p w14:paraId="0881864E">
      <w:pPr>
        <w:pStyle w:val="48"/>
        <w:pageBreakBefore w:val="0"/>
        <w:shd w:val="clear"/>
        <w:topLinePunct w:val="0"/>
        <w:bidi w:val="0"/>
        <w:spacing w:after="0" w:line="360" w:lineRule="auto"/>
        <w:ind w:firstLine="433"/>
        <w:rPr>
          <w:rFonts w:hint="eastAsia" w:ascii="宋体" w:eastAsia="宋体" w:cs="宋体"/>
          <w:color w:val="auto"/>
          <w:sz w:val="21"/>
          <w:szCs w:val="21"/>
          <w:highlight w:val="none"/>
        </w:rPr>
      </w:pPr>
    </w:p>
    <w:p w14:paraId="2626C5D0">
      <w:pPr>
        <w:pageBreakBefore w:val="0"/>
        <w:shd w:val="clear"/>
        <w:topLinePunct w:val="0"/>
        <w:bidi w:val="0"/>
        <w:spacing w:after="0" w:line="360" w:lineRule="auto"/>
        <w:ind w:firstLine="420" w:firstLineChars="200"/>
        <w:rPr>
          <w:rFonts w:hint="eastAsia" w:ascii="宋体" w:hAnsi="宋体" w:cs="宋体"/>
          <w:color w:val="auto"/>
          <w:highlight w:val="none"/>
        </w:rPr>
      </w:pPr>
      <w:r>
        <w:rPr>
          <w:rFonts w:hint="eastAsia" w:ascii="宋体" w:hAnsi="宋体" w:cs="宋体"/>
          <w:color w:val="auto"/>
          <w:szCs w:val="21"/>
          <w:highlight w:val="none"/>
        </w:rPr>
        <w:t>须附：被授权人身份证复印件。</w:t>
      </w:r>
    </w:p>
    <w:tbl>
      <w:tblPr>
        <w:tblStyle w:val="32"/>
        <w:tblW w:w="8464" w:type="dxa"/>
        <w:jc w:val="center"/>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4232"/>
        <w:gridCol w:w="4232"/>
      </w:tblGrid>
      <w:tr w14:paraId="3E082810">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2661" w:hRule="atLeast"/>
          <w:jc w:val="center"/>
        </w:trPr>
        <w:tc>
          <w:tcPr>
            <w:tcW w:w="4232" w:type="dxa"/>
            <w:vAlign w:val="center"/>
          </w:tcPr>
          <w:p w14:paraId="0171F9C5">
            <w:pPr>
              <w:pStyle w:val="48"/>
              <w:pageBreakBefore w:val="0"/>
              <w:shd w:val="clear"/>
              <w:topLinePunct w:val="0"/>
              <w:bidi w:val="0"/>
              <w:spacing w:after="0" w:line="360" w:lineRule="auto"/>
              <w:ind w:firstLine="0" w:firstLineChars="0"/>
              <w:jc w:val="center"/>
              <w:rPr>
                <w:rFonts w:hint="eastAsia" w:ascii="宋体" w:eastAsia="宋体" w:cs="宋体"/>
                <w:color w:val="auto"/>
                <w:sz w:val="22"/>
                <w:highlight w:val="none"/>
              </w:rPr>
            </w:pPr>
            <w:r>
              <w:rPr>
                <w:rFonts w:hint="eastAsia" w:ascii="宋体" w:eastAsia="宋体" w:cs="宋体"/>
                <w:color w:val="auto"/>
                <w:sz w:val="22"/>
                <w:highlight w:val="none"/>
              </w:rPr>
              <w:t>正面</w:t>
            </w:r>
          </w:p>
        </w:tc>
        <w:tc>
          <w:tcPr>
            <w:tcW w:w="4232" w:type="dxa"/>
            <w:vAlign w:val="center"/>
          </w:tcPr>
          <w:p w14:paraId="38982A0E">
            <w:pPr>
              <w:pStyle w:val="48"/>
              <w:pageBreakBefore w:val="0"/>
              <w:shd w:val="clear"/>
              <w:topLinePunct w:val="0"/>
              <w:bidi w:val="0"/>
              <w:spacing w:after="0" w:line="360" w:lineRule="auto"/>
              <w:ind w:firstLine="0" w:firstLineChars="0"/>
              <w:jc w:val="center"/>
              <w:rPr>
                <w:rFonts w:hint="eastAsia" w:ascii="宋体" w:eastAsia="宋体" w:cs="宋体"/>
                <w:color w:val="auto"/>
                <w:sz w:val="22"/>
                <w:highlight w:val="none"/>
              </w:rPr>
            </w:pPr>
            <w:r>
              <w:rPr>
                <w:rFonts w:hint="eastAsia" w:ascii="宋体" w:eastAsia="宋体" w:cs="宋体"/>
                <w:color w:val="auto"/>
                <w:sz w:val="22"/>
                <w:highlight w:val="none"/>
              </w:rPr>
              <w:t>背面</w:t>
            </w:r>
          </w:p>
        </w:tc>
      </w:tr>
    </w:tbl>
    <w:p w14:paraId="12F287DA">
      <w:pPr>
        <w:pageBreakBefore w:val="0"/>
        <w:shd w:val="clear"/>
        <w:topLinePunct w:val="0"/>
        <w:bidi w:val="0"/>
        <w:adjustRightInd/>
        <w:snapToGrid/>
        <w:spacing w:after="0" w:line="360" w:lineRule="auto"/>
        <w:rPr>
          <w:rFonts w:hint="eastAsia" w:ascii="宋体" w:hAnsi="宋体" w:cs="宋体"/>
          <w:color w:val="auto"/>
          <w:highlight w:val="none"/>
        </w:rPr>
      </w:pPr>
      <w:bookmarkStart w:id="233" w:name="_Toc22486"/>
      <w:r>
        <w:rPr>
          <w:rFonts w:hint="eastAsia" w:ascii="宋体" w:hAnsi="宋体" w:cs="宋体"/>
          <w:color w:val="auto"/>
          <w:szCs w:val="21"/>
          <w:highlight w:val="none"/>
        </w:rPr>
        <w:br w:type="page"/>
      </w:r>
    </w:p>
    <w:p w14:paraId="60462D86">
      <w:pPr>
        <w:pStyle w:val="6"/>
        <w:pageBreakBefore w:val="0"/>
        <w:widowControl w:val="0"/>
        <w:shd w:val="clear"/>
        <w:overflowPunct w:val="0"/>
        <w:topLinePunct w:val="0"/>
        <w:bidi w:val="0"/>
        <w:spacing w:after="0" w:line="360" w:lineRule="auto"/>
        <w:rPr>
          <w:rFonts w:hint="eastAsia" w:ascii="宋体" w:hAnsi="宋体" w:cs="宋体"/>
          <w:color w:val="auto"/>
          <w:sz w:val="21"/>
          <w:szCs w:val="21"/>
          <w:highlight w:val="none"/>
        </w:rPr>
      </w:pPr>
      <w:bookmarkStart w:id="234" w:name="_Toc12387"/>
      <w:bookmarkStart w:id="235" w:name="_Toc6113"/>
      <w:r>
        <w:rPr>
          <w:rFonts w:hint="eastAsia" w:ascii="宋体" w:hAnsi="宋体" w:cs="宋体"/>
          <w:color w:val="auto"/>
          <w:sz w:val="21"/>
          <w:szCs w:val="21"/>
          <w:highlight w:val="none"/>
        </w:rPr>
        <w:t>附件</w:t>
      </w:r>
      <w:r>
        <w:rPr>
          <w:rFonts w:hint="eastAsia" w:ascii="宋体" w:hAnsi="宋体" w:cs="宋体"/>
          <w:color w:val="auto"/>
          <w:sz w:val="21"/>
          <w:szCs w:val="21"/>
          <w:highlight w:val="none"/>
          <w:lang w:val="en-US" w:eastAsia="zh-CN"/>
        </w:rPr>
        <w:t>7</w:t>
      </w:r>
      <w:r>
        <w:rPr>
          <w:rFonts w:hint="eastAsia" w:ascii="宋体" w:hAnsi="宋体" w:cs="宋体"/>
          <w:color w:val="auto"/>
          <w:sz w:val="21"/>
          <w:szCs w:val="21"/>
          <w:highlight w:val="none"/>
        </w:rPr>
        <w:t>.资格申明</w:t>
      </w:r>
      <w:bookmarkEnd w:id="234"/>
      <w:bookmarkEnd w:id="235"/>
    </w:p>
    <w:p w14:paraId="1711DE1B">
      <w:pPr>
        <w:pageBreakBefore w:val="0"/>
        <w:shd w:val="clear"/>
        <w:topLinePunct w:val="0"/>
        <w:bidi w:val="0"/>
        <w:spacing w:after="0" w:line="360" w:lineRule="auto"/>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资格申明</w:t>
      </w:r>
    </w:p>
    <w:p w14:paraId="28D06E31">
      <w:pPr>
        <w:pStyle w:val="48"/>
        <w:pageBreakBefore w:val="0"/>
        <w:shd w:val="clear"/>
        <w:topLinePunct w:val="0"/>
        <w:bidi w:val="0"/>
        <w:spacing w:after="0" w:line="360" w:lineRule="auto"/>
        <w:ind w:firstLine="0" w:firstLineChars="0"/>
        <w:rPr>
          <w:rFonts w:hint="eastAsia" w:ascii="宋体" w:eastAsia="宋体" w:cs="宋体"/>
          <w:color w:val="auto"/>
          <w:sz w:val="21"/>
          <w:szCs w:val="21"/>
          <w:highlight w:val="none"/>
        </w:rPr>
      </w:pPr>
      <w:r>
        <w:rPr>
          <w:rFonts w:hint="eastAsia" w:ascii="宋体" w:eastAsia="宋体" w:cs="宋体"/>
          <w:color w:val="auto"/>
          <w:sz w:val="21"/>
          <w:szCs w:val="21"/>
          <w:highlight w:val="none"/>
          <w:u w:val="single"/>
        </w:rPr>
        <w:t xml:space="preserve">  xxx   </w:t>
      </w:r>
      <w:r>
        <w:rPr>
          <w:rFonts w:hint="eastAsia" w:ascii="宋体" w:eastAsia="宋体" w:cs="宋体"/>
          <w:color w:val="auto"/>
          <w:sz w:val="21"/>
          <w:szCs w:val="21"/>
          <w:highlight w:val="none"/>
        </w:rPr>
        <w:t>公司（采购人）：</w:t>
      </w:r>
    </w:p>
    <w:p w14:paraId="687A6380">
      <w:pPr>
        <w:pageBreakBefore w:val="0"/>
        <w:shd w:val="clear"/>
        <w:topLinePunct w:val="0"/>
        <w:bidi w:val="0"/>
        <w:spacing w:after="0" w:line="360" w:lineRule="auto"/>
        <w:ind w:firstLine="420" w:firstLineChars="200"/>
        <w:rPr>
          <w:rFonts w:hint="eastAsia" w:ascii="宋体" w:hAnsi="宋体" w:cs="宋体"/>
          <w:color w:val="auto"/>
          <w:szCs w:val="21"/>
          <w:highlight w:val="none"/>
        </w:rPr>
      </w:pPr>
    </w:p>
    <w:p w14:paraId="2D6337B9">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我方愿响应贵方关于（项目名称：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）（采购项目编号：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）的投标邀请，参与投标，提供用户需求书中规定的货物及相关服务，并按采购文件要求提交所附资格文件且声明和保证如下：</w:t>
      </w:r>
    </w:p>
    <w:p w14:paraId="3E366220">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一、我方具备投标人邀请中所要求得资格条件，已清楚采购文件所有要求及有关规定；并承诺参加本次采购活动中，如有违法、违规、弄虚作假行为，所造成的损失、不良后果及法律责任，一律由我方承担；</w:t>
      </w:r>
    </w:p>
    <w:p w14:paraId="62D70252">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二、我方依法注册，在法律上、财务上和运作上完全独立于</w:t>
      </w:r>
      <w:r>
        <w:rPr>
          <w:rFonts w:hint="eastAsia" w:ascii="宋体" w:hAnsi="宋体" w:cs="宋体"/>
          <w:color w:val="auto"/>
          <w:szCs w:val="21"/>
          <w:highlight w:val="none"/>
          <w:u w:val="single"/>
        </w:rPr>
        <w:t xml:space="preserve">  xxxx   </w:t>
      </w:r>
      <w:r>
        <w:rPr>
          <w:rFonts w:hint="eastAsia" w:ascii="宋体" w:hAnsi="宋体" w:cs="宋体"/>
          <w:color w:val="auto"/>
          <w:szCs w:val="21"/>
          <w:highlight w:val="none"/>
        </w:rPr>
        <w:t>公司（采购人）及</w:t>
      </w:r>
      <w:r>
        <w:rPr>
          <w:rFonts w:hint="eastAsia" w:ascii="宋体" w:hAnsi="宋体" w:cs="宋体"/>
          <w:color w:val="auto"/>
          <w:szCs w:val="21"/>
          <w:highlight w:val="none"/>
          <w:u w:val="single"/>
        </w:rPr>
        <w:t xml:space="preserve">    xxx   </w:t>
      </w:r>
      <w:r>
        <w:rPr>
          <w:rFonts w:hint="eastAsia" w:ascii="宋体" w:hAnsi="宋体" w:cs="宋体"/>
          <w:color w:val="auto"/>
          <w:szCs w:val="21"/>
          <w:highlight w:val="none"/>
        </w:rPr>
        <w:t>公司（采购代理机构）。</w:t>
      </w:r>
    </w:p>
    <w:p w14:paraId="1F373A58">
      <w:pPr>
        <w:pStyle w:val="48"/>
        <w:pageBreakBefore w:val="0"/>
        <w:shd w:val="clear"/>
        <w:topLinePunct w:val="0"/>
        <w:bidi w:val="0"/>
        <w:spacing w:after="0" w:line="360" w:lineRule="auto"/>
        <w:ind w:firstLine="3517" w:firstLineChars="1675"/>
        <w:rPr>
          <w:rFonts w:hint="eastAsia" w:ascii="宋体" w:eastAsia="宋体" w:cs="宋体"/>
          <w:color w:val="auto"/>
          <w:sz w:val="21"/>
          <w:szCs w:val="21"/>
          <w:highlight w:val="none"/>
        </w:rPr>
      </w:pPr>
    </w:p>
    <w:p w14:paraId="44FEBDA3">
      <w:pPr>
        <w:pStyle w:val="48"/>
        <w:pageBreakBefore w:val="0"/>
        <w:shd w:val="clear"/>
        <w:topLinePunct w:val="0"/>
        <w:bidi w:val="0"/>
        <w:spacing w:after="0" w:line="360" w:lineRule="auto"/>
        <w:ind w:firstLine="3517" w:firstLineChars="1675"/>
        <w:rPr>
          <w:rFonts w:hint="eastAsia" w:ascii="宋体" w:eastAsia="宋体" w:cs="宋体"/>
          <w:color w:val="auto"/>
          <w:sz w:val="21"/>
          <w:szCs w:val="21"/>
          <w:highlight w:val="none"/>
        </w:rPr>
      </w:pPr>
    </w:p>
    <w:p w14:paraId="79D6C067">
      <w:pPr>
        <w:pStyle w:val="48"/>
        <w:pageBreakBefore w:val="0"/>
        <w:shd w:val="clear"/>
        <w:topLinePunct w:val="0"/>
        <w:bidi w:val="0"/>
        <w:spacing w:after="0" w:line="360" w:lineRule="auto"/>
        <w:ind w:firstLine="433"/>
        <w:rPr>
          <w:rFonts w:hint="eastAsia" w:ascii="宋体" w:eastAsia="宋体" w:cs="宋体"/>
          <w:color w:val="auto"/>
          <w:sz w:val="21"/>
          <w:szCs w:val="21"/>
          <w:highlight w:val="none"/>
        </w:rPr>
      </w:pPr>
      <w:r>
        <w:rPr>
          <w:rFonts w:hint="eastAsia" w:ascii="宋体" w:eastAsia="宋体" w:cs="宋体"/>
          <w:color w:val="auto"/>
          <w:sz w:val="21"/>
          <w:szCs w:val="21"/>
          <w:highlight w:val="none"/>
        </w:rPr>
        <w:t>投标人名称（加盖公章）：</w:t>
      </w:r>
    </w:p>
    <w:p w14:paraId="603CF2FE">
      <w:pPr>
        <w:pStyle w:val="48"/>
        <w:pageBreakBefore w:val="0"/>
        <w:shd w:val="clear"/>
        <w:topLinePunct w:val="0"/>
        <w:bidi w:val="0"/>
        <w:spacing w:after="0" w:line="360" w:lineRule="auto"/>
        <w:ind w:firstLine="433"/>
        <w:rPr>
          <w:rFonts w:hint="eastAsia" w:ascii="宋体" w:eastAsia="宋体" w:cs="宋体"/>
          <w:color w:val="auto"/>
          <w:sz w:val="21"/>
          <w:szCs w:val="21"/>
          <w:highlight w:val="none"/>
        </w:rPr>
      </w:pPr>
      <w:r>
        <w:rPr>
          <w:rFonts w:hint="eastAsia" w:ascii="宋体" w:eastAsia="宋体" w:cs="宋体"/>
          <w:color w:val="auto"/>
          <w:sz w:val="21"/>
          <w:szCs w:val="21"/>
          <w:highlight w:val="none"/>
        </w:rPr>
        <w:t>法定代表人签字（签名或盖私章）：</w:t>
      </w:r>
    </w:p>
    <w:p w14:paraId="161636BE">
      <w:pPr>
        <w:pStyle w:val="48"/>
        <w:pageBreakBefore w:val="0"/>
        <w:shd w:val="clear"/>
        <w:topLinePunct w:val="0"/>
        <w:bidi w:val="0"/>
        <w:spacing w:after="0" w:line="360" w:lineRule="auto"/>
        <w:ind w:firstLine="433"/>
        <w:rPr>
          <w:rFonts w:hint="eastAsia" w:ascii="宋体" w:eastAsia="宋体" w:cs="宋体"/>
          <w:color w:val="auto"/>
          <w:sz w:val="21"/>
          <w:szCs w:val="21"/>
          <w:highlight w:val="none"/>
        </w:rPr>
      </w:pPr>
      <w:r>
        <w:rPr>
          <w:rFonts w:hint="eastAsia" w:ascii="宋体" w:eastAsia="宋体" w:cs="宋体"/>
          <w:color w:val="auto"/>
          <w:sz w:val="21"/>
          <w:szCs w:val="21"/>
          <w:highlight w:val="none"/>
        </w:rPr>
        <w:t>日     期：年月日</w:t>
      </w:r>
    </w:p>
    <w:p w14:paraId="2EE984C0">
      <w:pPr>
        <w:pStyle w:val="48"/>
        <w:pageBreakBefore w:val="0"/>
        <w:shd w:val="clear"/>
        <w:topLinePunct w:val="0"/>
        <w:bidi w:val="0"/>
        <w:spacing w:after="0" w:line="360" w:lineRule="auto"/>
        <w:ind w:firstLine="433"/>
        <w:rPr>
          <w:rFonts w:hint="eastAsia" w:ascii="宋体" w:eastAsia="宋体" w:cs="宋体"/>
          <w:color w:val="auto"/>
          <w:sz w:val="21"/>
          <w:szCs w:val="21"/>
          <w:highlight w:val="none"/>
        </w:rPr>
      </w:pPr>
      <w:r>
        <w:rPr>
          <w:rFonts w:hint="eastAsia" w:ascii="宋体" w:eastAsia="宋体" w:cs="宋体"/>
          <w:color w:val="auto"/>
          <w:sz w:val="21"/>
          <w:szCs w:val="21"/>
          <w:highlight w:val="none"/>
        </w:rPr>
        <w:br w:type="page"/>
      </w:r>
    </w:p>
    <w:p w14:paraId="31FF1D59">
      <w:pPr>
        <w:pStyle w:val="6"/>
        <w:pageBreakBefore w:val="0"/>
        <w:widowControl w:val="0"/>
        <w:shd w:val="clear"/>
        <w:overflowPunct w:val="0"/>
        <w:topLinePunct w:val="0"/>
        <w:bidi w:val="0"/>
        <w:spacing w:after="0" w:line="360" w:lineRule="auto"/>
        <w:rPr>
          <w:rFonts w:hint="eastAsia" w:ascii="宋体" w:hAnsi="宋体" w:cs="宋体"/>
          <w:color w:val="auto"/>
          <w:sz w:val="21"/>
          <w:szCs w:val="21"/>
          <w:highlight w:val="none"/>
        </w:rPr>
      </w:pPr>
      <w:bookmarkStart w:id="236" w:name="_Toc14280"/>
      <w:bookmarkStart w:id="237" w:name="_Toc23583"/>
      <w:r>
        <w:rPr>
          <w:rFonts w:hint="eastAsia" w:ascii="宋体" w:hAnsi="宋体" w:cs="宋体"/>
          <w:color w:val="auto"/>
          <w:sz w:val="21"/>
          <w:szCs w:val="21"/>
          <w:highlight w:val="none"/>
        </w:rPr>
        <w:t>附件</w:t>
      </w:r>
      <w:r>
        <w:rPr>
          <w:rFonts w:hint="eastAsia" w:ascii="宋体" w:hAnsi="宋体" w:cs="宋体"/>
          <w:color w:val="auto"/>
          <w:sz w:val="21"/>
          <w:szCs w:val="21"/>
          <w:highlight w:val="none"/>
          <w:lang w:val="en-US" w:eastAsia="zh-CN"/>
        </w:rPr>
        <w:t>8</w:t>
      </w:r>
      <w:r>
        <w:rPr>
          <w:rFonts w:hint="eastAsia" w:ascii="宋体" w:hAnsi="宋体" w:cs="宋体"/>
          <w:color w:val="auto"/>
          <w:sz w:val="21"/>
          <w:szCs w:val="21"/>
          <w:highlight w:val="none"/>
        </w:rPr>
        <w:t>.营业执照</w:t>
      </w:r>
      <w:bookmarkEnd w:id="236"/>
      <w:bookmarkEnd w:id="237"/>
    </w:p>
    <w:p w14:paraId="702BF89F">
      <w:pPr>
        <w:pageBreakBefore w:val="0"/>
        <w:shd w:val="clear"/>
        <w:topLinePunct w:val="0"/>
        <w:bidi w:val="0"/>
        <w:spacing w:after="0" w:line="360" w:lineRule="auto"/>
        <w:jc w:val="center"/>
        <w:rPr>
          <w:rFonts w:hint="eastAsia" w:ascii="宋体" w:hAnsi="宋体" w:cs="宋体"/>
          <w:color w:val="auto"/>
          <w:sz w:val="28"/>
          <w:szCs w:val="28"/>
          <w:highlight w:val="none"/>
        </w:rPr>
      </w:pPr>
      <w:bookmarkStart w:id="238" w:name="_Toc5919"/>
      <w:bookmarkStart w:id="239" w:name="_Toc24210"/>
      <w:bookmarkStart w:id="240" w:name="_Toc17470"/>
      <w:bookmarkStart w:id="241" w:name="_Toc4926"/>
      <w:bookmarkStart w:id="242" w:name="_Toc1511"/>
      <w:r>
        <w:rPr>
          <w:rFonts w:hint="eastAsia" w:ascii="宋体" w:hAnsi="宋体" w:cs="宋体"/>
          <w:color w:val="auto"/>
          <w:sz w:val="28"/>
          <w:szCs w:val="28"/>
          <w:highlight w:val="none"/>
        </w:rPr>
        <w:t>营业执照</w:t>
      </w:r>
      <w:bookmarkEnd w:id="238"/>
      <w:bookmarkEnd w:id="239"/>
      <w:bookmarkEnd w:id="240"/>
      <w:bookmarkEnd w:id="241"/>
      <w:bookmarkEnd w:id="242"/>
    </w:p>
    <w:p w14:paraId="49675B4C">
      <w:pPr>
        <w:pageBreakBefore w:val="0"/>
        <w:shd w:val="clear"/>
        <w:topLinePunct w:val="0"/>
        <w:bidi w:val="0"/>
        <w:spacing w:after="0" w:line="360" w:lineRule="auto"/>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br w:type="page"/>
      </w:r>
    </w:p>
    <w:p w14:paraId="36EED088">
      <w:pPr>
        <w:pStyle w:val="6"/>
        <w:pageBreakBefore w:val="0"/>
        <w:widowControl w:val="0"/>
        <w:shd w:val="clear"/>
        <w:overflowPunct w:val="0"/>
        <w:topLinePunct w:val="0"/>
        <w:bidi w:val="0"/>
        <w:spacing w:after="0" w:line="360" w:lineRule="auto"/>
        <w:rPr>
          <w:rFonts w:hint="eastAsia" w:ascii="宋体" w:hAnsi="宋体" w:cs="宋体"/>
          <w:color w:val="auto"/>
          <w:sz w:val="21"/>
          <w:szCs w:val="21"/>
          <w:highlight w:val="none"/>
        </w:rPr>
      </w:pPr>
      <w:bookmarkStart w:id="243" w:name="_Toc9659"/>
      <w:bookmarkStart w:id="244" w:name="_Toc12687"/>
      <w:r>
        <w:rPr>
          <w:rFonts w:hint="eastAsia" w:ascii="宋体" w:hAnsi="宋体" w:cs="宋体"/>
          <w:color w:val="auto"/>
          <w:sz w:val="21"/>
          <w:szCs w:val="21"/>
          <w:highlight w:val="none"/>
        </w:rPr>
        <w:t>附件</w:t>
      </w:r>
      <w:r>
        <w:rPr>
          <w:rFonts w:hint="eastAsia" w:ascii="宋体" w:hAnsi="宋体" w:cs="宋体"/>
          <w:color w:val="auto"/>
          <w:sz w:val="21"/>
          <w:szCs w:val="21"/>
          <w:highlight w:val="none"/>
          <w:lang w:val="en-US" w:eastAsia="zh-CN"/>
        </w:rPr>
        <w:t>9</w:t>
      </w:r>
      <w:r>
        <w:rPr>
          <w:rFonts w:hint="eastAsia" w:ascii="宋体" w:hAnsi="宋体" w:cs="宋体"/>
          <w:color w:val="auto"/>
          <w:sz w:val="21"/>
          <w:szCs w:val="21"/>
          <w:highlight w:val="none"/>
        </w:rPr>
        <w:t>.相关资质证明文件</w:t>
      </w:r>
      <w:bookmarkEnd w:id="243"/>
      <w:bookmarkEnd w:id="244"/>
    </w:p>
    <w:p w14:paraId="67AA3E82">
      <w:pPr>
        <w:pageBreakBefore w:val="0"/>
        <w:shd w:val="clear"/>
        <w:topLinePunct w:val="0"/>
        <w:bidi w:val="0"/>
        <w:spacing w:after="0" w:line="360" w:lineRule="auto"/>
        <w:rPr>
          <w:rFonts w:hint="eastAsia" w:ascii="宋体" w:hAnsi="宋体" w:cs="宋体"/>
          <w:color w:val="auto"/>
          <w:highlight w:val="none"/>
        </w:rPr>
      </w:pPr>
    </w:p>
    <w:p w14:paraId="70F514A1">
      <w:pPr>
        <w:pageBreakBefore w:val="0"/>
        <w:shd w:val="clear"/>
        <w:topLinePunct w:val="0"/>
        <w:bidi w:val="0"/>
        <w:spacing w:after="0" w:line="360" w:lineRule="auto"/>
        <w:jc w:val="center"/>
        <w:rPr>
          <w:rFonts w:hint="eastAsia" w:ascii="宋体" w:hAnsi="宋体" w:cs="宋体"/>
          <w:color w:val="auto"/>
          <w:sz w:val="28"/>
          <w:szCs w:val="28"/>
          <w:highlight w:val="none"/>
        </w:rPr>
      </w:pPr>
      <w:bookmarkStart w:id="245" w:name="_Toc13458"/>
      <w:bookmarkStart w:id="246" w:name="_Toc9592"/>
      <w:bookmarkStart w:id="247" w:name="_Toc16233"/>
      <w:bookmarkStart w:id="248" w:name="_Toc30307"/>
      <w:bookmarkStart w:id="249" w:name="_Toc16698"/>
      <w:r>
        <w:rPr>
          <w:rFonts w:hint="eastAsia" w:ascii="宋体" w:hAnsi="宋体" w:cs="宋体"/>
          <w:color w:val="auto"/>
          <w:sz w:val="28"/>
          <w:szCs w:val="28"/>
          <w:highlight w:val="none"/>
        </w:rPr>
        <w:t>相关资质证明文件</w:t>
      </w:r>
      <w:bookmarkEnd w:id="233"/>
      <w:bookmarkEnd w:id="245"/>
      <w:bookmarkEnd w:id="246"/>
      <w:bookmarkEnd w:id="247"/>
      <w:bookmarkEnd w:id="248"/>
      <w:bookmarkEnd w:id="249"/>
    </w:p>
    <w:p w14:paraId="79986166">
      <w:pPr>
        <w:pageBreakBefore w:val="0"/>
        <w:numPr>
          <w:ilvl w:val="0"/>
          <w:numId w:val="10"/>
        </w:numPr>
        <w:shd w:val="clear"/>
        <w:tabs>
          <w:tab w:val="left" w:pos="1680"/>
        </w:tabs>
        <w:topLinePunct w:val="0"/>
        <w:bidi w:val="0"/>
        <w:spacing w:after="0" w:line="360" w:lineRule="auto"/>
        <w:jc w:val="both"/>
        <w:rPr>
          <w:rFonts w:hint="eastAsia" w:ascii="宋体" w:hAnsi="宋体" w:cs="宋体"/>
          <w:b/>
          <w:bCs/>
          <w:color w:val="auto"/>
          <w:szCs w:val="21"/>
          <w:highlight w:val="none"/>
        </w:rPr>
      </w:pPr>
      <w:r>
        <w:rPr>
          <w:rFonts w:hint="eastAsia" w:ascii="宋体" w:hAnsi="宋体" w:cs="宋体"/>
          <w:b/>
          <w:bCs/>
          <w:color w:val="auto"/>
          <w:szCs w:val="21"/>
          <w:highlight w:val="none"/>
        </w:rPr>
        <w:t>符合投标邀请书“投标人资格要求”其他要求对应的证明文件；</w:t>
      </w:r>
    </w:p>
    <w:p w14:paraId="70CC6941">
      <w:pPr>
        <w:pageBreakBefore w:val="0"/>
        <w:numPr>
          <w:ilvl w:val="0"/>
          <w:numId w:val="10"/>
        </w:numPr>
        <w:shd w:val="clear"/>
        <w:tabs>
          <w:tab w:val="left" w:pos="1680"/>
        </w:tabs>
        <w:topLinePunct w:val="0"/>
        <w:bidi w:val="0"/>
        <w:spacing w:after="0" w:line="360" w:lineRule="auto"/>
        <w:jc w:val="both"/>
        <w:rPr>
          <w:rFonts w:hint="eastAsia" w:ascii="宋体" w:hAnsi="宋体" w:cs="宋体"/>
          <w:b/>
          <w:bCs/>
          <w:color w:val="auto"/>
          <w:szCs w:val="21"/>
          <w:highlight w:val="none"/>
        </w:rPr>
      </w:pPr>
      <w:r>
        <w:rPr>
          <w:rFonts w:hint="eastAsia" w:ascii="宋体" w:hAnsi="宋体" w:cs="宋体"/>
          <w:b/>
          <w:bCs/>
          <w:color w:val="auto"/>
          <w:szCs w:val="21"/>
          <w:highlight w:val="none"/>
        </w:rPr>
        <w:t>投标人认为必要的文件。</w:t>
      </w:r>
      <w:r>
        <w:rPr>
          <w:rFonts w:hint="eastAsia" w:ascii="宋体" w:hAnsi="宋体" w:cs="宋体"/>
          <w:b/>
          <w:bCs/>
          <w:color w:val="auto"/>
          <w:szCs w:val="21"/>
          <w:highlight w:val="none"/>
        </w:rPr>
        <w:br w:type="page"/>
      </w:r>
    </w:p>
    <w:p w14:paraId="42C7176C">
      <w:pPr>
        <w:pStyle w:val="6"/>
        <w:pageBreakBefore w:val="0"/>
        <w:widowControl w:val="0"/>
        <w:shd w:val="clear"/>
        <w:overflowPunct w:val="0"/>
        <w:topLinePunct w:val="0"/>
        <w:bidi w:val="0"/>
        <w:spacing w:after="0" w:line="360" w:lineRule="auto"/>
        <w:rPr>
          <w:rFonts w:hint="eastAsia" w:ascii="宋体" w:hAnsi="宋体" w:cs="宋体"/>
          <w:color w:val="auto"/>
          <w:highlight w:val="none"/>
        </w:rPr>
      </w:pPr>
      <w:bookmarkStart w:id="250" w:name="_Toc5676"/>
      <w:bookmarkStart w:id="251" w:name="_Toc11315"/>
      <w:r>
        <w:rPr>
          <w:rFonts w:hint="eastAsia" w:ascii="宋体" w:hAnsi="宋体" w:cs="宋体"/>
          <w:color w:val="auto"/>
          <w:sz w:val="21"/>
          <w:szCs w:val="21"/>
          <w:highlight w:val="none"/>
        </w:rPr>
        <w:t>附件</w:t>
      </w:r>
      <w:r>
        <w:rPr>
          <w:rFonts w:hint="eastAsia" w:ascii="宋体" w:hAnsi="宋体" w:cs="宋体"/>
          <w:color w:val="auto"/>
          <w:sz w:val="21"/>
          <w:szCs w:val="21"/>
          <w:highlight w:val="none"/>
          <w:lang w:val="en-US" w:eastAsia="zh-CN"/>
        </w:rPr>
        <w:t>10</w:t>
      </w:r>
      <w:r>
        <w:rPr>
          <w:rFonts w:hint="eastAsia" w:ascii="宋体" w:hAnsi="宋体" w:cs="宋体"/>
          <w:color w:val="auto"/>
          <w:sz w:val="21"/>
          <w:szCs w:val="21"/>
          <w:highlight w:val="none"/>
        </w:rPr>
        <w:t>.在经营活动中没有重大违法记录的书面声明格式</w:t>
      </w:r>
      <w:bookmarkEnd w:id="250"/>
      <w:bookmarkEnd w:id="251"/>
    </w:p>
    <w:p w14:paraId="45FCC1CA">
      <w:pPr>
        <w:pageBreakBefore w:val="0"/>
        <w:shd w:val="clear"/>
        <w:topLinePunct w:val="0"/>
        <w:bidi w:val="0"/>
        <w:spacing w:after="0" w:line="360" w:lineRule="auto"/>
        <w:rPr>
          <w:rFonts w:hint="eastAsia" w:ascii="宋体" w:hAnsi="宋体" w:cs="宋体"/>
          <w:color w:val="auto"/>
          <w:highlight w:val="none"/>
        </w:rPr>
      </w:pPr>
    </w:p>
    <w:p w14:paraId="4FD08830">
      <w:pPr>
        <w:pageBreakBefore w:val="0"/>
        <w:shd w:val="clear"/>
        <w:topLinePunct w:val="0"/>
        <w:bidi w:val="0"/>
        <w:spacing w:after="0" w:line="360" w:lineRule="auto"/>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投标人在经营活动中前三年内未有重大违法记录、没有不良信用记录的声明函</w:t>
      </w:r>
    </w:p>
    <w:p w14:paraId="5AA7B235">
      <w:pPr>
        <w:pageBreakBefore w:val="0"/>
        <w:shd w:val="clear"/>
        <w:topLinePunct w:val="0"/>
        <w:bidi w:val="0"/>
        <w:spacing w:after="0" w:line="360" w:lineRule="auto"/>
        <w:ind w:firstLine="420" w:firstLineChars="200"/>
        <w:rPr>
          <w:rFonts w:hint="eastAsia" w:ascii="宋体" w:hAnsi="宋体" w:cs="宋体"/>
          <w:color w:val="auto"/>
          <w:szCs w:val="21"/>
          <w:highlight w:val="none"/>
        </w:rPr>
      </w:pPr>
    </w:p>
    <w:p w14:paraId="06B82500">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xxxxxx公司（采购人）：</w:t>
      </w:r>
    </w:p>
    <w:p w14:paraId="43585A39">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我公司郑重承诺：在参加“</w:t>
      </w:r>
      <w:r>
        <w:rPr>
          <w:rFonts w:hint="eastAsia" w:ascii="宋体" w:hAnsi="宋体" w:cs="宋体"/>
          <w:color w:val="auto"/>
          <w:szCs w:val="21"/>
          <w:highlight w:val="none"/>
          <w:u w:val="single"/>
        </w:rPr>
        <w:t xml:space="preserve">       （采购项目名称）</w:t>
      </w:r>
      <w:r>
        <w:rPr>
          <w:rFonts w:hint="eastAsia" w:ascii="宋体" w:hAnsi="宋体" w:cs="宋体"/>
          <w:color w:val="auto"/>
          <w:szCs w:val="21"/>
          <w:highlight w:val="none"/>
        </w:rPr>
        <w:t>” （项目编号:XX）采购活动前三年内（设立不满三年的从设立之日计算），在经营活动中没有重大违法记录；至本项目提交投标文件截止时间止未被列入“信用中国”网站失信被执行人、重大税收违法失信主体、政府采购严重违法失信行为记录名单。</w:t>
      </w:r>
    </w:p>
    <w:p w14:paraId="7C5BA114">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我公司以上承诺均为真实有效，绝无任何虚假、伪造的成份，否则，愿承担相应的后果和法律责任。</w:t>
      </w:r>
    </w:p>
    <w:p w14:paraId="1B63B67F">
      <w:pPr>
        <w:pageBreakBefore w:val="0"/>
        <w:shd w:val="clear"/>
        <w:topLinePunct w:val="0"/>
        <w:bidi w:val="0"/>
        <w:spacing w:after="0" w:line="360" w:lineRule="auto"/>
        <w:ind w:firstLine="420" w:firstLineChars="200"/>
        <w:rPr>
          <w:rFonts w:hint="eastAsia" w:ascii="宋体" w:hAnsi="宋体" w:cs="宋体"/>
          <w:color w:val="auto"/>
          <w:szCs w:val="21"/>
          <w:highlight w:val="none"/>
        </w:rPr>
      </w:pPr>
    </w:p>
    <w:p w14:paraId="28C05396">
      <w:pPr>
        <w:pageBreakBefore w:val="0"/>
        <w:shd w:val="clear"/>
        <w:topLinePunct w:val="0"/>
        <w:bidi w:val="0"/>
        <w:spacing w:after="0" w:line="360" w:lineRule="auto"/>
        <w:rPr>
          <w:rFonts w:hint="eastAsia" w:ascii="宋体" w:hAnsi="宋体" w:cs="宋体"/>
          <w:color w:val="auto"/>
          <w:szCs w:val="21"/>
          <w:highlight w:val="none"/>
        </w:rPr>
      </w:pPr>
    </w:p>
    <w:p w14:paraId="6CA807DF">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投标人名称（盖章）：</w:t>
      </w:r>
    </w:p>
    <w:p w14:paraId="1EB7BBBE">
      <w:pPr>
        <w:pageBreakBefore w:val="0"/>
        <w:shd w:val="clear"/>
        <w:topLinePunct w:val="0"/>
        <w:bidi w:val="0"/>
        <w:spacing w:after="0" w:line="360" w:lineRule="auto"/>
        <w:rPr>
          <w:rFonts w:hint="eastAsia" w:ascii="宋体" w:hAnsi="宋体" w:cs="宋体"/>
          <w:color w:val="auto"/>
          <w:szCs w:val="21"/>
          <w:highlight w:val="none"/>
        </w:rPr>
      </w:pPr>
    </w:p>
    <w:p w14:paraId="610849A8">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日期：</w:t>
      </w:r>
    </w:p>
    <w:p w14:paraId="05B626CB">
      <w:pPr>
        <w:pageBreakBefore w:val="0"/>
        <w:shd w:val="clear"/>
        <w:topLinePunct w:val="0"/>
        <w:bidi w:val="0"/>
        <w:spacing w:after="0" w:line="360" w:lineRule="auto"/>
        <w:rPr>
          <w:rFonts w:hint="eastAsia" w:ascii="宋体" w:hAnsi="宋体" w:cs="宋体"/>
          <w:color w:val="auto"/>
          <w:highlight w:val="none"/>
        </w:rPr>
      </w:pPr>
    </w:p>
    <w:p w14:paraId="582D7960">
      <w:pPr>
        <w:pageBreakBefore w:val="0"/>
        <w:shd w:val="clear"/>
        <w:topLinePunct w:val="0"/>
        <w:bidi w:val="0"/>
        <w:spacing w:after="0" w:line="360" w:lineRule="auto"/>
        <w:rPr>
          <w:rFonts w:hint="eastAsia" w:ascii="宋体" w:hAnsi="宋体" w:cs="宋体"/>
          <w:color w:val="auto"/>
          <w:szCs w:val="21"/>
          <w:highlight w:val="none"/>
        </w:rPr>
      </w:pPr>
    </w:p>
    <w:p w14:paraId="1996CB99">
      <w:pPr>
        <w:pStyle w:val="10"/>
        <w:pageBreakBefore w:val="0"/>
        <w:shd w:val="clear"/>
        <w:topLinePunct w:val="0"/>
        <w:bidi w:val="0"/>
        <w:spacing w:before="0" w:after="0" w:line="360" w:lineRule="auto"/>
        <w:rPr>
          <w:rFonts w:hint="eastAsia"/>
          <w:color w:val="auto"/>
          <w:sz w:val="21"/>
          <w:szCs w:val="21"/>
          <w:highlight w:val="none"/>
        </w:rPr>
      </w:pPr>
    </w:p>
    <w:p w14:paraId="3D3529B7">
      <w:pPr>
        <w:pageBreakBefore w:val="0"/>
        <w:shd w:val="clear"/>
        <w:topLinePunct w:val="0"/>
        <w:bidi w:val="0"/>
        <w:spacing w:after="0" w:line="360" w:lineRule="auto"/>
        <w:rPr>
          <w:rFonts w:hint="eastAsia" w:ascii="宋体" w:hAnsi="宋体" w:cs="宋体"/>
          <w:color w:val="auto"/>
          <w:szCs w:val="21"/>
          <w:highlight w:val="none"/>
        </w:rPr>
      </w:pPr>
    </w:p>
    <w:p w14:paraId="5C81A292">
      <w:pPr>
        <w:pStyle w:val="10"/>
        <w:pageBreakBefore w:val="0"/>
        <w:shd w:val="clear"/>
        <w:topLinePunct w:val="0"/>
        <w:bidi w:val="0"/>
        <w:spacing w:before="0" w:after="0" w:line="360" w:lineRule="auto"/>
        <w:rPr>
          <w:rFonts w:hint="eastAsia"/>
          <w:color w:val="auto"/>
          <w:sz w:val="21"/>
          <w:szCs w:val="21"/>
          <w:highlight w:val="none"/>
        </w:rPr>
      </w:pPr>
    </w:p>
    <w:p w14:paraId="4C44E9DF">
      <w:pPr>
        <w:pageBreakBefore w:val="0"/>
        <w:shd w:val="clear"/>
        <w:topLinePunct w:val="0"/>
        <w:bidi w:val="0"/>
        <w:spacing w:after="0" w:line="360" w:lineRule="auto"/>
        <w:rPr>
          <w:rFonts w:hint="eastAsia" w:ascii="宋体" w:hAnsi="宋体" w:cs="宋体"/>
          <w:color w:val="auto"/>
          <w:szCs w:val="21"/>
          <w:highlight w:val="none"/>
        </w:rPr>
      </w:pPr>
    </w:p>
    <w:p w14:paraId="539D1815">
      <w:pPr>
        <w:pStyle w:val="10"/>
        <w:pageBreakBefore w:val="0"/>
        <w:shd w:val="clear"/>
        <w:topLinePunct w:val="0"/>
        <w:bidi w:val="0"/>
        <w:spacing w:before="0" w:after="0" w:line="360" w:lineRule="auto"/>
        <w:rPr>
          <w:rFonts w:hint="eastAsia"/>
          <w:color w:val="auto"/>
          <w:sz w:val="21"/>
          <w:szCs w:val="21"/>
          <w:highlight w:val="none"/>
        </w:rPr>
      </w:pPr>
    </w:p>
    <w:p w14:paraId="049B8AD8">
      <w:pPr>
        <w:pageBreakBefore w:val="0"/>
        <w:shd w:val="clear"/>
        <w:topLinePunct w:val="0"/>
        <w:bidi w:val="0"/>
        <w:spacing w:after="0" w:line="360" w:lineRule="auto"/>
        <w:rPr>
          <w:rFonts w:hint="eastAsia" w:ascii="宋体" w:hAnsi="宋体" w:cs="宋体"/>
          <w:color w:val="auto"/>
          <w:szCs w:val="21"/>
          <w:highlight w:val="none"/>
        </w:rPr>
      </w:pPr>
    </w:p>
    <w:p w14:paraId="60794C7E">
      <w:pPr>
        <w:pStyle w:val="10"/>
        <w:pageBreakBefore w:val="0"/>
        <w:shd w:val="clear"/>
        <w:topLinePunct w:val="0"/>
        <w:bidi w:val="0"/>
        <w:spacing w:before="0" w:after="0" w:line="360" w:lineRule="auto"/>
        <w:rPr>
          <w:rFonts w:hint="eastAsia"/>
          <w:color w:val="auto"/>
          <w:sz w:val="21"/>
          <w:szCs w:val="21"/>
          <w:highlight w:val="none"/>
        </w:rPr>
      </w:pPr>
    </w:p>
    <w:p w14:paraId="6E8A0159">
      <w:pPr>
        <w:pageBreakBefore w:val="0"/>
        <w:shd w:val="clear"/>
        <w:topLinePunct w:val="0"/>
        <w:bidi w:val="0"/>
        <w:spacing w:after="0" w:line="360" w:lineRule="auto"/>
        <w:rPr>
          <w:rFonts w:hint="eastAsia" w:ascii="宋体" w:hAnsi="宋体" w:cs="宋体"/>
          <w:color w:val="auto"/>
          <w:szCs w:val="21"/>
          <w:highlight w:val="none"/>
        </w:rPr>
      </w:pPr>
    </w:p>
    <w:p w14:paraId="690BC98F">
      <w:pPr>
        <w:pStyle w:val="10"/>
        <w:pageBreakBefore w:val="0"/>
        <w:shd w:val="clear"/>
        <w:topLinePunct w:val="0"/>
        <w:bidi w:val="0"/>
        <w:spacing w:before="0" w:after="0" w:line="360" w:lineRule="auto"/>
        <w:rPr>
          <w:rFonts w:hint="eastAsia"/>
          <w:color w:val="auto"/>
          <w:sz w:val="21"/>
          <w:szCs w:val="21"/>
          <w:highlight w:val="none"/>
        </w:rPr>
      </w:pPr>
    </w:p>
    <w:p w14:paraId="2E05EDE5">
      <w:pPr>
        <w:pageBreakBefore w:val="0"/>
        <w:shd w:val="clear"/>
        <w:topLinePunct w:val="0"/>
        <w:bidi w:val="0"/>
        <w:spacing w:after="0" w:line="360" w:lineRule="auto"/>
        <w:rPr>
          <w:rFonts w:hint="eastAsia" w:ascii="宋体" w:hAnsi="宋体" w:cs="宋体"/>
          <w:color w:val="auto"/>
          <w:highlight w:val="none"/>
        </w:rPr>
      </w:pPr>
    </w:p>
    <w:p w14:paraId="13702F4D">
      <w:pPr>
        <w:shd w:val="clear"/>
        <w:rPr>
          <w:rFonts w:hint="eastAsia" w:ascii="宋体" w:hAnsi="宋体" w:cs="宋体"/>
          <w:color w:val="auto"/>
          <w:sz w:val="21"/>
          <w:szCs w:val="21"/>
          <w:highlight w:val="none"/>
        </w:rPr>
      </w:pPr>
      <w:bookmarkStart w:id="252" w:name="_Toc491"/>
      <w:r>
        <w:rPr>
          <w:rFonts w:hint="eastAsia" w:ascii="宋体" w:hAnsi="宋体" w:cs="宋体"/>
          <w:color w:val="auto"/>
          <w:sz w:val="21"/>
          <w:szCs w:val="21"/>
          <w:highlight w:val="none"/>
        </w:rPr>
        <w:br w:type="page"/>
      </w:r>
    </w:p>
    <w:p w14:paraId="479231F9">
      <w:pPr>
        <w:pStyle w:val="6"/>
        <w:pageBreakBefore w:val="0"/>
        <w:widowControl w:val="0"/>
        <w:shd w:val="clear"/>
        <w:overflowPunct w:val="0"/>
        <w:topLinePunct w:val="0"/>
        <w:bidi w:val="0"/>
        <w:spacing w:after="0" w:line="360" w:lineRule="auto"/>
        <w:rPr>
          <w:rFonts w:hint="eastAsia" w:ascii="宋体" w:hAnsi="宋体" w:cs="宋体"/>
          <w:color w:val="auto"/>
          <w:highlight w:val="none"/>
        </w:rPr>
      </w:pPr>
      <w:bookmarkStart w:id="253" w:name="_Toc26399"/>
      <w:r>
        <w:rPr>
          <w:rFonts w:hint="eastAsia" w:ascii="宋体" w:hAnsi="宋体" w:cs="宋体"/>
          <w:color w:val="auto"/>
          <w:sz w:val="21"/>
          <w:szCs w:val="21"/>
          <w:highlight w:val="none"/>
        </w:rPr>
        <w:t>附件1</w:t>
      </w: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rPr>
        <w:t>.承诺书格式</w:t>
      </w:r>
      <w:bookmarkEnd w:id="252"/>
      <w:bookmarkEnd w:id="253"/>
    </w:p>
    <w:p w14:paraId="69F1FBF7">
      <w:pPr>
        <w:pageBreakBefore w:val="0"/>
        <w:shd w:val="clear"/>
        <w:topLinePunct w:val="0"/>
        <w:bidi w:val="0"/>
        <w:spacing w:after="0" w:line="360" w:lineRule="auto"/>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承诺书</w:t>
      </w:r>
    </w:p>
    <w:p w14:paraId="3C808C88">
      <w:pPr>
        <w:pStyle w:val="48"/>
        <w:pageBreakBefore w:val="0"/>
        <w:shd w:val="clear"/>
        <w:topLinePunct w:val="0"/>
        <w:bidi w:val="0"/>
        <w:spacing w:after="0" w:line="360" w:lineRule="auto"/>
        <w:ind w:firstLine="0" w:firstLineChars="0"/>
        <w:rPr>
          <w:rFonts w:hint="eastAsia" w:ascii="宋体" w:eastAsia="宋体" w:cs="宋体"/>
          <w:color w:val="auto"/>
          <w:sz w:val="21"/>
          <w:szCs w:val="21"/>
          <w:highlight w:val="none"/>
        </w:rPr>
      </w:pPr>
      <w:r>
        <w:rPr>
          <w:rFonts w:hint="eastAsia" w:ascii="宋体" w:eastAsia="宋体" w:cs="宋体"/>
          <w:color w:val="auto"/>
          <w:sz w:val="21"/>
          <w:szCs w:val="21"/>
          <w:highlight w:val="none"/>
        </w:rPr>
        <w:t>致xxx公司（采购人）：</w:t>
      </w:r>
    </w:p>
    <w:p w14:paraId="2BB76BCC">
      <w:pPr>
        <w:pageBreakBefore w:val="0"/>
        <w:shd w:val="clear"/>
        <w:topLinePunct w:val="0"/>
        <w:bidi w:val="0"/>
        <w:spacing w:after="0" w:line="360" w:lineRule="auto"/>
        <w:jc w:val="center"/>
        <w:rPr>
          <w:rFonts w:hint="eastAsia" w:ascii="宋体" w:hAnsi="宋体" w:cs="宋体"/>
          <w:color w:val="auto"/>
          <w:szCs w:val="21"/>
          <w:highlight w:val="none"/>
        </w:rPr>
      </w:pPr>
    </w:p>
    <w:p w14:paraId="22875ECB">
      <w:pPr>
        <w:pStyle w:val="48"/>
        <w:pageBreakBefore w:val="0"/>
        <w:shd w:val="clear"/>
        <w:topLinePunct w:val="0"/>
        <w:bidi w:val="0"/>
        <w:spacing w:after="0" w:line="360" w:lineRule="auto"/>
        <w:ind w:firstLine="433"/>
        <w:rPr>
          <w:rFonts w:hint="eastAsia" w:ascii="宋体" w:eastAsia="宋体" w:cs="宋体"/>
          <w:color w:val="auto"/>
          <w:sz w:val="21"/>
          <w:szCs w:val="21"/>
          <w:highlight w:val="none"/>
        </w:rPr>
      </w:pPr>
      <w:r>
        <w:rPr>
          <w:rFonts w:hint="eastAsia" w:ascii="宋体" w:eastAsia="宋体" w:cs="宋体"/>
          <w:color w:val="auto"/>
          <w:sz w:val="21"/>
          <w:szCs w:val="21"/>
          <w:highlight w:val="none"/>
        </w:rPr>
        <w:t>我方已完整阅读了</w:t>
      </w:r>
      <w:r>
        <w:rPr>
          <w:rFonts w:hint="eastAsia" w:ascii="宋体" w:eastAsia="宋体" w:cs="宋体"/>
          <w:color w:val="auto"/>
          <w:sz w:val="21"/>
          <w:szCs w:val="21"/>
          <w:highlight w:val="none"/>
          <w:u w:val="single"/>
        </w:rPr>
        <w:t xml:space="preserve">  （项目名称）     </w:t>
      </w:r>
      <w:r>
        <w:rPr>
          <w:rFonts w:hint="eastAsia" w:ascii="宋体" w:eastAsia="宋体" w:cs="宋体"/>
          <w:color w:val="auto"/>
          <w:sz w:val="21"/>
          <w:szCs w:val="21"/>
          <w:highlight w:val="none"/>
        </w:rPr>
        <w:t>项目（项目编号：</w:t>
      </w:r>
      <w:r>
        <w:rPr>
          <w:rFonts w:hint="eastAsia" w:ascii="宋体" w:eastAsia="宋体" w:cs="宋体"/>
          <w:color w:val="auto"/>
          <w:sz w:val="21"/>
          <w:szCs w:val="21"/>
          <w:highlight w:val="none"/>
          <w:u w:val="single"/>
        </w:rPr>
        <w:t xml:space="preserve">            </w:t>
      </w:r>
      <w:r>
        <w:rPr>
          <w:rFonts w:hint="eastAsia" w:ascii="宋体" w:eastAsia="宋体" w:cs="宋体"/>
          <w:color w:val="auto"/>
          <w:sz w:val="21"/>
          <w:szCs w:val="21"/>
          <w:highlight w:val="none"/>
        </w:rPr>
        <w:t>）采购文件的所有内容（包括澄清，以及所有已提供的参考资料和有关附件），并完全理解上述文件所表达的意思，该项目递交投标文件时间截止后，我方承诺不再对上述文件内容有异议。</w:t>
      </w:r>
      <w:r>
        <w:rPr>
          <w:rFonts w:hint="eastAsia" w:ascii="宋体" w:eastAsia="宋体" w:cs="宋体"/>
          <w:color w:val="auto"/>
          <w:sz w:val="21"/>
          <w:szCs w:val="21"/>
          <w:highlight w:val="none"/>
        </w:rPr>
        <w:cr/>
      </w:r>
    </w:p>
    <w:p w14:paraId="5D207AE1">
      <w:pPr>
        <w:pStyle w:val="48"/>
        <w:pageBreakBefore w:val="0"/>
        <w:shd w:val="clear"/>
        <w:topLinePunct w:val="0"/>
        <w:bidi w:val="0"/>
        <w:spacing w:after="0" w:line="360" w:lineRule="auto"/>
        <w:ind w:firstLine="433"/>
        <w:rPr>
          <w:rFonts w:hint="eastAsia" w:ascii="宋体" w:eastAsia="宋体" w:cs="宋体"/>
          <w:color w:val="auto"/>
          <w:sz w:val="21"/>
          <w:szCs w:val="21"/>
          <w:highlight w:val="none"/>
        </w:rPr>
      </w:pPr>
    </w:p>
    <w:p w14:paraId="051430A8">
      <w:pPr>
        <w:pageBreakBefore w:val="0"/>
        <w:shd w:val="clear"/>
        <w:topLinePunct w:val="0"/>
        <w:bidi w:val="0"/>
        <w:spacing w:after="0" w:line="360" w:lineRule="auto"/>
        <w:ind w:right="561" w:firstLine="420" w:firstLineChars="200"/>
        <w:rPr>
          <w:rFonts w:hint="eastAsia" w:ascii="宋体" w:hAnsi="宋体" w:cs="宋体"/>
          <w:color w:val="auto"/>
          <w:szCs w:val="21"/>
          <w:highlight w:val="none"/>
        </w:rPr>
      </w:pPr>
      <w:r>
        <w:rPr>
          <w:rFonts w:hint="eastAsia" w:ascii="宋体" w:hAnsi="宋体" w:cs="宋体"/>
          <w:color w:val="auto"/>
          <w:szCs w:val="21"/>
          <w:highlight w:val="none"/>
        </w:rPr>
        <w:t>投标人名称（加盖公章）：</w:t>
      </w:r>
    </w:p>
    <w:p w14:paraId="11B82FD2">
      <w:pPr>
        <w:pageBreakBefore w:val="0"/>
        <w:shd w:val="clear"/>
        <w:topLinePunct w:val="0"/>
        <w:bidi w:val="0"/>
        <w:spacing w:after="0" w:line="360" w:lineRule="auto"/>
        <w:ind w:right="561" w:firstLine="420" w:firstLineChars="200"/>
        <w:rPr>
          <w:rFonts w:hint="eastAsia" w:ascii="宋体" w:hAnsi="宋体" w:cs="宋体"/>
          <w:color w:val="auto"/>
          <w:szCs w:val="21"/>
          <w:highlight w:val="none"/>
        </w:rPr>
      </w:pPr>
      <w:r>
        <w:rPr>
          <w:rFonts w:hint="eastAsia" w:ascii="宋体" w:hAnsi="宋体" w:cs="宋体"/>
          <w:color w:val="auto"/>
          <w:szCs w:val="21"/>
          <w:highlight w:val="none"/>
        </w:rPr>
        <w:t>法定代表人或被授权人（签名或盖私章）：</w:t>
      </w:r>
    </w:p>
    <w:p w14:paraId="09FCFDF8">
      <w:pPr>
        <w:pageBreakBefore w:val="0"/>
        <w:shd w:val="clear"/>
        <w:topLinePunct w:val="0"/>
        <w:bidi w:val="0"/>
        <w:spacing w:after="0" w:line="360" w:lineRule="auto"/>
        <w:ind w:right="561" w:firstLine="420" w:firstLineChars="200"/>
        <w:rPr>
          <w:rFonts w:hint="eastAsia" w:ascii="宋体" w:hAnsi="宋体" w:cs="宋体"/>
          <w:color w:val="auto"/>
          <w:szCs w:val="21"/>
          <w:highlight w:val="none"/>
        </w:rPr>
      </w:pPr>
      <w:r>
        <w:rPr>
          <w:rFonts w:hint="eastAsia" w:ascii="宋体" w:hAnsi="宋体" w:cs="宋体"/>
          <w:color w:val="auto"/>
          <w:szCs w:val="21"/>
          <w:highlight w:val="none"/>
        </w:rPr>
        <w:t>日      期：</w:t>
      </w:r>
    </w:p>
    <w:p w14:paraId="7273F8CA">
      <w:pPr>
        <w:pageBreakBefore w:val="0"/>
        <w:shd w:val="clear"/>
        <w:topLinePunct w:val="0"/>
        <w:bidi w:val="0"/>
        <w:spacing w:after="0" w:line="360" w:lineRule="auto"/>
        <w:rPr>
          <w:rFonts w:hint="eastAsia" w:ascii="宋体" w:hAnsi="宋体" w:cs="宋体"/>
          <w:color w:val="auto"/>
          <w:highlight w:val="none"/>
        </w:rPr>
      </w:pPr>
    </w:p>
    <w:p w14:paraId="41CD8881">
      <w:pPr>
        <w:pageBreakBefore w:val="0"/>
        <w:shd w:val="clear"/>
        <w:topLinePunct w:val="0"/>
        <w:bidi w:val="0"/>
        <w:spacing w:after="0" w:line="360" w:lineRule="auto"/>
        <w:rPr>
          <w:rFonts w:hint="eastAsia" w:ascii="宋体" w:hAnsi="宋体" w:cs="宋体"/>
          <w:color w:val="auto"/>
          <w:szCs w:val="21"/>
          <w:highlight w:val="none"/>
        </w:rPr>
      </w:pPr>
    </w:p>
    <w:p w14:paraId="66BC5085">
      <w:pPr>
        <w:pStyle w:val="10"/>
        <w:pageBreakBefore w:val="0"/>
        <w:shd w:val="clear"/>
        <w:topLinePunct w:val="0"/>
        <w:bidi w:val="0"/>
        <w:spacing w:before="0" w:after="0" w:line="360" w:lineRule="auto"/>
        <w:rPr>
          <w:rFonts w:hint="eastAsia"/>
          <w:color w:val="auto"/>
          <w:sz w:val="21"/>
          <w:szCs w:val="21"/>
          <w:highlight w:val="none"/>
        </w:rPr>
      </w:pPr>
    </w:p>
    <w:p w14:paraId="6EE6EB3B">
      <w:pPr>
        <w:pageBreakBefore w:val="0"/>
        <w:shd w:val="clear"/>
        <w:topLinePunct w:val="0"/>
        <w:bidi w:val="0"/>
        <w:spacing w:after="0" w:line="360" w:lineRule="auto"/>
        <w:rPr>
          <w:rFonts w:hint="eastAsia" w:ascii="宋体" w:hAnsi="宋体" w:cs="宋体"/>
          <w:color w:val="auto"/>
          <w:szCs w:val="21"/>
          <w:highlight w:val="none"/>
        </w:rPr>
      </w:pPr>
    </w:p>
    <w:p w14:paraId="140D694B">
      <w:pPr>
        <w:pStyle w:val="10"/>
        <w:pageBreakBefore w:val="0"/>
        <w:shd w:val="clear"/>
        <w:topLinePunct w:val="0"/>
        <w:bidi w:val="0"/>
        <w:spacing w:before="0" w:after="0" w:line="360" w:lineRule="auto"/>
        <w:rPr>
          <w:rFonts w:hint="eastAsia"/>
          <w:color w:val="auto"/>
          <w:sz w:val="21"/>
          <w:szCs w:val="21"/>
          <w:highlight w:val="none"/>
        </w:rPr>
      </w:pPr>
    </w:p>
    <w:p w14:paraId="6B20B1C8">
      <w:pPr>
        <w:pageBreakBefore w:val="0"/>
        <w:shd w:val="clear"/>
        <w:topLinePunct w:val="0"/>
        <w:bidi w:val="0"/>
        <w:spacing w:after="0" w:line="360" w:lineRule="auto"/>
        <w:rPr>
          <w:rFonts w:hint="eastAsia" w:ascii="宋体" w:hAnsi="宋体" w:cs="宋体"/>
          <w:color w:val="auto"/>
          <w:szCs w:val="21"/>
          <w:highlight w:val="none"/>
        </w:rPr>
      </w:pPr>
    </w:p>
    <w:p w14:paraId="439E86CB">
      <w:pPr>
        <w:pStyle w:val="10"/>
        <w:pageBreakBefore w:val="0"/>
        <w:shd w:val="clear"/>
        <w:topLinePunct w:val="0"/>
        <w:bidi w:val="0"/>
        <w:spacing w:before="0" w:after="0" w:line="360" w:lineRule="auto"/>
        <w:rPr>
          <w:rFonts w:hint="eastAsia"/>
          <w:color w:val="auto"/>
          <w:sz w:val="21"/>
          <w:szCs w:val="21"/>
          <w:highlight w:val="none"/>
        </w:rPr>
      </w:pPr>
    </w:p>
    <w:p w14:paraId="4C136484">
      <w:pPr>
        <w:pageBreakBefore w:val="0"/>
        <w:shd w:val="clear"/>
        <w:topLinePunct w:val="0"/>
        <w:bidi w:val="0"/>
        <w:spacing w:after="0" w:line="360" w:lineRule="auto"/>
        <w:rPr>
          <w:rFonts w:hint="eastAsia" w:ascii="宋体" w:hAnsi="宋体" w:cs="宋体"/>
          <w:color w:val="auto"/>
          <w:szCs w:val="21"/>
          <w:highlight w:val="none"/>
        </w:rPr>
      </w:pPr>
    </w:p>
    <w:p w14:paraId="0854A9DF">
      <w:pPr>
        <w:pStyle w:val="10"/>
        <w:pageBreakBefore w:val="0"/>
        <w:shd w:val="clear"/>
        <w:topLinePunct w:val="0"/>
        <w:bidi w:val="0"/>
        <w:spacing w:before="0" w:after="0" w:line="360" w:lineRule="auto"/>
        <w:rPr>
          <w:rFonts w:hint="eastAsia"/>
          <w:color w:val="auto"/>
          <w:sz w:val="21"/>
          <w:szCs w:val="21"/>
          <w:highlight w:val="none"/>
        </w:rPr>
      </w:pPr>
    </w:p>
    <w:p w14:paraId="3B99FB66">
      <w:pPr>
        <w:pageBreakBefore w:val="0"/>
        <w:shd w:val="clear"/>
        <w:topLinePunct w:val="0"/>
        <w:bidi w:val="0"/>
        <w:spacing w:after="0" w:line="360" w:lineRule="auto"/>
        <w:rPr>
          <w:rFonts w:hint="eastAsia" w:ascii="宋体" w:hAnsi="宋体" w:cs="宋体"/>
          <w:color w:val="auto"/>
          <w:szCs w:val="21"/>
          <w:highlight w:val="none"/>
        </w:rPr>
      </w:pPr>
    </w:p>
    <w:p w14:paraId="53EE7381">
      <w:pPr>
        <w:pStyle w:val="10"/>
        <w:pageBreakBefore w:val="0"/>
        <w:shd w:val="clear"/>
        <w:topLinePunct w:val="0"/>
        <w:bidi w:val="0"/>
        <w:spacing w:before="0" w:after="0" w:line="360" w:lineRule="auto"/>
        <w:rPr>
          <w:rFonts w:hint="eastAsia"/>
          <w:color w:val="auto"/>
          <w:sz w:val="21"/>
          <w:szCs w:val="21"/>
          <w:highlight w:val="none"/>
        </w:rPr>
      </w:pPr>
    </w:p>
    <w:p w14:paraId="61DF9E29">
      <w:pPr>
        <w:pageBreakBefore w:val="0"/>
        <w:shd w:val="clear"/>
        <w:topLinePunct w:val="0"/>
        <w:bidi w:val="0"/>
        <w:spacing w:after="0" w:line="360" w:lineRule="auto"/>
        <w:rPr>
          <w:rFonts w:hint="eastAsia" w:ascii="宋体" w:hAnsi="宋体" w:cs="宋体"/>
          <w:color w:val="auto"/>
          <w:szCs w:val="21"/>
          <w:highlight w:val="none"/>
        </w:rPr>
      </w:pPr>
    </w:p>
    <w:p w14:paraId="11137AC2">
      <w:pPr>
        <w:pStyle w:val="10"/>
        <w:pageBreakBefore w:val="0"/>
        <w:shd w:val="clear"/>
        <w:topLinePunct w:val="0"/>
        <w:bidi w:val="0"/>
        <w:spacing w:before="0" w:after="0" w:line="360" w:lineRule="auto"/>
        <w:rPr>
          <w:rFonts w:hint="eastAsia"/>
          <w:color w:val="auto"/>
          <w:sz w:val="21"/>
          <w:szCs w:val="21"/>
          <w:highlight w:val="none"/>
        </w:rPr>
      </w:pPr>
    </w:p>
    <w:p w14:paraId="4E7A0031">
      <w:pPr>
        <w:pageBreakBefore w:val="0"/>
        <w:shd w:val="clear"/>
        <w:topLinePunct w:val="0"/>
        <w:bidi w:val="0"/>
        <w:spacing w:after="0" w:line="360" w:lineRule="auto"/>
        <w:rPr>
          <w:rFonts w:hint="eastAsia" w:ascii="宋体" w:hAnsi="宋体" w:cs="宋体"/>
          <w:color w:val="auto"/>
          <w:szCs w:val="21"/>
          <w:highlight w:val="none"/>
        </w:rPr>
      </w:pPr>
    </w:p>
    <w:p w14:paraId="59FBEBCA">
      <w:pPr>
        <w:pStyle w:val="10"/>
        <w:pageBreakBefore w:val="0"/>
        <w:shd w:val="clear"/>
        <w:topLinePunct w:val="0"/>
        <w:bidi w:val="0"/>
        <w:spacing w:before="0" w:after="0" w:line="360" w:lineRule="auto"/>
        <w:rPr>
          <w:rFonts w:hint="eastAsia"/>
          <w:color w:val="auto"/>
          <w:sz w:val="21"/>
          <w:szCs w:val="21"/>
          <w:highlight w:val="none"/>
        </w:rPr>
      </w:pPr>
    </w:p>
    <w:p w14:paraId="200BF305">
      <w:pPr>
        <w:pageBreakBefore w:val="0"/>
        <w:shd w:val="clear"/>
        <w:topLinePunct w:val="0"/>
        <w:bidi w:val="0"/>
        <w:spacing w:after="0" w:line="360" w:lineRule="auto"/>
        <w:rPr>
          <w:rFonts w:hint="eastAsia" w:ascii="宋体" w:hAnsi="宋体" w:cs="宋体"/>
          <w:color w:val="auto"/>
          <w:szCs w:val="21"/>
          <w:highlight w:val="none"/>
        </w:rPr>
      </w:pPr>
    </w:p>
    <w:p w14:paraId="2C44B5FF">
      <w:pPr>
        <w:pStyle w:val="10"/>
        <w:pageBreakBefore w:val="0"/>
        <w:shd w:val="clear"/>
        <w:topLinePunct w:val="0"/>
        <w:bidi w:val="0"/>
        <w:spacing w:before="0" w:after="0" w:line="360" w:lineRule="auto"/>
        <w:rPr>
          <w:rFonts w:hint="eastAsia"/>
          <w:color w:val="auto"/>
          <w:sz w:val="21"/>
          <w:szCs w:val="21"/>
          <w:highlight w:val="none"/>
        </w:rPr>
      </w:pPr>
    </w:p>
    <w:p w14:paraId="6C7112C2">
      <w:pPr>
        <w:pageBreakBefore w:val="0"/>
        <w:shd w:val="clear"/>
        <w:topLinePunct w:val="0"/>
        <w:bidi w:val="0"/>
        <w:spacing w:after="0" w:line="360" w:lineRule="auto"/>
        <w:rPr>
          <w:rFonts w:hint="eastAsia" w:ascii="宋体" w:hAnsi="宋体" w:cs="宋体"/>
          <w:color w:val="auto"/>
          <w:highlight w:val="none"/>
        </w:rPr>
      </w:pPr>
    </w:p>
    <w:p w14:paraId="1337911F">
      <w:pPr>
        <w:pageBreakBefore w:val="0"/>
        <w:shd w:val="clear"/>
        <w:topLinePunct w:val="0"/>
        <w:bidi w:val="0"/>
        <w:spacing w:after="0" w:line="360" w:lineRule="auto"/>
        <w:rPr>
          <w:color w:val="auto"/>
          <w:highlight w:val="none"/>
        </w:rPr>
      </w:pPr>
      <w:r>
        <w:rPr>
          <w:rFonts w:hint="eastAsia" w:ascii="宋体" w:hAnsi="宋体" w:cs="宋体"/>
          <w:color w:val="auto"/>
          <w:szCs w:val="21"/>
          <w:highlight w:val="none"/>
        </w:rPr>
        <w:br w:type="page"/>
      </w:r>
    </w:p>
    <w:p w14:paraId="47EEB106">
      <w:pPr>
        <w:pStyle w:val="6"/>
        <w:pageBreakBefore w:val="0"/>
        <w:widowControl w:val="0"/>
        <w:shd w:val="clear"/>
        <w:overflowPunct w:val="0"/>
        <w:topLinePunct w:val="0"/>
        <w:bidi w:val="0"/>
        <w:spacing w:after="0" w:line="360" w:lineRule="auto"/>
        <w:rPr>
          <w:rFonts w:hint="eastAsia" w:ascii="宋体" w:hAnsi="宋体" w:cs="宋体"/>
          <w:color w:val="auto"/>
          <w:sz w:val="21"/>
          <w:szCs w:val="21"/>
          <w:highlight w:val="none"/>
        </w:rPr>
      </w:pPr>
      <w:bookmarkStart w:id="254" w:name="_Toc8903"/>
      <w:bookmarkStart w:id="255" w:name="_Toc937"/>
      <w:r>
        <w:rPr>
          <w:rFonts w:hint="eastAsia" w:ascii="宋体" w:hAnsi="宋体" w:cs="宋体"/>
          <w:color w:val="auto"/>
          <w:sz w:val="21"/>
          <w:szCs w:val="21"/>
          <w:highlight w:val="none"/>
        </w:rPr>
        <w:t>附件1</w:t>
      </w:r>
      <w:r>
        <w:rPr>
          <w:rFonts w:hint="eastAsia" w:ascii="宋体" w:hAnsi="宋体" w:cs="宋体"/>
          <w:color w:val="auto"/>
          <w:sz w:val="21"/>
          <w:szCs w:val="21"/>
          <w:highlight w:val="none"/>
          <w:lang w:val="en-US" w:eastAsia="zh-CN"/>
        </w:rPr>
        <w:t>2</w:t>
      </w:r>
      <w:r>
        <w:rPr>
          <w:rFonts w:hint="eastAsia" w:ascii="宋体" w:hAnsi="宋体" w:cs="宋体"/>
          <w:color w:val="auto"/>
          <w:sz w:val="21"/>
          <w:szCs w:val="21"/>
          <w:highlight w:val="none"/>
        </w:rPr>
        <w:t>.商务需求条款偏离表格式</w:t>
      </w:r>
      <w:bookmarkEnd w:id="254"/>
      <w:bookmarkEnd w:id="255"/>
    </w:p>
    <w:p w14:paraId="46CB6661">
      <w:pPr>
        <w:pageBreakBefore w:val="0"/>
        <w:shd w:val="clear"/>
        <w:topLinePunct w:val="0"/>
        <w:bidi w:val="0"/>
        <w:spacing w:after="0" w:line="360" w:lineRule="auto"/>
        <w:jc w:val="center"/>
        <w:rPr>
          <w:rFonts w:hint="eastAsia" w:ascii="宋体" w:hAnsi="宋体" w:cs="宋体"/>
          <w:color w:val="auto"/>
          <w:sz w:val="28"/>
          <w:szCs w:val="28"/>
          <w:highlight w:val="none"/>
        </w:rPr>
      </w:pPr>
    </w:p>
    <w:p w14:paraId="67E79E69">
      <w:pPr>
        <w:pageBreakBefore w:val="0"/>
        <w:shd w:val="clear"/>
        <w:topLinePunct w:val="0"/>
        <w:bidi w:val="0"/>
        <w:spacing w:after="0" w:line="360" w:lineRule="auto"/>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商务需求条款偏离表</w:t>
      </w:r>
    </w:p>
    <w:tbl>
      <w:tblPr>
        <w:tblStyle w:val="32"/>
        <w:tblW w:w="84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1620"/>
        <w:gridCol w:w="1360"/>
        <w:gridCol w:w="1587"/>
        <w:gridCol w:w="1133"/>
        <w:gridCol w:w="1730"/>
      </w:tblGrid>
      <w:tr w14:paraId="19A68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1008" w:type="dxa"/>
            <w:vAlign w:val="center"/>
          </w:tcPr>
          <w:p w14:paraId="7F983D60">
            <w:pPr>
              <w:pageBreakBefore w:val="0"/>
              <w:shd w:val="clear"/>
              <w:topLinePunct w:val="0"/>
              <w:bidi w:val="0"/>
              <w:spacing w:after="0"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1620" w:type="dxa"/>
            <w:vAlign w:val="center"/>
          </w:tcPr>
          <w:p w14:paraId="258DED07">
            <w:pPr>
              <w:pageBreakBefore w:val="0"/>
              <w:shd w:val="clear"/>
              <w:topLinePunct w:val="0"/>
              <w:bidi w:val="0"/>
              <w:spacing w:after="0"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服务项目名称</w:t>
            </w:r>
          </w:p>
        </w:tc>
        <w:tc>
          <w:tcPr>
            <w:tcW w:w="1360" w:type="dxa"/>
            <w:vAlign w:val="center"/>
          </w:tcPr>
          <w:p w14:paraId="0E2A58CA">
            <w:pPr>
              <w:pageBreakBefore w:val="0"/>
              <w:shd w:val="clear"/>
              <w:topLinePunct w:val="0"/>
              <w:bidi w:val="0"/>
              <w:spacing w:after="0"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采购要求</w:t>
            </w:r>
          </w:p>
        </w:tc>
        <w:tc>
          <w:tcPr>
            <w:tcW w:w="1587" w:type="dxa"/>
            <w:vAlign w:val="center"/>
          </w:tcPr>
          <w:p w14:paraId="2FC38F3D">
            <w:pPr>
              <w:pageBreakBefore w:val="0"/>
              <w:shd w:val="clear"/>
              <w:topLinePunct w:val="0"/>
              <w:bidi w:val="0"/>
              <w:spacing w:after="0"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投标实际响应</w:t>
            </w:r>
          </w:p>
        </w:tc>
        <w:tc>
          <w:tcPr>
            <w:tcW w:w="1133" w:type="dxa"/>
            <w:vAlign w:val="center"/>
          </w:tcPr>
          <w:p w14:paraId="4336E1B7">
            <w:pPr>
              <w:pageBreakBefore w:val="0"/>
              <w:shd w:val="clear"/>
              <w:topLinePunct w:val="0"/>
              <w:bidi w:val="0"/>
              <w:spacing w:after="0"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是否偏离</w:t>
            </w:r>
          </w:p>
        </w:tc>
        <w:tc>
          <w:tcPr>
            <w:tcW w:w="1730" w:type="dxa"/>
            <w:vAlign w:val="center"/>
          </w:tcPr>
          <w:p w14:paraId="1308EAA2">
            <w:pPr>
              <w:pageBreakBefore w:val="0"/>
              <w:shd w:val="clear"/>
              <w:topLinePunct w:val="0"/>
              <w:bidi w:val="0"/>
              <w:spacing w:after="0"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说明</w:t>
            </w:r>
          </w:p>
        </w:tc>
      </w:tr>
      <w:tr w14:paraId="6A7DE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37F08D57">
            <w:pPr>
              <w:pageBreakBefore w:val="0"/>
              <w:shd w:val="clear"/>
              <w:topLinePunct w:val="0"/>
              <w:bidi w:val="0"/>
              <w:spacing w:after="0" w:line="360" w:lineRule="auto"/>
              <w:jc w:val="center"/>
              <w:rPr>
                <w:rFonts w:hint="eastAsia" w:ascii="宋体" w:hAnsi="宋体" w:cs="宋体"/>
                <w:color w:val="auto"/>
                <w:szCs w:val="21"/>
                <w:highlight w:val="none"/>
              </w:rPr>
            </w:pPr>
          </w:p>
        </w:tc>
        <w:tc>
          <w:tcPr>
            <w:tcW w:w="1620" w:type="dxa"/>
            <w:vAlign w:val="center"/>
          </w:tcPr>
          <w:p w14:paraId="08717766">
            <w:pPr>
              <w:pageBreakBefore w:val="0"/>
              <w:shd w:val="clear"/>
              <w:topLinePunct w:val="0"/>
              <w:bidi w:val="0"/>
              <w:spacing w:after="0" w:line="360" w:lineRule="auto"/>
              <w:jc w:val="center"/>
              <w:rPr>
                <w:rFonts w:hint="eastAsia" w:ascii="宋体" w:hAnsi="宋体" w:cs="宋体"/>
                <w:color w:val="auto"/>
                <w:szCs w:val="21"/>
                <w:highlight w:val="none"/>
              </w:rPr>
            </w:pPr>
          </w:p>
        </w:tc>
        <w:tc>
          <w:tcPr>
            <w:tcW w:w="1360" w:type="dxa"/>
            <w:vAlign w:val="center"/>
          </w:tcPr>
          <w:p w14:paraId="65C46A98">
            <w:pPr>
              <w:pageBreakBefore w:val="0"/>
              <w:shd w:val="clear"/>
              <w:topLinePunct w:val="0"/>
              <w:bidi w:val="0"/>
              <w:spacing w:after="0" w:line="360" w:lineRule="auto"/>
              <w:jc w:val="center"/>
              <w:rPr>
                <w:rFonts w:hint="eastAsia" w:ascii="宋体" w:hAnsi="宋体" w:cs="宋体"/>
                <w:color w:val="auto"/>
                <w:szCs w:val="21"/>
                <w:highlight w:val="none"/>
              </w:rPr>
            </w:pPr>
          </w:p>
        </w:tc>
        <w:tc>
          <w:tcPr>
            <w:tcW w:w="1587" w:type="dxa"/>
            <w:vAlign w:val="center"/>
          </w:tcPr>
          <w:p w14:paraId="6A65BADE">
            <w:pPr>
              <w:pageBreakBefore w:val="0"/>
              <w:shd w:val="clear"/>
              <w:topLinePunct w:val="0"/>
              <w:bidi w:val="0"/>
              <w:spacing w:after="0" w:line="360" w:lineRule="auto"/>
              <w:jc w:val="center"/>
              <w:rPr>
                <w:rFonts w:hint="eastAsia" w:ascii="宋体" w:hAnsi="宋体" w:cs="宋体"/>
                <w:color w:val="auto"/>
                <w:szCs w:val="21"/>
                <w:highlight w:val="none"/>
              </w:rPr>
            </w:pPr>
          </w:p>
        </w:tc>
        <w:tc>
          <w:tcPr>
            <w:tcW w:w="1133" w:type="dxa"/>
            <w:vAlign w:val="center"/>
          </w:tcPr>
          <w:p w14:paraId="2D7C17C7">
            <w:pPr>
              <w:pageBreakBefore w:val="0"/>
              <w:shd w:val="clear"/>
              <w:topLinePunct w:val="0"/>
              <w:bidi w:val="0"/>
              <w:spacing w:after="0" w:line="360" w:lineRule="auto"/>
              <w:jc w:val="center"/>
              <w:rPr>
                <w:rFonts w:hint="eastAsia" w:ascii="宋体" w:hAnsi="宋体" w:cs="宋体"/>
                <w:color w:val="auto"/>
                <w:szCs w:val="21"/>
                <w:highlight w:val="none"/>
              </w:rPr>
            </w:pPr>
          </w:p>
        </w:tc>
        <w:tc>
          <w:tcPr>
            <w:tcW w:w="1730" w:type="dxa"/>
            <w:vAlign w:val="center"/>
          </w:tcPr>
          <w:p w14:paraId="25F1CECA">
            <w:pPr>
              <w:pageBreakBefore w:val="0"/>
              <w:shd w:val="clear"/>
              <w:topLinePunct w:val="0"/>
              <w:bidi w:val="0"/>
              <w:spacing w:after="0" w:line="360" w:lineRule="auto"/>
              <w:jc w:val="center"/>
              <w:rPr>
                <w:rFonts w:hint="eastAsia" w:ascii="宋体" w:hAnsi="宋体" w:cs="宋体"/>
                <w:color w:val="auto"/>
                <w:szCs w:val="21"/>
                <w:highlight w:val="none"/>
              </w:rPr>
            </w:pPr>
          </w:p>
        </w:tc>
      </w:tr>
      <w:tr w14:paraId="758DA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4209509F">
            <w:pPr>
              <w:pageBreakBefore w:val="0"/>
              <w:shd w:val="clear"/>
              <w:topLinePunct w:val="0"/>
              <w:bidi w:val="0"/>
              <w:spacing w:after="0" w:line="360" w:lineRule="auto"/>
              <w:jc w:val="center"/>
              <w:rPr>
                <w:rFonts w:hint="eastAsia" w:ascii="宋体" w:hAnsi="宋体" w:cs="宋体"/>
                <w:color w:val="auto"/>
                <w:szCs w:val="21"/>
                <w:highlight w:val="none"/>
              </w:rPr>
            </w:pPr>
          </w:p>
        </w:tc>
        <w:tc>
          <w:tcPr>
            <w:tcW w:w="1620" w:type="dxa"/>
            <w:vAlign w:val="center"/>
          </w:tcPr>
          <w:p w14:paraId="6324A6EC">
            <w:pPr>
              <w:pageBreakBefore w:val="0"/>
              <w:shd w:val="clear"/>
              <w:topLinePunct w:val="0"/>
              <w:bidi w:val="0"/>
              <w:spacing w:after="0" w:line="360" w:lineRule="auto"/>
              <w:jc w:val="center"/>
              <w:rPr>
                <w:rFonts w:hint="eastAsia" w:ascii="宋体" w:hAnsi="宋体" w:cs="宋体"/>
                <w:color w:val="auto"/>
                <w:szCs w:val="21"/>
                <w:highlight w:val="none"/>
              </w:rPr>
            </w:pPr>
          </w:p>
        </w:tc>
        <w:tc>
          <w:tcPr>
            <w:tcW w:w="1360" w:type="dxa"/>
            <w:vAlign w:val="center"/>
          </w:tcPr>
          <w:p w14:paraId="4FC69D48">
            <w:pPr>
              <w:pageBreakBefore w:val="0"/>
              <w:shd w:val="clear"/>
              <w:topLinePunct w:val="0"/>
              <w:bidi w:val="0"/>
              <w:spacing w:after="0" w:line="360" w:lineRule="auto"/>
              <w:jc w:val="center"/>
              <w:rPr>
                <w:rFonts w:hint="eastAsia" w:ascii="宋体" w:hAnsi="宋体" w:cs="宋体"/>
                <w:color w:val="auto"/>
                <w:szCs w:val="21"/>
                <w:highlight w:val="none"/>
              </w:rPr>
            </w:pPr>
          </w:p>
        </w:tc>
        <w:tc>
          <w:tcPr>
            <w:tcW w:w="1587" w:type="dxa"/>
            <w:vAlign w:val="center"/>
          </w:tcPr>
          <w:p w14:paraId="2E691D2B">
            <w:pPr>
              <w:pageBreakBefore w:val="0"/>
              <w:shd w:val="clear"/>
              <w:topLinePunct w:val="0"/>
              <w:bidi w:val="0"/>
              <w:spacing w:after="0" w:line="360" w:lineRule="auto"/>
              <w:jc w:val="center"/>
              <w:rPr>
                <w:rFonts w:hint="eastAsia" w:ascii="宋体" w:hAnsi="宋体" w:cs="宋体"/>
                <w:color w:val="auto"/>
                <w:szCs w:val="21"/>
                <w:highlight w:val="none"/>
              </w:rPr>
            </w:pPr>
          </w:p>
        </w:tc>
        <w:tc>
          <w:tcPr>
            <w:tcW w:w="1133" w:type="dxa"/>
            <w:vAlign w:val="center"/>
          </w:tcPr>
          <w:p w14:paraId="3F1721AE">
            <w:pPr>
              <w:pageBreakBefore w:val="0"/>
              <w:shd w:val="clear"/>
              <w:topLinePunct w:val="0"/>
              <w:bidi w:val="0"/>
              <w:spacing w:after="0" w:line="360" w:lineRule="auto"/>
              <w:jc w:val="center"/>
              <w:rPr>
                <w:rFonts w:hint="eastAsia" w:ascii="宋体" w:hAnsi="宋体" w:cs="宋体"/>
                <w:color w:val="auto"/>
                <w:szCs w:val="21"/>
                <w:highlight w:val="none"/>
              </w:rPr>
            </w:pPr>
          </w:p>
        </w:tc>
        <w:tc>
          <w:tcPr>
            <w:tcW w:w="1730" w:type="dxa"/>
            <w:vAlign w:val="center"/>
          </w:tcPr>
          <w:p w14:paraId="09F407E8">
            <w:pPr>
              <w:pageBreakBefore w:val="0"/>
              <w:shd w:val="clear"/>
              <w:topLinePunct w:val="0"/>
              <w:bidi w:val="0"/>
              <w:spacing w:after="0" w:line="360" w:lineRule="auto"/>
              <w:jc w:val="center"/>
              <w:rPr>
                <w:rFonts w:hint="eastAsia" w:ascii="宋体" w:hAnsi="宋体" w:cs="宋体"/>
                <w:color w:val="auto"/>
                <w:szCs w:val="21"/>
                <w:highlight w:val="none"/>
              </w:rPr>
            </w:pPr>
          </w:p>
        </w:tc>
      </w:tr>
      <w:tr w14:paraId="4D66A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2FF03C3C">
            <w:pPr>
              <w:pageBreakBefore w:val="0"/>
              <w:shd w:val="clear"/>
              <w:topLinePunct w:val="0"/>
              <w:bidi w:val="0"/>
              <w:spacing w:after="0" w:line="360" w:lineRule="auto"/>
              <w:jc w:val="center"/>
              <w:rPr>
                <w:rFonts w:hint="eastAsia" w:ascii="宋体" w:hAnsi="宋体" w:cs="宋体"/>
                <w:color w:val="auto"/>
                <w:szCs w:val="21"/>
                <w:highlight w:val="none"/>
              </w:rPr>
            </w:pPr>
          </w:p>
        </w:tc>
        <w:tc>
          <w:tcPr>
            <w:tcW w:w="1620" w:type="dxa"/>
            <w:vAlign w:val="center"/>
          </w:tcPr>
          <w:p w14:paraId="08FD6316">
            <w:pPr>
              <w:pageBreakBefore w:val="0"/>
              <w:shd w:val="clear"/>
              <w:topLinePunct w:val="0"/>
              <w:bidi w:val="0"/>
              <w:spacing w:after="0" w:line="360" w:lineRule="auto"/>
              <w:jc w:val="center"/>
              <w:rPr>
                <w:rFonts w:hint="eastAsia" w:ascii="宋体" w:hAnsi="宋体" w:cs="宋体"/>
                <w:color w:val="auto"/>
                <w:szCs w:val="21"/>
                <w:highlight w:val="none"/>
              </w:rPr>
            </w:pPr>
          </w:p>
        </w:tc>
        <w:tc>
          <w:tcPr>
            <w:tcW w:w="1360" w:type="dxa"/>
            <w:vAlign w:val="center"/>
          </w:tcPr>
          <w:p w14:paraId="5EE77E97">
            <w:pPr>
              <w:pageBreakBefore w:val="0"/>
              <w:shd w:val="clear"/>
              <w:topLinePunct w:val="0"/>
              <w:bidi w:val="0"/>
              <w:spacing w:after="0" w:line="360" w:lineRule="auto"/>
              <w:jc w:val="center"/>
              <w:rPr>
                <w:rFonts w:hint="eastAsia" w:ascii="宋体" w:hAnsi="宋体" w:cs="宋体"/>
                <w:color w:val="auto"/>
                <w:szCs w:val="21"/>
                <w:highlight w:val="none"/>
              </w:rPr>
            </w:pPr>
          </w:p>
        </w:tc>
        <w:tc>
          <w:tcPr>
            <w:tcW w:w="1587" w:type="dxa"/>
            <w:vAlign w:val="center"/>
          </w:tcPr>
          <w:p w14:paraId="736E33D9">
            <w:pPr>
              <w:pageBreakBefore w:val="0"/>
              <w:shd w:val="clear"/>
              <w:topLinePunct w:val="0"/>
              <w:bidi w:val="0"/>
              <w:spacing w:after="0" w:line="360" w:lineRule="auto"/>
              <w:jc w:val="center"/>
              <w:rPr>
                <w:rFonts w:hint="eastAsia" w:ascii="宋体" w:hAnsi="宋体" w:cs="宋体"/>
                <w:color w:val="auto"/>
                <w:szCs w:val="21"/>
                <w:highlight w:val="none"/>
              </w:rPr>
            </w:pPr>
          </w:p>
        </w:tc>
        <w:tc>
          <w:tcPr>
            <w:tcW w:w="1133" w:type="dxa"/>
            <w:vAlign w:val="center"/>
          </w:tcPr>
          <w:p w14:paraId="46F85B59">
            <w:pPr>
              <w:pageBreakBefore w:val="0"/>
              <w:shd w:val="clear"/>
              <w:topLinePunct w:val="0"/>
              <w:bidi w:val="0"/>
              <w:spacing w:after="0" w:line="360" w:lineRule="auto"/>
              <w:jc w:val="center"/>
              <w:rPr>
                <w:rFonts w:hint="eastAsia" w:ascii="宋体" w:hAnsi="宋体" w:cs="宋体"/>
                <w:color w:val="auto"/>
                <w:szCs w:val="21"/>
                <w:highlight w:val="none"/>
              </w:rPr>
            </w:pPr>
          </w:p>
        </w:tc>
        <w:tc>
          <w:tcPr>
            <w:tcW w:w="1730" w:type="dxa"/>
            <w:vAlign w:val="center"/>
          </w:tcPr>
          <w:p w14:paraId="658A6252">
            <w:pPr>
              <w:pageBreakBefore w:val="0"/>
              <w:shd w:val="clear"/>
              <w:topLinePunct w:val="0"/>
              <w:bidi w:val="0"/>
              <w:spacing w:after="0" w:line="360" w:lineRule="auto"/>
              <w:jc w:val="center"/>
              <w:rPr>
                <w:rFonts w:hint="eastAsia" w:ascii="宋体" w:hAnsi="宋体" w:cs="宋体"/>
                <w:color w:val="auto"/>
                <w:szCs w:val="21"/>
                <w:highlight w:val="none"/>
              </w:rPr>
            </w:pPr>
          </w:p>
        </w:tc>
      </w:tr>
      <w:tr w14:paraId="7278F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185BE3C2">
            <w:pPr>
              <w:pageBreakBefore w:val="0"/>
              <w:shd w:val="clear"/>
              <w:topLinePunct w:val="0"/>
              <w:bidi w:val="0"/>
              <w:spacing w:after="0" w:line="360" w:lineRule="auto"/>
              <w:jc w:val="center"/>
              <w:rPr>
                <w:rFonts w:hint="eastAsia" w:ascii="宋体" w:hAnsi="宋体" w:cs="宋体"/>
                <w:color w:val="auto"/>
                <w:szCs w:val="21"/>
                <w:highlight w:val="none"/>
              </w:rPr>
            </w:pPr>
          </w:p>
        </w:tc>
        <w:tc>
          <w:tcPr>
            <w:tcW w:w="1620" w:type="dxa"/>
            <w:vAlign w:val="center"/>
          </w:tcPr>
          <w:p w14:paraId="10FCDAF1">
            <w:pPr>
              <w:pageBreakBefore w:val="0"/>
              <w:shd w:val="clear"/>
              <w:topLinePunct w:val="0"/>
              <w:bidi w:val="0"/>
              <w:spacing w:after="0" w:line="360" w:lineRule="auto"/>
              <w:jc w:val="center"/>
              <w:rPr>
                <w:rFonts w:hint="eastAsia" w:ascii="宋体" w:hAnsi="宋体" w:cs="宋体"/>
                <w:color w:val="auto"/>
                <w:szCs w:val="21"/>
                <w:highlight w:val="none"/>
              </w:rPr>
            </w:pPr>
          </w:p>
        </w:tc>
        <w:tc>
          <w:tcPr>
            <w:tcW w:w="1360" w:type="dxa"/>
            <w:vAlign w:val="center"/>
          </w:tcPr>
          <w:p w14:paraId="272A14AF">
            <w:pPr>
              <w:pageBreakBefore w:val="0"/>
              <w:shd w:val="clear"/>
              <w:topLinePunct w:val="0"/>
              <w:bidi w:val="0"/>
              <w:spacing w:after="0" w:line="360" w:lineRule="auto"/>
              <w:jc w:val="center"/>
              <w:rPr>
                <w:rFonts w:hint="eastAsia" w:ascii="宋体" w:hAnsi="宋体" w:cs="宋体"/>
                <w:color w:val="auto"/>
                <w:szCs w:val="21"/>
                <w:highlight w:val="none"/>
              </w:rPr>
            </w:pPr>
          </w:p>
        </w:tc>
        <w:tc>
          <w:tcPr>
            <w:tcW w:w="1587" w:type="dxa"/>
            <w:vAlign w:val="center"/>
          </w:tcPr>
          <w:p w14:paraId="608E277E">
            <w:pPr>
              <w:pageBreakBefore w:val="0"/>
              <w:shd w:val="clear"/>
              <w:topLinePunct w:val="0"/>
              <w:bidi w:val="0"/>
              <w:spacing w:after="0" w:line="360" w:lineRule="auto"/>
              <w:jc w:val="center"/>
              <w:rPr>
                <w:rFonts w:hint="eastAsia" w:ascii="宋体" w:hAnsi="宋体" w:cs="宋体"/>
                <w:color w:val="auto"/>
                <w:szCs w:val="21"/>
                <w:highlight w:val="none"/>
              </w:rPr>
            </w:pPr>
          </w:p>
        </w:tc>
        <w:tc>
          <w:tcPr>
            <w:tcW w:w="1133" w:type="dxa"/>
            <w:vAlign w:val="center"/>
          </w:tcPr>
          <w:p w14:paraId="7D9BEE2F">
            <w:pPr>
              <w:pageBreakBefore w:val="0"/>
              <w:shd w:val="clear"/>
              <w:topLinePunct w:val="0"/>
              <w:bidi w:val="0"/>
              <w:spacing w:after="0" w:line="360" w:lineRule="auto"/>
              <w:jc w:val="center"/>
              <w:rPr>
                <w:rFonts w:hint="eastAsia" w:ascii="宋体" w:hAnsi="宋体" w:cs="宋体"/>
                <w:color w:val="auto"/>
                <w:szCs w:val="21"/>
                <w:highlight w:val="none"/>
              </w:rPr>
            </w:pPr>
          </w:p>
        </w:tc>
        <w:tc>
          <w:tcPr>
            <w:tcW w:w="1730" w:type="dxa"/>
            <w:vAlign w:val="center"/>
          </w:tcPr>
          <w:p w14:paraId="27240AC6">
            <w:pPr>
              <w:pageBreakBefore w:val="0"/>
              <w:shd w:val="clear"/>
              <w:topLinePunct w:val="0"/>
              <w:bidi w:val="0"/>
              <w:spacing w:after="0" w:line="360" w:lineRule="auto"/>
              <w:jc w:val="center"/>
              <w:rPr>
                <w:rFonts w:hint="eastAsia" w:ascii="宋体" w:hAnsi="宋体" w:cs="宋体"/>
                <w:color w:val="auto"/>
                <w:szCs w:val="21"/>
                <w:highlight w:val="none"/>
              </w:rPr>
            </w:pPr>
          </w:p>
        </w:tc>
      </w:tr>
      <w:tr w14:paraId="6E4BF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2279FFAC">
            <w:pPr>
              <w:pageBreakBefore w:val="0"/>
              <w:shd w:val="clear"/>
              <w:topLinePunct w:val="0"/>
              <w:bidi w:val="0"/>
              <w:spacing w:after="0" w:line="360" w:lineRule="auto"/>
              <w:jc w:val="center"/>
              <w:rPr>
                <w:rFonts w:hint="eastAsia" w:ascii="宋体" w:hAnsi="宋体" w:cs="宋体"/>
                <w:color w:val="auto"/>
                <w:szCs w:val="21"/>
                <w:highlight w:val="none"/>
              </w:rPr>
            </w:pPr>
          </w:p>
        </w:tc>
        <w:tc>
          <w:tcPr>
            <w:tcW w:w="1620" w:type="dxa"/>
            <w:vAlign w:val="center"/>
          </w:tcPr>
          <w:p w14:paraId="7FACD426">
            <w:pPr>
              <w:pageBreakBefore w:val="0"/>
              <w:shd w:val="clear"/>
              <w:topLinePunct w:val="0"/>
              <w:bidi w:val="0"/>
              <w:spacing w:after="0" w:line="360" w:lineRule="auto"/>
              <w:jc w:val="center"/>
              <w:rPr>
                <w:rFonts w:hint="eastAsia" w:ascii="宋体" w:hAnsi="宋体" w:cs="宋体"/>
                <w:color w:val="auto"/>
                <w:szCs w:val="21"/>
                <w:highlight w:val="none"/>
              </w:rPr>
            </w:pPr>
          </w:p>
        </w:tc>
        <w:tc>
          <w:tcPr>
            <w:tcW w:w="1360" w:type="dxa"/>
            <w:vAlign w:val="center"/>
          </w:tcPr>
          <w:p w14:paraId="34254EB4">
            <w:pPr>
              <w:pageBreakBefore w:val="0"/>
              <w:shd w:val="clear"/>
              <w:topLinePunct w:val="0"/>
              <w:bidi w:val="0"/>
              <w:spacing w:after="0" w:line="360" w:lineRule="auto"/>
              <w:jc w:val="center"/>
              <w:rPr>
                <w:rFonts w:hint="eastAsia" w:ascii="宋体" w:hAnsi="宋体" w:cs="宋体"/>
                <w:color w:val="auto"/>
                <w:szCs w:val="21"/>
                <w:highlight w:val="none"/>
              </w:rPr>
            </w:pPr>
          </w:p>
        </w:tc>
        <w:tc>
          <w:tcPr>
            <w:tcW w:w="1587" w:type="dxa"/>
            <w:vAlign w:val="center"/>
          </w:tcPr>
          <w:p w14:paraId="187486B5">
            <w:pPr>
              <w:pageBreakBefore w:val="0"/>
              <w:shd w:val="clear"/>
              <w:topLinePunct w:val="0"/>
              <w:bidi w:val="0"/>
              <w:spacing w:after="0" w:line="360" w:lineRule="auto"/>
              <w:jc w:val="center"/>
              <w:rPr>
                <w:rFonts w:hint="eastAsia" w:ascii="宋体" w:hAnsi="宋体" w:cs="宋体"/>
                <w:color w:val="auto"/>
                <w:szCs w:val="21"/>
                <w:highlight w:val="none"/>
              </w:rPr>
            </w:pPr>
          </w:p>
        </w:tc>
        <w:tc>
          <w:tcPr>
            <w:tcW w:w="1133" w:type="dxa"/>
            <w:vAlign w:val="center"/>
          </w:tcPr>
          <w:p w14:paraId="0A536E8A">
            <w:pPr>
              <w:pageBreakBefore w:val="0"/>
              <w:shd w:val="clear"/>
              <w:topLinePunct w:val="0"/>
              <w:bidi w:val="0"/>
              <w:spacing w:after="0" w:line="360" w:lineRule="auto"/>
              <w:jc w:val="center"/>
              <w:rPr>
                <w:rFonts w:hint="eastAsia" w:ascii="宋体" w:hAnsi="宋体" w:cs="宋体"/>
                <w:color w:val="auto"/>
                <w:szCs w:val="21"/>
                <w:highlight w:val="none"/>
              </w:rPr>
            </w:pPr>
          </w:p>
        </w:tc>
        <w:tc>
          <w:tcPr>
            <w:tcW w:w="1730" w:type="dxa"/>
            <w:vAlign w:val="center"/>
          </w:tcPr>
          <w:p w14:paraId="3FFB9784">
            <w:pPr>
              <w:pageBreakBefore w:val="0"/>
              <w:shd w:val="clear"/>
              <w:topLinePunct w:val="0"/>
              <w:bidi w:val="0"/>
              <w:spacing w:after="0" w:line="360" w:lineRule="auto"/>
              <w:jc w:val="center"/>
              <w:rPr>
                <w:rFonts w:hint="eastAsia" w:ascii="宋体" w:hAnsi="宋体" w:cs="宋体"/>
                <w:color w:val="auto"/>
                <w:szCs w:val="21"/>
                <w:highlight w:val="none"/>
              </w:rPr>
            </w:pPr>
          </w:p>
        </w:tc>
      </w:tr>
      <w:tr w14:paraId="083CE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2528E478">
            <w:pPr>
              <w:pageBreakBefore w:val="0"/>
              <w:shd w:val="clear"/>
              <w:topLinePunct w:val="0"/>
              <w:bidi w:val="0"/>
              <w:spacing w:after="0" w:line="360" w:lineRule="auto"/>
              <w:jc w:val="center"/>
              <w:rPr>
                <w:rFonts w:hint="eastAsia" w:ascii="宋体" w:hAnsi="宋体" w:cs="宋体"/>
                <w:color w:val="auto"/>
                <w:szCs w:val="21"/>
                <w:highlight w:val="none"/>
              </w:rPr>
            </w:pPr>
          </w:p>
        </w:tc>
        <w:tc>
          <w:tcPr>
            <w:tcW w:w="1620" w:type="dxa"/>
            <w:vAlign w:val="center"/>
          </w:tcPr>
          <w:p w14:paraId="4D2A3400">
            <w:pPr>
              <w:pageBreakBefore w:val="0"/>
              <w:shd w:val="clear"/>
              <w:topLinePunct w:val="0"/>
              <w:bidi w:val="0"/>
              <w:spacing w:after="0" w:line="360" w:lineRule="auto"/>
              <w:jc w:val="center"/>
              <w:rPr>
                <w:rFonts w:hint="eastAsia" w:ascii="宋体" w:hAnsi="宋体" w:cs="宋体"/>
                <w:color w:val="auto"/>
                <w:szCs w:val="21"/>
                <w:highlight w:val="none"/>
              </w:rPr>
            </w:pPr>
          </w:p>
        </w:tc>
        <w:tc>
          <w:tcPr>
            <w:tcW w:w="1360" w:type="dxa"/>
            <w:vAlign w:val="center"/>
          </w:tcPr>
          <w:p w14:paraId="07DBCD68">
            <w:pPr>
              <w:pageBreakBefore w:val="0"/>
              <w:shd w:val="clear"/>
              <w:topLinePunct w:val="0"/>
              <w:bidi w:val="0"/>
              <w:spacing w:after="0" w:line="360" w:lineRule="auto"/>
              <w:jc w:val="center"/>
              <w:rPr>
                <w:rFonts w:hint="eastAsia" w:ascii="宋体" w:hAnsi="宋体" w:cs="宋体"/>
                <w:color w:val="auto"/>
                <w:szCs w:val="21"/>
                <w:highlight w:val="none"/>
              </w:rPr>
            </w:pPr>
          </w:p>
        </w:tc>
        <w:tc>
          <w:tcPr>
            <w:tcW w:w="1587" w:type="dxa"/>
            <w:vAlign w:val="center"/>
          </w:tcPr>
          <w:p w14:paraId="0767C36D">
            <w:pPr>
              <w:pageBreakBefore w:val="0"/>
              <w:shd w:val="clear"/>
              <w:topLinePunct w:val="0"/>
              <w:bidi w:val="0"/>
              <w:spacing w:after="0" w:line="360" w:lineRule="auto"/>
              <w:jc w:val="center"/>
              <w:rPr>
                <w:rFonts w:hint="eastAsia" w:ascii="宋体" w:hAnsi="宋体" w:cs="宋体"/>
                <w:color w:val="auto"/>
                <w:szCs w:val="21"/>
                <w:highlight w:val="none"/>
              </w:rPr>
            </w:pPr>
          </w:p>
        </w:tc>
        <w:tc>
          <w:tcPr>
            <w:tcW w:w="1133" w:type="dxa"/>
            <w:vAlign w:val="center"/>
          </w:tcPr>
          <w:p w14:paraId="51DFBF24">
            <w:pPr>
              <w:pageBreakBefore w:val="0"/>
              <w:shd w:val="clear"/>
              <w:topLinePunct w:val="0"/>
              <w:bidi w:val="0"/>
              <w:spacing w:after="0" w:line="360" w:lineRule="auto"/>
              <w:jc w:val="center"/>
              <w:rPr>
                <w:rFonts w:hint="eastAsia" w:ascii="宋体" w:hAnsi="宋体" w:cs="宋体"/>
                <w:color w:val="auto"/>
                <w:szCs w:val="21"/>
                <w:highlight w:val="none"/>
              </w:rPr>
            </w:pPr>
          </w:p>
        </w:tc>
        <w:tc>
          <w:tcPr>
            <w:tcW w:w="1730" w:type="dxa"/>
            <w:vAlign w:val="center"/>
          </w:tcPr>
          <w:p w14:paraId="2F976086">
            <w:pPr>
              <w:pageBreakBefore w:val="0"/>
              <w:shd w:val="clear"/>
              <w:topLinePunct w:val="0"/>
              <w:bidi w:val="0"/>
              <w:spacing w:after="0" w:line="360" w:lineRule="auto"/>
              <w:jc w:val="center"/>
              <w:rPr>
                <w:rFonts w:hint="eastAsia" w:ascii="宋体" w:hAnsi="宋体" w:cs="宋体"/>
                <w:color w:val="auto"/>
                <w:szCs w:val="21"/>
                <w:highlight w:val="none"/>
              </w:rPr>
            </w:pPr>
          </w:p>
        </w:tc>
      </w:tr>
      <w:tr w14:paraId="256E6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677A26F7">
            <w:pPr>
              <w:pageBreakBefore w:val="0"/>
              <w:shd w:val="clear"/>
              <w:topLinePunct w:val="0"/>
              <w:bidi w:val="0"/>
              <w:spacing w:after="0" w:line="360" w:lineRule="auto"/>
              <w:jc w:val="center"/>
              <w:rPr>
                <w:rFonts w:hint="eastAsia" w:ascii="宋体" w:hAnsi="宋体" w:cs="宋体"/>
                <w:color w:val="auto"/>
                <w:szCs w:val="21"/>
                <w:highlight w:val="none"/>
              </w:rPr>
            </w:pPr>
          </w:p>
        </w:tc>
        <w:tc>
          <w:tcPr>
            <w:tcW w:w="1620" w:type="dxa"/>
            <w:vAlign w:val="center"/>
          </w:tcPr>
          <w:p w14:paraId="5C673CD7">
            <w:pPr>
              <w:pageBreakBefore w:val="0"/>
              <w:shd w:val="clear"/>
              <w:topLinePunct w:val="0"/>
              <w:bidi w:val="0"/>
              <w:spacing w:after="0" w:line="360" w:lineRule="auto"/>
              <w:jc w:val="center"/>
              <w:rPr>
                <w:rFonts w:hint="eastAsia" w:ascii="宋体" w:hAnsi="宋体" w:cs="宋体"/>
                <w:color w:val="auto"/>
                <w:szCs w:val="21"/>
                <w:highlight w:val="none"/>
              </w:rPr>
            </w:pPr>
          </w:p>
        </w:tc>
        <w:tc>
          <w:tcPr>
            <w:tcW w:w="1360" w:type="dxa"/>
            <w:vAlign w:val="center"/>
          </w:tcPr>
          <w:p w14:paraId="48BB8892">
            <w:pPr>
              <w:pageBreakBefore w:val="0"/>
              <w:shd w:val="clear"/>
              <w:topLinePunct w:val="0"/>
              <w:bidi w:val="0"/>
              <w:spacing w:after="0" w:line="360" w:lineRule="auto"/>
              <w:jc w:val="center"/>
              <w:rPr>
                <w:rFonts w:hint="eastAsia" w:ascii="宋体" w:hAnsi="宋体" w:cs="宋体"/>
                <w:color w:val="auto"/>
                <w:szCs w:val="21"/>
                <w:highlight w:val="none"/>
              </w:rPr>
            </w:pPr>
          </w:p>
        </w:tc>
        <w:tc>
          <w:tcPr>
            <w:tcW w:w="1587" w:type="dxa"/>
            <w:vAlign w:val="center"/>
          </w:tcPr>
          <w:p w14:paraId="2E98CEC6">
            <w:pPr>
              <w:pageBreakBefore w:val="0"/>
              <w:shd w:val="clear"/>
              <w:topLinePunct w:val="0"/>
              <w:bidi w:val="0"/>
              <w:spacing w:after="0" w:line="360" w:lineRule="auto"/>
              <w:jc w:val="center"/>
              <w:rPr>
                <w:rFonts w:hint="eastAsia" w:ascii="宋体" w:hAnsi="宋体" w:cs="宋体"/>
                <w:color w:val="auto"/>
                <w:szCs w:val="21"/>
                <w:highlight w:val="none"/>
              </w:rPr>
            </w:pPr>
          </w:p>
        </w:tc>
        <w:tc>
          <w:tcPr>
            <w:tcW w:w="1133" w:type="dxa"/>
            <w:vAlign w:val="center"/>
          </w:tcPr>
          <w:p w14:paraId="239054D4">
            <w:pPr>
              <w:pageBreakBefore w:val="0"/>
              <w:shd w:val="clear"/>
              <w:topLinePunct w:val="0"/>
              <w:bidi w:val="0"/>
              <w:spacing w:after="0" w:line="360" w:lineRule="auto"/>
              <w:jc w:val="center"/>
              <w:rPr>
                <w:rFonts w:hint="eastAsia" w:ascii="宋体" w:hAnsi="宋体" w:cs="宋体"/>
                <w:color w:val="auto"/>
                <w:szCs w:val="21"/>
                <w:highlight w:val="none"/>
              </w:rPr>
            </w:pPr>
          </w:p>
        </w:tc>
        <w:tc>
          <w:tcPr>
            <w:tcW w:w="1730" w:type="dxa"/>
            <w:vAlign w:val="center"/>
          </w:tcPr>
          <w:p w14:paraId="6D1DD27A">
            <w:pPr>
              <w:pageBreakBefore w:val="0"/>
              <w:shd w:val="clear"/>
              <w:topLinePunct w:val="0"/>
              <w:bidi w:val="0"/>
              <w:spacing w:after="0" w:line="360" w:lineRule="auto"/>
              <w:jc w:val="center"/>
              <w:rPr>
                <w:rFonts w:hint="eastAsia" w:ascii="宋体" w:hAnsi="宋体" w:cs="宋体"/>
                <w:color w:val="auto"/>
                <w:szCs w:val="21"/>
                <w:highlight w:val="none"/>
              </w:rPr>
            </w:pPr>
          </w:p>
        </w:tc>
      </w:tr>
      <w:tr w14:paraId="5570C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05319486">
            <w:pPr>
              <w:pageBreakBefore w:val="0"/>
              <w:shd w:val="clear"/>
              <w:topLinePunct w:val="0"/>
              <w:bidi w:val="0"/>
              <w:spacing w:after="0" w:line="360" w:lineRule="auto"/>
              <w:jc w:val="center"/>
              <w:rPr>
                <w:rFonts w:hint="eastAsia" w:ascii="宋体" w:hAnsi="宋体" w:cs="宋体"/>
                <w:color w:val="auto"/>
                <w:szCs w:val="21"/>
                <w:highlight w:val="none"/>
              </w:rPr>
            </w:pPr>
          </w:p>
        </w:tc>
        <w:tc>
          <w:tcPr>
            <w:tcW w:w="1620" w:type="dxa"/>
            <w:vAlign w:val="center"/>
          </w:tcPr>
          <w:p w14:paraId="73D753B3">
            <w:pPr>
              <w:pageBreakBefore w:val="0"/>
              <w:shd w:val="clear"/>
              <w:topLinePunct w:val="0"/>
              <w:bidi w:val="0"/>
              <w:spacing w:after="0" w:line="360" w:lineRule="auto"/>
              <w:jc w:val="center"/>
              <w:rPr>
                <w:rFonts w:hint="eastAsia" w:ascii="宋体" w:hAnsi="宋体" w:cs="宋体"/>
                <w:color w:val="auto"/>
                <w:szCs w:val="21"/>
                <w:highlight w:val="none"/>
              </w:rPr>
            </w:pPr>
          </w:p>
        </w:tc>
        <w:tc>
          <w:tcPr>
            <w:tcW w:w="1360" w:type="dxa"/>
            <w:vAlign w:val="center"/>
          </w:tcPr>
          <w:p w14:paraId="03170965">
            <w:pPr>
              <w:pageBreakBefore w:val="0"/>
              <w:shd w:val="clear"/>
              <w:topLinePunct w:val="0"/>
              <w:bidi w:val="0"/>
              <w:spacing w:after="0" w:line="360" w:lineRule="auto"/>
              <w:jc w:val="center"/>
              <w:rPr>
                <w:rFonts w:hint="eastAsia" w:ascii="宋体" w:hAnsi="宋体" w:cs="宋体"/>
                <w:color w:val="auto"/>
                <w:szCs w:val="21"/>
                <w:highlight w:val="none"/>
              </w:rPr>
            </w:pPr>
          </w:p>
        </w:tc>
        <w:tc>
          <w:tcPr>
            <w:tcW w:w="1587" w:type="dxa"/>
            <w:vAlign w:val="center"/>
          </w:tcPr>
          <w:p w14:paraId="321BFE06">
            <w:pPr>
              <w:pageBreakBefore w:val="0"/>
              <w:shd w:val="clear"/>
              <w:topLinePunct w:val="0"/>
              <w:bidi w:val="0"/>
              <w:spacing w:after="0" w:line="360" w:lineRule="auto"/>
              <w:jc w:val="center"/>
              <w:rPr>
                <w:rFonts w:hint="eastAsia" w:ascii="宋体" w:hAnsi="宋体" w:cs="宋体"/>
                <w:color w:val="auto"/>
                <w:szCs w:val="21"/>
                <w:highlight w:val="none"/>
              </w:rPr>
            </w:pPr>
          </w:p>
        </w:tc>
        <w:tc>
          <w:tcPr>
            <w:tcW w:w="1133" w:type="dxa"/>
            <w:vAlign w:val="center"/>
          </w:tcPr>
          <w:p w14:paraId="1E29DC1C">
            <w:pPr>
              <w:pageBreakBefore w:val="0"/>
              <w:shd w:val="clear"/>
              <w:topLinePunct w:val="0"/>
              <w:bidi w:val="0"/>
              <w:spacing w:after="0" w:line="360" w:lineRule="auto"/>
              <w:jc w:val="center"/>
              <w:rPr>
                <w:rFonts w:hint="eastAsia" w:ascii="宋体" w:hAnsi="宋体" w:cs="宋体"/>
                <w:color w:val="auto"/>
                <w:szCs w:val="21"/>
                <w:highlight w:val="none"/>
              </w:rPr>
            </w:pPr>
          </w:p>
        </w:tc>
        <w:tc>
          <w:tcPr>
            <w:tcW w:w="1730" w:type="dxa"/>
            <w:vAlign w:val="center"/>
          </w:tcPr>
          <w:p w14:paraId="5060D4BF">
            <w:pPr>
              <w:pageBreakBefore w:val="0"/>
              <w:shd w:val="clear"/>
              <w:topLinePunct w:val="0"/>
              <w:bidi w:val="0"/>
              <w:spacing w:after="0" w:line="360" w:lineRule="auto"/>
              <w:jc w:val="center"/>
              <w:rPr>
                <w:rFonts w:hint="eastAsia" w:ascii="宋体" w:hAnsi="宋体" w:cs="宋体"/>
                <w:color w:val="auto"/>
                <w:szCs w:val="21"/>
                <w:highlight w:val="none"/>
              </w:rPr>
            </w:pPr>
          </w:p>
        </w:tc>
      </w:tr>
      <w:tr w14:paraId="50543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282157FA">
            <w:pPr>
              <w:pageBreakBefore w:val="0"/>
              <w:shd w:val="clear"/>
              <w:topLinePunct w:val="0"/>
              <w:bidi w:val="0"/>
              <w:spacing w:after="0" w:line="360" w:lineRule="auto"/>
              <w:jc w:val="center"/>
              <w:rPr>
                <w:rFonts w:hint="eastAsia" w:ascii="宋体" w:hAnsi="宋体" w:cs="宋体"/>
                <w:color w:val="auto"/>
                <w:szCs w:val="21"/>
                <w:highlight w:val="none"/>
              </w:rPr>
            </w:pPr>
          </w:p>
        </w:tc>
        <w:tc>
          <w:tcPr>
            <w:tcW w:w="1620" w:type="dxa"/>
            <w:vAlign w:val="center"/>
          </w:tcPr>
          <w:p w14:paraId="59C98055">
            <w:pPr>
              <w:pageBreakBefore w:val="0"/>
              <w:shd w:val="clear"/>
              <w:topLinePunct w:val="0"/>
              <w:bidi w:val="0"/>
              <w:spacing w:after="0" w:line="360" w:lineRule="auto"/>
              <w:jc w:val="center"/>
              <w:rPr>
                <w:rFonts w:hint="eastAsia" w:ascii="宋体" w:hAnsi="宋体" w:cs="宋体"/>
                <w:color w:val="auto"/>
                <w:szCs w:val="21"/>
                <w:highlight w:val="none"/>
              </w:rPr>
            </w:pPr>
          </w:p>
        </w:tc>
        <w:tc>
          <w:tcPr>
            <w:tcW w:w="1360" w:type="dxa"/>
            <w:vAlign w:val="center"/>
          </w:tcPr>
          <w:p w14:paraId="4761BE11">
            <w:pPr>
              <w:pageBreakBefore w:val="0"/>
              <w:shd w:val="clear"/>
              <w:topLinePunct w:val="0"/>
              <w:bidi w:val="0"/>
              <w:spacing w:after="0" w:line="360" w:lineRule="auto"/>
              <w:jc w:val="center"/>
              <w:rPr>
                <w:rFonts w:hint="eastAsia" w:ascii="宋体" w:hAnsi="宋体" w:cs="宋体"/>
                <w:color w:val="auto"/>
                <w:szCs w:val="21"/>
                <w:highlight w:val="none"/>
              </w:rPr>
            </w:pPr>
          </w:p>
        </w:tc>
        <w:tc>
          <w:tcPr>
            <w:tcW w:w="1587" w:type="dxa"/>
            <w:vAlign w:val="center"/>
          </w:tcPr>
          <w:p w14:paraId="045CF5FB">
            <w:pPr>
              <w:pageBreakBefore w:val="0"/>
              <w:shd w:val="clear"/>
              <w:topLinePunct w:val="0"/>
              <w:bidi w:val="0"/>
              <w:spacing w:after="0" w:line="360" w:lineRule="auto"/>
              <w:jc w:val="center"/>
              <w:rPr>
                <w:rFonts w:hint="eastAsia" w:ascii="宋体" w:hAnsi="宋体" w:cs="宋体"/>
                <w:color w:val="auto"/>
                <w:szCs w:val="21"/>
                <w:highlight w:val="none"/>
              </w:rPr>
            </w:pPr>
          </w:p>
        </w:tc>
        <w:tc>
          <w:tcPr>
            <w:tcW w:w="1133" w:type="dxa"/>
            <w:vAlign w:val="center"/>
          </w:tcPr>
          <w:p w14:paraId="51027338">
            <w:pPr>
              <w:pageBreakBefore w:val="0"/>
              <w:shd w:val="clear"/>
              <w:topLinePunct w:val="0"/>
              <w:bidi w:val="0"/>
              <w:spacing w:after="0" w:line="360" w:lineRule="auto"/>
              <w:jc w:val="center"/>
              <w:rPr>
                <w:rFonts w:hint="eastAsia" w:ascii="宋体" w:hAnsi="宋体" w:cs="宋体"/>
                <w:color w:val="auto"/>
                <w:szCs w:val="21"/>
                <w:highlight w:val="none"/>
              </w:rPr>
            </w:pPr>
          </w:p>
        </w:tc>
        <w:tc>
          <w:tcPr>
            <w:tcW w:w="1730" w:type="dxa"/>
            <w:vAlign w:val="center"/>
          </w:tcPr>
          <w:p w14:paraId="20115379">
            <w:pPr>
              <w:pageBreakBefore w:val="0"/>
              <w:shd w:val="clear"/>
              <w:topLinePunct w:val="0"/>
              <w:bidi w:val="0"/>
              <w:spacing w:after="0" w:line="360" w:lineRule="auto"/>
              <w:jc w:val="center"/>
              <w:rPr>
                <w:rFonts w:hint="eastAsia" w:ascii="宋体" w:hAnsi="宋体" w:cs="宋体"/>
                <w:color w:val="auto"/>
                <w:szCs w:val="21"/>
                <w:highlight w:val="none"/>
              </w:rPr>
            </w:pPr>
          </w:p>
        </w:tc>
      </w:tr>
      <w:tr w14:paraId="19A31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08CA77CA">
            <w:pPr>
              <w:pageBreakBefore w:val="0"/>
              <w:shd w:val="clear"/>
              <w:topLinePunct w:val="0"/>
              <w:bidi w:val="0"/>
              <w:spacing w:after="0" w:line="360" w:lineRule="auto"/>
              <w:jc w:val="center"/>
              <w:rPr>
                <w:rFonts w:hint="eastAsia" w:ascii="宋体" w:hAnsi="宋体" w:cs="宋体"/>
                <w:color w:val="auto"/>
                <w:szCs w:val="21"/>
                <w:highlight w:val="none"/>
              </w:rPr>
            </w:pPr>
          </w:p>
        </w:tc>
        <w:tc>
          <w:tcPr>
            <w:tcW w:w="1620" w:type="dxa"/>
            <w:vAlign w:val="center"/>
          </w:tcPr>
          <w:p w14:paraId="6CF4D6A8">
            <w:pPr>
              <w:pageBreakBefore w:val="0"/>
              <w:shd w:val="clear"/>
              <w:topLinePunct w:val="0"/>
              <w:bidi w:val="0"/>
              <w:spacing w:after="0" w:line="360" w:lineRule="auto"/>
              <w:jc w:val="center"/>
              <w:rPr>
                <w:rFonts w:hint="eastAsia" w:ascii="宋体" w:hAnsi="宋体" w:cs="宋体"/>
                <w:color w:val="auto"/>
                <w:szCs w:val="21"/>
                <w:highlight w:val="none"/>
              </w:rPr>
            </w:pPr>
          </w:p>
        </w:tc>
        <w:tc>
          <w:tcPr>
            <w:tcW w:w="1360" w:type="dxa"/>
            <w:vAlign w:val="center"/>
          </w:tcPr>
          <w:p w14:paraId="7E6F730E">
            <w:pPr>
              <w:pageBreakBefore w:val="0"/>
              <w:shd w:val="clear"/>
              <w:topLinePunct w:val="0"/>
              <w:bidi w:val="0"/>
              <w:spacing w:after="0" w:line="360" w:lineRule="auto"/>
              <w:jc w:val="center"/>
              <w:rPr>
                <w:rFonts w:hint="eastAsia" w:ascii="宋体" w:hAnsi="宋体" w:cs="宋体"/>
                <w:color w:val="auto"/>
                <w:szCs w:val="21"/>
                <w:highlight w:val="none"/>
              </w:rPr>
            </w:pPr>
          </w:p>
        </w:tc>
        <w:tc>
          <w:tcPr>
            <w:tcW w:w="1587" w:type="dxa"/>
            <w:vAlign w:val="center"/>
          </w:tcPr>
          <w:p w14:paraId="20562590">
            <w:pPr>
              <w:pageBreakBefore w:val="0"/>
              <w:shd w:val="clear"/>
              <w:topLinePunct w:val="0"/>
              <w:bidi w:val="0"/>
              <w:spacing w:after="0" w:line="360" w:lineRule="auto"/>
              <w:jc w:val="center"/>
              <w:rPr>
                <w:rFonts w:hint="eastAsia" w:ascii="宋体" w:hAnsi="宋体" w:cs="宋体"/>
                <w:color w:val="auto"/>
                <w:szCs w:val="21"/>
                <w:highlight w:val="none"/>
              </w:rPr>
            </w:pPr>
          </w:p>
        </w:tc>
        <w:tc>
          <w:tcPr>
            <w:tcW w:w="1133" w:type="dxa"/>
            <w:vAlign w:val="center"/>
          </w:tcPr>
          <w:p w14:paraId="06E8D3E1">
            <w:pPr>
              <w:pageBreakBefore w:val="0"/>
              <w:shd w:val="clear"/>
              <w:topLinePunct w:val="0"/>
              <w:bidi w:val="0"/>
              <w:spacing w:after="0" w:line="360" w:lineRule="auto"/>
              <w:jc w:val="center"/>
              <w:rPr>
                <w:rFonts w:hint="eastAsia" w:ascii="宋体" w:hAnsi="宋体" w:cs="宋体"/>
                <w:color w:val="auto"/>
                <w:szCs w:val="21"/>
                <w:highlight w:val="none"/>
              </w:rPr>
            </w:pPr>
          </w:p>
        </w:tc>
        <w:tc>
          <w:tcPr>
            <w:tcW w:w="1730" w:type="dxa"/>
            <w:vAlign w:val="center"/>
          </w:tcPr>
          <w:p w14:paraId="7E005EED">
            <w:pPr>
              <w:pageBreakBefore w:val="0"/>
              <w:shd w:val="clear"/>
              <w:topLinePunct w:val="0"/>
              <w:bidi w:val="0"/>
              <w:spacing w:after="0" w:line="360" w:lineRule="auto"/>
              <w:jc w:val="center"/>
              <w:rPr>
                <w:rFonts w:hint="eastAsia" w:ascii="宋体" w:hAnsi="宋体" w:cs="宋体"/>
                <w:color w:val="auto"/>
                <w:szCs w:val="21"/>
                <w:highlight w:val="none"/>
              </w:rPr>
            </w:pPr>
          </w:p>
        </w:tc>
      </w:tr>
    </w:tbl>
    <w:p w14:paraId="144FB6F7">
      <w:pPr>
        <w:pageBreakBefore w:val="0"/>
        <w:shd w:val="clear"/>
        <w:topLinePunct w:val="0"/>
        <w:bidi w:val="0"/>
        <w:spacing w:after="0" w:line="360" w:lineRule="auto"/>
        <w:rPr>
          <w:rFonts w:hint="eastAsia" w:ascii="宋体" w:hAnsi="宋体" w:cs="宋体"/>
          <w:color w:val="auto"/>
          <w:szCs w:val="21"/>
          <w:highlight w:val="none"/>
        </w:rPr>
      </w:pPr>
    </w:p>
    <w:p w14:paraId="31E9CECD">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投标人代表签字：</w:t>
      </w:r>
    </w:p>
    <w:p w14:paraId="69B9AD82">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投标人盖章：</w:t>
      </w:r>
    </w:p>
    <w:p w14:paraId="56D0DD5C">
      <w:pPr>
        <w:pageBreakBefore w:val="0"/>
        <w:shd w:val="clear"/>
        <w:topLinePunct w:val="0"/>
        <w:bidi w:val="0"/>
        <w:spacing w:after="0" w:line="360" w:lineRule="auto"/>
        <w:rPr>
          <w:rFonts w:hint="eastAsia" w:ascii="宋体" w:hAnsi="宋体" w:cs="宋体"/>
          <w:color w:val="auto"/>
          <w:szCs w:val="21"/>
          <w:highlight w:val="none"/>
        </w:rPr>
      </w:pPr>
    </w:p>
    <w:p w14:paraId="5E73365F">
      <w:pPr>
        <w:pageBreakBefore w:val="0"/>
        <w:shd w:val="clear"/>
        <w:topLinePunct w:val="0"/>
        <w:bidi w:val="0"/>
        <w:spacing w:after="0" w:line="360" w:lineRule="auto"/>
        <w:ind w:left="718" w:hanging="718" w:hangingChars="342"/>
        <w:rPr>
          <w:rFonts w:hint="eastAsia" w:ascii="宋体" w:hAnsi="宋体" w:cs="宋体"/>
          <w:color w:val="auto"/>
          <w:szCs w:val="21"/>
          <w:highlight w:val="none"/>
        </w:rPr>
      </w:pPr>
      <w:r>
        <w:rPr>
          <w:rFonts w:hint="eastAsia" w:ascii="宋体" w:hAnsi="宋体" w:cs="宋体"/>
          <w:color w:val="auto"/>
          <w:szCs w:val="21"/>
          <w:highlight w:val="none"/>
        </w:rPr>
        <w:t>注：</w:t>
      </w:r>
    </w:p>
    <w:p w14:paraId="555B9683">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1、投标人应对照采购文件商务需求书中商务要求，说明已对采购文件的商务内容做出了实质性的响应。</w:t>
      </w:r>
    </w:p>
    <w:p w14:paraId="6512EB72">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2、不论出于何种原因此表未填写完整，投标人都被认为已清楚了解采购文件“商务需求书”的内容并对采购人所需的服务要求作全面响应，投标人必须承担完成“商务需求书”所描述内容的义务，因此对投标人投标产生负面影响的，投标人自行承担后果。</w:t>
      </w:r>
    </w:p>
    <w:p w14:paraId="66CF1177">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3、如有偏离，应在“偏离情况”栏内注明“正”、“负”或“无”，并在“说明”栏内予以说明。</w:t>
      </w:r>
    </w:p>
    <w:p w14:paraId="53DE6DC0">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4、如投标人差异内容较多可另附页说明。</w:t>
      </w:r>
    </w:p>
    <w:p w14:paraId="03F5F161">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5、如投标人对用户需求书商务要求的条款全部响应的，也可以在表格下面用文字总括性的说明。</w:t>
      </w:r>
    </w:p>
    <w:p w14:paraId="5F18FCB1">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br w:type="page"/>
      </w:r>
    </w:p>
    <w:p w14:paraId="72DA43B1">
      <w:pPr>
        <w:pStyle w:val="6"/>
        <w:pageBreakBefore w:val="0"/>
        <w:widowControl w:val="0"/>
        <w:shd w:val="clear"/>
        <w:overflowPunct w:val="0"/>
        <w:topLinePunct w:val="0"/>
        <w:bidi w:val="0"/>
        <w:spacing w:after="0" w:line="360" w:lineRule="auto"/>
        <w:rPr>
          <w:rFonts w:hint="eastAsia" w:ascii="宋体" w:hAnsi="宋体" w:cs="宋体"/>
          <w:color w:val="auto"/>
          <w:sz w:val="30"/>
          <w:szCs w:val="30"/>
          <w:highlight w:val="none"/>
        </w:rPr>
      </w:pPr>
      <w:bookmarkStart w:id="256" w:name="_Toc31468"/>
      <w:bookmarkStart w:id="257" w:name="_Toc9145"/>
      <w:r>
        <w:rPr>
          <w:rFonts w:hint="eastAsia" w:ascii="宋体" w:hAnsi="宋体" w:cs="宋体"/>
          <w:color w:val="auto"/>
          <w:sz w:val="21"/>
          <w:szCs w:val="21"/>
          <w:highlight w:val="none"/>
        </w:rPr>
        <w:t>附件1</w:t>
      </w:r>
      <w:r>
        <w:rPr>
          <w:rFonts w:hint="eastAsia" w:ascii="宋体" w:hAnsi="宋体" w:cs="宋体"/>
          <w:color w:val="auto"/>
          <w:sz w:val="21"/>
          <w:szCs w:val="21"/>
          <w:highlight w:val="none"/>
          <w:lang w:val="en-US" w:eastAsia="zh-CN"/>
        </w:rPr>
        <w:t>3</w:t>
      </w:r>
      <w:r>
        <w:rPr>
          <w:rFonts w:hint="eastAsia" w:ascii="宋体" w:hAnsi="宋体" w:cs="宋体"/>
          <w:color w:val="auto"/>
          <w:sz w:val="21"/>
          <w:szCs w:val="21"/>
          <w:highlight w:val="none"/>
        </w:rPr>
        <w:t>.业绩表</w:t>
      </w:r>
      <w:bookmarkEnd w:id="256"/>
      <w:bookmarkEnd w:id="257"/>
    </w:p>
    <w:p w14:paraId="1EB5531F">
      <w:pPr>
        <w:pageBreakBefore w:val="0"/>
        <w:shd w:val="clear"/>
        <w:topLinePunct w:val="0"/>
        <w:bidi w:val="0"/>
        <w:spacing w:after="0" w:line="360" w:lineRule="auto"/>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业绩表</w:t>
      </w:r>
    </w:p>
    <w:tbl>
      <w:tblPr>
        <w:tblStyle w:val="33"/>
        <w:tblW w:w="86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8"/>
        <w:gridCol w:w="1705"/>
        <w:gridCol w:w="1550"/>
        <w:gridCol w:w="1899"/>
        <w:gridCol w:w="1665"/>
        <w:gridCol w:w="1048"/>
      </w:tblGrid>
      <w:tr w14:paraId="27AC7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768" w:type="dxa"/>
            <w:vAlign w:val="center"/>
          </w:tcPr>
          <w:p w14:paraId="76C91E74">
            <w:pPr>
              <w:pageBreakBefore w:val="0"/>
              <w:shd w:val="clear"/>
              <w:topLinePunct w:val="0"/>
              <w:bidi w:val="0"/>
              <w:adjustRightInd/>
              <w:snapToGrid/>
              <w:spacing w:after="0"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1705" w:type="dxa"/>
            <w:vAlign w:val="center"/>
          </w:tcPr>
          <w:p w14:paraId="57A1BCD6">
            <w:pPr>
              <w:pageBreakBefore w:val="0"/>
              <w:shd w:val="clear"/>
              <w:topLinePunct w:val="0"/>
              <w:bidi w:val="0"/>
              <w:adjustRightInd/>
              <w:snapToGrid/>
              <w:spacing w:after="0"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项目名称</w:t>
            </w:r>
          </w:p>
        </w:tc>
        <w:tc>
          <w:tcPr>
            <w:tcW w:w="1550" w:type="dxa"/>
            <w:vAlign w:val="center"/>
          </w:tcPr>
          <w:p w14:paraId="40A861A9">
            <w:pPr>
              <w:pageBreakBefore w:val="0"/>
              <w:shd w:val="clear"/>
              <w:topLinePunct w:val="0"/>
              <w:bidi w:val="0"/>
              <w:adjustRightInd/>
              <w:snapToGrid/>
              <w:spacing w:after="0"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项目金额</w:t>
            </w:r>
          </w:p>
        </w:tc>
        <w:tc>
          <w:tcPr>
            <w:tcW w:w="1899" w:type="dxa"/>
            <w:vAlign w:val="center"/>
          </w:tcPr>
          <w:p w14:paraId="13DEE7B6">
            <w:pPr>
              <w:pageBreakBefore w:val="0"/>
              <w:shd w:val="clear"/>
              <w:topLinePunct w:val="0"/>
              <w:bidi w:val="0"/>
              <w:adjustRightInd/>
              <w:snapToGrid/>
              <w:spacing w:after="0"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项目合同签订时间</w:t>
            </w:r>
          </w:p>
        </w:tc>
        <w:tc>
          <w:tcPr>
            <w:tcW w:w="1665" w:type="dxa"/>
            <w:vAlign w:val="center"/>
          </w:tcPr>
          <w:p w14:paraId="2D3DD06A">
            <w:pPr>
              <w:pageBreakBefore w:val="0"/>
              <w:shd w:val="clear"/>
              <w:topLinePunct w:val="0"/>
              <w:bidi w:val="0"/>
              <w:adjustRightInd/>
              <w:snapToGrid/>
              <w:spacing w:after="0" w:line="360" w:lineRule="auto"/>
              <w:jc w:val="center"/>
              <w:rPr>
                <w:rFonts w:hint="eastAsia" w:ascii="宋体" w:hAnsi="宋体" w:cs="宋体"/>
                <w:color w:val="auto"/>
                <w:szCs w:val="21"/>
                <w:highlight w:val="none"/>
              </w:rPr>
            </w:pPr>
            <w:r>
              <w:rPr>
                <w:rFonts w:hint="eastAsia" w:ascii="宋体" w:hAnsi="宋体" w:cs="宋体"/>
                <w:color w:val="auto"/>
                <w:szCs w:val="21"/>
                <w:highlight w:val="none"/>
                <w:lang w:val="en-US" w:eastAsia="zh-CN"/>
              </w:rPr>
              <w:t>合同期限</w:t>
            </w:r>
          </w:p>
        </w:tc>
        <w:tc>
          <w:tcPr>
            <w:tcW w:w="1048" w:type="dxa"/>
            <w:vAlign w:val="center"/>
          </w:tcPr>
          <w:p w14:paraId="4FB6C7A3">
            <w:pPr>
              <w:pageBreakBefore w:val="0"/>
              <w:shd w:val="clear"/>
              <w:topLinePunct w:val="0"/>
              <w:bidi w:val="0"/>
              <w:adjustRightInd/>
              <w:snapToGrid/>
              <w:spacing w:after="0"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备注</w:t>
            </w:r>
          </w:p>
        </w:tc>
      </w:tr>
      <w:tr w14:paraId="0F0A1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768" w:type="dxa"/>
            <w:vAlign w:val="center"/>
          </w:tcPr>
          <w:p w14:paraId="6F8A7884">
            <w:pPr>
              <w:pageBreakBefore w:val="0"/>
              <w:shd w:val="clear"/>
              <w:topLinePunct w:val="0"/>
              <w:bidi w:val="0"/>
              <w:adjustRightInd/>
              <w:snapToGrid/>
              <w:spacing w:after="0" w:line="360" w:lineRule="auto"/>
              <w:jc w:val="center"/>
              <w:rPr>
                <w:rFonts w:hint="eastAsia" w:ascii="宋体" w:hAnsi="宋体" w:cs="宋体"/>
                <w:color w:val="auto"/>
                <w:szCs w:val="21"/>
                <w:highlight w:val="none"/>
              </w:rPr>
            </w:pPr>
          </w:p>
        </w:tc>
        <w:tc>
          <w:tcPr>
            <w:tcW w:w="1705" w:type="dxa"/>
            <w:vAlign w:val="center"/>
          </w:tcPr>
          <w:p w14:paraId="7A6A9B30">
            <w:pPr>
              <w:pageBreakBefore w:val="0"/>
              <w:shd w:val="clear"/>
              <w:topLinePunct w:val="0"/>
              <w:bidi w:val="0"/>
              <w:adjustRightInd/>
              <w:snapToGrid/>
              <w:spacing w:after="0" w:line="360" w:lineRule="auto"/>
              <w:jc w:val="center"/>
              <w:rPr>
                <w:rFonts w:hint="eastAsia" w:ascii="宋体" w:hAnsi="宋体" w:cs="宋体"/>
                <w:color w:val="auto"/>
                <w:szCs w:val="21"/>
                <w:highlight w:val="none"/>
              </w:rPr>
            </w:pPr>
          </w:p>
        </w:tc>
        <w:tc>
          <w:tcPr>
            <w:tcW w:w="1550" w:type="dxa"/>
            <w:vAlign w:val="center"/>
          </w:tcPr>
          <w:p w14:paraId="7EF0BC42">
            <w:pPr>
              <w:pageBreakBefore w:val="0"/>
              <w:shd w:val="clear"/>
              <w:topLinePunct w:val="0"/>
              <w:bidi w:val="0"/>
              <w:adjustRightInd/>
              <w:snapToGrid/>
              <w:spacing w:after="0" w:line="360" w:lineRule="auto"/>
              <w:jc w:val="center"/>
              <w:rPr>
                <w:rFonts w:hint="eastAsia" w:ascii="宋体" w:hAnsi="宋体" w:cs="宋体"/>
                <w:color w:val="auto"/>
                <w:szCs w:val="21"/>
                <w:highlight w:val="none"/>
              </w:rPr>
            </w:pPr>
          </w:p>
        </w:tc>
        <w:tc>
          <w:tcPr>
            <w:tcW w:w="1899" w:type="dxa"/>
            <w:vAlign w:val="center"/>
          </w:tcPr>
          <w:p w14:paraId="4B15EAD3">
            <w:pPr>
              <w:pageBreakBefore w:val="0"/>
              <w:shd w:val="clear"/>
              <w:topLinePunct w:val="0"/>
              <w:bidi w:val="0"/>
              <w:adjustRightInd/>
              <w:snapToGrid/>
              <w:spacing w:after="0" w:line="360" w:lineRule="auto"/>
              <w:jc w:val="center"/>
              <w:rPr>
                <w:rFonts w:hint="eastAsia" w:ascii="宋体" w:hAnsi="宋体" w:cs="宋体"/>
                <w:color w:val="auto"/>
                <w:szCs w:val="21"/>
                <w:highlight w:val="none"/>
              </w:rPr>
            </w:pPr>
          </w:p>
        </w:tc>
        <w:tc>
          <w:tcPr>
            <w:tcW w:w="1665" w:type="dxa"/>
            <w:vAlign w:val="center"/>
          </w:tcPr>
          <w:p w14:paraId="71D0F72A">
            <w:pPr>
              <w:pageBreakBefore w:val="0"/>
              <w:shd w:val="clear"/>
              <w:topLinePunct w:val="0"/>
              <w:bidi w:val="0"/>
              <w:adjustRightInd/>
              <w:snapToGrid/>
              <w:spacing w:after="0" w:line="360" w:lineRule="auto"/>
              <w:jc w:val="center"/>
              <w:rPr>
                <w:rFonts w:hint="eastAsia" w:ascii="宋体" w:hAnsi="宋体" w:cs="宋体"/>
                <w:color w:val="auto"/>
                <w:szCs w:val="21"/>
                <w:highlight w:val="none"/>
              </w:rPr>
            </w:pPr>
          </w:p>
        </w:tc>
        <w:tc>
          <w:tcPr>
            <w:tcW w:w="1048" w:type="dxa"/>
            <w:vAlign w:val="center"/>
          </w:tcPr>
          <w:p w14:paraId="737ABB5D">
            <w:pPr>
              <w:pageBreakBefore w:val="0"/>
              <w:shd w:val="clear"/>
              <w:topLinePunct w:val="0"/>
              <w:bidi w:val="0"/>
              <w:adjustRightInd/>
              <w:snapToGrid/>
              <w:spacing w:after="0" w:line="360" w:lineRule="auto"/>
              <w:jc w:val="center"/>
              <w:rPr>
                <w:rFonts w:hint="eastAsia" w:ascii="宋体" w:hAnsi="宋体" w:cs="宋体"/>
                <w:color w:val="auto"/>
                <w:szCs w:val="21"/>
                <w:highlight w:val="none"/>
              </w:rPr>
            </w:pPr>
          </w:p>
        </w:tc>
      </w:tr>
      <w:tr w14:paraId="48C47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768" w:type="dxa"/>
          </w:tcPr>
          <w:p w14:paraId="0C773837">
            <w:pPr>
              <w:pageBreakBefore w:val="0"/>
              <w:shd w:val="clear"/>
              <w:topLinePunct w:val="0"/>
              <w:bidi w:val="0"/>
              <w:adjustRightInd/>
              <w:snapToGrid/>
              <w:spacing w:after="0" w:line="360" w:lineRule="auto"/>
              <w:rPr>
                <w:rFonts w:hint="eastAsia" w:ascii="宋体" w:hAnsi="宋体" w:cs="宋体"/>
                <w:color w:val="auto"/>
                <w:szCs w:val="21"/>
                <w:highlight w:val="none"/>
              </w:rPr>
            </w:pPr>
          </w:p>
        </w:tc>
        <w:tc>
          <w:tcPr>
            <w:tcW w:w="1705" w:type="dxa"/>
          </w:tcPr>
          <w:p w14:paraId="3F04BCDD">
            <w:pPr>
              <w:pageBreakBefore w:val="0"/>
              <w:shd w:val="clear"/>
              <w:topLinePunct w:val="0"/>
              <w:bidi w:val="0"/>
              <w:adjustRightInd/>
              <w:snapToGrid/>
              <w:spacing w:after="0" w:line="360" w:lineRule="auto"/>
              <w:rPr>
                <w:rFonts w:hint="eastAsia" w:ascii="宋体" w:hAnsi="宋体" w:cs="宋体"/>
                <w:color w:val="auto"/>
                <w:szCs w:val="21"/>
                <w:highlight w:val="none"/>
              </w:rPr>
            </w:pPr>
          </w:p>
        </w:tc>
        <w:tc>
          <w:tcPr>
            <w:tcW w:w="1550" w:type="dxa"/>
          </w:tcPr>
          <w:p w14:paraId="7CFFE534">
            <w:pPr>
              <w:pageBreakBefore w:val="0"/>
              <w:shd w:val="clear"/>
              <w:topLinePunct w:val="0"/>
              <w:bidi w:val="0"/>
              <w:adjustRightInd/>
              <w:snapToGrid/>
              <w:spacing w:after="0" w:line="360" w:lineRule="auto"/>
              <w:rPr>
                <w:rFonts w:hint="eastAsia" w:ascii="宋体" w:hAnsi="宋体" w:cs="宋体"/>
                <w:color w:val="auto"/>
                <w:szCs w:val="21"/>
                <w:highlight w:val="none"/>
              </w:rPr>
            </w:pPr>
          </w:p>
        </w:tc>
        <w:tc>
          <w:tcPr>
            <w:tcW w:w="1899" w:type="dxa"/>
          </w:tcPr>
          <w:p w14:paraId="3FC6B712">
            <w:pPr>
              <w:pageBreakBefore w:val="0"/>
              <w:shd w:val="clear"/>
              <w:topLinePunct w:val="0"/>
              <w:bidi w:val="0"/>
              <w:adjustRightInd/>
              <w:snapToGrid/>
              <w:spacing w:after="0" w:line="360" w:lineRule="auto"/>
              <w:rPr>
                <w:rFonts w:hint="eastAsia" w:ascii="宋体" w:hAnsi="宋体" w:cs="宋体"/>
                <w:color w:val="auto"/>
                <w:szCs w:val="21"/>
                <w:highlight w:val="none"/>
              </w:rPr>
            </w:pPr>
          </w:p>
        </w:tc>
        <w:tc>
          <w:tcPr>
            <w:tcW w:w="1665" w:type="dxa"/>
          </w:tcPr>
          <w:p w14:paraId="765B5879">
            <w:pPr>
              <w:pageBreakBefore w:val="0"/>
              <w:shd w:val="clear"/>
              <w:topLinePunct w:val="0"/>
              <w:bidi w:val="0"/>
              <w:adjustRightInd/>
              <w:snapToGrid/>
              <w:spacing w:after="0" w:line="360" w:lineRule="auto"/>
              <w:rPr>
                <w:rFonts w:hint="eastAsia" w:ascii="宋体" w:hAnsi="宋体" w:cs="宋体"/>
                <w:color w:val="auto"/>
                <w:szCs w:val="21"/>
                <w:highlight w:val="none"/>
              </w:rPr>
            </w:pPr>
          </w:p>
        </w:tc>
        <w:tc>
          <w:tcPr>
            <w:tcW w:w="1048" w:type="dxa"/>
          </w:tcPr>
          <w:p w14:paraId="1FC729AF">
            <w:pPr>
              <w:pageBreakBefore w:val="0"/>
              <w:shd w:val="clear"/>
              <w:topLinePunct w:val="0"/>
              <w:bidi w:val="0"/>
              <w:adjustRightInd/>
              <w:snapToGrid/>
              <w:spacing w:after="0" w:line="360" w:lineRule="auto"/>
              <w:rPr>
                <w:rFonts w:hint="eastAsia" w:ascii="宋体" w:hAnsi="宋体" w:cs="宋体"/>
                <w:color w:val="auto"/>
                <w:szCs w:val="21"/>
                <w:highlight w:val="none"/>
              </w:rPr>
            </w:pPr>
          </w:p>
        </w:tc>
      </w:tr>
      <w:tr w14:paraId="22107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768" w:type="dxa"/>
          </w:tcPr>
          <w:p w14:paraId="5D2914BC">
            <w:pPr>
              <w:pageBreakBefore w:val="0"/>
              <w:shd w:val="clear"/>
              <w:topLinePunct w:val="0"/>
              <w:bidi w:val="0"/>
              <w:adjustRightInd/>
              <w:snapToGrid/>
              <w:spacing w:after="0" w:line="360" w:lineRule="auto"/>
              <w:rPr>
                <w:rFonts w:hint="eastAsia" w:ascii="宋体" w:hAnsi="宋体" w:cs="宋体"/>
                <w:color w:val="auto"/>
                <w:szCs w:val="21"/>
                <w:highlight w:val="none"/>
              </w:rPr>
            </w:pPr>
          </w:p>
        </w:tc>
        <w:tc>
          <w:tcPr>
            <w:tcW w:w="1705" w:type="dxa"/>
          </w:tcPr>
          <w:p w14:paraId="4E7C2CB4">
            <w:pPr>
              <w:pageBreakBefore w:val="0"/>
              <w:shd w:val="clear"/>
              <w:topLinePunct w:val="0"/>
              <w:bidi w:val="0"/>
              <w:adjustRightInd/>
              <w:snapToGrid/>
              <w:spacing w:after="0" w:line="360" w:lineRule="auto"/>
              <w:rPr>
                <w:rFonts w:hint="eastAsia" w:ascii="宋体" w:hAnsi="宋体" w:cs="宋体"/>
                <w:color w:val="auto"/>
                <w:szCs w:val="21"/>
                <w:highlight w:val="none"/>
              </w:rPr>
            </w:pPr>
          </w:p>
        </w:tc>
        <w:tc>
          <w:tcPr>
            <w:tcW w:w="1550" w:type="dxa"/>
          </w:tcPr>
          <w:p w14:paraId="39F2DEA3">
            <w:pPr>
              <w:pageBreakBefore w:val="0"/>
              <w:shd w:val="clear"/>
              <w:topLinePunct w:val="0"/>
              <w:bidi w:val="0"/>
              <w:adjustRightInd/>
              <w:snapToGrid/>
              <w:spacing w:after="0" w:line="360" w:lineRule="auto"/>
              <w:rPr>
                <w:rFonts w:hint="eastAsia" w:ascii="宋体" w:hAnsi="宋体" w:cs="宋体"/>
                <w:color w:val="auto"/>
                <w:szCs w:val="21"/>
                <w:highlight w:val="none"/>
              </w:rPr>
            </w:pPr>
          </w:p>
        </w:tc>
        <w:tc>
          <w:tcPr>
            <w:tcW w:w="1899" w:type="dxa"/>
          </w:tcPr>
          <w:p w14:paraId="4A5205A8">
            <w:pPr>
              <w:pageBreakBefore w:val="0"/>
              <w:shd w:val="clear"/>
              <w:topLinePunct w:val="0"/>
              <w:bidi w:val="0"/>
              <w:adjustRightInd/>
              <w:snapToGrid/>
              <w:spacing w:after="0" w:line="360" w:lineRule="auto"/>
              <w:rPr>
                <w:rFonts w:hint="eastAsia" w:ascii="宋体" w:hAnsi="宋体" w:cs="宋体"/>
                <w:color w:val="auto"/>
                <w:szCs w:val="21"/>
                <w:highlight w:val="none"/>
              </w:rPr>
            </w:pPr>
          </w:p>
        </w:tc>
        <w:tc>
          <w:tcPr>
            <w:tcW w:w="1665" w:type="dxa"/>
          </w:tcPr>
          <w:p w14:paraId="13079819">
            <w:pPr>
              <w:pageBreakBefore w:val="0"/>
              <w:shd w:val="clear"/>
              <w:topLinePunct w:val="0"/>
              <w:bidi w:val="0"/>
              <w:adjustRightInd/>
              <w:snapToGrid/>
              <w:spacing w:after="0" w:line="360" w:lineRule="auto"/>
              <w:rPr>
                <w:rFonts w:hint="eastAsia" w:ascii="宋体" w:hAnsi="宋体" w:cs="宋体"/>
                <w:color w:val="auto"/>
                <w:szCs w:val="21"/>
                <w:highlight w:val="none"/>
              </w:rPr>
            </w:pPr>
          </w:p>
        </w:tc>
        <w:tc>
          <w:tcPr>
            <w:tcW w:w="1048" w:type="dxa"/>
          </w:tcPr>
          <w:p w14:paraId="3ED648B5">
            <w:pPr>
              <w:pageBreakBefore w:val="0"/>
              <w:shd w:val="clear"/>
              <w:topLinePunct w:val="0"/>
              <w:bidi w:val="0"/>
              <w:adjustRightInd/>
              <w:snapToGrid/>
              <w:spacing w:after="0" w:line="360" w:lineRule="auto"/>
              <w:rPr>
                <w:rFonts w:hint="eastAsia" w:ascii="宋体" w:hAnsi="宋体" w:cs="宋体"/>
                <w:color w:val="auto"/>
                <w:szCs w:val="21"/>
                <w:highlight w:val="none"/>
              </w:rPr>
            </w:pPr>
          </w:p>
        </w:tc>
      </w:tr>
      <w:tr w14:paraId="62886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768" w:type="dxa"/>
          </w:tcPr>
          <w:p w14:paraId="65AA5B8E">
            <w:pPr>
              <w:pageBreakBefore w:val="0"/>
              <w:shd w:val="clear"/>
              <w:topLinePunct w:val="0"/>
              <w:bidi w:val="0"/>
              <w:adjustRightInd/>
              <w:snapToGrid/>
              <w:spacing w:after="0" w:line="360" w:lineRule="auto"/>
              <w:rPr>
                <w:rFonts w:hint="eastAsia" w:ascii="宋体" w:hAnsi="宋体" w:cs="宋体"/>
                <w:color w:val="auto"/>
                <w:szCs w:val="21"/>
                <w:highlight w:val="none"/>
              </w:rPr>
            </w:pPr>
          </w:p>
        </w:tc>
        <w:tc>
          <w:tcPr>
            <w:tcW w:w="1705" w:type="dxa"/>
          </w:tcPr>
          <w:p w14:paraId="5A7BDE72">
            <w:pPr>
              <w:pageBreakBefore w:val="0"/>
              <w:shd w:val="clear"/>
              <w:topLinePunct w:val="0"/>
              <w:bidi w:val="0"/>
              <w:adjustRightInd/>
              <w:snapToGrid/>
              <w:spacing w:after="0" w:line="360" w:lineRule="auto"/>
              <w:rPr>
                <w:rFonts w:hint="eastAsia" w:ascii="宋体" w:hAnsi="宋体" w:cs="宋体"/>
                <w:color w:val="auto"/>
                <w:szCs w:val="21"/>
                <w:highlight w:val="none"/>
              </w:rPr>
            </w:pPr>
          </w:p>
        </w:tc>
        <w:tc>
          <w:tcPr>
            <w:tcW w:w="1550" w:type="dxa"/>
          </w:tcPr>
          <w:p w14:paraId="6C65794C">
            <w:pPr>
              <w:pageBreakBefore w:val="0"/>
              <w:shd w:val="clear"/>
              <w:topLinePunct w:val="0"/>
              <w:bidi w:val="0"/>
              <w:adjustRightInd/>
              <w:snapToGrid/>
              <w:spacing w:after="0" w:line="360" w:lineRule="auto"/>
              <w:rPr>
                <w:rFonts w:hint="eastAsia" w:ascii="宋体" w:hAnsi="宋体" w:cs="宋体"/>
                <w:color w:val="auto"/>
                <w:szCs w:val="21"/>
                <w:highlight w:val="none"/>
              </w:rPr>
            </w:pPr>
          </w:p>
        </w:tc>
        <w:tc>
          <w:tcPr>
            <w:tcW w:w="1899" w:type="dxa"/>
          </w:tcPr>
          <w:p w14:paraId="6B35F939">
            <w:pPr>
              <w:pageBreakBefore w:val="0"/>
              <w:shd w:val="clear"/>
              <w:topLinePunct w:val="0"/>
              <w:bidi w:val="0"/>
              <w:adjustRightInd/>
              <w:snapToGrid/>
              <w:spacing w:after="0" w:line="360" w:lineRule="auto"/>
              <w:rPr>
                <w:rFonts w:hint="eastAsia" w:ascii="宋体" w:hAnsi="宋体" w:cs="宋体"/>
                <w:color w:val="auto"/>
                <w:szCs w:val="21"/>
                <w:highlight w:val="none"/>
              </w:rPr>
            </w:pPr>
          </w:p>
        </w:tc>
        <w:tc>
          <w:tcPr>
            <w:tcW w:w="1665" w:type="dxa"/>
          </w:tcPr>
          <w:p w14:paraId="769EE4A6">
            <w:pPr>
              <w:pageBreakBefore w:val="0"/>
              <w:shd w:val="clear"/>
              <w:topLinePunct w:val="0"/>
              <w:bidi w:val="0"/>
              <w:adjustRightInd/>
              <w:snapToGrid/>
              <w:spacing w:after="0" w:line="360" w:lineRule="auto"/>
              <w:rPr>
                <w:rFonts w:hint="eastAsia" w:ascii="宋体" w:hAnsi="宋体" w:cs="宋体"/>
                <w:color w:val="auto"/>
                <w:szCs w:val="21"/>
                <w:highlight w:val="none"/>
              </w:rPr>
            </w:pPr>
          </w:p>
        </w:tc>
        <w:tc>
          <w:tcPr>
            <w:tcW w:w="1048" w:type="dxa"/>
          </w:tcPr>
          <w:p w14:paraId="359C6CC1">
            <w:pPr>
              <w:pageBreakBefore w:val="0"/>
              <w:shd w:val="clear"/>
              <w:topLinePunct w:val="0"/>
              <w:bidi w:val="0"/>
              <w:adjustRightInd/>
              <w:snapToGrid/>
              <w:spacing w:after="0" w:line="360" w:lineRule="auto"/>
              <w:rPr>
                <w:rFonts w:hint="eastAsia" w:ascii="宋体" w:hAnsi="宋体" w:cs="宋体"/>
                <w:color w:val="auto"/>
                <w:szCs w:val="21"/>
                <w:highlight w:val="none"/>
              </w:rPr>
            </w:pPr>
          </w:p>
        </w:tc>
      </w:tr>
      <w:tr w14:paraId="641D3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768" w:type="dxa"/>
          </w:tcPr>
          <w:p w14:paraId="0BA1C0B5">
            <w:pPr>
              <w:pageBreakBefore w:val="0"/>
              <w:shd w:val="clear"/>
              <w:topLinePunct w:val="0"/>
              <w:bidi w:val="0"/>
              <w:adjustRightInd/>
              <w:snapToGrid/>
              <w:spacing w:after="0" w:line="360" w:lineRule="auto"/>
              <w:rPr>
                <w:rFonts w:hint="eastAsia" w:ascii="宋体" w:hAnsi="宋体" w:cs="宋体"/>
                <w:color w:val="auto"/>
                <w:szCs w:val="21"/>
                <w:highlight w:val="none"/>
              </w:rPr>
            </w:pPr>
          </w:p>
        </w:tc>
        <w:tc>
          <w:tcPr>
            <w:tcW w:w="1705" w:type="dxa"/>
          </w:tcPr>
          <w:p w14:paraId="76DBBBEA">
            <w:pPr>
              <w:pageBreakBefore w:val="0"/>
              <w:shd w:val="clear"/>
              <w:topLinePunct w:val="0"/>
              <w:bidi w:val="0"/>
              <w:adjustRightInd/>
              <w:snapToGrid/>
              <w:spacing w:after="0" w:line="360" w:lineRule="auto"/>
              <w:rPr>
                <w:rFonts w:hint="eastAsia" w:ascii="宋体" w:hAnsi="宋体" w:cs="宋体"/>
                <w:color w:val="auto"/>
                <w:szCs w:val="21"/>
                <w:highlight w:val="none"/>
              </w:rPr>
            </w:pPr>
          </w:p>
        </w:tc>
        <w:tc>
          <w:tcPr>
            <w:tcW w:w="1550" w:type="dxa"/>
          </w:tcPr>
          <w:p w14:paraId="3FC906FD">
            <w:pPr>
              <w:pageBreakBefore w:val="0"/>
              <w:shd w:val="clear"/>
              <w:topLinePunct w:val="0"/>
              <w:bidi w:val="0"/>
              <w:adjustRightInd/>
              <w:snapToGrid/>
              <w:spacing w:after="0" w:line="360" w:lineRule="auto"/>
              <w:rPr>
                <w:rFonts w:hint="eastAsia" w:ascii="宋体" w:hAnsi="宋体" w:cs="宋体"/>
                <w:color w:val="auto"/>
                <w:szCs w:val="21"/>
                <w:highlight w:val="none"/>
              </w:rPr>
            </w:pPr>
          </w:p>
        </w:tc>
        <w:tc>
          <w:tcPr>
            <w:tcW w:w="1899" w:type="dxa"/>
          </w:tcPr>
          <w:p w14:paraId="7CDF5BA1">
            <w:pPr>
              <w:pageBreakBefore w:val="0"/>
              <w:shd w:val="clear"/>
              <w:topLinePunct w:val="0"/>
              <w:bidi w:val="0"/>
              <w:adjustRightInd/>
              <w:snapToGrid/>
              <w:spacing w:after="0" w:line="360" w:lineRule="auto"/>
              <w:rPr>
                <w:rFonts w:hint="eastAsia" w:ascii="宋体" w:hAnsi="宋体" w:cs="宋体"/>
                <w:color w:val="auto"/>
                <w:szCs w:val="21"/>
                <w:highlight w:val="none"/>
              </w:rPr>
            </w:pPr>
          </w:p>
        </w:tc>
        <w:tc>
          <w:tcPr>
            <w:tcW w:w="1665" w:type="dxa"/>
          </w:tcPr>
          <w:p w14:paraId="2DC2687B">
            <w:pPr>
              <w:pageBreakBefore w:val="0"/>
              <w:shd w:val="clear"/>
              <w:topLinePunct w:val="0"/>
              <w:bidi w:val="0"/>
              <w:adjustRightInd/>
              <w:snapToGrid/>
              <w:spacing w:after="0" w:line="360" w:lineRule="auto"/>
              <w:rPr>
                <w:rFonts w:hint="eastAsia" w:ascii="宋体" w:hAnsi="宋体" w:cs="宋体"/>
                <w:color w:val="auto"/>
                <w:szCs w:val="21"/>
                <w:highlight w:val="none"/>
              </w:rPr>
            </w:pPr>
          </w:p>
        </w:tc>
        <w:tc>
          <w:tcPr>
            <w:tcW w:w="1048" w:type="dxa"/>
          </w:tcPr>
          <w:p w14:paraId="6555FA74">
            <w:pPr>
              <w:pageBreakBefore w:val="0"/>
              <w:shd w:val="clear"/>
              <w:topLinePunct w:val="0"/>
              <w:bidi w:val="0"/>
              <w:adjustRightInd/>
              <w:snapToGrid/>
              <w:spacing w:after="0" w:line="360" w:lineRule="auto"/>
              <w:rPr>
                <w:rFonts w:hint="eastAsia" w:ascii="宋体" w:hAnsi="宋体" w:cs="宋体"/>
                <w:color w:val="auto"/>
                <w:szCs w:val="21"/>
                <w:highlight w:val="none"/>
              </w:rPr>
            </w:pPr>
          </w:p>
        </w:tc>
      </w:tr>
      <w:tr w14:paraId="01D03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768" w:type="dxa"/>
          </w:tcPr>
          <w:p w14:paraId="6FE87880">
            <w:pPr>
              <w:pageBreakBefore w:val="0"/>
              <w:shd w:val="clear"/>
              <w:topLinePunct w:val="0"/>
              <w:bidi w:val="0"/>
              <w:adjustRightInd/>
              <w:snapToGrid/>
              <w:spacing w:after="0" w:line="360" w:lineRule="auto"/>
              <w:rPr>
                <w:rFonts w:hint="eastAsia" w:ascii="宋体" w:hAnsi="宋体" w:cs="宋体"/>
                <w:color w:val="auto"/>
                <w:szCs w:val="21"/>
                <w:highlight w:val="none"/>
              </w:rPr>
            </w:pPr>
          </w:p>
        </w:tc>
        <w:tc>
          <w:tcPr>
            <w:tcW w:w="1705" w:type="dxa"/>
          </w:tcPr>
          <w:p w14:paraId="0BDC4E18">
            <w:pPr>
              <w:pageBreakBefore w:val="0"/>
              <w:shd w:val="clear"/>
              <w:topLinePunct w:val="0"/>
              <w:bidi w:val="0"/>
              <w:adjustRightInd/>
              <w:snapToGrid/>
              <w:spacing w:after="0" w:line="360" w:lineRule="auto"/>
              <w:rPr>
                <w:rFonts w:hint="eastAsia" w:ascii="宋体" w:hAnsi="宋体" w:cs="宋体"/>
                <w:color w:val="auto"/>
                <w:szCs w:val="21"/>
                <w:highlight w:val="none"/>
              </w:rPr>
            </w:pPr>
          </w:p>
        </w:tc>
        <w:tc>
          <w:tcPr>
            <w:tcW w:w="1550" w:type="dxa"/>
          </w:tcPr>
          <w:p w14:paraId="60E6BA06">
            <w:pPr>
              <w:pageBreakBefore w:val="0"/>
              <w:shd w:val="clear"/>
              <w:topLinePunct w:val="0"/>
              <w:bidi w:val="0"/>
              <w:adjustRightInd/>
              <w:snapToGrid/>
              <w:spacing w:after="0" w:line="360" w:lineRule="auto"/>
              <w:rPr>
                <w:rFonts w:hint="eastAsia" w:ascii="宋体" w:hAnsi="宋体" w:cs="宋体"/>
                <w:color w:val="auto"/>
                <w:szCs w:val="21"/>
                <w:highlight w:val="none"/>
              </w:rPr>
            </w:pPr>
          </w:p>
        </w:tc>
        <w:tc>
          <w:tcPr>
            <w:tcW w:w="1899" w:type="dxa"/>
          </w:tcPr>
          <w:p w14:paraId="3AE6B77F">
            <w:pPr>
              <w:pageBreakBefore w:val="0"/>
              <w:shd w:val="clear"/>
              <w:topLinePunct w:val="0"/>
              <w:bidi w:val="0"/>
              <w:adjustRightInd/>
              <w:snapToGrid/>
              <w:spacing w:after="0" w:line="360" w:lineRule="auto"/>
              <w:rPr>
                <w:rFonts w:hint="eastAsia" w:ascii="宋体" w:hAnsi="宋体" w:cs="宋体"/>
                <w:color w:val="auto"/>
                <w:szCs w:val="21"/>
                <w:highlight w:val="none"/>
              </w:rPr>
            </w:pPr>
          </w:p>
        </w:tc>
        <w:tc>
          <w:tcPr>
            <w:tcW w:w="1665" w:type="dxa"/>
          </w:tcPr>
          <w:p w14:paraId="7F3C0A21">
            <w:pPr>
              <w:pageBreakBefore w:val="0"/>
              <w:shd w:val="clear"/>
              <w:topLinePunct w:val="0"/>
              <w:bidi w:val="0"/>
              <w:adjustRightInd/>
              <w:snapToGrid/>
              <w:spacing w:after="0" w:line="360" w:lineRule="auto"/>
              <w:rPr>
                <w:rFonts w:hint="eastAsia" w:ascii="宋体" w:hAnsi="宋体" w:cs="宋体"/>
                <w:color w:val="auto"/>
                <w:szCs w:val="21"/>
                <w:highlight w:val="none"/>
              </w:rPr>
            </w:pPr>
          </w:p>
        </w:tc>
        <w:tc>
          <w:tcPr>
            <w:tcW w:w="1048" w:type="dxa"/>
          </w:tcPr>
          <w:p w14:paraId="66A87EDC">
            <w:pPr>
              <w:pageBreakBefore w:val="0"/>
              <w:shd w:val="clear"/>
              <w:topLinePunct w:val="0"/>
              <w:bidi w:val="0"/>
              <w:adjustRightInd/>
              <w:snapToGrid/>
              <w:spacing w:after="0" w:line="360" w:lineRule="auto"/>
              <w:rPr>
                <w:rFonts w:hint="eastAsia" w:ascii="宋体" w:hAnsi="宋体" w:cs="宋体"/>
                <w:color w:val="auto"/>
                <w:szCs w:val="21"/>
                <w:highlight w:val="none"/>
              </w:rPr>
            </w:pPr>
          </w:p>
        </w:tc>
      </w:tr>
    </w:tbl>
    <w:p w14:paraId="57FCF5CB">
      <w:pPr>
        <w:pStyle w:val="45"/>
        <w:pageBreakBefore w:val="0"/>
        <w:shd w:val="clear"/>
        <w:topLinePunct w:val="0"/>
        <w:bidi w:val="0"/>
        <w:spacing w:after="0" w:line="360" w:lineRule="auto"/>
        <w:rPr>
          <w:rFonts w:hint="eastAsia" w:ascii="宋体" w:hAnsi="宋体" w:cs="宋体"/>
          <w:color w:val="auto"/>
          <w:szCs w:val="21"/>
          <w:highlight w:val="none"/>
        </w:rPr>
      </w:pPr>
    </w:p>
    <w:p w14:paraId="220F3983">
      <w:pPr>
        <w:pStyle w:val="45"/>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注：</w:t>
      </w:r>
    </w:p>
    <w:p w14:paraId="575FB0AE">
      <w:pPr>
        <w:pStyle w:val="45"/>
        <w:pageBreakBefore w:val="0"/>
        <w:numPr>
          <w:ilvl w:val="0"/>
          <w:numId w:val="11"/>
        </w:numPr>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该表格为参考格式，投标人可按实际情况自行制订。</w:t>
      </w:r>
    </w:p>
    <w:p w14:paraId="0B6F6337">
      <w:pPr>
        <w:pStyle w:val="45"/>
        <w:pageBreakBefore w:val="0"/>
        <w:numPr>
          <w:ilvl w:val="0"/>
          <w:numId w:val="11"/>
        </w:numPr>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业绩表所列出的材料应为真实准确的，并应提供相关证明材料复印件加盖公章。请勿提供虚假、过期材料，否则将依据相关规定严肃处理。</w:t>
      </w:r>
    </w:p>
    <w:p w14:paraId="602B9206">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br w:type="page"/>
      </w:r>
    </w:p>
    <w:p w14:paraId="14863EEC">
      <w:pPr>
        <w:pStyle w:val="6"/>
        <w:pageBreakBefore w:val="0"/>
        <w:widowControl w:val="0"/>
        <w:shd w:val="clear"/>
        <w:overflowPunct w:val="0"/>
        <w:topLinePunct w:val="0"/>
        <w:bidi w:val="0"/>
        <w:spacing w:after="0" w:line="360" w:lineRule="auto"/>
        <w:rPr>
          <w:rFonts w:hint="eastAsia" w:ascii="宋体" w:hAnsi="宋体" w:cs="宋体"/>
          <w:color w:val="auto"/>
          <w:highlight w:val="none"/>
        </w:rPr>
      </w:pPr>
      <w:bookmarkStart w:id="258" w:name="_Toc22930"/>
      <w:bookmarkStart w:id="259" w:name="_Toc32097"/>
      <w:r>
        <w:rPr>
          <w:rFonts w:hint="eastAsia" w:ascii="宋体" w:hAnsi="宋体" w:cs="宋体"/>
          <w:color w:val="auto"/>
          <w:sz w:val="21"/>
          <w:szCs w:val="21"/>
          <w:highlight w:val="none"/>
        </w:rPr>
        <w:t>附件1</w:t>
      </w:r>
      <w:r>
        <w:rPr>
          <w:rFonts w:hint="eastAsia" w:ascii="宋体" w:hAnsi="宋体" w:cs="宋体"/>
          <w:color w:val="auto"/>
          <w:sz w:val="21"/>
          <w:szCs w:val="21"/>
          <w:highlight w:val="none"/>
          <w:lang w:val="en-US" w:eastAsia="zh-CN"/>
        </w:rPr>
        <w:t>4</w:t>
      </w:r>
      <w:r>
        <w:rPr>
          <w:rFonts w:hint="eastAsia" w:ascii="宋体" w:hAnsi="宋体" w:cs="宋体"/>
          <w:color w:val="auto"/>
          <w:sz w:val="21"/>
          <w:szCs w:val="21"/>
          <w:highlight w:val="none"/>
        </w:rPr>
        <w:t>.联合体协议书</w:t>
      </w:r>
      <w:r>
        <w:rPr>
          <w:rFonts w:hint="eastAsia" w:ascii="宋体" w:hAnsi="宋体" w:cs="宋体"/>
          <w:color w:val="auto"/>
          <w:highlight w:val="none"/>
        </w:rPr>
        <w:t>（如有）</w:t>
      </w:r>
      <w:bookmarkEnd w:id="258"/>
      <w:bookmarkEnd w:id="259"/>
    </w:p>
    <w:p w14:paraId="474223E7">
      <w:pPr>
        <w:pageBreakBefore w:val="0"/>
        <w:shd w:val="clear"/>
        <w:topLinePunct w:val="0"/>
        <w:bidi w:val="0"/>
        <w:spacing w:after="0" w:line="360" w:lineRule="auto"/>
        <w:rPr>
          <w:rFonts w:hint="eastAsia" w:ascii="宋体" w:hAnsi="宋体" w:cs="宋体"/>
          <w:color w:val="auto"/>
          <w:highlight w:val="none"/>
        </w:rPr>
      </w:pPr>
    </w:p>
    <w:p w14:paraId="09B52D6A">
      <w:pPr>
        <w:pageBreakBefore w:val="0"/>
        <w:shd w:val="clear"/>
        <w:topLinePunct w:val="0"/>
        <w:bidi w:val="0"/>
        <w:spacing w:after="0" w:line="360" w:lineRule="auto"/>
        <w:jc w:val="center"/>
        <w:rPr>
          <w:rFonts w:hint="eastAsia" w:ascii="宋体" w:hAnsi="宋体" w:cs="宋体"/>
          <w:color w:val="auto"/>
          <w:highlight w:val="none"/>
        </w:rPr>
      </w:pPr>
      <w:r>
        <w:rPr>
          <w:rFonts w:hint="eastAsia" w:ascii="宋体" w:hAnsi="宋体" w:cs="宋体"/>
          <w:b/>
          <w:bCs/>
          <w:color w:val="auto"/>
          <w:highlight w:val="none"/>
        </w:rPr>
        <w:t>联合体共同投标协议书</w:t>
      </w:r>
    </w:p>
    <w:p w14:paraId="7756C6D1">
      <w:pPr>
        <w:pageBreakBefore w:val="0"/>
        <w:shd w:val="clear"/>
        <w:topLinePunct w:val="0"/>
        <w:bidi w:val="0"/>
        <w:spacing w:after="0" w:line="360" w:lineRule="auto"/>
        <w:jc w:val="center"/>
        <w:rPr>
          <w:rFonts w:hint="eastAsia" w:ascii="宋体" w:hAnsi="宋体" w:cs="宋体"/>
          <w:color w:val="auto"/>
          <w:highlight w:val="none"/>
        </w:rPr>
      </w:pPr>
    </w:p>
    <w:p w14:paraId="57BE770C">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立约方：（甲公司全称）</w:t>
      </w:r>
    </w:p>
    <w:p w14:paraId="6973710D">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（乙公司全称）</w:t>
      </w:r>
    </w:p>
    <w:p w14:paraId="47074BC3">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（……公司全称）</w:t>
      </w:r>
    </w:p>
    <w:p w14:paraId="3099E528">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u w:val="single"/>
        </w:rPr>
        <w:t>（甲公司全称）、（乙公司全称）、（……公司全称）</w:t>
      </w:r>
      <w:r>
        <w:rPr>
          <w:rFonts w:hint="eastAsia" w:ascii="宋体" w:hAnsi="宋体" w:cs="宋体"/>
          <w:color w:val="auto"/>
          <w:szCs w:val="21"/>
          <w:highlight w:val="none"/>
        </w:rPr>
        <w:t>自愿组成联合体，以一个投标人的身份共同参加</w:t>
      </w:r>
      <w:r>
        <w:rPr>
          <w:rFonts w:hint="eastAsia" w:ascii="宋体" w:hAnsi="宋体" w:cs="宋体"/>
          <w:color w:val="auto"/>
          <w:szCs w:val="21"/>
          <w:highlight w:val="none"/>
          <w:u w:val="single"/>
        </w:rPr>
        <w:t>（xxxx项目） （项目编号：xxxx）</w:t>
      </w:r>
      <w:r>
        <w:rPr>
          <w:rFonts w:hint="eastAsia" w:ascii="宋体" w:hAnsi="宋体" w:cs="宋体"/>
          <w:color w:val="auto"/>
          <w:szCs w:val="21"/>
          <w:highlight w:val="none"/>
        </w:rPr>
        <w:t>的招标活动。经各方充分协商一致，就项目的投标和合同实施阶段的有关事务协商一致订立协议如下：</w:t>
      </w:r>
    </w:p>
    <w:p w14:paraId="1ADB908C">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一、联合体各方关系</w:t>
      </w:r>
    </w:p>
    <w:p w14:paraId="67F5F1BF">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u w:val="single"/>
        </w:rPr>
        <w:t>1.（甲公司全称）、（乙公司全称）、（……公司全称）</w:t>
      </w:r>
      <w:r>
        <w:rPr>
          <w:rFonts w:hint="eastAsia" w:ascii="宋体" w:hAnsi="宋体" w:cs="宋体"/>
          <w:color w:val="auto"/>
          <w:szCs w:val="21"/>
          <w:highlight w:val="none"/>
        </w:rPr>
        <w:t>共同组成一个联合体，以一个投标人的身份共同参加本项目的投标。</w:t>
      </w:r>
      <w:r>
        <w:rPr>
          <w:rFonts w:hint="eastAsia" w:ascii="宋体" w:hAnsi="宋体" w:cs="宋体"/>
          <w:color w:val="auto"/>
          <w:szCs w:val="21"/>
          <w:highlight w:val="none"/>
          <w:u w:val="single"/>
        </w:rPr>
        <w:t>（甲公司全称）、（乙公司全称）、（……公司全称）</w:t>
      </w:r>
      <w:r>
        <w:rPr>
          <w:rFonts w:hint="eastAsia" w:ascii="宋体" w:hAnsi="宋体" w:cs="宋体"/>
          <w:color w:val="auto"/>
          <w:szCs w:val="21"/>
          <w:highlight w:val="none"/>
        </w:rPr>
        <w:t>作为联合体成员，若中标，联合体各方共同与</w:t>
      </w:r>
      <w:r>
        <w:rPr>
          <w:rFonts w:hint="eastAsia" w:ascii="宋体" w:hAnsi="宋体" w:cs="宋体"/>
          <w:color w:val="auto"/>
          <w:szCs w:val="21"/>
          <w:highlight w:val="none"/>
          <w:u w:val="single"/>
        </w:rPr>
        <w:t>（采购人）</w:t>
      </w:r>
      <w:r>
        <w:rPr>
          <w:rFonts w:hint="eastAsia" w:ascii="宋体" w:hAnsi="宋体" w:cs="宋体"/>
          <w:color w:val="auto"/>
          <w:szCs w:val="21"/>
          <w:highlight w:val="none"/>
        </w:rPr>
        <w:t>签订合同。</w:t>
      </w:r>
    </w:p>
    <w:p w14:paraId="3EC7C071">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2.本次投标中，以</w:t>
      </w:r>
      <w:r>
        <w:rPr>
          <w:rFonts w:hint="eastAsia" w:ascii="宋体" w:hAnsi="宋体" w:cs="宋体"/>
          <w:color w:val="auto"/>
          <w:szCs w:val="21"/>
          <w:highlight w:val="none"/>
          <w:u w:val="single"/>
        </w:rPr>
        <w:t>（公司全称）</w:t>
      </w:r>
      <w:r>
        <w:rPr>
          <w:rFonts w:hint="eastAsia" w:ascii="宋体" w:hAnsi="宋体" w:cs="宋体"/>
          <w:color w:val="auto"/>
          <w:szCs w:val="21"/>
          <w:highlight w:val="none"/>
        </w:rPr>
        <w:t>为联合体牵头人。</w:t>
      </w:r>
    </w:p>
    <w:p w14:paraId="7A479817">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二、联合体内部有关事项约定如下：</w:t>
      </w:r>
    </w:p>
    <w:p w14:paraId="4ED2FE4A">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1.联合体牵头人合法代表联合体各成员，负责本项目投标文件编制和投标工作，并代表联合体成员递交和接受相关的资料、信息及指示，并处理与之有关的一切事务，负责合同实施阶段的主办、组织和协调工作。</w:t>
      </w:r>
    </w:p>
    <w:p w14:paraId="3ECA8DD9">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2.联合体将严格按照文件的各项要求，递交投标文件，切实执行一切合同文件，共同承担合同规定的一切义务和责任，同时按照内部职责的划分，承担自身所负的责任和风险，在法律上承担连带责任。</w:t>
      </w:r>
    </w:p>
    <w:p w14:paraId="2F2F6FB9">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3.如中标，联合体各方共同与（采购人）签订合同书，并就中标项目向采购人负有连带的和各自的法律责任；</w:t>
      </w:r>
    </w:p>
    <w:p w14:paraId="5D94EE3F">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4.联合体各成员单位内部的职责分工如下：</w:t>
      </w:r>
    </w:p>
    <w:p w14:paraId="63204DED">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（1）</w:t>
      </w:r>
    </w:p>
    <w:p w14:paraId="447D5CA1">
      <w:pPr>
        <w:pageBreakBefore w:val="0"/>
        <w:shd w:val="clear"/>
        <w:topLinePunct w:val="0"/>
        <w:bidi w:val="0"/>
        <w:spacing w:after="0" w:line="360" w:lineRule="auto"/>
        <w:rPr>
          <w:rFonts w:hint="eastAsia" w:ascii="宋体" w:hAnsi="宋体" w:cs="宋体"/>
          <w:color w:val="auto"/>
          <w:highlight w:val="none"/>
        </w:rPr>
      </w:pPr>
      <w:r>
        <w:rPr>
          <w:rFonts w:hint="eastAsia" w:ascii="宋体" w:hAnsi="宋体" w:cs="宋体"/>
          <w:color w:val="auto"/>
          <w:szCs w:val="21"/>
          <w:highlight w:val="none"/>
        </w:rPr>
        <w:t>（2）</w:t>
      </w:r>
    </w:p>
    <w:p w14:paraId="7385A2D1">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三、联合体各方不得再以自己名义参与本项目投标，联合体各方不能作为其它联合体或单独投标单位的项目组成员参加本项目投标。因发生上述问题导致联合体成为无效投标，联合体的其他成员可追究其违约责任和经济损失。</w:t>
      </w:r>
    </w:p>
    <w:p w14:paraId="48F3BA74">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四、联合体如因违约过失责任而导致采购人经济损失或被索赔时，本联合体任何一方均同意无条件优先清偿采购人的一切债务和经济赔偿。</w:t>
      </w:r>
    </w:p>
    <w:p w14:paraId="5B5AC284">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五、联合体中标后，本联合体协议是合同的附件，对联合体各成员单位有合同约束力。</w:t>
      </w:r>
    </w:p>
    <w:p w14:paraId="2FE72524">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六、本协议在自签署之日起生效，投标有效期内有效，如获中标资格，本协议有效期延续至合同履行完毕之日。</w:t>
      </w:r>
    </w:p>
    <w:p w14:paraId="3C410C55">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七、本协议书一式____份，联合体成员和采购人各执一份。 </w:t>
      </w:r>
    </w:p>
    <w:p w14:paraId="7631BDEF">
      <w:pPr>
        <w:pageBreakBefore w:val="0"/>
        <w:shd w:val="clear"/>
        <w:topLinePunct w:val="0"/>
        <w:bidi w:val="0"/>
        <w:spacing w:after="0" w:line="360" w:lineRule="auto"/>
        <w:rPr>
          <w:rFonts w:hint="eastAsia" w:ascii="宋体" w:hAnsi="宋体" w:cs="宋体"/>
          <w:color w:val="auto"/>
          <w:szCs w:val="21"/>
          <w:highlight w:val="none"/>
        </w:rPr>
      </w:pPr>
    </w:p>
    <w:p w14:paraId="297BEA60">
      <w:pPr>
        <w:pStyle w:val="10"/>
        <w:pageBreakBefore w:val="0"/>
        <w:shd w:val="clear"/>
        <w:topLinePunct w:val="0"/>
        <w:bidi w:val="0"/>
        <w:spacing w:before="0" w:after="0" w:line="360" w:lineRule="auto"/>
        <w:rPr>
          <w:rFonts w:hint="eastAsia"/>
          <w:color w:val="auto"/>
          <w:sz w:val="21"/>
          <w:szCs w:val="21"/>
          <w:highlight w:val="none"/>
        </w:rPr>
      </w:pPr>
      <w:r>
        <w:rPr>
          <w:rFonts w:hint="eastAsia"/>
          <w:color w:val="auto"/>
          <w:sz w:val="21"/>
          <w:szCs w:val="21"/>
          <w:highlight w:val="none"/>
        </w:rPr>
        <w:t>注：本协议书由委托人签字的，应附法定代表人签字的授权委托书。</w:t>
      </w:r>
    </w:p>
    <w:p w14:paraId="6021E867">
      <w:pPr>
        <w:pStyle w:val="10"/>
        <w:pageBreakBefore w:val="0"/>
        <w:shd w:val="clear"/>
        <w:topLinePunct w:val="0"/>
        <w:bidi w:val="0"/>
        <w:spacing w:before="0" w:after="0" w:line="360" w:lineRule="auto"/>
        <w:rPr>
          <w:rFonts w:hint="eastAsia"/>
          <w:color w:val="auto"/>
          <w:sz w:val="21"/>
          <w:szCs w:val="21"/>
          <w:highlight w:val="none"/>
        </w:rPr>
      </w:pPr>
      <w:r>
        <w:rPr>
          <w:rFonts w:hint="eastAsia"/>
          <w:color w:val="auto"/>
          <w:sz w:val="21"/>
          <w:szCs w:val="21"/>
          <w:highlight w:val="none"/>
        </w:rPr>
        <w:t>牵头人名称：_______________________（盖单位公章）</w:t>
      </w:r>
    </w:p>
    <w:p w14:paraId="715CC90D">
      <w:pPr>
        <w:pStyle w:val="10"/>
        <w:pageBreakBefore w:val="0"/>
        <w:shd w:val="clear"/>
        <w:topLinePunct w:val="0"/>
        <w:bidi w:val="0"/>
        <w:spacing w:before="0" w:after="0" w:line="360" w:lineRule="auto"/>
        <w:rPr>
          <w:rFonts w:hint="eastAsia"/>
          <w:color w:val="auto"/>
          <w:sz w:val="21"/>
          <w:szCs w:val="21"/>
          <w:highlight w:val="none"/>
        </w:rPr>
      </w:pPr>
      <w:r>
        <w:rPr>
          <w:rFonts w:hint="eastAsia"/>
          <w:color w:val="auto"/>
          <w:sz w:val="21"/>
          <w:szCs w:val="21"/>
          <w:highlight w:val="none"/>
        </w:rPr>
        <w:t>法定代表人或其委托代理人：_____________（签字）</w:t>
      </w:r>
    </w:p>
    <w:p w14:paraId="66A0BD7E">
      <w:pPr>
        <w:pStyle w:val="10"/>
        <w:pageBreakBefore w:val="0"/>
        <w:shd w:val="clear"/>
        <w:topLinePunct w:val="0"/>
        <w:bidi w:val="0"/>
        <w:spacing w:before="0" w:after="0" w:line="360" w:lineRule="auto"/>
        <w:rPr>
          <w:rFonts w:hint="eastAsia"/>
          <w:color w:val="auto"/>
          <w:sz w:val="21"/>
          <w:szCs w:val="21"/>
          <w:highlight w:val="none"/>
        </w:rPr>
      </w:pPr>
    </w:p>
    <w:p w14:paraId="5E28D1C2">
      <w:pPr>
        <w:pStyle w:val="10"/>
        <w:pageBreakBefore w:val="0"/>
        <w:shd w:val="clear"/>
        <w:topLinePunct w:val="0"/>
        <w:bidi w:val="0"/>
        <w:spacing w:before="0" w:after="0" w:line="360" w:lineRule="auto"/>
        <w:rPr>
          <w:rFonts w:hint="eastAsia"/>
          <w:color w:val="auto"/>
          <w:sz w:val="21"/>
          <w:szCs w:val="21"/>
          <w:highlight w:val="none"/>
        </w:rPr>
      </w:pPr>
      <w:r>
        <w:rPr>
          <w:rFonts w:hint="eastAsia"/>
          <w:color w:val="auto"/>
          <w:sz w:val="21"/>
          <w:szCs w:val="21"/>
          <w:highlight w:val="none"/>
        </w:rPr>
        <w:t>成员一名称：_______________________（盖单位公章）</w:t>
      </w:r>
    </w:p>
    <w:p w14:paraId="34B9E63B">
      <w:pPr>
        <w:pStyle w:val="10"/>
        <w:pageBreakBefore w:val="0"/>
        <w:shd w:val="clear"/>
        <w:topLinePunct w:val="0"/>
        <w:bidi w:val="0"/>
        <w:spacing w:before="0" w:after="0" w:line="360" w:lineRule="auto"/>
        <w:rPr>
          <w:rFonts w:hint="eastAsia"/>
          <w:color w:val="auto"/>
          <w:sz w:val="21"/>
          <w:szCs w:val="21"/>
          <w:highlight w:val="none"/>
        </w:rPr>
      </w:pPr>
      <w:r>
        <w:rPr>
          <w:rFonts w:hint="eastAsia"/>
          <w:color w:val="auto"/>
          <w:sz w:val="21"/>
          <w:szCs w:val="21"/>
          <w:highlight w:val="none"/>
        </w:rPr>
        <w:t>法定代表人或其委托代理人：_____________（签字）</w:t>
      </w:r>
    </w:p>
    <w:p w14:paraId="65F962D1">
      <w:pPr>
        <w:pStyle w:val="10"/>
        <w:pageBreakBefore w:val="0"/>
        <w:shd w:val="clear"/>
        <w:topLinePunct w:val="0"/>
        <w:bidi w:val="0"/>
        <w:spacing w:before="0" w:after="0" w:line="360" w:lineRule="auto"/>
        <w:rPr>
          <w:rFonts w:hint="eastAsia"/>
          <w:color w:val="auto"/>
          <w:sz w:val="21"/>
          <w:szCs w:val="21"/>
          <w:highlight w:val="none"/>
        </w:rPr>
      </w:pPr>
    </w:p>
    <w:p w14:paraId="237B5E99">
      <w:pPr>
        <w:pStyle w:val="10"/>
        <w:pageBreakBefore w:val="0"/>
        <w:shd w:val="clear"/>
        <w:topLinePunct w:val="0"/>
        <w:bidi w:val="0"/>
        <w:spacing w:before="0" w:after="0" w:line="360" w:lineRule="auto"/>
        <w:rPr>
          <w:rFonts w:hint="eastAsia"/>
          <w:color w:val="auto"/>
          <w:sz w:val="21"/>
          <w:szCs w:val="21"/>
          <w:highlight w:val="none"/>
        </w:rPr>
      </w:pPr>
      <w:r>
        <w:rPr>
          <w:rFonts w:hint="eastAsia"/>
          <w:color w:val="auto"/>
          <w:sz w:val="21"/>
          <w:szCs w:val="21"/>
          <w:highlight w:val="none"/>
        </w:rPr>
        <w:t>成员二名称：_______________________（盖单位公章）</w:t>
      </w:r>
    </w:p>
    <w:p w14:paraId="5A8F0C07">
      <w:pPr>
        <w:pStyle w:val="10"/>
        <w:pageBreakBefore w:val="0"/>
        <w:shd w:val="clear"/>
        <w:topLinePunct w:val="0"/>
        <w:bidi w:val="0"/>
        <w:spacing w:before="0" w:after="0" w:line="360" w:lineRule="auto"/>
        <w:rPr>
          <w:rFonts w:hint="eastAsia"/>
          <w:color w:val="auto"/>
          <w:sz w:val="21"/>
          <w:szCs w:val="21"/>
          <w:highlight w:val="none"/>
        </w:rPr>
      </w:pPr>
      <w:r>
        <w:rPr>
          <w:rFonts w:hint="eastAsia"/>
          <w:color w:val="auto"/>
          <w:sz w:val="21"/>
          <w:szCs w:val="21"/>
          <w:highlight w:val="none"/>
        </w:rPr>
        <w:t>法定代表人或其委托代理人：_____________（签字）</w:t>
      </w:r>
    </w:p>
    <w:p w14:paraId="11EA6F62">
      <w:pPr>
        <w:pStyle w:val="10"/>
        <w:pageBreakBefore w:val="0"/>
        <w:shd w:val="clear"/>
        <w:topLinePunct w:val="0"/>
        <w:bidi w:val="0"/>
        <w:spacing w:before="0" w:after="0" w:line="360" w:lineRule="auto"/>
        <w:ind w:firstLine="210" w:firstLineChars="100"/>
        <w:jc w:val="both"/>
        <w:rPr>
          <w:rFonts w:hint="eastAsia"/>
          <w:color w:val="auto"/>
          <w:sz w:val="21"/>
          <w:szCs w:val="21"/>
          <w:highlight w:val="none"/>
        </w:rPr>
      </w:pPr>
      <w:r>
        <w:rPr>
          <w:rFonts w:hint="eastAsia"/>
          <w:color w:val="auto"/>
          <w:sz w:val="21"/>
          <w:szCs w:val="21"/>
          <w:highlight w:val="none"/>
        </w:rPr>
        <w:t>……</w:t>
      </w:r>
    </w:p>
    <w:p w14:paraId="752909D9">
      <w:pPr>
        <w:pStyle w:val="10"/>
        <w:pageBreakBefore w:val="0"/>
        <w:shd w:val="clear"/>
        <w:topLinePunct w:val="0"/>
        <w:bidi w:val="0"/>
        <w:spacing w:before="0" w:after="0" w:line="360" w:lineRule="auto"/>
        <w:rPr>
          <w:rFonts w:hint="eastAsia"/>
          <w:color w:val="auto"/>
          <w:highlight w:val="none"/>
          <w:lang w:val="en-US"/>
        </w:rPr>
        <w:sectPr>
          <w:headerReference r:id="rId10" w:type="first"/>
          <w:footerReference r:id="rId12" w:type="first"/>
          <w:headerReference r:id="rId9" w:type="default"/>
          <w:footerReference r:id="rId11" w:type="default"/>
          <w:pgSz w:w="11906" w:h="16838"/>
          <w:pgMar w:top="1440" w:right="1800" w:bottom="1440" w:left="1800" w:header="708" w:footer="708" w:gutter="0"/>
          <w:cols w:space="708" w:num="1"/>
          <w:titlePg/>
          <w:docGrid w:type="lines" w:linePitch="360" w:charSpace="0"/>
        </w:sectPr>
      </w:pPr>
      <w:r>
        <w:rPr>
          <w:rFonts w:hint="eastAsia"/>
          <w:color w:val="auto"/>
          <w:sz w:val="21"/>
          <w:szCs w:val="21"/>
          <w:highlight w:val="none"/>
        </w:rPr>
        <w:t xml:space="preserve">        年     月     日</w:t>
      </w:r>
    </w:p>
    <w:p w14:paraId="3A05AF5A">
      <w:pPr>
        <w:pStyle w:val="10"/>
        <w:pageBreakBefore w:val="0"/>
        <w:shd w:val="clear"/>
        <w:topLinePunct w:val="0"/>
        <w:bidi w:val="0"/>
        <w:spacing w:before="0" w:after="0" w:line="360" w:lineRule="auto"/>
        <w:rPr>
          <w:rFonts w:hint="eastAsia"/>
          <w:color w:val="auto"/>
          <w:highlight w:val="none"/>
        </w:rPr>
      </w:pPr>
    </w:p>
    <w:p w14:paraId="76DB41A6">
      <w:pPr>
        <w:pStyle w:val="4"/>
        <w:pageBreakBefore w:val="0"/>
        <w:shd w:val="clear"/>
        <w:topLinePunct w:val="0"/>
        <w:bidi w:val="0"/>
        <w:spacing w:before="0" w:after="0" w:line="360" w:lineRule="auto"/>
        <w:jc w:val="center"/>
        <w:rPr>
          <w:rFonts w:hint="eastAsia" w:ascii="宋体" w:hAnsi="宋体" w:eastAsia="宋体" w:cs="宋体"/>
          <w:color w:val="auto"/>
          <w:sz w:val="72"/>
          <w:szCs w:val="72"/>
          <w:highlight w:val="none"/>
        </w:rPr>
      </w:pPr>
      <w:bookmarkStart w:id="260" w:name="_Toc25658"/>
      <w:bookmarkStart w:id="261" w:name="_Toc20645"/>
      <w:r>
        <w:rPr>
          <w:rFonts w:hint="eastAsia" w:ascii="宋体" w:hAnsi="宋体" w:eastAsia="宋体" w:cs="宋体"/>
          <w:color w:val="auto"/>
          <w:sz w:val="72"/>
          <w:szCs w:val="72"/>
          <w:highlight w:val="none"/>
        </w:rPr>
        <w:t>技术文件</w:t>
      </w:r>
      <w:bookmarkEnd w:id="260"/>
      <w:bookmarkEnd w:id="261"/>
    </w:p>
    <w:p w14:paraId="03A23B42">
      <w:pPr>
        <w:pageBreakBefore w:val="0"/>
        <w:shd w:val="clear"/>
        <w:topLinePunct w:val="0"/>
        <w:bidi w:val="0"/>
        <w:spacing w:after="0" w:line="360" w:lineRule="auto"/>
        <w:jc w:val="center"/>
        <w:rPr>
          <w:rFonts w:hint="eastAsia" w:ascii="宋体" w:hAnsi="宋体" w:cs="宋体"/>
          <w:color w:val="auto"/>
          <w:sz w:val="72"/>
          <w:szCs w:val="72"/>
          <w:highlight w:val="none"/>
        </w:rPr>
      </w:pPr>
      <w:r>
        <w:rPr>
          <w:rFonts w:hint="eastAsia" w:ascii="宋体" w:hAnsi="宋体" w:cs="宋体"/>
          <w:color w:val="auto"/>
          <w:sz w:val="72"/>
          <w:szCs w:val="72"/>
          <w:highlight w:val="none"/>
        </w:rPr>
        <w:t>（单独装订成册）</w:t>
      </w:r>
    </w:p>
    <w:p w14:paraId="7A07838D">
      <w:pPr>
        <w:pageBreakBefore w:val="0"/>
        <w:shd w:val="clear"/>
        <w:topLinePunct w:val="0"/>
        <w:bidi w:val="0"/>
        <w:spacing w:after="0" w:line="360" w:lineRule="auto"/>
        <w:rPr>
          <w:rFonts w:hint="eastAsia" w:ascii="宋体" w:hAnsi="宋体" w:cs="宋体"/>
          <w:color w:val="auto"/>
          <w:highlight w:val="none"/>
        </w:rPr>
      </w:pPr>
    </w:p>
    <w:p w14:paraId="70C68A85">
      <w:pPr>
        <w:pStyle w:val="10"/>
        <w:pageBreakBefore w:val="0"/>
        <w:shd w:val="clear"/>
        <w:topLinePunct w:val="0"/>
        <w:bidi w:val="0"/>
        <w:spacing w:before="0" w:after="0" w:line="360" w:lineRule="auto"/>
        <w:rPr>
          <w:rFonts w:hint="eastAsia"/>
          <w:color w:val="auto"/>
          <w:highlight w:val="none"/>
        </w:rPr>
      </w:pPr>
    </w:p>
    <w:p w14:paraId="1D26549E">
      <w:pPr>
        <w:pStyle w:val="29"/>
        <w:pageBreakBefore w:val="0"/>
        <w:shd w:val="clear"/>
        <w:topLinePunct w:val="0"/>
        <w:bidi w:val="0"/>
        <w:spacing w:before="0" w:after="0" w:line="360" w:lineRule="auto"/>
        <w:ind w:firstLine="240"/>
        <w:rPr>
          <w:rFonts w:hint="eastAsia"/>
          <w:color w:val="auto"/>
          <w:highlight w:val="none"/>
        </w:rPr>
      </w:pPr>
    </w:p>
    <w:p w14:paraId="21FF9CE4">
      <w:pPr>
        <w:pageBreakBefore w:val="0"/>
        <w:shd w:val="clear"/>
        <w:topLinePunct w:val="0"/>
        <w:bidi w:val="0"/>
        <w:spacing w:after="0" w:line="360" w:lineRule="auto"/>
        <w:rPr>
          <w:rFonts w:hint="eastAsia" w:ascii="宋体" w:hAnsi="宋体" w:cs="宋体"/>
          <w:b/>
          <w:bCs/>
          <w:color w:val="auto"/>
          <w:spacing w:val="-6"/>
          <w:sz w:val="32"/>
          <w:szCs w:val="32"/>
          <w:highlight w:val="none"/>
        </w:rPr>
      </w:pPr>
      <w:r>
        <w:rPr>
          <w:rFonts w:hint="eastAsia" w:ascii="宋体" w:hAnsi="宋体" w:cs="宋体"/>
          <w:b/>
          <w:bCs/>
          <w:color w:val="auto"/>
          <w:spacing w:val="53"/>
          <w:kern w:val="0"/>
          <w:sz w:val="32"/>
          <w:szCs w:val="32"/>
          <w:highlight w:val="none"/>
          <w:fitText w:val="1600" w:id="7"/>
        </w:rPr>
        <w:t>项目名</w:t>
      </w:r>
      <w:r>
        <w:rPr>
          <w:rFonts w:hint="eastAsia" w:ascii="宋体" w:hAnsi="宋体" w:cs="宋体"/>
          <w:b/>
          <w:bCs/>
          <w:color w:val="auto"/>
          <w:spacing w:val="1"/>
          <w:kern w:val="0"/>
          <w:sz w:val="32"/>
          <w:szCs w:val="32"/>
          <w:highlight w:val="none"/>
          <w:fitText w:val="1600" w:id="7"/>
        </w:rPr>
        <w:t>称</w:t>
      </w:r>
      <w:r>
        <w:rPr>
          <w:rFonts w:hint="eastAsia" w:ascii="宋体" w:hAnsi="宋体" w:cs="宋体"/>
          <w:b/>
          <w:bCs/>
          <w:color w:val="auto"/>
          <w:spacing w:val="-6"/>
          <w:sz w:val="32"/>
          <w:szCs w:val="32"/>
          <w:highlight w:val="none"/>
        </w:rPr>
        <w:t>：</w:t>
      </w:r>
    </w:p>
    <w:p w14:paraId="15DDB846">
      <w:pPr>
        <w:pageBreakBefore w:val="0"/>
        <w:shd w:val="clear"/>
        <w:topLinePunct w:val="0"/>
        <w:bidi w:val="0"/>
        <w:spacing w:after="0" w:line="360" w:lineRule="auto"/>
        <w:rPr>
          <w:rFonts w:hint="eastAsia" w:ascii="宋体" w:hAnsi="宋体" w:cs="宋体"/>
          <w:b/>
          <w:bCs/>
          <w:color w:val="auto"/>
          <w:sz w:val="32"/>
          <w:szCs w:val="32"/>
          <w:highlight w:val="none"/>
        </w:rPr>
      </w:pPr>
      <w:r>
        <w:rPr>
          <w:rFonts w:hint="eastAsia" w:ascii="宋体" w:hAnsi="宋体" w:cs="宋体"/>
          <w:b/>
          <w:bCs/>
          <w:color w:val="auto"/>
          <w:spacing w:val="53"/>
          <w:kern w:val="0"/>
          <w:sz w:val="32"/>
          <w:szCs w:val="32"/>
          <w:highlight w:val="none"/>
          <w:fitText w:val="1600" w:id="8"/>
        </w:rPr>
        <w:t>项目编</w:t>
      </w:r>
      <w:r>
        <w:rPr>
          <w:rFonts w:hint="eastAsia" w:ascii="宋体" w:hAnsi="宋体" w:cs="宋体"/>
          <w:b/>
          <w:bCs/>
          <w:color w:val="auto"/>
          <w:spacing w:val="1"/>
          <w:kern w:val="0"/>
          <w:sz w:val="32"/>
          <w:szCs w:val="32"/>
          <w:highlight w:val="none"/>
          <w:fitText w:val="1600" w:id="8"/>
        </w:rPr>
        <w:t>号</w:t>
      </w:r>
      <w:r>
        <w:rPr>
          <w:rFonts w:hint="eastAsia" w:ascii="宋体" w:hAnsi="宋体" w:cs="宋体"/>
          <w:b/>
          <w:bCs/>
          <w:color w:val="auto"/>
          <w:sz w:val="32"/>
          <w:szCs w:val="32"/>
          <w:highlight w:val="none"/>
        </w:rPr>
        <w:t>：</w:t>
      </w:r>
    </w:p>
    <w:p w14:paraId="6570A0D5">
      <w:pPr>
        <w:pStyle w:val="10"/>
        <w:pageBreakBefore w:val="0"/>
        <w:shd w:val="clear"/>
        <w:topLinePunct w:val="0"/>
        <w:bidi w:val="0"/>
        <w:spacing w:before="0" w:after="0" w:line="360" w:lineRule="auto"/>
        <w:ind w:left="0"/>
        <w:rPr>
          <w:rFonts w:hint="eastAsia"/>
          <w:b/>
          <w:color w:val="auto"/>
          <w:spacing w:val="1280"/>
          <w:sz w:val="32"/>
          <w:szCs w:val="32"/>
          <w:highlight w:val="none"/>
        </w:rPr>
      </w:pPr>
      <w:r>
        <w:rPr>
          <w:rFonts w:hint="eastAsia"/>
          <w:b/>
          <w:color w:val="auto"/>
          <w:spacing w:val="106"/>
          <w:sz w:val="32"/>
          <w:szCs w:val="32"/>
          <w:highlight w:val="none"/>
          <w:lang w:val="en-US" w:bidi="ar-SA"/>
        </w:rPr>
        <w:t>包组号（如有）：</w:t>
      </w:r>
    </w:p>
    <w:p w14:paraId="00E3B03E">
      <w:pPr>
        <w:pageBreakBefore w:val="0"/>
        <w:shd w:val="clear"/>
        <w:topLinePunct w:val="0"/>
        <w:bidi w:val="0"/>
        <w:spacing w:after="0" w:line="360" w:lineRule="auto"/>
        <w:rPr>
          <w:rFonts w:hint="eastAsia" w:ascii="宋体" w:hAnsi="宋体" w:cs="宋体"/>
          <w:b/>
          <w:color w:val="auto"/>
          <w:sz w:val="32"/>
          <w:szCs w:val="32"/>
          <w:highlight w:val="none"/>
        </w:rPr>
      </w:pPr>
      <w:r>
        <w:rPr>
          <w:rFonts w:hint="eastAsia" w:ascii="宋体" w:hAnsi="宋体" w:cs="宋体"/>
          <w:b/>
          <w:color w:val="auto"/>
          <w:spacing w:val="0"/>
          <w:w w:val="100"/>
          <w:kern w:val="0"/>
          <w:sz w:val="32"/>
          <w:szCs w:val="32"/>
          <w:highlight w:val="none"/>
          <w:fitText w:val="1600" w:id="9"/>
        </w:rPr>
        <w:t>投标人名称</w:t>
      </w:r>
      <w:r>
        <w:rPr>
          <w:rFonts w:hint="eastAsia" w:ascii="宋体" w:hAnsi="宋体" w:cs="宋体"/>
          <w:b/>
          <w:color w:val="auto"/>
          <w:sz w:val="32"/>
          <w:szCs w:val="32"/>
          <w:highlight w:val="none"/>
        </w:rPr>
        <w:t>：</w:t>
      </w:r>
    </w:p>
    <w:p w14:paraId="5829146B">
      <w:pPr>
        <w:pageBreakBefore w:val="0"/>
        <w:shd w:val="clear"/>
        <w:topLinePunct w:val="0"/>
        <w:bidi w:val="0"/>
        <w:spacing w:after="0" w:line="360" w:lineRule="auto"/>
        <w:rPr>
          <w:rFonts w:hint="eastAsia" w:ascii="宋体" w:hAnsi="宋体" w:cs="宋体"/>
          <w:b/>
          <w:color w:val="auto"/>
          <w:sz w:val="32"/>
          <w:szCs w:val="32"/>
          <w:highlight w:val="none"/>
        </w:rPr>
      </w:pPr>
      <w:r>
        <w:rPr>
          <w:rFonts w:hint="eastAsia" w:ascii="宋体" w:hAnsi="宋体" w:cs="宋体"/>
          <w:b/>
          <w:color w:val="auto"/>
          <w:spacing w:val="32"/>
          <w:kern w:val="0"/>
          <w:sz w:val="32"/>
          <w:szCs w:val="32"/>
          <w:highlight w:val="none"/>
          <w:fitText w:val="1600" w:id="10"/>
        </w:rPr>
        <w:t xml:space="preserve">日    </w:t>
      </w:r>
      <w:r>
        <w:rPr>
          <w:rFonts w:hint="eastAsia" w:ascii="宋体" w:hAnsi="宋体" w:cs="宋体"/>
          <w:b/>
          <w:color w:val="auto"/>
          <w:spacing w:val="0"/>
          <w:kern w:val="0"/>
          <w:sz w:val="32"/>
          <w:szCs w:val="32"/>
          <w:highlight w:val="none"/>
          <w:fitText w:val="1600" w:id="10"/>
        </w:rPr>
        <w:t>期</w:t>
      </w:r>
      <w:r>
        <w:rPr>
          <w:rFonts w:hint="eastAsia" w:ascii="宋体" w:hAnsi="宋体" w:cs="宋体"/>
          <w:b/>
          <w:color w:val="auto"/>
          <w:sz w:val="32"/>
          <w:szCs w:val="32"/>
          <w:highlight w:val="none"/>
        </w:rPr>
        <w:t>：</w:t>
      </w:r>
    </w:p>
    <w:p w14:paraId="4EE0B538">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br w:type="page"/>
      </w:r>
    </w:p>
    <w:p w14:paraId="72B575EE">
      <w:pPr>
        <w:pStyle w:val="6"/>
        <w:pageBreakBefore w:val="0"/>
        <w:widowControl w:val="0"/>
        <w:shd w:val="clear"/>
        <w:overflowPunct w:val="0"/>
        <w:topLinePunct w:val="0"/>
        <w:bidi w:val="0"/>
        <w:spacing w:after="0" w:line="360" w:lineRule="auto"/>
        <w:rPr>
          <w:rFonts w:hint="eastAsia" w:ascii="宋体" w:hAnsi="宋体" w:cs="宋体"/>
          <w:color w:val="auto"/>
          <w:sz w:val="21"/>
          <w:szCs w:val="21"/>
          <w:highlight w:val="none"/>
        </w:rPr>
      </w:pPr>
      <w:bookmarkStart w:id="262" w:name="_Toc12339"/>
      <w:bookmarkStart w:id="263" w:name="_Toc6532"/>
      <w:r>
        <w:rPr>
          <w:rFonts w:hint="eastAsia" w:ascii="宋体" w:hAnsi="宋体" w:cs="宋体"/>
          <w:color w:val="auto"/>
          <w:sz w:val="21"/>
          <w:szCs w:val="21"/>
          <w:highlight w:val="none"/>
        </w:rPr>
        <w:t>附件1</w:t>
      </w:r>
      <w:r>
        <w:rPr>
          <w:rFonts w:hint="eastAsia" w:ascii="宋体" w:hAnsi="宋体" w:cs="宋体"/>
          <w:color w:val="auto"/>
          <w:sz w:val="21"/>
          <w:szCs w:val="21"/>
          <w:highlight w:val="none"/>
          <w:lang w:val="en-US" w:eastAsia="zh-CN"/>
        </w:rPr>
        <w:t>5</w:t>
      </w:r>
      <w:r>
        <w:rPr>
          <w:rFonts w:hint="eastAsia" w:ascii="宋体" w:hAnsi="宋体" w:cs="宋体"/>
          <w:color w:val="auto"/>
          <w:sz w:val="21"/>
          <w:szCs w:val="21"/>
          <w:highlight w:val="none"/>
        </w:rPr>
        <w:t>.技术规格偏离表格式</w:t>
      </w:r>
      <w:bookmarkEnd w:id="262"/>
      <w:bookmarkEnd w:id="263"/>
    </w:p>
    <w:p w14:paraId="542816B3">
      <w:pPr>
        <w:pageBreakBefore w:val="0"/>
        <w:shd w:val="clear"/>
        <w:topLinePunct w:val="0"/>
        <w:bidi w:val="0"/>
        <w:spacing w:after="0" w:line="360" w:lineRule="auto"/>
        <w:jc w:val="center"/>
        <w:rPr>
          <w:rFonts w:hint="eastAsia" w:ascii="宋体" w:hAnsi="宋体" w:cs="宋体"/>
          <w:color w:val="auto"/>
          <w:sz w:val="28"/>
          <w:szCs w:val="28"/>
          <w:highlight w:val="none"/>
        </w:rPr>
      </w:pPr>
    </w:p>
    <w:p w14:paraId="325C833F">
      <w:pPr>
        <w:pageBreakBefore w:val="0"/>
        <w:shd w:val="clear"/>
        <w:topLinePunct w:val="0"/>
        <w:bidi w:val="0"/>
        <w:spacing w:after="0" w:line="360" w:lineRule="auto"/>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技术规格偏离表</w:t>
      </w:r>
    </w:p>
    <w:tbl>
      <w:tblPr>
        <w:tblStyle w:val="3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8"/>
        <w:gridCol w:w="1902"/>
        <w:gridCol w:w="1370"/>
        <w:gridCol w:w="1629"/>
        <w:gridCol w:w="1239"/>
        <w:gridCol w:w="1544"/>
      </w:tblGrid>
      <w:tr w14:paraId="16F7F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838" w:type="dxa"/>
            <w:vAlign w:val="center"/>
          </w:tcPr>
          <w:p w14:paraId="2D8F04EC">
            <w:pPr>
              <w:pageBreakBefore w:val="0"/>
              <w:shd w:val="clear"/>
              <w:topLinePunct w:val="0"/>
              <w:bidi w:val="0"/>
              <w:spacing w:after="0"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1902" w:type="dxa"/>
            <w:vAlign w:val="center"/>
          </w:tcPr>
          <w:p w14:paraId="4C865756">
            <w:pPr>
              <w:pageBreakBefore w:val="0"/>
              <w:shd w:val="clear"/>
              <w:topLinePunct w:val="0"/>
              <w:bidi w:val="0"/>
              <w:spacing w:after="0"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服务项目名称</w:t>
            </w:r>
          </w:p>
        </w:tc>
        <w:tc>
          <w:tcPr>
            <w:tcW w:w="1370" w:type="dxa"/>
            <w:vAlign w:val="center"/>
          </w:tcPr>
          <w:p w14:paraId="44896E07">
            <w:pPr>
              <w:pageBreakBefore w:val="0"/>
              <w:shd w:val="clear"/>
              <w:topLinePunct w:val="0"/>
              <w:bidi w:val="0"/>
              <w:spacing w:after="0"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采购要求</w:t>
            </w:r>
          </w:p>
        </w:tc>
        <w:tc>
          <w:tcPr>
            <w:tcW w:w="1629" w:type="dxa"/>
            <w:vAlign w:val="center"/>
          </w:tcPr>
          <w:p w14:paraId="79B89A11">
            <w:pPr>
              <w:pageBreakBefore w:val="0"/>
              <w:shd w:val="clear"/>
              <w:topLinePunct w:val="0"/>
              <w:bidi w:val="0"/>
              <w:spacing w:after="0"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投标实际响应</w:t>
            </w:r>
          </w:p>
        </w:tc>
        <w:tc>
          <w:tcPr>
            <w:tcW w:w="1239" w:type="dxa"/>
            <w:vAlign w:val="center"/>
          </w:tcPr>
          <w:p w14:paraId="5497B60D">
            <w:pPr>
              <w:pageBreakBefore w:val="0"/>
              <w:shd w:val="clear"/>
              <w:topLinePunct w:val="0"/>
              <w:bidi w:val="0"/>
              <w:spacing w:after="0"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是否偏离</w:t>
            </w:r>
          </w:p>
        </w:tc>
        <w:tc>
          <w:tcPr>
            <w:tcW w:w="1544" w:type="dxa"/>
            <w:vAlign w:val="center"/>
          </w:tcPr>
          <w:p w14:paraId="7BD81F91">
            <w:pPr>
              <w:pageBreakBefore w:val="0"/>
              <w:shd w:val="clear"/>
              <w:topLinePunct w:val="0"/>
              <w:bidi w:val="0"/>
              <w:spacing w:after="0"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说明</w:t>
            </w:r>
          </w:p>
        </w:tc>
      </w:tr>
      <w:tr w14:paraId="22260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vAlign w:val="center"/>
          </w:tcPr>
          <w:p w14:paraId="01B2009F">
            <w:pPr>
              <w:pageBreakBefore w:val="0"/>
              <w:shd w:val="clear"/>
              <w:topLinePunct w:val="0"/>
              <w:bidi w:val="0"/>
              <w:spacing w:after="0" w:line="360" w:lineRule="auto"/>
              <w:jc w:val="center"/>
              <w:rPr>
                <w:rFonts w:hint="eastAsia" w:ascii="宋体" w:hAnsi="宋体" w:cs="宋体"/>
                <w:color w:val="auto"/>
                <w:szCs w:val="21"/>
                <w:highlight w:val="none"/>
              </w:rPr>
            </w:pPr>
          </w:p>
        </w:tc>
        <w:tc>
          <w:tcPr>
            <w:tcW w:w="1902" w:type="dxa"/>
            <w:vAlign w:val="center"/>
          </w:tcPr>
          <w:p w14:paraId="02394826">
            <w:pPr>
              <w:pageBreakBefore w:val="0"/>
              <w:shd w:val="clear"/>
              <w:topLinePunct w:val="0"/>
              <w:bidi w:val="0"/>
              <w:spacing w:after="0" w:line="360" w:lineRule="auto"/>
              <w:jc w:val="center"/>
              <w:rPr>
                <w:rFonts w:hint="eastAsia" w:ascii="宋体" w:hAnsi="宋体" w:cs="宋体"/>
                <w:color w:val="auto"/>
                <w:szCs w:val="21"/>
                <w:highlight w:val="none"/>
              </w:rPr>
            </w:pPr>
          </w:p>
        </w:tc>
        <w:tc>
          <w:tcPr>
            <w:tcW w:w="1370" w:type="dxa"/>
            <w:vAlign w:val="center"/>
          </w:tcPr>
          <w:p w14:paraId="502F7FDB">
            <w:pPr>
              <w:pageBreakBefore w:val="0"/>
              <w:shd w:val="clear"/>
              <w:topLinePunct w:val="0"/>
              <w:bidi w:val="0"/>
              <w:spacing w:after="0" w:line="360" w:lineRule="auto"/>
              <w:jc w:val="center"/>
              <w:rPr>
                <w:rFonts w:hint="eastAsia" w:ascii="宋体" w:hAnsi="宋体" w:cs="宋体"/>
                <w:color w:val="auto"/>
                <w:szCs w:val="21"/>
                <w:highlight w:val="none"/>
              </w:rPr>
            </w:pPr>
          </w:p>
        </w:tc>
        <w:tc>
          <w:tcPr>
            <w:tcW w:w="1629" w:type="dxa"/>
            <w:vAlign w:val="center"/>
          </w:tcPr>
          <w:p w14:paraId="4A6DE736">
            <w:pPr>
              <w:pageBreakBefore w:val="0"/>
              <w:shd w:val="clear"/>
              <w:topLinePunct w:val="0"/>
              <w:bidi w:val="0"/>
              <w:spacing w:after="0" w:line="360" w:lineRule="auto"/>
              <w:jc w:val="center"/>
              <w:rPr>
                <w:rFonts w:hint="eastAsia" w:ascii="宋体" w:hAnsi="宋体" w:cs="宋体"/>
                <w:color w:val="auto"/>
                <w:szCs w:val="21"/>
                <w:highlight w:val="none"/>
              </w:rPr>
            </w:pPr>
          </w:p>
        </w:tc>
        <w:tc>
          <w:tcPr>
            <w:tcW w:w="1239" w:type="dxa"/>
            <w:vAlign w:val="center"/>
          </w:tcPr>
          <w:p w14:paraId="797E5399">
            <w:pPr>
              <w:pageBreakBefore w:val="0"/>
              <w:shd w:val="clear"/>
              <w:topLinePunct w:val="0"/>
              <w:bidi w:val="0"/>
              <w:spacing w:after="0" w:line="360" w:lineRule="auto"/>
              <w:jc w:val="center"/>
              <w:rPr>
                <w:rFonts w:hint="eastAsia" w:ascii="宋体" w:hAnsi="宋体" w:cs="宋体"/>
                <w:color w:val="auto"/>
                <w:szCs w:val="21"/>
                <w:highlight w:val="none"/>
              </w:rPr>
            </w:pPr>
          </w:p>
        </w:tc>
        <w:tc>
          <w:tcPr>
            <w:tcW w:w="1544" w:type="dxa"/>
            <w:vAlign w:val="center"/>
          </w:tcPr>
          <w:p w14:paraId="1840782D">
            <w:pPr>
              <w:pageBreakBefore w:val="0"/>
              <w:shd w:val="clear"/>
              <w:topLinePunct w:val="0"/>
              <w:bidi w:val="0"/>
              <w:spacing w:after="0" w:line="360" w:lineRule="auto"/>
              <w:jc w:val="center"/>
              <w:rPr>
                <w:rFonts w:hint="eastAsia" w:ascii="宋体" w:hAnsi="宋体" w:cs="宋体"/>
                <w:color w:val="auto"/>
                <w:szCs w:val="21"/>
                <w:highlight w:val="none"/>
              </w:rPr>
            </w:pPr>
          </w:p>
        </w:tc>
      </w:tr>
      <w:tr w14:paraId="34967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vAlign w:val="center"/>
          </w:tcPr>
          <w:p w14:paraId="789A544E">
            <w:pPr>
              <w:pageBreakBefore w:val="0"/>
              <w:shd w:val="clear"/>
              <w:topLinePunct w:val="0"/>
              <w:bidi w:val="0"/>
              <w:spacing w:after="0" w:line="360" w:lineRule="auto"/>
              <w:jc w:val="center"/>
              <w:rPr>
                <w:rFonts w:hint="eastAsia" w:ascii="宋体" w:hAnsi="宋体" w:cs="宋体"/>
                <w:color w:val="auto"/>
                <w:szCs w:val="21"/>
                <w:highlight w:val="none"/>
              </w:rPr>
            </w:pPr>
          </w:p>
        </w:tc>
        <w:tc>
          <w:tcPr>
            <w:tcW w:w="1902" w:type="dxa"/>
            <w:vAlign w:val="center"/>
          </w:tcPr>
          <w:p w14:paraId="6F28EB55">
            <w:pPr>
              <w:pageBreakBefore w:val="0"/>
              <w:shd w:val="clear"/>
              <w:topLinePunct w:val="0"/>
              <w:bidi w:val="0"/>
              <w:spacing w:after="0" w:line="360" w:lineRule="auto"/>
              <w:jc w:val="center"/>
              <w:rPr>
                <w:rFonts w:hint="eastAsia" w:ascii="宋体" w:hAnsi="宋体" w:cs="宋体"/>
                <w:color w:val="auto"/>
                <w:szCs w:val="21"/>
                <w:highlight w:val="none"/>
              </w:rPr>
            </w:pPr>
          </w:p>
        </w:tc>
        <w:tc>
          <w:tcPr>
            <w:tcW w:w="1370" w:type="dxa"/>
            <w:vAlign w:val="center"/>
          </w:tcPr>
          <w:p w14:paraId="51885D9A">
            <w:pPr>
              <w:pageBreakBefore w:val="0"/>
              <w:shd w:val="clear"/>
              <w:topLinePunct w:val="0"/>
              <w:bidi w:val="0"/>
              <w:spacing w:after="0" w:line="360" w:lineRule="auto"/>
              <w:jc w:val="center"/>
              <w:rPr>
                <w:rFonts w:hint="eastAsia" w:ascii="宋体" w:hAnsi="宋体" w:cs="宋体"/>
                <w:color w:val="auto"/>
                <w:szCs w:val="21"/>
                <w:highlight w:val="none"/>
              </w:rPr>
            </w:pPr>
          </w:p>
        </w:tc>
        <w:tc>
          <w:tcPr>
            <w:tcW w:w="1629" w:type="dxa"/>
            <w:vAlign w:val="center"/>
          </w:tcPr>
          <w:p w14:paraId="291D52C7">
            <w:pPr>
              <w:pageBreakBefore w:val="0"/>
              <w:shd w:val="clear"/>
              <w:topLinePunct w:val="0"/>
              <w:bidi w:val="0"/>
              <w:spacing w:after="0" w:line="360" w:lineRule="auto"/>
              <w:jc w:val="center"/>
              <w:rPr>
                <w:rFonts w:hint="eastAsia" w:ascii="宋体" w:hAnsi="宋体" w:cs="宋体"/>
                <w:color w:val="auto"/>
                <w:szCs w:val="21"/>
                <w:highlight w:val="none"/>
              </w:rPr>
            </w:pPr>
          </w:p>
        </w:tc>
        <w:tc>
          <w:tcPr>
            <w:tcW w:w="1239" w:type="dxa"/>
            <w:vAlign w:val="center"/>
          </w:tcPr>
          <w:p w14:paraId="43EA8FE9">
            <w:pPr>
              <w:pageBreakBefore w:val="0"/>
              <w:shd w:val="clear"/>
              <w:topLinePunct w:val="0"/>
              <w:bidi w:val="0"/>
              <w:spacing w:after="0" w:line="360" w:lineRule="auto"/>
              <w:jc w:val="center"/>
              <w:rPr>
                <w:rFonts w:hint="eastAsia" w:ascii="宋体" w:hAnsi="宋体" w:cs="宋体"/>
                <w:color w:val="auto"/>
                <w:szCs w:val="21"/>
                <w:highlight w:val="none"/>
              </w:rPr>
            </w:pPr>
          </w:p>
        </w:tc>
        <w:tc>
          <w:tcPr>
            <w:tcW w:w="1544" w:type="dxa"/>
            <w:vAlign w:val="center"/>
          </w:tcPr>
          <w:p w14:paraId="4E6C8EDC">
            <w:pPr>
              <w:pageBreakBefore w:val="0"/>
              <w:shd w:val="clear"/>
              <w:topLinePunct w:val="0"/>
              <w:bidi w:val="0"/>
              <w:spacing w:after="0" w:line="360" w:lineRule="auto"/>
              <w:jc w:val="center"/>
              <w:rPr>
                <w:rFonts w:hint="eastAsia" w:ascii="宋体" w:hAnsi="宋体" w:cs="宋体"/>
                <w:color w:val="auto"/>
                <w:szCs w:val="21"/>
                <w:highlight w:val="none"/>
              </w:rPr>
            </w:pPr>
          </w:p>
        </w:tc>
      </w:tr>
      <w:tr w14:paraId="7D42C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vAlign w:val="center"/>
          </w:tcPr>
          <w:p w14:paraId="715EEAB5">
            <w:pPr>
              <w:pageBreakBefore w:val="0"/>
              <w:shd w:val="clear"/>
              <w:topLinePunct w:val="0"/>
              <w:bidi w:val="0"/>
              <w:spacing w:after="0" w:line="360" w:lineRule="auto"/>
              <w:jc w:val="center"/>
              <w:rPr>
                <w:rFonts w:hint="eastAsia" w:ascii="宋体" w:hAnsi="宋体" w:cs="宋体"/>
                <w:color w:val="auto"/>
                <w:szCs w:val="21"/>
                <w:highlight w:val="none"/>
              </w:rPr>
            </w:pPr>
          </w:p>
        </w:tc>
        <w:tc>
          <w:tcPr>
            <w:tcW w:w="1902" w:type="dxa"/>
            <w:vAlign w:val="center"/>
          </w:tcPr>
          <w:p w14:paraId="6D6E81D8">
            <w:pPr>
              <w:pageBreakBefore w:val="0"/>
              <w:shd w:val="clear"/>
              <w:topLinePunct w:val="0"/>
              <w:bidi w:val="0"/>
              <w:spacing w:after="0" w:line="360" w:lineRule="auto"/>
              <w:jc w:val="center"/>
              <w:rPr>
                <w:rFonts w:hint="eastAsia" w:ascii="宋体" w:hAnsi="宋体" w:cs="宋体"/>
                <w:color w:val="auto"/>
                <w:szCs w:val="21"/>
                <w:highlight w:val="none"/>
              </w:rPr>
            </w:pPr>
          </w:p>
        </w:tc>
        <w:tc>
          <w:tcPr>
            <w:tcW w:w="1370" w:type="dxa"/>
            <w:vAlign w:val="center"/>
          </w:tcPr>
          <w:p w14:paraId="793E0797">
            <w:pPr>
              <w:pageBreakBefore w:val="0"/>
              <w:shd w:val="clear"/>
              <w:topLinePunct w:val="0"/>
              <w:bidi w:val="0"/>
              <w:spacing w:after="0" w:line="360" w:lineRule="auto"/>
              <w:jc w:val="center"/>
              <w:rPr>
                <w:rFonts w:hint="eastAsia" w:ascii="宋体" w:hAnsi="宋体" w:cs="宋体"/>
                <w:color w:val="auto"/>
                <w:szCs w:val="21"/>
                <w:highlight w:val="none"/>
              </w:rPr>
            </w:pPr>
          </w:p>
        </w:tc>
        <w:tc>
          <w:tcPr>
            <w:tcW w:w="1629" w:type="dxa"/>
            <w:vAlign w:val="center"/>
          </w:tcPr>
          <w:p w14:paraId="4579DCF4">
            <w:pPr>
              <w:pageBreakBefore w:val="0"/>
              <w:shd w:val="clear"/>
              <w:topLinePunct w:val="0"/>
              <w:bidi w:val="0"/>
              <w:spacing w:after="0" w:line="360" w:lineRule="auto"/>
              <w:jc w:val="center"/>
              <w:rPr>
                <w:rFonts w:hint="eastAsia" w:ascii="宋体" w:hAnsi="宋体" w:cs="宋体"/>
                <w:color w:val="auto"/>
                <w:szCs w:val="21"/>
                <w:highlight w:val="none"/>
              </w:rPr>
            </w:pPr>
          </w:p>
        </w:tc>
        <w:tc>
          <w:tcPr>
            <w:tcW w:w="1239" w:type="dxa"/>
            <w:vAlign w:val="center"/>
          </w:tcPr>
          <w:p w14:paraId="6FAB5383">
            <w:pPr>
              <w:pageBreakBefore w:val="0"/>
              <w:shd w:val="clear"/>
              <w:topLinePunct w:val="0"/>
              <w:bidi w:val="0"/>
              <w:spacing w:after="0" w:line="360" w:lineRule="auto"/>
              <w:jc w:val="center"/>
              <w:rPr>
                <w:rFonts w:hint="eastAsia" w:ascii="宋体" w:hAnsi="宋体" w:cs="宋体"/>
                <w:color w:val="auto"/>
                <w:szCs w:val="21"/>
                <w:highlight w:val="none"/>
              </w:rPr>
            </w:pPr>
          </w:p>
        </w:tc>
        <w:tc>
          <w:tcPr>
            <w:tcW w:w="1544" w:type="dxa"/>
            <w:vAlign w:val="center"/>
          </w:tcPr>
          <w:p w14:paraId="507A4564">
            <w:pPr>
              <w:pageBreakBefore w:val="0"/>
              <w:shd w:val="clear"/>
              <w:topLinePunct w:val="0"/>
              <w:bidi w:val="0"/>
              <w:spacing w:after="0" w:line="360" w:lineRule="auto"/>
              <w:jc w:val="center"/>
              <w:rPr>
                <w:rFonts w:hint="eastAsia" w:ascii="宋体" w:hAnsi="宋体" w:cs="宋体"/>
                <w:color w:val="auto"/>
                <w:szCs w:val="21"/>
                <w:highlight w:val="none"/>
              </w:rPr>
            </w:pPr>
          </w:p>
        </w:tc>
      </w:tr>
      <w:tr w14:paraId="48491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vAlign w:val="center"/>
          </w:tcPr>
          <w:p w14:paraId="4E7753C2">
            <w:pPr>
              <w:pageBreakBefore w:val="0"/>
              <w:shd w:val="clear"/>
              <w:topLinePunct w:val="0"/>
              <w:bidi w:val="0"/>
              <w:spacing w:after="0" w:line="360" w:lineRule="auto"/>
              <w:jc w:val="center"/>
              <w:rPr>
                <w:rFonts w:hint="eastAsia" w:ascii="宋体" w:hAnsi="宋体" w:cs="宋体"/>
                <w:color w:val="auto"/>
                <w:szCs w:val="21"/>
                <w:highlight w:val="none"/>
              </w:rPr>
            </w:pPr>
          </w:p>
        </w:tc>
        <w:tc>
          <w:tcPr>
            <w:tcW w:w="1902" w:type="dxa"/>
            <w:vAlign w:val="center"/>
          </w:tcPr>
          <w:p w14:paraId="1F63941E">
            <w:pPr>
              <w:pageBreakBefore w:val="0"/>
              <w:shd w:val="clear"/>
              <w:topLinePunct w:val="0"/>
              <w:bidi w:val="0"/>
              <w:spacing w:after="0" w:line="360" w:lineRule="auto"/>
              <w:jc w:val="center"/>
              <w:rPr>
                <w:rFonts w:hint="eastAsia" w:ascii="宋体" w:hAnsi="宋体" w:cs="宋体"/>
                <w:color w:val="auto"/>
                <w:szCs w:val="21"/>
                <w:highlight w:val="none"/>
              </w:rPr>
            </w:pPr>
          </w:p>
        </w:tc>
        <w:tc>
          <w:tcPr>
            <w:tcW w:w="1370" w:type="dxa"/>
            <w:vAlign w:val="center"/>
          </w:tcPr>
          <w:p w14:paraId="5D36D8B7">
            <w:pPr>
              <w:pageBreakBefore w:val="0"/>
              <w:shd w:val="clear"/>
              <w:topLinePunct w:val="0"/>
              <w:bidi w:val="0"/>
              <w:spacing w:after="0" w:line="360" w:lineRule="auto"/>
              <w:jc w:val="center"/>
              <w:rPr>
                <w:rFonts w:hint="eastAsia" w:ascii="宋体" w:hAnsi="宋体" w:cs="宋体"/>
                <w:color w:val="auto"/>
                <w:szCs w:val="21"/>
                <w:highlight w:val="none"/>
              </w:rPr>
            </w:pPr>
          </w:p>
        </w:tc>
        <w:tc>
          <w:tcPr>
            <w:tcW w:w="1629" w:type="dxa"/>
            <w:vAlign w:val="center"/>
          </w:tcPr>
          <w:p w14:paraId="7520F4BF">
            <w:pPr>
              <w:pageBreakBefore w:val="0"/>
              <w:shd w:val="clear"/>
              <w:topLinePunct w:val="0"/>
              <w:bidi w:val="0"/>
              <w:spacing w:after="0" w:line="360" w:lineRule="auto"/>
              <w:jc w:val="center"/>
              <w:rPr>
                <w:rFonts w:hint="eastAsia" w:ascii="宋体" w:hAnsi="宋体" w:cs="宋体"/>
                <w:color w:val="auto"/>
                <w:szCs w:val="21"/>
                <w:highlight w:val="none"/>
              </w:rPr>
            </w:pPr>
          </w:p>
        </w:tc>
        <w:tc>
          <w:tcPr>
            <w:tcW w:w="1239" w:type="dxa"/>
            <w:vAlign w:val="center"/>
          </w:tcPr>
          <w:p w14:paraId="2B748B68">
            <w:pPr>
              <w:pageBreakBefore w:val="0"/>
              <w:shd w:val="clear"/>
              <w:topLinePunct w:val="0"/>
              <w:bidi w:val="0"/>
              <w:spacing w:after="0" w:line="360" w:lineRule="auto"/>
              <w:jc w:val="center"/>
              <w:rPr>
                <w:rFonts w:hint="eastAsia" w:ascii="宋体" w:hAnsi="宋体" w:cs="宋体"/>
                <w:color w:val="auto"/>
                <w:szCs w:val="21"/>
                <w:highlight w:val="none"/>
              </w:rPr>
            </w:pPr>
          </w:p>
        </w:tc>
        <w:tc>
          <w:tcPr>
            <w:tcW w:w="1544" w:type="dxa"/>
            <w:vAlign w:val="center"/>
          </w:tcPr>
          <w:p w14:paraId="10F92654">
            <w:pPr>
              <w:pageBreakBefore w:val="0"/>
              <w:shd w:val="clear"/>
              <w:topLinePunct w:val="0"/>
              <w:bidi w:val="0"/>
              <w:spacing w:after="0" w:line="360" w:lineRule="auto"/>
              <w:jc w:val="center"/>
              <w:rPr>
                <w:rFonts w:hint="eastAsia" w:ascii="宋体" w:hAnsi="宋体" w:cs="宋体"/>
                <w:color w:val="auto"/>
                <w:szCs w:val="21"/>
                <w:highlight w:val="none"/>
              </w:rPr>
            </w:pPr>
          </w:p>
        </w:tc>
      </w:tr>
      <w:tr w14:paraId="6E14D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vAlign w:val="center"/>
          </w:tcPr>
          <w:p w14:paraId="610D7D8A">
            <w:pPr>
              <w:pageBreakBefore w:val="0"/>
              <w:shd w:val="clear"/>
              <w:topLinePunct w:val="0"/>
              <w:bidi w:val="0"/>
              <w:spacing w:after="0" w:line="360" w:lineRule="auto"/>
              <w:jc w:val="center"/>
              <w:rPr>
                <w:rFonts w:hint="eastAsia" w:ascii="宋体" w:hAnsi="宋体" w:cs="宋体"/>
                <w:color w:val="auto"/>
                <w:szCs w:val="21"/>
                <w:highlight w:val="none"/>
              </w:rPr>
            </w:pPr>
          </w:p>
        </w:tc>
        <w:tc>
          <w:tcPr>
            <w:tcW w:w="1902" w:type="dxa"/>
            <w:vAlign w:val="center"/>
          </w:tcPr>
          <w:p w14:paraId="0042631B">
            <w:pPr>
              <w:pageBreakBefore w:val="0"/>
              <w:shd w:val="clear"/>
              <w:topLinePunct w:val="0"/>
              <w:bidi w:val="0"/>
              <w:spacing w:after="0" w:line="360" w:lineRule="auto"/>
              <w:jc w:val="center"/>
              <w:rPr>
                <w:rFonts w:hint="eastAsia" w:ascii="宋体" w:hAnsi="宋体" w:cs="宋体"/>
                <w:color w:val="auto"/>
                <w:szCs w:val="21"/>
                <w:highlight w:val="none"/>
              </w:rPr>
            </w:pPr>
          </w:p>
        </w:tc>
        <w:tc>
          <w:tcPr>
            <w:tcW w:w="1370" w:type="dxa"/>
            <w:vAlign w:val="center"/>
          </w:tcPr>
          <w:p w14:paraId="1A547F7D">
            <w:pPr>
              <w:pageBreakBefore w:val="0"/>
              <w:shd w:val="clear"/>
              <w:topLinePunct w:val="0"/>
              <w:bidi w:val="0"/>
              <w:spacing w:after="0" w:line="360" w:lineRule="auto"/>
              <w:jc w:val="center"/>
              <w:rPr>
                <w:rFonts w:hint="eastAsia" w:ascii="宋体" w:hAnsi="宋体" w:cs="宋体"/>
                <w:color w:val="auto"/>
                <w:szCs w:val="21"/>
                <w:highlight w:val="none"/>
              </w:rPr>
            </w:pPr>
          </w:p>
        </w:tc>
        <w:tc>
          <w:tcPr>
            <w:tcW w:w="1629" w:type="dxa"/>
            <w:vAlign w:val="center"/>
          </w:tcPr>
          <w:p w14:paraId="0E4684D8">
            <w:pPr>
              <w:pageBreakBefore w:val="0"/>
              <w:shd w:val="clear"/>
              <w:topLinePunct w:val="0"/>
              <w:bidi w:val="0"/>
              <w:spacing w:after="0" w:line="360" w:lineRule="auto"/>
              <w:jc w:val="center"/>
              <w:rPr>
                <w:rFonts w:hint="eastAsia" w:ascii="宋体" w:hAnsi="宋体" w:cs="宋体"/>
                <w:color w:val="auto"/>
                <w:szCs w:val="21"/>
                <w:highlight w:val="none"/>
              </w:rPr>
            </w:pPr>
          </w:p>
        </w:tc>
        <w:tc>
          <w:tcPr>
            <w:tcW w:w="1239" w:type="dxa"/>
            <w:vAlign w:val="center"/>
          </w:tcPr>
          <w:p w14:paraId="602079F5">
            <w:pPr>
              <w:pageBreakBefore w:val="0"/>
              <w:shd w:val="clear"/>
              <w:topLinePunct w:val="0"/>
              <w:bidi w:val="0"/>
              <w:spacing w:after="0" w:line="360" w:lineRule="auto"/>
              <w:jc w:val="center"/>
              <w:rPr>
                <w:rFonts w:hint="eastAsia" w:ascii="宋体" w:hAnsi="宋体" w:cs="宋体"/>
                <w:color w:val="auto"/>
                <w:szCs w:val="21"/>
                <w:highlight w:val="none"/>
              </w:rPr>
            </w:pPr>
          </w:p>
        </w:tc>
        <w:tc>
          <w:tcPr>
            <w:tcW w:w="1544" w:type="dxa"/>
            <w:vAlign w:val="center"/>
          </w:tcPr>
          <w:p w14:paraId="716D7ADB">
            <w:pPr>
              <w:pageBreakBefore w:val="0"/>
              <w:shd w:val="clear"/>
              <w:topLinePunct w:val="0"/>
              <w:bidi w:val="0"/>
              <w:spacing w:after="0" w:line="360" w:lineRule="auto"/>
              <w:jc w:val="center"/>
              <w:rPr>
                <w:rFonts w:hint="eastAsia" w:ascii="宋体" w:hAnsi="宋体" w:cs="宋体"/>
                <w:color w:val="auto"/>
                <w:szCs w:val="21"/>
                <w:highlight w:val="none"/>
              </w:rPr>
            </w:pPr>
          </w:p>
        </w:tc>
      </w:tr>
      <w:tr w14:paraId="30B1D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vAlign w:val="center"/>
          </w:tcPr>
          <w:p w14:paraId="779F1A59">
            <w:pPr>
              <w:pageBreakBefore w:val="0"/>
              <w:shd w:val="clear"/>
              <w:topLinePunct w:val="0"/>
              <w:bidi w:val="0"/>
              <w:spacing w:after="0" w:line="360" w:lineRule="auto"/>
              <w:jc w:val="center"/>
              <w:rPr>
                <w:rFonts w:hint="eastAsia" w:ascii="宋体" w:hAnsi="宋体" w:cs="宋体"/>
                <w:color w:val="auto"/>
                <w:szCs w:val="21"/>
                <w:highlight w:val="none"/>
              </w:rPr>
            </w:pPr>
          </w:p>
        </w:tc>
        <w:tc>
          <w:tcPr>
            <w:tcW w:w="1902" w:type="dxa"/>
            <w:vAlign w:val="center"/>
          </w:tcPr>
          <w:p w14:paraId="7B90110B">
            <w:pPr>
              <w:pageBreakBefore w:val="0"/>
              <w:shd w:val="clear"/>
              <w:topLinePunct w:val="0"/>
              <w:bidi w:val="0"/>
              <w:spacing w:after="0" w:line="360" w:lineRule="auto"/>
              <w:jc w:val="center"/>
              <w:rPr>
                <w:rFonts w:hint="eastAsia" w:ascii="宋体" w:hAnsi="宋体" w:cs="宋体"/>
                <w:color w:val="auto"/>
                <w:szCs w:val="21"/>
                <w:highlight w:val="none"/>
              </w:rPr>
            </w:pPr>
          </w:p>
        </w:tc>
        <w:tc>
          <w:tcPr>
            <w:tcW w:w="1370" w:type="dxa"/>
            <w:vAlign w:val="center"/>
          </w:tcPr>
          <w:p w14:paraId="0EE5067D">
            <w:pPr>
              <w:pageBreakBefore w:val="0"/>
              <w:shd w:val="clear"/>
              <w:topLinePunct w:val="0"/>
              <w:bidi w:val="0"/>
              <w:spacing w:after="0" w:line="360" w:lineRule="auto"/>
              <w:jc w:val="center"/>
              <w:rPr>
                <w:rFonts w:hint="eastAsia" w:ascii="宋体" w:hAnsi="宋体" w:cs="宋体"/>
                <w:color w:val="auto"/>
                <w:szCs w:val="21"/>
                <w:highlight w:val="none"/>
              </w:rPr>
            </w:pPr>
          </w:p>
        </w:tc>
        <w:tc>
          <w:tcPr>
            <w:tcW w:w="1629" w:type="dxa"/>
            <w:vAlign w:val="center"/>
          </w:tcPr>
          <w:p w14:paraId="4E30C2E5">
            <w:pPr>
              <w:pageBreakBefore w:val="0"/>
              <w:shd w:val="clear"/>
              <w:topLinePunct w:val="0"/>
              <w:bidi w:val="0"/>
              <w:spacing w:after="0" w:line="360" w:lineRule="auto"/>
              <w:jc w:val="center"/>
              <w:rPr>
                <w:rFonts w:hint="eastAsia" w:ascii="宋体" w:hAnsi="宋体" w:cs="宋体"/>
                <w:color w:val="auto"/>
                <w:szCs w:val="21"/>
                <w:highlight w:val="none"/>
              </w:rPr>
            </w:pPr>
          </w:p>
        </w:tc>
        <w:tc>
          <w:tcPr>
            <w:tcW w:w="1239" w:type="dxa"/>
            <w:vAlign w:val="center"/>
          </w:tcPr>
          <w:p w14:paraId="444AABB3">
            <w:pPr>
              <w:pageBreakBefore w:val="0"/>
              <w:shd w:val="clear"/>
              <w:topLinePunct w:val="0"/>
              <w:bidi w:val="0"/>
              <w:spacing w:after="0" w:line="360" w:lineRule="auto"/>
              <w:jc w:val="center"/>
              <w:rPr>
                <w:rFonts w:hint="eastAsia" w:ascii="宋体" w:hAnsi="宋体" w:cs="宋体"/>
                <w:color w:val="auto"/>
                <w:szCs w:val="21"/>
                <w:highlight w:val="none"/>
              </w:rPr>
            </w:pPr>
          </w:p>
        </w:tc>
        <w:tc>
          <w:tcPr>
            <w:tcW w:w="1544" w:type="dxa"/>
            <w:vAlign w:val="center"/>
          </w:tcPr>
          <w:p w14:paraId="1A25C8F3">
            <w:pPr>
              <w:pageBreakBefore w:val="0"/>
              <w:shd w:val="clear"/>
              <w:topLinePunct w:val="0"/>
              <w:bidi w:val="0"/>
              <w:spacing w:after="0" w:line="360" w:lineRule="auto"/>
              <w:jc w:val="center"/>
              <w:rPr>
                <w:rFonts w:hint="eastAsia" w:ascii="宋体" w:hAnsi="宋体" w:cs="宋体"/>
                <w:color w:val="auto"/>
                <w:szCs w:val="21"/>
                <w:highlight w:val="none"/>
              </w:rPr>
            </w:pPr>
          </w:p>
        </w:tc>
      </w:tr>
      <w:tr w14:paraId="0714B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vAlign w:val="center"/>
          </w:tcPr>
          <w:p w14:paraId="3C1314C1">
            <w:pPr>
              <w:pageBreakBefore w:val="0"/>
              <w:shd w:val="clear"/>
              <w:topLinePunct w:val="0"/>
              <w:bidi w:val="0"/>
              <w:spacing w:after="0" w:line="360" w:lineRule="auto"/>
              <w:jc w:val="center"/>
              <w:rPr>
                <w:rFonts w:hint="eastAsia" w:ascii="宋体" w:hAnsi="宋体" w:cs="宋体"/>
                <w:color w:val="auto"/>
                <w:szCs w:val="21"/>
                <w:highlight w:val="none"/>
              </w:rPr>
            </w:pPr>
          </w:p>
        </w:tc>
        <w:tc>
          <w:tcPr>
            <w:tcW w:w="1902" w:type="dxa"/>
            <w:vAlign w:val="center"/>
          </w:tcPr>
          <w:p w14:paraId="13F6CDAB">
            <w:pPr>
              <w:pageBreakBefore w:val="0"/>
              <w:shd w:val="clear"/>
              <w:topLinePunct w:val="0"/>
              <w:bidi w:val="0"/>
              <w:spacing w:after="0" w:line="360" w:lineRule="auto"/>
              <w:jc w:val="center"/>
              <w:rPr>
                <w:rFonts w:hint="eastAsia" w:ascii="宋体" w:hAnsi="宋体" w:cs="宋体"/>
                <w:color w:val="auto"/>
                <w:szCs w:val="21"/>
                <w:highlight w:val="none"/>
              </w:rPr>
            </w:pPr>
          </w:p>
        </w:tc>
        <w:tc>
          <w:tcPr>
            <w:tcW w:w="1370" w:type="dxa"/>
            <w:vAlign w:val="center"/>
          </w:tcPr>
          <w:p w14:paraId="6ADC61E5">
            <w:pPr>
              <w:pageBreakBefore w:val="0"/>
              <w:shd w:val="clear"/>
              <w:topLinePunct w:val="0"/>
              <w:bidi w:val="0"/>
              <w:spacing w:after="0" w:line="360" w:lineRule="auto"/>
              <w:jc w:val="center"/>
              <w:rPr>
                <w:rFonts w:hint="eastAsia" w:ascii="宋体" w:hAnsi="宋体" w:cs="宋体"/>
                <w:color w:val="auto"/>
                <w:szCs w:val="21"/>
                <w:highlight w:val="none"/>
              </w:rPr>
            </w:pPr>
          </w:p>
        </w:tc>
        <w:tc>
          <w:tcPr>
            <w:tcW w:w="1629" w:type="dxa"/>
            <w:vAlign w:val="center"/>
          </w:tcPr>
          <w:p w14:paraId="504B9F72">
            <w:pPr>
              <w:pageBreakBefore w:val="0"/>
              <w:shd w:val="clear"/>
              <w:topLinePunct w:val="0"/>
              <w:bidi w:val="0"/>
              <w:spacing w:after="0" w:line="360" w:lineRule="auto"/>
              <w:jc w:val="center"/>
              <w:rPr>
                <w:rFonts w:hint="eastAsia" w:ascii="宋体" w:hAnsi="宋体" w:cs="宋体"/>
                <w:color w:val="auto"/>
                <w:szCs w:val="21"/>
                <w:highlight w:val="none"/>
              </w:rPr>
            </w:pPr>
          </w:p>
        </w:tc>
        <w:tc>
          <w:tcPr>
            <w:tcW w:w="1239" w:type="dxa"/>
            <w:vAlign w:val="center"/>
          </w:tcPr>
          <w:p w14:paraId="50F94DE2">
            <w:pPr>
              <w:pageBreakBefore w:val="0"/>
              <w:shd w:val="clear"/>
              <w:topLinePunct w:val="0"/>
              <w:bidi w:val="0"/>
              <w:spacing w:after="0" w:line="360" w:lineRule="auto"/>
              <w:jc w:val="center"/>
              <w:rPr>
                <w:rFonts w:hint="eastAsia" w:ascii="宋体" w:hAnsi="宋体" w:cs="宋体"/>
                <w:color w:val="auto"/>
                <w:szCs w:val="21"/>
                <w:highlight w:val="none"/>
              </w:rPr>
            </w:pPr>
          </w:p>
        </w:tc>
        <w:tc>
          <w:tcPr>
            <w:tcW w:w="1544" w:type="dxa"/>
            <w:vAlign w:val="center"/>
          </w:tcPr>
          <w:p w14:paraId="6BEBFDE8">
            <w:pPr>
              <w:pageBreakBefore w:val="0"/>
              <w:shd w:val="clear"/>
              <w:topLinePunct w:val="0"/>
              <w:bidi w:val="0"/>
              <w:spacing w:after="0" w:line="360" w:lineRule="auto"/>
              <w:jc w:val="center"/>
              <w:rPr>
                <w:rFonts w:hint="eastAsia" w:ascii="宋体" w:hAnsi="宋体" w:cs="宋体"/>
                <w:color w:val="auto"/>
                <w:szCs w:val="21"/>
                <w:highlight w:val="none"/>
              </w:rPr>
            </w:pPr>
          </w:p>
        </w:tc>
      </w:tr>
      <w:tr w14:paraId="6975B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vAlign w:val="center"/>
          </w:tcPr>
          <w:p w14:paraId="10FAB938">
            <w:pPr>
              <w:pageBreakBefore w:val="0"/>
              <w:shd w:val="clear"/>
              <w:topLinePunct w:val="0"/>
              <w:bidi w:val="0"/>
              <w:spacing w:after="0" w:line="360" w:lineRule="auto"/>
              <w:jc w:val="center"/>
              <w:rPr>
                <w:rFonts w:hint="eastAsia" w:ascii="宋体" w:hAnsi="宋体" w:cs="宋体"/>
                <w:color w:val="auto"/>
                <w:szCs w:val="21"/>
                <w:highlight w:val="none"/>
              </w:rPr>
            </w:pPr>
          </w:p>
        </w:tc>
        <w:tc>
          <w:tcPr>
            <w:tcW w:w="1902" w:type="dxa"/>
            <w:vAlign w:val="center"/>
          </w:tcPr>
          <w:p w14:paraId="6E1AEA9B">
            <w:pPr>
              <w:pageBreakBefore w:val="0"/>
              <w:shd w:val="clear"/>
              <w:topLinePunct w:val="0"/>
              <w:bidi w:val="0"/>
              <w:spacing w:after="0" w:line="360" w:lineRule="auto"/>
              <w:jc w:val="center"/>
              <w:rPr>
                <w:rFonts w:hint="eastAsia" w:ascii="宋体" w:hAnsi="宋体" w:cs="宋体"/>
                <w:color w:val="auto"/>
                <w:szCs w:val="21"/>
                <w:highlight w:val="none"/>
              </w:rPr>
            </w:pPr>
          </w:p>
        </w:tc>
        <w:tc>
          <w:tcPr>
            <w:tcW w:w="1370" w:type="dxa"/>
            <w:vAlign w:val="center"/>
          </w:tcPr>
          <w:p w14:paraId="2201118A">
            <w:pPr>
              <w:pageBreakBefore w:val="0"/>
              <w:shd w:val="clear"/>
              <w:topLinePunct w:val="0"/>
              <w:bidi w:val="0"/>
              <w:spacing w:after="0" w:line="360" w:lineRule="auto"/>
              <w:jc w:val="center"/>
              <w:rPr>
                <w:rFonts w:hint="eastAsia" w:ascii="宋体" w:hAnsi="宋体" w:cs="宋体"/>
                <w:color w:val="auto"/>
                <w:szCs w:val="21"/>
                <w:highlight w:val="none"/>
              </w:rPr>
            </w:pPr>
          </w:p>
        </w:tc>
        <w:tc>
          <w:tcPr>
            <w:tcW w:w="1629" w:type="dxa"/>
            <w:vAlign w:val="center"/>
          </w:tcPr>
          <w:p w14:paraId="6CBBB706">
            <w:pPr>
              <w:pageBreakBefore w:val="0"/>
              <w:shd w:val="clear"/>
              <w:topLinePunct w:val="0"/>
              <w:bidi w:val="0"/>
              <w:spacing w:after="0" w:line="360" w:lineRule="auto"/>
              <w:jc w:val="center"/>
              <w:rPr>
                <w:rFonts w:hint="eastAsia" w:ascii="宋体" w:hAnsi="宋体" w:cs="宋体"/>
                <w:color w:val="auto"/>
                <w:szCs w:val="21"/>
                <w:highlight w:val="none"/>
              </w:rPr>
            </w:pPr>
          </w:p>
        </w:tc>
        <w:tc>
          <w:tcPr>
            <w:tcW w:w="1239" w:type="dxa"/>
            <w:vAlign w:val="center"/>
          </w:tcPr>
          <w:p w14:paraId="30F9E5CD">
            <w:pPr>
              <w:pageBreakBefore w:val="0"/>
              <w:shd w:val="clear"/>
              <w:topLinePunct w:val="0"/>
              <w:bidi w:val="0"/>
              <w:spacing w:after="0" w:line="360" w:lineRule="auto"/>
              <w:jc w:val="center"/>
              <w:rPr>
                <w:rFonts w:hint="eastAsia" w:ascii="宋体" w:hAnsi="宋体" w:cs="宋体"/>
                <w:color w:val="auto"/>
                <w:szCs w:val="21"/>
                <w:highlight w:val="none"/>
              </w:rPr>
            </w:pPr>
          </w:p>
        </w:tc>
        <w:tc>
          <w:tcPr>
            <w:tcW w:w="1544" w:type="dxa"/>
            <w:vAlign w:val="center"/>
          </w:tcPr>
          <w:p w14:paraId="158F47A2">
            <w:pPr>
              <w:pageBreakBefore w:val="0"/>
              <w:shd w:val="clear"/>
              <w:topLinePunct w:val="0"/>
              <w:bidi w:val="0"/>
              <w:spacing w:after="0" w:line="360" w:lineRule="auto"/>
              <w:jc w:val="center"/>
              <w:rPr>
                <w:rFonts w:hint="eastAsia" w:ascii="宋体" w:hAnsi="宋体" w:cs="宋体"/>
                <w:color w:val="auto"/>
                <w:szCs w:val="21"/>
                <w:highlight w:val="none"/>
              </w:rPr>
            </w:pPr>
          </w:p>
        </w:tc>
      </w:tr>
      <w:tr w14:paraId="3D3E2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vAlign w:val="center"/>
          </w:tcPr>
          <w:p w14:paraId="07CAA60F">
            <w:pPr>
              <w:pageBreakBefore w:val="0"/>
              <w:shd w:val="clear"/>
              <w:topLinePunct w:val="0"/>
              <w:bidi w:val="0"/>
              <w:spacing w:after="0" w:line="360" w:lineRule="auto"/>
              <w:jc w:val="center"/>
              <w:rPr>
                <w:rFonts w:hint="eastAsia" w:ascii="宋体" w:hAnsi="宋体" w:cs="宋体"/>
                <w:color w:val="auto"/>
                <w:szCs w:val="21"/>
                <w:highlight w:val="none"/>
              </w:rPr>
            </w:pPr>
          </w:p>
        </w:tc>
        <w:tc>
          <w:tcPr>
            <w:tcW w:w="1902" w:type="dxa"/>
            <w:vAlign w:val="center"/>
          </w:tcPr>
          <w:p w14:paraId="3543D4D6">
            <w:pPr>
              <w:pageBreakBefore w:val="0"/>
              <w:shd w:val="clear"/>
              <w:topLinePunct w:val="0"/>
              <w:bidi w:val="0"/>
              <w:spacing w:after="0" w:line="360" w:lineRule="auto"/>
              <w:jc w:val="center"/>
              <w:rPr>
                <w:rFonts w:hint="eastAsia" w:ascii="宋体" w:hAnsi="宋体" w:cs="宋体"/>
                <w:color w:val="auto"/>
                <w:szCs w:val="21"/>
                <w:highlight w:val="none"/>
              </w:rPr>
            </w:pPr>
          </w:p>
        </w:tc>
        <w:tc>
          <w:tcPr>
            <w:tcW w:w="1370" w:type="dxa"/>
            <w:vAlign w:val="center"/>
          </w:tcPr>
          <w:p w14:paraId="27D4DAEB">
            <w:pPr>
              <w:pageBreakBefore w:val="0"/>
              <w:shd w:val="clear"/>
              <w:topLinePunct w:val="0"/>
              <w:bidi w:val="0"/>
              <w:spacing w:after="0" w:line="360" w:lineRule="auto"/>
              <w:jc w:val="center"/>
              <w:rPr>
                <w:rFonts w:hint="eastAsia" w:ascii="宋体" w:hAnsi="宋体" w:cs="宋体"/>
                <w:color w:val="auto"/>
                <w:szCs w:val="21"/>
                <w:highlight w:val="none"/>
              </w:rPr>
            </w:pPr>
          </w:p>
        </w:tc>
        <w:tc>
          <w:tcPr>
            <w:tcW w:w="1629" w:type="dxa"/>
            <w:vAlign w:val="center"/>
          </w:tcPr>
          <w:p w14:paraId="5BB924A2">
            <w:pPr>
              <w:pageBreakBefore w:val="0"/>
              <w:shd w:val="clear"/>
              <w:topLinePunct w:val="0"/>
              <w:bidi w:val="0"/>
              <w:spacing w:after="0" w:line="360" w:lineRule="auto"/>
              <w:jc w:val="center"/>
              <w:rPr>
                <w:rFonts w:hint="eastAsia" w:ascii="宋体" w:hAnsi="宋体" w:cs="宋体"/>
                <w:color w:val="auto"/>
                <w:szCs w:val="21"/>
                <w:highlight w:val="none"/>
              </w:rPr>
            </w:pPr>
          </w:p>
        </w:tc>
        <w:tc>
          <w:tcPr>
            <w:tcW w:w="1239" w:type="dxa"/>
            <w:vAlign w:val="center"/>
          </w:tcPr>
          <w:p w14:paraId="74A26C5D">
            <w:pPr>
              <w:pageBreakBefore w:val="0"/>
              <w:shd w:val="clear"/>
              <w:topLinePunct w:val="0"/>
              <w:bidi w:val="0"/>
              <w:spacing w:after="0" w:line="360" w:lineRule="auto"/>
              <w:jc w:val="center"/>
              <w:rPr>
                <w:rFonts w:hint="eastAsia" w:ascii="宋体" w:hAnsi="宋体" w:cs="宋体"/>
                <w:color w:val="auto"/>
                <w:szCs w:val="21"/>
                <w:highlight w:val="none"/>
              </w:rPr>
            </w:pPr>
          </w:p>
        </w:tc>
        <w:tc>
          <w:tcPr>
            <w:tcW w:w="1544" w:type="dxa"/>
            <w:vAlign w:val="center"/>
          </w:tcPr>
          <w:p w14:paraId="619CDAF5">
            <w:pPr>
              <w:pageBreakBefore w:val="0"/>
              <w:shd w:val="clear"/>
              <w:topLinePunct w:val="0"/>
              <w:bidi w:val="0"/>
              <w:spacing w:after="0" w:line="360" w:lineRule="auto"/>
              <w:jc w:val="center"/>
              <w:rPr>
                <w:rFonts w:hint="eastAsia" w:ascii="宋体" w:hAnsi="宋体" w:cs="宋体"/>
                <w:color w:val="auto"/>
                <w:szCs w:val="21"/>
                <w:highlight w:val="none"/>
              </w:rPr>
            </w:pPr>
          </w:p>
        </w:tc>
      </w:tr>
      <w:tr w14:paraId="27B3E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vAlign w:val="center"/>
          </w:tcPr>
          <w:p w14:paraId="7D5E8023">
            <w:pPr>
              <w:pageBreakBefore w:val="0"/>
              <w:shd w:val="clear"/>
              <w:topLinePunct w:val="0"/>
              <w:bidi w:val="0"/>
              <w:spacing w:after="0" w:line="360" w:lineRule="auto"/>
              <w:jc w:val="center"/>
              <w:rPr>
                <w:rFonts w:hint="eastAsia" w:ascii="宋体" w:hAnsi="宋体" w:cs="宋体"/>
                <w:color w:val="auto"/>
                <w:szCs w:val="21"/>
                <w:highlight w:val="none"/>
              </w:rPr>
            </w:pPr>
          </w:p>
        </w:tc>
        <w:tc>
          <w:tcPr>
            <w:tcW w:w="1902" w:type="dxa"/>
            <w:vAlign w:val="center"/>
          </w:tcPr>
          <w:p w14:paraId="0CEFB5DA">
            <w:pPr>
              <w:pageBreakBefore w:val="0"/>
              <w:shd w:val="clear"/>
              <w:topLinePunct w:val="0"/>
              <w:bidi w:val="0"/>
              <w:spacing w:after="0" w:line="360" w:lineRule="auto"/>
              <w:jc w:val="center"/>
              <w:rPr>
                <w:rFonts w:hint="eastAsia" w:ascii="宋体" w:hAnsi="宋体" w:cs="宋体"/>
                <w:color w:val="auto"/>
                <w:szCs w:val="21"/>
                <w:highlight w:val="none"/>
              </w:rPr>
            </w:pPr>
          </w:p>
        </w:tc>
        <w:tc>
          <w:tcPr>
            <w:tcW w:w="1370" w:type="dxa"/>
            <w:vAlign w:val="center"/>
          </w:tcPr>
          <w:p w14:paraId="026A5578">
            <w:pPr>
              <w:pageBreakBefore w:val="0"/>
              <w:shd w:val="clear"/>
              <w:topLinePunct w:val="0"/>
              <w:bidi w:val="0"/>
              <w:spacing w:after="0" w:line="360" w:lineRule="auto"/>
              <w:jc w:val="center"/>
              <w:rPr>
                <w:rFonts w:hint="eastAsia" w:ascii="宋体" w:hAnsi="宋体" w:cs="宋体"/>
                <w:color w:val="auto"/>
                <w:szCs w:val="21"/>
                <w:highlight w:val="none"/>
              </w:rPr>
            </w:pPr>
          </w:p>
        </w:tc>
        <w:tc>
          <w:tcPr>
            <w:tcW w:w="1629" w:type="dxa"/>
            <w:vAlign w:val="center"/>
          </w:tcPr>
          <w:p w14:paraId="5E085DA9">
            <w:pPr>
              <w:pageBreakBefore w:val="0"/>
              <w:shd w:val="clear"/>
              <w:topLinePunct w:val="0"/>
              <w:bidi w:val="0"/>
              <w:spacing w:after="0" w:line="360" w:lineRule="auto"/>
              <w:jc w:val="center"/>
              <w:rPr>
                <w:rFonts w:hint="eastAsia" w:ascii="宋体" w:hAnsi="宋体" w:cs="宋体"/>
                <w:color w:val="auto"/>
                <w:szCs w:val="21"/>
                <w:highlight w:val="none"/>
              </w:rPr>
            </w:pPr>
          </w:p>
        </w:tc>
        <w:tc>
          <w:tcPr>
            <w:tcW w:w="1239" w:type="dxa"/>
            <w:vAlign w:val="center"/>
          </w:tcPr>
          <w:p w14:paraId="02C4087D">
            <w:pPr>
              <w:pageBreakBefore w:val="0"/>
              <w:shd w:val="clear"/>
              <w:topLinePunct w:val="0"/>
              <w:bidi w:val="0"/>
              <w:spacing w:after="0" w:line="360" w:lineRule="auto"/>
              <w:jc w:val="center"/>
              <w:rPr>
                <w:rFonts w:hint="eastAsia" w:ascii="宋体" w:hAnsi="宋体" w:cs="宋体"/>
                <w:color w:val="auto"/>
                <w:szCs w:val="21"/>
                <w:highlight w:val="none"/>
              </w:rPr>
            </w:pPr>
          </w:p>
        </w:tc>
        <w:tc>
          <w:tcPr>
            <w:tcW w:w="1544" w:type="dxa"/>
            <w:vAlign w:val="center"/>
          </w:tcPr>
          <w:p w14:paraId="305D74FC">
            <w:pPr>
              <w:pageBreakBefore w:val="0"/>
              <w:shd w:val="clear"/>
              <w:topLinePunct w:val="0"/>
              <w:bidi w:val="0"/>
              <w:spacing w:after="0" w:line="360" w:lineRule="auto"/>
              <w:jc w:val="center"/>
              <w:rPr>
                <w:rFonts w:hint="eastAsia" w:ascii="宋体" w:hAnsi="宋体" w:cs="宋体"/>
                <w:color w:val="auto"/>
                <w:szCs w:val="21"/>
                <w:highlight w:val="none"/>
              </w:rPr>
            </w:pPr>
          </w:p>
        </w:tc>
      </w:tr>
    </w:tbl>
    <w:p w14:paraId="348F84CD">
      <w:pPr>
        <w:pageBreakBefore w:val="0"/>
        <w:shd w:val="clear"/>
        <w:topLinePunct w:val="0"/>
        <w:bidi w:val="0"/>
        <w:spacing w:after="0" w:line="360" w:lineRule="auto"/>
        <w:rPr>
          <w:rFonts w:hint="eastAsia" w:ascii="宋体" w:hAnsi="宋体" w:cs="宋体"/>
          <w:color w:val="auto"/>
          <w:szCs w:val="21"/>
          <w:highlight w:val="none"/>
        </w:rPr>
      </w:pPr>
    </w:p>
    <w:p w14:paraId="316E80DC">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投标人代表签字：</w:t>
      </w:r>
    </w:p>
    <w:p w14:paraId="2C236103">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投标人盖章：</w:t>
      </w:r>
    </w:p>
    <w:p w14:paraId="3226C824">
      <w:pPr>
        <w:pageBreakBefore w:val="0"/>
        <w:shd w:val="clear"/>
        <w:topLinePunct w:val="0"/>
        <w:bidi w:val="0"/>
        <w:spacing w:after="0" w:line="360" w:lineRule="auto"/>
        <w:ind w:firstLine="178" w:firstLineChars="85"/>
        <w:rPr>
          <w:rFonts w:hint="eastAsia" w:ascii="宋体" w:hAnsi="宋体" w:cs="宋体"/>
          <w:color w:val="auto"/>
          <w:szCs w:val="21"/>
          <w:highlight w:val="none"/>
        </w:rPr>
      </w:pPr>
    </w:p>
    <w:p w14:paraId="5E055589">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注：</w:t>
      </w:r>
    </w:p>
    <w:p w14:paraId="36E7CF06">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1、投标人应对照采购文件技术需求书中技术规格，说明所提供服务已对采购文件的技术规格做出了实质性的响应，并申明与技术规格条文的偏差和例外。特别对有具体参数要求的指标，投标人必须提供所投设备的具体参数值。</w:t>
      </w:r>
    </w:p>
    <w:p w14:paraId="33C2BDB5">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2、不论出于何种原因此表未填写完整，投标人都被认为已清楚了解采购文件“技术需求书”的内容并对采购人所需的服务要求作全面响应，投标人必须承担完成“技术需求书”所描述内容的义务，因此对投标人投标产生负面影响的，投标人自行承担后果。</w:t>
      </w:r>
    </w:p>
    <w:p w14:paraId="568C8BE3">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3、如有偏离，应在“偏离情况”栏内注明“正”、“负”或“无”，并在“说明”栏内予以说明。</w:t>
      </w:r>
    </w:p>
    <w:p w14:paraId="4A4B2F4E">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4、如投标人差异内容较多可另附页说明。</w:t>
      </w:r>
    </w:p>
    <w:p w14:paraId="55C59E12">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5、如投标人对用户需求书商务要求的条款全部响应的，也可以在表格下面用文字总括性的说明。</w:t>
      </w:r>
    </w:p>
    <w:p w14:paraId="515842BC">
      <w:pPr>
        <w:pageBreakBefore w:val="0"/>
        <w:shd w:val="clear"/>
        <w:topLinePunct w:val="0"/>
        <w:bidi w:val="0"/>
        <w:adjustRightInd/>
        <w:snapToGrid/>
        <w:spacing w:after="0" w:line="360" w:lineRule="auto"/>
        <w:rPr>
          <w:rFonts w:hint="eastAsia" w:ascii="宋体" w:hAnsi="宋体" w:cs="宋体"/>
          <w:color w:val="auto"/>
          <w:highlight w:val="none"/>
        </w:rPr>
      </w:pPr>
    </w:p>
    <w:p w14:paraId="442D0E57">
      <w:pPr>
        <w:pageBreakBefore w:val="0"/>
        <w:shd w:val="clear"/>
        <w:topLinePunct w:val="0"/>
        <w:bidi w:val="0"/>
        <w:adjustRightInd/>
        <w:snapToGrid/>
        <w:spacing w:after="0" w:line="360" w:lineRule="auto"/>
        <w:rPr>
          <w:rFonts w:hint="eastAsia" w:ascii="宋体" w:hAnsi="宋体" w:cs="宋体"/>
          <w:color w:val="auto"/>
          <w:highlight w:val="none"/>
        </w:rPr>
      </w:pPr>
      <w:r>
        <w:rPr>
          <w:rFonts w:hint="eastAsia" w:ascii="宋体" w:hAnsi="宋体" w:cs="宋体"/>
          <w:color w:val="auto"/>
          <w:highlight w:val="none"/>
        </w:rPr>
        <w:br w:type="page"/>
      </w:r>
    </w:p>
    <w:p w14:paraId="70AC0A86">
      <w:pPr>
        <w:pStyle w:val="6"/>
        <w:pageBreakBefore w:val="0"/>
        <w:widowControl w:val="0"/>
        <w:shd w:val="clear"/>
        <w:overflowPunct w:val="0"/>
        <w:topLinePunct w:val="0"/>
        <w:bidi w:val="0"/>
        <w:spacing w:after="0" w:line="360" w:lineRule="auto"/>
        <w:rPr>
          <w:rFonts w:hint="eastAsia" w:ascii="宋体" w:hAnsi="宋体" w:cs="宋体"/>
          <w:color w:val="auto"/>
          <w:sz w:val="21"/>
          <w:szCs w:val="21"/>
          <w:highlight w:val="none"/>
        </w:rPr>
      </w:pPr>
      <w:bookmarkStart w:id="264" w:name="_Toc3279"/>
      <w:bookmarkStart w:id="265" w:name="_Toc10537"/>
      <w:r>
        <w:rPr>
          <w:rFonts w:hint="eastAsia" w:ascii="宋体" w:hAnsi="宋体" w:cs="宋体"/>
          <w:color w:val="auto"/>
          <w:sz w:val="21"/>
          <w:szCs w:val="21"/>
          <w:highlight w:val="none"/>
        </w:rPr>
        <w:t>附件</w:t>
      </w:r>
      <w:r>
        <w:rPr>
          <w:rFonts w:hint="eastAsia" w:ascii="宋体" w:hAnsi="宋体" w:cs="宋体"/>
          <w:color w:val="auto"/>
          <w:sz w:val="21"/>
          <w:szCs w:val="21"/>
          <w:highlight w:val="none"/>
          <w:lang w:val="en-US" w:eastAsia="zh-CN"/>
        </w:rPr>
        <w:t>16</w:t>
      </w:r>
      <w:r>
        <w:rPr>
          <w:rFonts w:hint="eastAsia" w:ascii="宋体" w:hAnsi="宋体" w:cs="宋体"/>
          <w:color w:val="auto"/>
          <w:sz w:val="21"/>
          <w:szCs w:val="21"/>
          <w:highlight w:val="none"/>
        </w:rPr>
        <w:t>.项目实施方案格式</w:t>
      </w:r>
      <w:bookmarkEnd w:id="264"/>
      <w:bookmarkEnd w:id="265"/>
    </w:p>
    <w:p w14:paraId="253B7C14">
      <w:pPr>
        <w:pageBreakBefore w:val="0"/>
        <w:shd w:val="clear"/>
        <w:topLinePunct w:val="0"/>
        <w:bidi w:val="0"/>
        <w:spacing w:after="0" w:line="360" w:lineRule="auto"/>
        <w:jc w:val="center"/>
        <w:rPr>
          <w:rFonts w:hint="eastAsia" w:ascii="宋体" w:hAnsi="宋体" w:cs="宋体"/>
          <w:color w:val="auto"/>
          <w:sz w:val="32"/>
          <w:szCs w:val="32"/>
          <w:highlight w:val="none"/>
        </w:rPr>
      </w:pPr>
    </w:p>
    <w:p w14:paraId="0C0180AD">
      <w:pPr>
        <w:pageBreakBefore w:val="0"/>
        <w:shd w:val="clear"/>
        <w:topLinePunct w:val="0"/>
        <w:bidi w:val="0"/>
        <w:spacing w:after="0" w:line="360" w:lineRule="auto"/>
        <w:jc w:val="center"/>
        <w:rPr>
          <w:rFonts w:hint="eastAsia" w:ascii="宋体" w:hAnsi="宋体" w:cs="宋体"/>
          <w:color w:val="auto"/>
          <w:sz w:val="32"/>
          <w:szCs w:val="32"/>
          <w:highlight w:val="none"/>
        </w:rPr>
      </w:pPr>
      <w:r>
        <w:rPr>
          <w:rFonts w:hint="eastAsia" w:ascii="宋体" w:hAnsi="宋体" w:cs="宋体"/>
          <w:color w:val="auto"/>
          <w:sz w:val="32"/>
          <w:szCs w:val="32"/>
          <w:highlight w:val="none"/>
        </w:rPr>
        <w:t>项目实施方案</w:t>
      </w:r>
    </w:p>
    <w:p w14:paraId="18314698">
      <w:pPr>
        <w:pageBreakBefore w:val="0"/>
        <w:shd w:val="clear"/>
        <w:topLinePunct w:val="0"/>
        <w:bidi w:val="0"/>
        <w:spacing w:after="0" w:line="360" w:lineRule="auto"/>
        <w:jc w:val="center"/>
        <w:rPr>
          <w:rFonts w:hint="eastAsia" w:ascii="宋体" w:hAnsi="宋体" w:cs="宋体"/>
          <w:color w:val="auto"/>
          <w:sz w:val="32"/>
          <w:szCs w:val="32"/>
          <w:highlight w:val="none"/>
        </w:rPr>
      </w:pPr>
    </w:p>
    <w:p w14:paraId="756C4AB7">
      <w:pPr>
        <w:pageBreakBefore w:val="0"/>
        <w:shd w:val="clear"/>
        <w:topLinePunct w:val="0"/>
        <w:bidi w:val="0"/>
        <w:spacing w:after="0" w:line="360" w:lineRule="auto"/>
        <w:ind w:left="718" w:leftChars="200" w:hanging="298" w:hangingChars="142"/>
        <w:rPr>
          <w:rFonts w:hint="eastAsia" w:ascii="宋体" w:hAnsi="宋体" w:cs="宋体"/>
          <w:color w:val="auto"/>
          <w:szCs w:val="21"/>
          <w:highlight w:val="none"/>
        </w:rPr>
      </w:pPr>
      <w:r>
        <w:rPr>
          <w:rFonts w:hint="eastAsia" w:ascii="宋体" w:hAnsi="宋体" w:cs="宋体"/>
          <w:color w:val="auto"/>
          <w:szCs w:val="21"/>
          <w:highlight w:val="none"/>
        </w:rPr>
        <w:t>1、为完成本项目投标人临时投入的设备</w:t>
      </w:r>
    </w:p>
    <w:p w14:paraId="0EEE08AF">
      <w:pPr>
        <w:pageBreakBefore w:val="0"/>
        <w:shd w:val="clear"/>
        <w:topLinePunct w:val="0"/>
        <w:bidi w:val="0"/>
        <w:spacing w:after="0" w:line="360" w:lineRule="auto"/>
        <w:ind w:left="718" w:leftChars="200" w:hanging="298" w:hangingChars="142"/>
        <w:rPr>
          <w:rFonts w:hint="eastAsia" w:ascii="宋体" w:hAnsi="宋体" w:cs="宋体"/>
          <w:color w:val="auto"/>
          <w:szCs w:val="21"/>
          <w:highlight w:val="none"/>
        </w:rPr>
      </w:pPr>
      <w:r>
        <w:rPr>
          <w:rFonts w:hint="eastAsia" w:ascii="宋体" w:hAnsi="宋体" w:cs="宋体"/>
          <w:color w:val="auto"/>
          <w:szCs w:val="21"/>
          <w:highlight w:val="none"/>
        </w:rPr>
        <w:t>2、为完成本项目投标人投入的人员以及具体工作安排</w:t>
      </w:r>
    </w:p>
    <w:p w14:paraId="7A090FB4">
      <w:pPr>
        <w:pageBreakBefore w:val="0"/>
        <w:shd w:val="clear"/>
        <w:topLinePunct w:val="0"/>
        <w:bidi w:val="0"/>
        <w:spacing w:after="0" w:line="360" w:lineRule="auto"/>
        <w:ind w:left="718" w:leftChars="200" w:hanging="298" w:hangingChars="142"/>
        <w:rPr>
          <w:rFonts w:hint="eastAsia" w:ascii="宋体" w:hAnsi="宋体" w:cs="宋体"/>
          <w:color w:val="auto"/>
          <w:szCs w:val="21"/>
          <w:highlight w:val="none"/>
        </w:rPr>
      </w:pPr>
      <w:r>
        <w:rPr>
          <w:rFonts w:hint="eastAsia" w:ascii="宋体" w:hAnsi="宋体" w:cs="宋体"/>
          <w:color w:val="auto"/>
          <w:szCs w:val="21"/>
          <w:highlight w:val="none"/>
        </w:rPr>
        <w:t>3、投标人为本项目制定的具体项目实施方案与项目实施流程</w:t>
      </w:r>
    </w:p>
    <w:p w14:paraId="29EF22A1">
      <w:pPr>
        <w:pageBreakBefore w:val="0"/>
        <w:shd w:val="clear"/>
        <w:topLinePunct w:val="0"/>
        <w:bidi w:val="0"/>
        <w:spacing w:after="0" w:line="360" w:lineRule="auto"/>
        <w:ind w:left="718" w:leftChars="200" w:hanging="298" w:hangingChars="142"/>
        <w:rPr>
          <w:rFonts w:hint="eastAsia" w:ascii="宋体" w:hAnsi="宋体" w:cs="宋体"/>
          <w:color w:val="auto"/>
          <w:szCs w:val="21"/>
          <w:highlight w:val="none"/>
        </w:rPr>
      </w:pPr>
      <w:r>
        <w:rPr>
          <w:rFonts w:hint="eastAsia" w:ascii="宋体" w:hAnsi="宋体" w:cs="宋体"/>
          <w:color w:val="auto"/>
          <w:szCs w:val="21"/>
          <w:highlight w:val="none"/>
        </w:rPr>
        <w:t>4、服务方案</w:t>
      </w:r>
    </w:p>
    <w:p w14:paraId="2561BB49">
      <w:pPr>
        <w:pageBreakBefore w:val="0"/>
        <w:shd w:val="clear"/>
        <w:topLinePunct w:val="0"/>
        <w:bidi w:val="0"/>
        <w:spacing w:after="0" w:line="360" w:lineRule="auto"/>
        <w:ind w:left="718" w:leftChars="200" w:hanging="298" w:hangingChars="142"/>
        <w:rPr>
          <w:rFonts w:hint="eastAsia" w:ascii="宋体" w:hAnsi="宋体" w:cs="宋体"/>
          <w:color w:val="auto"/>
          <w:szCs w:val="21"/>
          <w:highlight w:val="none"/>
        </w:rPr>
      </w:pPr>
      <w:r>
        <w:rPr>
          <w:rFonts w:hint="eastAsia" w:ascii="宋体" w:hAnsi="宋体" w:cs="宋体"/>
          <w:color w:val="auto"/>
          <w:szCs w:val="21"/>
          <w:highlight w:val="none"/>
        </w:rPr>
        <w:t>5、..........</w:t>
      </w:r>
    </w:p>
    <w:p w14:paraId="429D2A94">
      <w:pPr>
        <w:pageBreakBefore w:val="0"/>
        <w:shd w:val="clear"/>
        <w:topLinePunct w:val="0"/>
        <w:bidi w:val="0"/>
        <w:spacing w:after="0" w:line="360" w:lineRule="auto"/>
        <w:ind w:left="718" w:leftChars="200" w:hanging="298" w:hangingChars="142"/>
        <w:rPr>
          <w:rFonts w:hint="eastAsia" w:ascii="宋体" w:hAnsi="宋体" w:cs="宋体"/>
          <w:color w:val="auto"/>
          <w:szCs w:val="21"/>
          <w:highlight w:val="none"/>
        </w:rPr>
      </w:pPr>
      <w:r>
        <w:rPr>
          <w:rFonts w:hint="eastAsia" w:ascii="宋体" w:hAnsi="宋体" w:cs="宋体"/>
          <w:color w:val="auto"/>
          <w:szCs w:val="21"/>
          <w:highlight w:val="none"/>
        </w:rPr>
        <w:t>自行编写。</w:t>
      </w:r>
    </w:p>
    <w:p w14:paraId="1248F539">
      <w:pPr>
        <w:pageBreakBefore w:val="0"/>
        <w:shd w:val="clear"/>
        <w:topLinePunct w:val="0"/>
        <w:bidi w:val="0"/>
        <w:spacing w:after="0" w:line="360" w:lineRule="auto"/>
        <w:ind w:left="718" w:leftChars="200" w:hanging="298" w:hangingChars="142"/>
        <w:rPr>
          <w:rFonts w:hint="eastAsia" w:ascii="宋体" w:hAnsi="宋体" w:cs="宋体"/>
          <w:color w:val="auto"/>
          <w:szCs w:val="21"/>
          <w:highlight w:val="none"/>
        </w:rPr>
      </w:pPr>
    </w:p>
    <w:p w14:paraId="39080F73">
      <w:pPr>
        <w:pageBreakBefore w:val="0"/>
        <w:shd w:val="clear"/>
        <w:topLinePunct w:val="0"/>
        <w:bidi w:val="0"/>
        <w:spacing w:after="0" w:line="360" w:lineRule="auto"/>
        <w:ind w:left="718" w:leftChars="200" w:hanging="298" w:hangingChars="142"/>
        <w:rPr>
          <w:rFonts w:hint="eastAsia" w:ascii="宋体" w:hAnsi="宋体" w:cs="宋体"/>
          <w:color w:val="auto"/>
          <w:szCs w:val="21"/>
          <w:highlight w:val="none"/>
        </w:rPr>
      </w:pPr>
    </w:p>
    <w:p w14:paraId="440D85FB">
      <w:pPr>
        <w:pageBreakBefore w:val="0"/>
        <w:shd w:val="clear"/>
        <w:topLinePunct w:val="0"/>
        <w:bidi w:val="0"/>
        <w:spacing w:after="0" w:line="360" w:lineRule="auto"/>
        <w:ind w:left="718" w:leftChars="200" w:hanging="298" w:hangingChars="142"/>
        <w:rPr>
          <w:rFonts w:hint="eastAsia" w:ascii="宋体" w:hAnsi="宋体" w:cs="宋体"/>
          <w:color w:val="auto"/>
          <w:szCs w:val="21"/>
          <w:highlight w:val="none"/>
        </w:rPr>
      </w:pPr>
      <w:r>
        <w:rPr>
          <w:rFonts w:hint="eastAsia" w:ascii="宋体" w:hAnsi="宋体" w:cs="宋体"/>
          <w:color w:val="auto"/>
          <w:szCs w:val="21"/>
          <w:highlight w:val="none"/>
        </w:rPr>
        <w:br w:type="page"/>
      </w:r>
    </w:p>
    <w:p w14:paraId="148B4BA5">
      <w:pPr>
        <w:pStyle w:val="6"/>
        <w:pageBreakBefore w:val="0"/>
        <w:widowControl w:val="0"/>
        <w:shd w:val="clear"/>
        <w:overflowPunct w:val="0"/>
        <w:topLinePunct w:val="0"/>
        <w:bidi w:val="0"/>
        <w:spacing w:after="0" w:line="360" w:lineRule="auto"/>
        <w:rPr>
          <w:rFonts w:hint="eastAsia" w:ascii="宋体" w:hAnsi="宋体" w:cs="宋体"/>
          <w:color w:val="auto"/>
          <w:sz w:val="21"/>
          <w:szCs w:val="21"/>
          <w:highlight w:val="none"/>
        </w:rPr>
      </w:pPr>
      <w:bookmarkStart w:id="266" w:name="_Toc19538"/>
      <w:bookmarkStart w:id="267" w:name="_Toc169"/>
      <w:r>
        <w:rPr>
          <w:rFonts w:hint="eastAsia" w:ascii="宋体" w:hAnsi="宋体" w:cs="宋体"/>
          <w:color w:val="auto"/>
          <w:sz w:val="21"/>
          <w:szCs w:val="21"/>
          <w:highlight w:val="none"/>
        </w:rPr>
        <w:t>附件1</w:t>
      </w:r>
      <w:r>
        <w:rPr>
          <w:rFonts w:hint="eastAsia" w:ascii="宋体" w:hAnsi="宋体" w:cs="宋体"/>
          <w:color w:val="auto"/>
          <w:sz w:val="21"/>
          <w:szCs w:val="21"/>
          <w:highlight w:val="none"/>
          <w:lang w:val="en-US" w:eastAsia="zh-CN"/>
        </w:rPr>
        <w:t>7</w:t>
      </w:r>
      <w:r>
        <w:rPr>
          <w:rFonts w:hint="eastAsia" w:ascii="宋体" w:hAnsi="宋体" w:cs="宋体"/>
          <w:color w:val="auto"/>
          <w:sz w:val="21"/>
          <w:szCs w:val="21"/>
          <w:highlight w:val="none"/>
        </w:rPr>
        <w:t>.实施本项目的有关人员资料表格式</w:t>
      </w:r>
      <w:bookmarkEnd w:id="266"/>
      <w:bookmarkEnd w:id="267"/>
    </w:p>
    <w:p w14:paraId="47847FDB">
      <w:pPr>
        <w:pageBreakBefore w:val="0"/>
        <w:shd w:val="clear"/>
        <w:topLinePunct w:val="0"/>
        <w:bidi w:val="0"/>
        <w:spacing w:after="0" w:line="360" w:lineRule="auto"/>
        <w:jc w:val="center"/>
        <w:rPr>
          <w:rFonts w:hint="eastAsia" w:ascii="宋体" w:hAnsi="宋体" w:cs="宋体"/>
          <w:color w:val="auto"/>
          <w:szCs w:val="21"/>
          <w:highlight w:val="none"/>
        </w:rPr>
      </w:pPr>
    </w:p>
    <w:p w14:paraId="0EC659B4">
      <w:pPr>
        <w:pageBreakBefore w:val="0"/>
        <w:shd w:val="clear"/>
        <w:topLinePunct w:val="0"/>
        <w:bidi w:val="0"/>
        <w:spacing w:after="0" w:line="360" w:lineRule="auto"/>
        <w:jc w:val="center"/>
        <w:rPr>
          <w:rFonts w:hint="eastAsia" w:ascii="宋体" w:hAnsi="宋体" w:cs="宋体"/>
          <w:color w:val="auto"/>
          <w:sz w:val="32"/>
          <w:szCs w:val="32"/>
          <w:highlight w:val="none"/>
        </w:rPr>
      </w:pPr>
      <w:r>
        <w:rPr>
          <w:rFonts w:hint="eastAsia" w:ascii="宋体" w:hAnsi="宋体" w:cs="宋体"/>
          <w:color w:val="auto"/>
          <w:sz w:val="32"/>
          <w:szCs w:val="32"/>
          <w:highlight w:val="none"/>
        </w:rPr>
        <w:t>实施本项目的有关人员资料表</w:t>
      </w:r>
    </w:p>
    <w:tbl>
      <w:tblPr>
        <w:tblStyle w:val="32"/>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2"/>
        <w:gridCol w:w="702"/>
        <w:gridCol w:w="1861"/>
        <w:gridCol w:w="702"/>
        <w:gridCol w:w="702"/>
        <w:gridCol w:w="1164"/>
        <w:gridCol w:w="818"/>
        <w:gridCol w:w="1165"/>
        <w:gridCol w:w="703"/>
      </w:tblGrid>
      <w:tr w14:paraId="028AC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2" w:type="dxa"/>
            <w:vAlign w:val="center"/>
          </w:tcPr>
          <w:p w14:paraId="78EDCDF1">
            <w:pPr>
              <w:pageBreakBefore w:val="0"/>
              <w:shd w:val="clear"/>
              <w:topLinePunct w:val="0"/>
              <w:bidi w:val="0"/>
              <w:spacing w:after="0"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702" w:type="dxa"/>
            <w:vAlign w:val="center"/>
          </w:tcPr>
          <w:p w14:paraId="158FB11F">
            <w:pPr>
              <w:pageBreakBefore w:val="0"/>
              <w:shd w:val="clear"/>
              <w:topLinePunct w:val="0"/>
              <w:bidi w:val="0"/>
              <w:spacing w:after="0"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姓名</w:t>
            </w:r>
          </w:p>
        </w:tc>
        <w:tc>
          <w:tcPr>
            <w:tcW w:w="1861" w:type="dxa"/>
            <w:vAlign w:val="center"/>
          </w:tcPr>
          <w:p w14:paraId="3A95DC8D">
            <w:pPr>
              <w:pageBreakBefore w:val="0"/>
              <w:shd w:val="clear"/>
              <w:topLinePunct w:val="0"/>
              <w:bidi w:val="0"/>
              <w:spacing w:after="0"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本项目拟任岗位</w:t>
            </w:r>
          </w:p>
        </w:tc>
        <w:tc>
          <w:tcPr>
            <w:tcW w:w="702" w:type="dxa"/>
            <w:vAlign w:val="center"/>
          </w:tcPr>
          <w:p w14:paraId="0E34E663">
            <w:pPr>
              <w:pageBreakBefore w:val="0"/>
              <w:shd w:val="clear"/>
              <w:topLinePunct w:val="0"/>
              <w:bidi w:val="0"/>
              <w:spacing w:after="0"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性别</w:t>
            </w:r>
          </w:p>
        </w:tc>
        <w:tc>
          <w:tcPr>
            <w:tcW w:w="702" w:type="dxa"/>
            <w:vAlign w:val="center"/>
          </w:tcPr>
          <w:p w14:paraId="6E9EE6FC">
            <w:pPr>
              <w:pageBreakBefore w:val="0"/>
              <w:shd w:val="clear"/>
              <w:topLinePunct w:val="0"/>
              <w:bidi w:val="0"/>
              <w:spacing w:after="0"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年龄</w:t>
            </w:r>
          </w:p>
        </w:tc>
        <w:tc>
          <w:tcPr>
            <w:tcW w:w="1164" w:type="dxa"/>
            <w:vAlign w:val="center"/>
          </w:tcPr>
          <w:p w14:paraId="38A2CE36">
            <w:pPr>
              <w:pageBreakBefore w:val="0"/>
              <w:shd w:val="clear"/>
              <w:topLinePunct w:val="0"/>
              <w:bidi w:val="0"/>
              <w:spacing w:after="0"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技术职称</w:t>
            </w:r>
          </w:p>
        </w:tc>
        <w:tc>
          <w:tcPr>
            <w:tcW w:w="818" w:type="dxa"/>
            <w:vAlign w:val="center"/>
          </w:tcPr>
          <w:p w14:paraId="6828A46A">
            <w:pPr>
              <w:pageBreakBefore w:val="0"/>
              <w:shd w:val="clear"/>
              <w:topLinePunct w:val="0"/>
              <w:bidi w:val="0"/>
              <w:spacing w:after="0"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专 业</w:t>
            </w:r>
          </w:p>
        </w:tc>
        <w:tc>
          <w:tcPr>
            <w:tcW w:w="1165" w:type="dxa"/>
            <w:vAlign w:val="center"/>
          </w:tcPr>
          <w:p w14:paraId="5B993C1A">
            <w:pPr>
              <w:pageBreakBefore w:val="0"/>
              <w:shd w:val="clear"/>
              <w:topLinePunct w:val="0"/>
              <w:bidi w:val="0"/>
              <w:spacing w:after="0"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资质证书</w:t>
            </w:r>
          </w:p>
        </w:tc>
        <w:tc>
          <w:tcPr>
            <w:tcW w:w="703" w:type="dxa"/>
            <w:tcBorders>
              <w:right w:val="single" w:color="auto" w:sz="6" w:space="0"/>
            </w:tcBorders>
            <w:vAlign w:val="center"/>
          </w:tcPr>
          <w:p w14:paraId="3E4DD636">
            <w:pPr>
              <w:pageBreakBefore w:val="0"/>
              <w:shd w:val="clear"/>
              <w:topLinePunct w:val="0"/>
              <w:bidi w:val="0"/>
              <w:spacing w:after="0"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备注</w:t>
            </w:r>
          </w:p>
        </w:tc>
      </w:tr>
      <w:tr w14:paraId="5BFF5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2" w:type="dxa"/>
            <w:vAlign w:val="center"/>
          </w:tcPr>
          <w:p w14:paraId="58B38FDF">
            <w:pPr>
              <w:pageBreakBefore w:val="0"/>
              <w:shd w:val="clear"/>
              <w:topLinePunct w:val="0"/>
              <w:bidi w:val="0"/>
              <w:spacing w:after="0" w:line="360" w:lineRule="auto"/>
              <w:jc w:val="center"/>
              <w:rPr>
                <w:rFonts w:hint="eastAsia" w:ascii="宋体" w:hAnsi="宋体" w:cs="宋体"/>
                <w:color w:val="auto"/>
                <w:szCs w:val="21"/>
                <w:highlight w:val="none"/>
              </w:rPr>
            </w:pPr>
          </w:p>
        </w:tc>
        <w:tc>
          <w:tcPr>
            <w:tcW w:w="702" w:type="dxa"/>
            <w:vAlign w:val="center"/>
          </w:tcPr>
          <w:p w14:paraId="32FC4C85">
            <w:pPr>
              <w:pageBreakBefore w:val="0"/>
              <w:shd w:val="clear"/>
              <w:topLinePunct w:val="0"/>
              <w:bidi w:val="0"/>
              <w:spacing w:after="0" w:line="360" w:lineRule="auto"/>
              <w:jc w:val="center"/>
              <w:rPr>
                <w:rFonts w:hint="eastAsia" w:ascii="宋体" w:hAnsi="宋体" w:cs="宋体"/>
                <w:color w:val="auto"/>
                <w:szCs w:val="21"/>
                <w:highlight w:val="none"/>
              </w:rPr>
            </w:pPr>
          </w:p>
        </w:tc>
        <w:tc>
          <w:tcPr>
            <w:tcW w:w="1861" w:type="dxa"/>
            <w:vAlign w:val="center"/>
          </w:tcPr>
          <w:p w14:paraId="6601468C">
            <w:pPr>
              <w:pageBreakBefore w:val="0"/>
              <w:shd w:val="clear"/>
              <w:topLinePunct w:val="0"/>
              <w:bidi w:val="0"/>
              <w:spacing w:after="0" w:line="360" w:lineRule="auto"/>
              <w:jc w:val="center"/>
              <w:rPr>
                <w:rFonts w:hint="eastAsia" w:ascii="宋体" w:hAnsi="宋体" w:cs="宋体"/>
                <w:color w:val="auto"/>
                <w:szCs w:val="21"/>
                <w:highlight w:val="none"/>
              </w:rPr>
            </w:pPr>
          </w:p>
        </w:tc>
        <w:tc>
          <w:tcPr>
            <w:tcW w:w="702" w:type="dxa"/>
            <w:vAlign w:val="center"/>
          </w:tcPr>
          <w:p w14:paraId="0F3361C6">
            <w:pPr>
              <w:pageBreakBefore w:val="0"/>
              <w:shd w:val="clear"/>
              <w:topLinePunct w:val="0"/>
              <w:bidi w:val="0"/>
              <w:spacing w:after="0" w:line="360" w:lineRule="auto"/>
              <w:jc w:val="center"/>
              <w:rPr>
                <w:rFonts w:hint="eastAsia" w:ascii="宋体" w:hAnsi="宋体" w:cs="宋体"/>
                <w:color w:val="auto"/>
                <w:szCs w:val="21"/>
                <w:highlight w:val="none"/>
              </w:rPr>
            </w:pPr>
          </w:p>
        </w:tc>
        <w:tc>
          <w:tcPr>
            <w:tcW w:w="702" w:type="dxa"/>
            <w:vAlign w:val="center"/>
          </w:tcPr>
          <w:p w14:paraId="0188CBD8">
            <w:pPr>
              <w:pageBreakBefore w:val="0"/>
              <w:shd w:val="clear"/>
              <w:topLinePunct w:val="0"/>
              <w:bidi w:val="0"/>
              <w:spacing w:after="0" w:line="360" w:lineRule="auto"/>
              <w:jc w:val="center"/>
              <w:rPr>
                <w:rFonts w:hint="eastAsia" w:ascii="宋体" w:hAnsi="宋体" w:cs="宋体"/>
                <w:color w:val="auto"/>
                <w:szCs w:val="21"/>
                <w:highlight w:val="none"/>
              </w:rPr>
            </w:pPr>
          </w:p>
        </w:tc>
        <w:tc>
          <w:tcPr>
            <w:tcW w:w="1164" w:type="dxa"/>
            <w:vAlign w:val="center"/>
          </w:tcPr>
          <w:p w14:paraId="484C77D0">
            <w:pPr>
              <w:pageBreakBefore w:val="0"/>
              <w:shd w:val="clear"/>
              <w:topLinePunct w:val="0"/>
              <w:bidi w:val="0"/>
              <w:spacing w:after="0" w:line="360" w:lineRule="auto"/>
              <w:jc w:val="center"/>
              <w:rPr>
                <w:rFonts w:hint="eastAsia" w:ascii="宋体" w:hAnsi="宋体" w:cs="宋体"/>
                <w:color w:val="auto"/>
                <w:szCs w:val="21"/>
                <w:highlight w:val="none"/>
              </w:rPr>
            </w:pPr>
          </w:p>
        </w:tc>
        <w:tc>
          <w:tcPr>
            <w:tcW w:w="818" w:type="dxa"/>
            <w:vAlign w:val="center"/>
          </w:tcPr>
          <w:p w14:paraId="403B63D3">
            <w:pPr>
              <w:pageBreakBefore w:val="0"/>
              <w:shd w:val="clear"/>
              <w:topLinePunct w:val="0"/>
              <w:bidi w:val="0"/>
              <w:spacing w:after="0" w:line="360" w:lineRule="auto"/>
              <w:jc w:val="center"/>
              <w:rPr>
                <w:rFonts w:hint="eastAsia" w:ascii="宋体" w:hAnsi="宋体" w:cs="宋体"/>
                <w:color w:val="auto"/>
                <w:szCs w:val="21"/>
                <w:highlight w:val="none"/>
              </w:rPr>
            </w:pPr>
          </w:p>
        </w:tc>
        <w:tc>
          <w:tcPr>
            <w:tcW w:w="1165" w:type="dxa"/>
            <w:vAlign w:val="center"/>
          </w:tcPr>
          <w:p w14:paraId="29D68DFA">
            <w:pPr>
              <w:pageBreakBefore w:val="0"/>
              <w:shd w:val="clear"/>
              <w:topLinePunct w:val="0"/>
              <w:bidi w:val="0"/>
              <w:spacing w:after="0" w:line="360" w:lineRule="auto"/>
              <w:jc w:val="center"/>
              <w:rPr>
                <w:rFonts w:hint="eastAsia" w:ascii="宋体" w:hAnsi="宋体" w:cs="宋体"/>
                <w:color w:val="auto"/>
                <w:szCs w:val="21"/>
                <w:highlight w:val="none"/>
              </w:rPr>
            </w:pPr>
          </w:p>
        </w:tc>
        <w:tc>
          <w:tcPr>
            <w:tcW w:w="703" w:type="dxa"/>
            <w:tcBorders>
              <w:right w:val="single" w:color="auto" w:sz="6" w:space="0"/>
            </w:tcBorders>
            <w:vAlign w:val="center"/>
          </w:tcPr>
          <w:p w14:paraId="395CD0CE">
            <w:pPr>
              <w:pageBreakBefore w:val="0"/>
              <w:shd w:val="clear"/>
              <w:topLinePunct w:val="0"/>
              <w:bidi w:val="0"/>
              <w:spacing w:after="0" w:line="360" w:lineRule="auto"/>
              <w:jc w:val="center"/>
              <w:rPr>
                <w:rFonts w:hint="eastAsia" w:ascii="宋体" w:hAnsi="宋体" w:cs="宋体"/>
                <w:color w:val="auto"/>
                <w:szCs w:val="21"/>
                <w:highlight w:val="none"/>
              </w:rPr>
            </w:pPr>
          </w:p>
        </w:tc>
      </w:tr>
      <w:tr w14:paraId="6BBAC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2" w:type="dxa"/>
            <w:vAlign w:val="center"/>
          </w:tcPr>
          <w:p w14:paraId="2D3250F2">
            <w:pPr>
              <w:pageBreakBefore w:val="0"/>
              <w:shd w:val="clear"/>
              <w:topLinePunct w:val="0"/>
              <w:bidi w:val="0"/>
              <w:spacing w:after="0" w:line="360" w:lineRule="auto"/>
              <w:jc w:val="center"/>
              <w:rPr>
                <w:rFonts w:hint="eastAsia" w:ascii="宋体" w:hAnsi="宋体" w:cs="宋体"/>
                <w:color w:val="auto"/>
                <w:szCs w:val="21"/>
                <w:highlight w:val="none"/>
              </w:rPr>
            </w:pPr>
          </w:p>
        </w:tc>
        <w:tc>
          <w:tcPr>
            <w:tcW w:w="702" w:type="dxa"/>
            <w:vAlign w:val="center"/>
          </w:tcPr>
          <w:p w14:paraId="7050873C">
            <w:pPr>
              <w:pageBreakBefore w:val="0"/>
              <w:shd w:val="clear"/>
              <w:topLinePunct w:val="0"/>
              <w:bidi w:val="0"/>
              <w:spacing w:after="0" w:line="360" w:lineRule="auto"/>
              <w:jc w:val="center"/>
              <w:rPr>
                <w:rFonts w:hint="eastAsia" w:ascii="宋体" w:hAnsi="宋体" w:cs="宋体"/>
                <w:color w:val="auto"/>
                <w:szCs w:val="21"/>
                <w:highlight w:val="none"/>
              </w:rPr>
            </w:pPr>
          </w:p>
        </w:tc>
        <w:tc>
          <w:tcPr>
            <w:tcW w:w="1861" w:type="dxa"/>
            <w:vAlign w:val="center"/>
          </w:tcPr>
          <w:p w14:paraId="728C1AAD">
            <w:pPr>
              <w:pageBreakBefore w:val="0"/>
              <w:shd w:val="clear"/>
              <w:topLinePunct w:val="0"/>
              <w:bidi w:val="0"/>
              <w:spacing w:after="0" w:line="360" w:lineRule="auto"/>
              <w:jc w:val="center"/>
              <w:rPr>
                <w:rFonts w:hint="eastAsia" w:ascii="宋体" w:hAnsi="宋体" w:cs="宋体"/>
                <w:color w:val="auto"/>
                <w:szCs w:val="21"/>
                <w:highlight w:val="none"/>
              </w:rPr>
            </w:pPr>
          </w:p>
        </w:tc>
        <w:tc>
          <w:tcPr>
            <w:tcW w:w="702" w:type="dxa"/>
            <w:vAlign w:val="center"/>
          </w:tcPr>
          <w:p w14:paraId="4F8B4E70">
            <w:pPr>
              <w:pageBreakBefore w:val="0"/>
              <w:shd w:val="clear"/>
              <w:topLinePunct w:val="0"/>
              <w:bidi w:val="0"/>
              <w:spacing w:after="0" w:line="360" w:lineRule="auto"/>
              <w:jc w:val="center"/>
              <w:rPr>
                <w:rFonts w:hint="eastAsia" w:ascii="宋体" w:hAnsi="宋体" w:cs="宋体"/>
                <w:color w:val="auto"/>
                <w:szCs w:val="21"/>
                <w:highlight w:val="none"/>
              </w:rPr>
            </w:pPr>
          </w:p>
        </w:tc>
        <w:tc>
          <w:tcPr>
            <w:tcW w:w="702" w:type="dxa"/>
            <w:vAlign w:val="center"/>
          </w:tcPr>
          <w:p w14:paraId="3E97110D">
            <w:pPr>
              <w:pageBreakBefore w:val="0"/>
              <w:shd w:val="clear"/>
              <w:topLinePunct w:val="0"/>
              <w:bidi w:val="0"/>
              <w:spacing w:after="0" w:line="360" w:lineRule="auto"/>
              <w:jc w:val="center"/>
              <w:rPr>
                <w:rFonts w:hint="eastAsia" w:ascii="宋体" w:hAnsi="宋体" w:cs="宋体"/>
                <w:color w:val="auto"/>
                <w:szCs w:val="21"/>
                <w:highlight w:val="none"/>
              </w:rPr>
            </w:pPr>
          </w:p>
        </w:tc>
        <w:tc>
          <w:tcPr>
            <w:tcW w:w="1164" w:type="dxa"/>
            <w:vAlign w:val="center"/>
          </w:tcPr>
          <w:p w14:paraId="52A76E24">
            <w:pPr>
              <w:pageBreakBefore w:val="0"/>
              <w:shd w:val="clear"/>
              <w:topLinePunct w:val="0"/>
              <w:bidi w:val="0"/>
              <w:spacing w:after="0" w:line="360" w:lineRule="auto"/>
              <w:jc w:val="center"/>
              <w:rPr>
                <w:rFonts w:hint="eastAsia" w:ascii="宋体" w:hAnsi="宋体" w:cs="宋体"/>
                <w:color w:val="auto"/>
                <w:szCs w:val="21"/>
                <w:highlight w:val="none"/>
              </w:rPr>
            </w:pPr>
          </w:p>
        </w:tc>
        <w:tc>
          <w:tcPr>
            <w:tcW w:w="818" w:type="dxa"/>
            <w:vAlign w:val="center"/>
          </w:tcPr>
          <w:p w14:paraId="6598823E">
            <w:pPr>
              <w:pageBreakBefore w:val="0"/>
              <w:shd w:val="clear"/>
              <w:topLinePunct w:val="0"/>
              <w:bidi w:val="0"/>
              <w:spacing w:after="0" w:line="360" w:lineRule="auto"/>
              <w:jc w:val="center"/>
              <w:rPr>
                <w:rFonts w:hint="eastAsia" w:ascii="宋体" w:hAnsi="宋体" w:cs="宋体"/>
                <w:color w:val="auto"/>
                <w:szCs w:val="21"/>
                <w:highlight w:val="none"/>
              </w:rPr>
            </w:pPr>
          </w:p>
        </w:tc>
        <w:tc>
          <w:tcPr>
            <w:tcW w:w="1165" w:type="dxa"/>
            <w:vAlign w:val="center"/>
          </w:tcPr>
          <w:p w14:paraId="208219D3">
            <w:pPr>
              <w:pageBreakBefore w:val="0"/>
              <w:shd w:val="clear"/>
              <w:topLinePunct w:val="0"/>
              <w:bidi w:val="0"/>
              <w:spacing w:after="0" w:line="360" w:lineRule="auto"/>
              <w:jc w:val="center"/>
              <w:rPr>
                <w:rFonts w:hint="eastAsia" w:ascii="宋体" w:hAnsi="宋体" w:cs="宋体"/>
                <w:color w:val="auto"/>
                <w:szCs w:val="21"/>
                <w:highlight w:val="none"/>
              </w:rPr>
            </w:pPr>
          </w:p>
        </w:tc>
        <w:tc>
          <w:tcPr>
            <w:tcW w:w="703" w:type="dxa"/>
            <w:tcBorders>
              <w:right w:val="single" w:color="auto" w:sz="6" w:space="0"/>
            </w:tcBorders>
            <w:vAlign w:val="center"/>
          </w:tcPr>
          <w:p w14:paraId="0337E976">
            <w:pPr>
              <w:pageBreakBefore w:val="0"/>
              <w:shd w:val="clear"/>
              <w:topLinePunct w:val="0"/>
              <w:bidi w:val="0"/>
              <w:spacing w:after="0" w:line="360" w:lineRule="auto"/>
              <w:jc w:val="center"/>
              <w:rPr>
                <w:rFonts w:hint="eastAsia" w:ascii="宋体" w:hAnsi="宋体" w:cs="宋体"/>
                <w:color w:val="auto"/>
                <w:szCs w:val="21"/>
                <w:highlight w:val="none"/>
              </w:rPr>
            </w:pPr>
          </w:p>
        </w:tc>
      </w:tr>
      <w:tr w14:paraId="747D0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2" w:type="dxa"/>
            <w:vAlign w:val="center"/>
          </w:tcPr>
          <w:p w14:paraId="3691E49D">
            <w:pPr>
              <w:pageBreakBefore w:val="0"/>
              <w:shd w:val="clear"/>
              <w:topLinePunct w:val="0"/>
              <w:bidi w:val="0"/>
              <w:spacing w:after="0" w:line="360" w:lineRule="auto"/>
              <w:jc w:val="center"/>
              <w:rPr>
                <w:rFonts w:hint="eastAsia" w:ascii="宋体" w:hAnsi="宋体" w:cs="宋体"/>
                <w:color w:val="auto"/>
                <w:szCs w:val="21"/>
                <w:highlight w:val="none"/>
              </w:rPr>
            </w:pPr>
          </w:p>
        </w:tc>
        <w:tc>
          <w:tcPr>
            <w:tcW w:w="702" w:type="dxa"/>
            <w:vAlign w:val="center"/>
          </w:tcPr>
          <w:p w14:paraId="44E9CF75">
            <w:pPr>
              <w:pageBreakBefore w:val="0"/>
              <w:shd w:val="clear"/>
              <w:topLinePunct w:val="0"/>
              <w:bidi w:val="0"/>
              <w:spacing w:after="0" w:line="360" w:lineRule="auto"/>
              <w:jc w:val="center"/>
              <w:rPr>
                <w:rFonts w:hint="eastAsia" w:ascii="宋体" w:hAnsi="宋体" w:cs="宋体"/>
                <w:color w:val="auto"/>
                <w:szCs w:val="21"/>
                <w:highlight w:val="none"/>
              </w:rPr>
            </w:pPr>
          </w:p>
        </w:tc>
        <w:tc>
          <w:tcPr>
            <w:tcW w:w="1861" w:type="dxa"/>
            <w:vAlign w:val="center"/>
          </w:tcPr>
          <w:p w14:paraId="3E43BDC3">
            <w:pPr>
              <w:pageBreakBefore w:val="0"/>
              <w:shd w:val="clear"/>
              <w:topLinePunct w:val="0"/>
              <w:bidi w:val="0"/>
              <w:spacing w:after="0" w:line="360" w:lineRule="auto"/>
              <w:jc w:val="center"/>
              <w:rPr>
                <w:rFonts w:hint="eastAsia" w:ascii="宋体" w:hAnsi="宋体" w:cs="宋体"/>
                <w:color w:val="auto"/>
                <w:szCs w:val="21"/>
                <w:highlight w:val="none"/>
              </w:rPr>
            </w:pPr>
          </w:p>
        </w:tc>
        <w:tc>
          <w:tcPr>
            <w:tcW w:w="702" w:type="dxa"/>
            <w:vAlign w:val="center"/>
          </w:tcPr>
          <w:p w14:paraId="4A378FC5">
            <w:pPr>
              <w:pageBreakBefore w:val="0"/>
              <w:shd w:val="clear"/>
              <w:topLinePunct w:val="0"/>
              <w:bidi w:val="0"/>
              <w:spacing w:after="0" w:line="360" w:lineRule="auto"/>
              <w:jc w:val="center"/>
              <w:rPr>
                <w:rFonts w:hint="eastAsia" w:ascii="宋体" w:hAnsi="宋体" w:cs="宋体"/>
                <w:color w:val="auto"/>
                <w:szCs w:val="21"/>
                <w:highlight w:val="none"/>
              </w:rPr>
            </w:pPr>
          </w:p>
        </w:tc>
        <w:tc>
          <w:tcPr>
            <w:tcW w:w="702" w:type="dxa"/>
            <w:vAlign w:val="center"/>
          </w:tcPr>
          <w:p w14:paraId="2263C7FF">
            <w:pPr>
              <w:pageBreakBefore w:val="0"/>
              <w:shd w:val="clear"/>
              <w:topLinePunct w:val="0"/>
              <w:bidi w:val="0"/>
              <w:spacing w:after="0" w:line="360" w:lineRule="auto"/>
              <w:jc w:val="center"/>
              <w:rPr>
                <w:rFonts w:hint="eastAsia" w:ascii="宋体" w:hAnsi="宋体" w:cs="宋体"/>
                <w:color w:val="auto"/>
                <w:szCs w:val="21"/>
                <w:highlight w:val="none"/>
              </w:rPr>
            </w:pPr>
          </w:p>
        </w:tc>
        <w:tc>
          <w:tcPr>
            <w:tcW w:w="1164" w:type="dxa"/>
            <w:vAlign w:val="center"/>
          </w:tcPr>
          <w:p w14:paraId="22EE9239">
            <w:pPr>
              <w:pageBreakBefore w:val="0"/>
              <w:shd w:val="clear"/>
              <w:topLinePunct w:val="0"/>
              <w:bidi w:val="0"/>
              <w:spacing w:after="0" w:line="360" w:lineRule="auto"/>
              <w:jc w:val="center"/>
              <w:rPr>
                <w:rFonts w:hint="eastAsia" w:ascii="宋体" w:hAnsi="宋体" w:cs="宋体"/>
                <w:color w:val="auto"/>
                <w:szCs w:val="21"/>
                <w:highlight w:val="none"/>
              </w:rPr>
            </w:pPr>
          </w:p>
        </w:tc>
        <w:tc>
          <w:tcPr>
            <w:tcW w:w="818" w:type="dxa"/>
            <w:vAlign w:val="center"/>
          </w:tcPr>
          <w:p w14:paraId="14CAA1F3">
            <w:pPr>
              <w:pageBreakBefore w:val="0"/>
              <w:shd w:val="clear"/>
              <w:topLinePunct w:val="0"/>
              <w:bidi w:val="0"/>
              <w:spacing w:after="0" w:line="360" w:lineRule="auto"/>
              <w:jc w:val="center"/>
              <w:rPr>
                <w:rFonts w:hint="eastAsia" w:ascii="宋体" w:hAnsi="宋体" w:cs="宋体"/>
                <w:color w:val="auto"/>
                <w:szCs w:val="21"/>
                <w:highlight w:val="none"/>
              </w:rPr>
            </w:pPr>
          </w:p>
        </w:tc>
        <w:tc>
          <w:tcPr>
            <w:tcW w:w="1165" w:type="dxa"/>
            <w:vAlign w:val="center"/>
          </w:tcPr>
          <w:p w14:paraId="79DB3C38">
            <w:pPr>
              <w:pageBreakBefore w:val="0"/>
              <w:shd w:val="clear"/>
              <w:topLinePunct w:val="0"/>
              <w:bidi w:val="0"/>
              <w:spacing w:after="0" w:line="360" w:lineRule="auto"/>
              <w:jc w:val="center"/>
              <w:rPr>
                <w:rFonts w:hint="eastAsia" w:ascii="宋体" w:hAnsi="宋体" w:cs="宋体"/>
                <w:color w:val="auto"/>
                <w:szCs w:val="21"/>
                <w:highlight w:val="none"/>
              </w:rPr>
            </w:pPr>
          </w:p>
        </w:tc>
        <w:tc>
          <w:tcPr>
            <w:tcW w:w="703" w:type="dxa"/>
            <w:tcBorders>
              <w:right w:val="single" w:color="auto" w:sz="6" w:space="0"/>
            </w:tcBorders>
            <w:vAlign w:val="center"/>
          </w:tcPr>
          <w:p w14:paraId="4B1E6643">
            <w:pPr>
              <w:pageBreakBefore w:val="0"/>
              <w:shd w:val="clear"/>
              <w:topLinePunct w:val="0"/>
              <w:bidi w:val="0"/>
              <w:spacing w:after="0" w:line="360" w:lineRule="auto"/>
              <w:jc w:val="center"/>
              <w:rPr>
                <w:rFonts w:hint="eastAsia" w:ascii="宋体" w:hAnsi="宋体" w:cs="宋体"/>
                <w:color w:val="auto"/>
                <w:szCs w:val="21"/>
                <w:highlight w:val="none"/>
              </w:rPr>
            </w:pPr>
          </w:p>
        </w:tc>
      </w:tr>
      <w:tr w14:paraId="34898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2" w:type="dxa"/>
            <w:vAlign w:val="center"/>
          </w:tcPr>
          <w:p w14:paraId="3CF0415B">
            <w:pPr>
              <w:pageBreakBefore w:val="0"/>
              <w:shd w:val="clear"/>
              <w:topLinePunct w:val="0"/>
              <w:bidi w:val="0"/>
              <w:spacing w:after="0" w:line="360" w:lineRule="auto"/>
              <w:jc w:val="center"/>
              <w:rPr>
                <w:rFonts w:hint="eastAsia" w:ascii="宋体" w:hAnsi="宋体" w:cs="宋体"/>
                <w:color w:val="auto"/>
                <w:szCs w:val="21"/>
                <w:highlight w:val="none"/>
              </w:rPr>
            </w:pPr>
          </w:p>
        </w:tc>
        <w:tc>
          <w:tcPr>
            <w:tcW w:w="702" w:type="dxa"/>
            <w:vAlign w:val="center"/>
          </w:tcPr>
          <w:p w14:paraId="4BFB10E0">
            <w:pPr>
              <w:pageBreakBefore w:val="0"/>
              <w:shd w:val="clear"/>
              <w:topLinePunct w:val="0"/>
              <w:bidi w:val="0"/>
              <w:spacing w:after="0" w:line="360" w:lineRule="auto"/>
              <w:jc w:val="center"/>
              <w:rPr>
                <w:rFonts w:hint="eastAsia" w:ascii="宋体" w:hAnsi="宋体" w:cs="宋体"/>
                <w:color w:val="auto"/>
                <w:szCs w:val="21"/>
                <w:highlight w:val="none"/>
              </w:rPr>
            </w:pPr>
          </w:p>
        </w:tc>
        <w:tc>
          <w:tcPr>
            <w:tcW w:w="1861" w:type="dxa"/>
            <w:vAlign w:val="center"/>
          </w:tcPr>
          <w:p w14:paraId="309CBECC">
            <w:pPr>
              <w:pageBreakBefore w:val="0"/>
              <w:shd w:val="clear"/>
              <w:topLinePunct w:val="0"/>
              <w:bidi w:val="0"/>
              <w:spacing w:after="0" w:line="360" w:lineRule="auto"/>
              <w:jc w:val="center"/>
              <w:rPr>
                <w:rFonts w:hint="eastAsia" w:ascii="宋体" w:hAnsi="宋体" w:cs="宋体"/>
                <w:color w:val="auto"/>
                <w:szCs w:val="21"/>
                <w:highlight w:val="none"/>
              </w:rPr>
            </w:pPr>
          </w:p>
        </w:tc>
        <w:tc>
          <w:tcPr>
            <w:tcW w:w="702" w:type="dxa"/>
            <w:vAlign w:val="center"/>
          </w:tcPr>
          <w:p w14:paraId="4FB954C0">
            <w:pPr>
              <w:pageBreakBefore w:val="0"/>
              <w:shd w:val="clear"/>
              <w:topLinePunct w:val="0"/>
              <w:bidi w:val="0"/>
              <w:spacing w:after="0" w:line="360" w:lineRule="auto"/>
              <w:jc w:val="center"/>
              <w:rPr>
                <w:rFonts w:hint="eastAsia" w:ascii="宋体" w:hAnsi="宋体" w:cs="宋体"/>
                <w:color w:val="auto"/>
                <w:szCs w:val="21"/>
                <w:highlight w:val="none"/>
              </w:rPr>
            </w:pPr>
          </w:p>
        </w:tc>
        <w:tc>
          <w:tcPr>
            <w:tcW w:w="702" w:type="dxa"/>
            <w:vAlign w:val="center"/>
          </w:tcPr>
          <w:p w14:paraId="45F4EE48">
            <w:pPr>
              <w:pageBreakBefore w:val="0"/>
              <w:shd w:val="clear"/>
              <w:topLinePunct w:val="0"/>
              <w:bidi w:val="0"/>
              <w:spacing w:after="0" w:line="360" w:lineRule="auto"/>
              <w:jc w:val="center"/>
              <w:rPr>
                <w:rFonts w:hint="eastAsia" w:ascii="宋体" w:hAnsi="宋体" w:cs="宋体"/>
                <w:color w:val="auto"/>
                <w:szCs w:val="21"/>
                <w:highlight w:val="none"/>
              </w:rPr>
            </w:pPr>
          </w:p>
        </w:tc>
        <w:tc>
          <w:tcPr>
            <w:tcW w:w="1164" w:type="dxa"/>
            <w:vAlign w:val="center"/>
          </w:tcPr>
          <w:p w14:paraId="15B14674">
            <w:pPr>
              <w:pageBreakBefore w:val="0"/>
              <w:shd w:val="clear"/>
              <w:topLinePunct w:val="0"/>
              <w:bidi w:val="0"/>
              <w:spacing w:after="0" w:line="360" w:lineRule="auto"/>
              <w:jc w:val="center"/>
              <w:rPr>
                <w:rFonts w:hint="eastAsia" w:ascii="宋体" w:hAnsi="宋体" w:cs="宋体"/>
                <w:color w:val="auto"/>
                <w:szCs w:val="21"/>
                <w:highlight w:val="none"/>
              </w:rPr>
            </w:pPr>
          </w:p>
        </w:tc>
        <w:tc>
          <w:tcPr>
            <w:tcW w:w="818" w:type="dxa"/>
            <w:vAlign w:val="center"/>
          </w:tcPr>
          <w:p w14:paraId="4F7B6023">
            <w:pPr>
              <w:pageBreakBefore w:val="0"/>
              <w:shd w:val="clear"/>
              <w:topLinePunct w:val="0"/>
              <w:bidi w:val="0"/>
              <w:spacing w:after="0" w:line="360" w:lineRule="auto"/>
              <w:jc w:val="center"/>
              <w:rPr>
                <w:rFonts w:hint="eastAsia" w:ascii="宋体" w:hAnsi="宋体" w:cs="宋体"/>
                <w:color w:val="auto"/>
                <w:szCs w:val="21"/>
                <w:highlight w:val="none"/>
              </w:rPr>
            </w:pPr>
          </w:p>
        </w:tc>
        <w:tc>
          <w:tcPr>
            <w:tcW w:w="1165" w:type="dxa"/>
            <w:vAlign w:val="center"/>
          </w:tcPr>
          <w:p w14:paraId="00D04FAE">
            <w:pPr>
              <w:pageBreakBefore w:val="0"/>
              <w:shd w:val="clear"/>
              <w:topLinePunct w:val="0"/>
              <w:bidi w:val="0"/>
              <w:spacing w:after="0" w:line="360" w:lineRule="auto"/>
              <w:jc w:val="center"/>
              <w:rPr>
                <w:rFonts w:hint="eastAsia" w:ascii="宋体" w:hAnsi="宋体" w:cs="宋体"/>
                <w:color w:val="auto"/>
                <w:szCs w:val="21"/>
                <w:highlight w:val="none"/>
              </w:rPr>
            </w:pPr>
          </w:p>
        </w:tc>
        <w:tc>
          <w:tcPr>
            <w:tcW w:w="703" w:type="dxa"/>
            <w:tcBorders>
              <w:right w:val="single" w:color="auto" w:sz="6" w:space="0"/>
            </w:tcBorders>
            <w:vAlign w:val="center"/>
          </w:tcPr>
          <w:p w14:paraId="1F44E885">
            <w:pPr>
              <w:pageBreakBefore w:val="0"/>
              <w:shd w:val="clear"/>
              <w:topLinePunct w:val="0"/>
              <w:bidi w:val="0"/>
              <w:spacing w:after="0" w:line="360" w:lineRule="auto"/>
              <w:jc w:val="center"/>
              <w:rPr>
                <w:rFonts w:hint="eastAsia" w:ascii="宋体" w:hAnsi="宋体" w:cs="宋体"/>
                <w:color w:val="auto"/>
                <w:szCs w:val="21"/>
                <w:highlight w:val="none"/>
              </w:rPr>
            </w:pPr>
          </w:p>
        </w:tc>
      </w:tr>
      <w:tr w14:paraId="76155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2" w:type="dxa"/>
            <w:vAlign w:val="center"/>
          </w:tcPr>
          <w:p w14:paraId="6A02B73B">
            <w:pPr>
              <w:pageBreakBefore w:val="0"/>
              <w:shd w:val="clear"/>
              <w:topLinePunct w:val="0"/>
              <w:bidi w:val="0"/>
              <w:spacing w:after="0" w:line="360" w:lineRule="auto"/>
              <w:jc w:val="center"/>
              <w:rPr>
                <w:rFonts w:hint="eastAsia" w:ascii="宋体" w:hAnsi="宋体" w:cs="宋体"/>
                <w:color w:val="auto"/>
                <w:szCs w:val="21"/>
                <w:highlight w:val="none"/>
              </w:rPr>
            </w:pPr>
          </w:p>
        </w:tc>
        <w:tc>
          <w:tcPr>
            <w:tcW w:w="702" w:type="dxa"/>
            <w:vAlign w:val="center"/>
          </w:tcPr>
          <w:p w14:paraId="5780BD2F">
            <w:pPr>
              <w:pageBreakBefore w:val="0"/>
              <w:shd w:val="clear"/>
              <w:topLinePunct w:val="0"/>
              <w:bidi w:val="0"/>
              <w:spacing w:after="0" w:line="360" w:lineRule="auto"/>
              <w:jc w:val="center"/>
              <w:rPr>
                <w:rFonts w:hint="eastAsia" w:ascii="宋体" w:hAnsi="宋体" w:cs="宋体"/>
                <w:color w:val="auto"/>
                <w:szCs w:val="21"/>
                <w:highlight w:val="none"/>
              </w:rPr>
            </w:pPr>
          </w:p>
        </w:tc>
        <w:tc>
          <w:tcPr>
            <w:tcW w:w="1861" w:type="dxa"/>
            <w:vAlign w:val="center"/>
          </w:tcPr>
          <w:p w14:paraId="5F55C12F">
            <w:pPr>
              <w:pageBreakBefore w:val="0"/>
              <w:shd w:val="clear"/>
              <w:topLinePunct w:val="0"/>
              <w:bidi w:val="0"/>
              <w:spacing w:after="0" w:line="360" w:lineRule="auto"/>
              <w:jc w:val="center"/>
              <w:rPr>
                <w:rFonts w:hint="eastAsia" w:ascii="宋体" w:hAnsi="宋体" w:cs="宋体"/>
                <w:color w:val="auto"/>
                <w:szCs w:val="21"/>
                <w:highlight w:val="none"/>
              </w:rPr>
            </w:pPr>
          </w:p>
        </w:tc>
        <w:tc>
          <w:tcPr>
            <w:tcW w:w="702" w:type="dxa"/>
            <w:vAlign w:val="center"/>
          </w:tcPr>
          <w:p w14:paraId="08B99294">
            <w:pPr>
              <w:pageBreakBefore w:val="0"/>
              <w:shd w:val="clear"/>
              <w:topLinePunct w:val="0"/>
              <w:bidi w:val="0"/>
              <w:spacing w:after="0" w:line="360" w:lineRule="auto"/>
              <w:jc w:val="center"/>
              <w:rPr>
                <w:rFonts w:hint="eastAsia" w:ascii="宋体" w:hAnsi="宋体" w:cs="宋体"/>
                <w:color w:val="auto"/>
                <w:szCs w:val="21"/>
                <w:highlight w:val="none"/>
              </w:rPr>
            </w:pPr>
          </w:p>
        </w:tc>
        <w:tc>
          <w:tcPr>
            <w:tcW w:w="702" w:type="dxa"/>
            <w:vAlign w:val="center"/>
          </w:tcPr>
          <w:p w14:paraId="77C9C024">
            <w:pPr>
              <w:pageBreakBefore w:val="0"/>
              <w:shd w:val="clear"/>
              <w:topLinePunct w:val="0"/>
              <w:bidi w:val="0"/>
              <w:spacing w:after="0" w:line="360" w:lineRule="auto"/>
              <w:jc w:val="center"/>
              <w:rPr>
                <w:rFonts w:hint="eastAsia" w:ascii="宋体" w:hAnsi="宋体" w:cs="宋体"/>
                <w:color w:val="auto"/>
                <w:szCs w:val="21"/>
                <w:highlight w:val="none"/>
              </w:rPr>
            </w:pPr>
          </w:p>
        </w:tc>
        <w:tc>
          <w:tcPr>
            <w:tcW w:w="1164" w:type="dxa"/>
            <w:vAlign w:val="center"/>
          </w:tcPr>
          <w:p w14:paraId="022BE2A8">
            <w:pPr>
              <w:pageBreakBefore w:val="0"/>
              <w:shd w:val="clear"/>
              <w:topLinePunct w:val="0"/>
              <w:bidi w:val="0"/>
              <w:spacing w:after="0" w:line="360" w:lineRule="auto"/>
              <w:jc w:val="center"/>
              <w:rPr>
                <w:rFonts w:hint="eastAsia" w:ascii="宋体" w:hAnsi="宋体" w:cs="宋体"/>
                <w:color w:val="auto"/>
                <w:szCs w:val="21"/>
                <w:highlight w:val="none"/>
              </w:rPr>
            </w:pPr>
          </w:p>
        </w:tc>
        <w:tc>
          <w:tcPr>
            <w:tcW w:w="818" w:type="dxa"/>
            <w:vAlign w:val="center"/>
          </w:tcPr>
          <w:p w14:paraId="56C48BA6">
            <w:pPr>
              <w:pageBreakBefore w:val="0"/>
              <w:shd w:val="clear"/>
              <w:topLinePunct w:val="0"/>
              <w:bidi w:val="0"/>
              <w:spacing w:after="0" w:line="360" w:lineRule="auto"/>
              <w:jc w:val="center"/>
              <w:rPr>
                <w:rFonts w:hint="eastAsia" w:ascii="宋体" w:hAnsi="宋体" w:cs="宋体"/>
                <w:color w:val="auto"/>
                <w:szCs w:val="21"/>
                <w:highlight w:val="none"/>
              </w:rPr>
            </w:pPr>
          </w:p>
        </w:tc>
        <w:tc>
          <w:tcPr>
            <w:tcW w:w="1165" w:type="dxa"/>
            <w:vAlign w:val="center"/>
          </w:tcPr>
          <w:p w14:paraId="59D80D61">
            <w:pPr>
              <w:pageBreakBefore w:val="0"/>
              <w:shd w:val="clear"/>
              <w:topLinePunct w:val="0"/>
              <w:bidi w:val="0"/>
              <w:spacing w:after="0" w:line="360" w:lineRule="auto"/>
              <w:jc w:val="center"/>
              <w:rPr>
                <w:rFonts w:hint="eastAsia" w:ascii="宋体" w:hAnsi="宋体" w:cs="宋体"/>
                <w:color w:val="auto"/>
                <w:szCs w:val="21"/>
                <w:highlight w:val="none"/>
              </w:rPr>
            </w:pPr>
          </w:p>
        </w:tc>
        <w:tc>
          <w:tcPr>
            <w:tcW w:w="703" w:type="dxa"/>
            <w:tcBorders>
              <w:right w:val="single" w:color="auto" w:sz="6" w:space="0"/>
            </w:tcBorders>
            <w:vAlign w:val="center"/>
          </w:tcPr>
          <w:p w14:paraId="100DD114">
            <w:pPr>
              <w:pageBreakBefore w:val="0"/>
              <w:shd w:val="clear"/>
              <w:topLinePunct w:val="0"/>
              <w:bidi w:val="0"/>
              <w:spacing w:after="0" w:line="360" w:lineRule="auto"/>
              <w:jc w:val="center"/>
              <w:rPr>
                <w:rFonts w:hint="eastAsia" w:ascii="宋体" w:hAnsi="宋体" w:cs="宋体"/>
                <w:color w:val="auto"/>
                <w:szCs w:val="21"/>
                <w:highlight w:val="none"/>
              </w:rPr>
            </w:pPr>
          </w:p>
        </w:tc>
      </w:tr>
      <w:tr w14:paraId="7F949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2" w:type="dxa"/>
            <w:vAlign w:val="center"/>
          </w:tcPr>
          <w:p w14:paraId="590F032A">
            <w:pPr>
              <w:pageBreakBefore w:val="0"/>
              <w:shd w:val="clear"/>
              <w:topLinePunct w:val="0"/>
              <w:bidi w:val="0"/>
              <w:spacing w:after="0" w:line="360" w:lineRule="auto"/>
              <w:jc w:val="center"/>
              <w:rPr>
                <w:rFonts w:hint="eastAsia" w:ascii="宋体" w:hAnsi="宋体" w:cs="宋体"/>
                <w:color w:val="auto"/>
                <w:szCs w:val="21"/>
                <w:highlight w:val="none"/>
              </w:rPr>
            </w:pPr>
          </w:p>
        </w:tc>
        <w:tc>
          <w:tcPr>
            <w:tcW w:w="702" w:type="dxa"/>
            <w:vAlign w:val="center"/>
          </w:tcPr>
          <w:p w14:paraId="7D061D2D">
            <w:pPr>
              <w:pageBreakBefore w:val="0"/>
              <w:shd w:val="clear"/>
              <w:topLinePunct w:val="0"/>
              <w:bidi w:val="0"/>
              <w:spacing w:after="0" w:line="360" w:lineRule="auto"/>
              <w:jc w:val="center"/>
              <w:rPr>
                <w:rFonts w:hint="eastAsia" w:ascii="宋体" w:hAnsi="宋体" w:cs="宋体"/>
                <w:color w:val="auto"/>
                <w:szCs w:val="21"/>
                <w:highlight w:val="none"/>
              </w:rPr>
            </w:pPr>
          </w:p>
        </w:tc>
        <w:tc>
          <w:tcPr>
            <w:tcW w:w="1861" w:type="dxa"/>
            <w:vAlign w:val="center"/>
          </w:tcPr>
          <w:p w14:paraId="769B83F5">
            <w:pPr>
              <w:pageBreakBefore w:val="0"/>
              <w:shd w:val="clear"/>
              <w:topLinePunct w:val="0"/>
              <w:bidi w:val="0"/>
              <w:spacing w:after="0" w:line="360" w:lineRule="auto"/>
              <w:jc w:val="center"/>
              <w:rPr>
                <w:rFonts w:hint="eastAsia" w:ascii="宋体" w:hAnsi="宋体" w:cs="宋体"/>
                <w:color w:val="auto"/>
                <w:szCs w:val="21"/>
                <w:highlight w:val="none"/>
              </w:rPr>
            </w:pPr>
          </w:p>
        </w:tc>
        <w:tc>
          <w:tcPr>
            <w:tcW w:w="702" w:type="dxa"/>
            <w:vAlign w:val="center"/>
          </w:tcPr>
          <w:p w14:paraId="35DFED4F">
            <w:pPr>
              <w:pageBreakBefore w:val="0"/>
              <w:shd w:val="clear"/>
              <w:topLinePunct w:val="0"/>
              <w:bidi w:val="0"/>
              <w:spacing w:after="0" w:line="360" w:lineRule="auto"/>
              <w:jc w:val="center"/>
              <w:rPr>
                <w:rFonts w:hint="eastAsia" w:ascii="宋体" w:hAnsi="宋体" w:cs="宋体"/>
                <w:color w:val="auto"/>
                <w:szCs w:val="21"/>
                <w:highlight w:val="none"/>
              </w:rPr>
            </w:pPr>
          </w:p>
        </w:tc>
        <w:tc>
          <w:tcPr>
            <w:tcW w:w="702" w:type="dxa"/>
            <w:vAlign w:val="center"/>
          </w:tcPr>
          <w:p w14:paraId="1A9DEFDE">
            <w:pPr>
              <w:pageBreakBefore w:val="0"/>
              <w:shd w:val="clear"/>
              <w:topLinePunct w:val="0"/>
              <w:bidi w:val="0"/>
              <w:spacing w:after="0" w:line="360" w:lineRule="auto"/>
              <w:jc w:val="center"/>
              <w:rPr>
                <w:rFonts w:hint="eastAsia" w:ascii="宋体" w:hAnsi="宋体" w:cs="宋体"/>
                <w:color w:val="auto"/>
                <w:szCs w:val="21"/>
                <w:highlight w:val="none"/>
              </w:rPr>
            </w:pPr>
          </w:p>
        </w:tc>
        <w:tc>
          <w:tcPr>
            <w:tcW w:w="1164" w:type="dxa"/>
            <w:vAlign w:val="center"/>
          </w:tcPr>
          <w:p w14:paraId="3E9AFF64">
            <w:pPr>
              <w:pageBreakBefore w:val="0"/>
              <w:shd w:val="clear"/>
              <w:topLinePunct w:val="0"/>
              <w:bidi w:val="0"/>
              <w:spacing w:after="0" w:line="360" w:lineRule="auto"/>
              <w:jc w:val="center"/>
              <w:rPr>
                <w:rFonts w:hint="eastAsia" w:ascii="宋体" w:hAnsi="宋体" w:cs="宋体"/>
                <w:color w:val="auto"/>
                <w:szCs w:val="21"/>
                <w:highlight w:val="none"/>
              </w:rPr>
            </w:pPr>
          </w:p>
        </w:tc>
        <w:tc>
          <w:tcPr>
            <w:tcW w:w="818" w:type="dxa"/>
            <w:vAlign w:val="center"/>
          </w:tcPr>
          <w:p w14:paraId="4DD0F5D2">
            <w:pPr>
              <w:pageBreakBefore w:val="0"/>
              <w:shd w:val="clear"/>
              <w:topLinePunct w:val="0"/>
              <w:bidi w:val="0"/>
              <w:spacing w:after="0" w:line="360" w:lineRule="auto"/>
              <w:jc w:val="center"/>
              <w:rPr>
                <w:rFonts w:hint="eastAsia" w:ascii="宋体" w:hAnsi="宋体" w:cs="宋体"/>
                <w:color w:val="auto"/>
                <w:szCs w:val="21"/>
                <w:highlight w:val="none"/>
              </w:rPr>
            </w:pPr>
          </w:p>
        </w:tc>
        <w:tc>
          <w:tcPr>
            <w:tcW w:w="1165" w:type="dxa"/>
            <w:vAlign w:val="center"/>
          </w:tcPr>
          <w:p w14:paraId="3F1889B2">
            <w:pPr>
              <w:pageBreakBefore w:val="0"/>
              <w:shd w:val="clear"/>
              <w:topLinePunct w:val="0"/>
              <w:bidi w:val="0"/>
              <w:spacing w:after="0" w:line="360" w:lineRule="auto"/>
              <w:jc w:val="center"/>
              <w:rPr>
                <w:rFonts w:hint="eastAsia" w:ascii="宋体" w:hAnsi="宋体" w:cs="宋体"/>
                <w:color w:val="auto"/>
                <w:szCs w:val="21"/>
                <w:highlight w:val="none"/>
              </w:rPr>
            </w:pPr>
          </w:p>
        </w:tc>
        <w:tc>
          <w:tcPr>
            <w:tcW w:w="703" w:type="dxa"/>
            <w:tcBorders>
              <w:right w:val="single" w:color="auto" w:sz="6" w:space="0"/>
            </w:tcBorders>
            <w:vAlign w:val="center"/>
          </w:tcPr>
          <w:p w14:paraId="7B5BA700">
            <w:pPr>
              <w:pageBreakBefore w:val="0"/>
              <w:shd w:val="clear"/>
              <w:topLinePunct w:val="0"/>
              <w:bidi w:val="0"/>
              <w:spacing w:after="0" w:line="360" w:lineRule="auto"/>
              <w:jc w:val="center"/>
              <w:rPr>
                <w:rFonts w:hint="eastAsia" w:ascii="宋体" w:hAnsi="宋体" w:cs="宋体"/>
                <w:color w:val="auto"/>
                <w:szCs w:val="21"/>
                <w:highlight w:val="none"/>
              </w:rPr>
            </w:pPr>
          </w:p>
        </w:tc>
      </w:tr>
      <w:tr w14:paraId="49EEF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2" w:type="dxa"/>
            <w:vAlign w:val="center"/>
          </w:tcPr>
          <w:p w14:paraId="0E0F677C">
            <w:pPr>
              <w:pageBreakBefore w:val="0"/>
              <w:shd w:val="clear"/>
              <w:topLinePunct w:val="0"/>
              <w:bidi w:val="0"/>
              <w:spacing w:after="0" w:line="360" w:lineRule="auto"/>
              <w:jc w:val="center"/>
              <w:rPr>
                <w:rFonts w:hint="eastAsia" w:ascii="宋体" w:hAnsi="宋体" w:cs="宋体"/>
                <w:color w:val="auto"/>
                <w:szCs w:val="21"/>
                <w:highlight w:val="none"/>
              </w:rPr>
            </w:pPr>
          </w:p>
        </w:tc>
        <w:tc>
          <w:tcPr>
            <w:tcW w:w="702" w:type="dxa"/>
            <w:vAlign w:val="center"/>
          </w:tcPr>
          <w:p w14:paraId="16A5C385">
            <w:pPr>
              <w:pageBreakBefore w:val="0"/>
              <w:shd w:val="clear"/>
              <w:topLinePunct w:val="0"/>
              <w:bidi w:val="0"/>
              <w:spacing w:after="0" w:line="360" w:lineRule="auto"/>
              <w:jc w:val="center"/>
              <w:rPr>
                <w:rFonts w:hint="eastAsia" w:ascii="宋体" w:hAnsi="宋体" w:cs="宋体"/>
                <w:color w:val="auto"/>
                <w:szCs w:val="21"/>
                <w:highlight w:val="none"/>
              </w:rPr>
            </w:pPr>
          </w:p>
        </w:tc>
        <w:tc>
          <w:tcPr>
            <w:tcW w:w="1861" w:type="dxa"/>
            <w:vAlign w:val="center"/>
          </w:tcPr>
          <w:p w14:paraId="1E758FD3">
            <w:pPr>
              <w:pageBreakBefore w:val="0"/>
              <w:shd w:val="clear"/>
              <w:topLinePunct w:val="0"/>
              <w:bidi w:val="0"/>
              <w:spacing w:after="0" w:line="360" w:lineRule="auto"/>
              <w:jc w:val="center"/>
              <w:rPr>
                <w:rFonts w:hint="eastAsia" w:ascii="宋体" w:hAnsi="宋体" w:cs="宋体"/>
                <w:color w:val="auto"/>
                <w:szCs w:val="21"/>
                <w:highlight w:val="none"/>
              </w:rPr>
            </w:pPr>
          </w:p>
        </w:tc>
        <w:tc>
          <w:tcPr>
            <w:tcW w:w="702" w:type="dxa"/>
            <w:vAlign w:val="center"/>
          </w:tcPr>
          <w:p w14:paraId="5A10E3E4">
            <w:pPr>
              <w:pageBreakBefore w:val="0"/>
              <w:shd w:val="clear"/>
              <w:topLinePunct w:val="0"/>
              <w:bidi w:val="0"/>
              <w:spacing w:after="0" w:line="360" w:lineRule="auto"/>
              <w:jc w:val="center"/>
              <w:rPr>
                <w:rFonts w:hint="eastAsia" w:ascii="宋体" w:hAnsi="宋体" w:cs="宋体"/>
                <w:color w:val="auto"/>
                <w:szCs w:val="21"/>
                <w:highlight w:val="none"/>
              </w:rPr>
            </w:pPr>
          </w:p>
        </w:tc>
        <w:tc>
          <w:tcPr>
            <w:tcW w:w="702" w:type="dxa"/>
            <w:vAlign w:val="center"/>
          </w:tcPr>
          <w:p w14:paraId="5E8A4780">
            <w:pPr>
              <w:pageBreakBefore w:val="0"/>
              <w:shd w:val="clear"/>
              <w:topLinePunct w:val="0"/>
              <w:bidi w:val="0"/>
              <w:spacing w:after="0" w:line="360" w:lineRule="auto"/>
              <w:jc w:val="center"/>
              <w:rPr>
                <w:rFonts w:hint="eastAsia" w:ascii="宋体" w:hAnsi="宋体" w:cs="宋体"/>
                <w:color w:val="auto"/>
                <w:szCs w:val="21"/>
                <w:highlight w:val="none"/>
              </w:rPr>
            </w:pPr>
          </w:p>
        </w:tc>
        <w:tc>
          <w:tcPr>
            <w:tcW w:w="1164" w:type="dxa"/>
            <w:vAlign w:val="center"/>
          </w:tcPr>
          <w:p w14:paraId="223E0AEE">
            <w:pPr>
              <w:pageBreakBefore w:val="0"/>
              <w:shd w:val="clear"/>
              <w:topLinePunct w:val="0"/>
              <w:bidi w:val="0"/>
              <w:spacing w:after="0" w:line="360" w:lineRule="auto"/>
              <w:jc w:val="center"/>
              <w:rPr>
                <w:rFonts w:hint="eastAsia" w:ascii="宋体" w:hAnsi="宋体" w:cs="宋体"/>
                <w:color w:val="auto"/>
                <w:szCs w:val="21"/>
                <w:highlight w:val="none"/>
              </w:rPr>
            </w:pPr>
          </w:p>
        </w:tc>
        <w:tc>
          <w:tcPr>
            <w:tcW w:w="818" w:type="dxa"/>
            <w:vAlign w:val="center"/>
          </w:tcPr>
          <w:p w14:paraId="1C7EA8D7">
            <w:pPr>
              <w:pageBreakBefore w:val="0"/>
              <w:shd w:val="clear"/>
              <w:topLinePunct w:val="0"/>
              <w:bidi w:val="0"/>
              <w:spacing w:after="0" w:line="360" w:lineRule="auto"/>
              <w:jc w:val="center"/>
              <w:rPr>
                <w:rFonts w:hint="eastAsia" w:ascii="宋体" w:hAnsi="宋体" w:cs="宋体"/>
                <w:color w:val="auto"/>
                <w:szCs w:val="21"/>
                <w:highlight w:val="none"/>
              </w:rPr>
            </w:pPr>
          </w:p>
        </w:tc>
        <w:tc>
          <w:tcPr>
            <w:tcW w:w="1165" w:type="dxa"/>
            <w:vAlign w:val="center"/>
          </w:tcPr>
          <w:p w14:paraId="69A0F1CC">
            <w:pPr>
              <w:pageBreakBefore w:val="0"/>
              <w:shd w:val="clear"/>
              <w:topLinePunct w:val="0"/>
              <w:bidi w:val="0"/>
              <w:spacing w:after="0" w:line="360" w:lineRule="auto"/>
              <w:jc w:val="center"/>
              <w:rPr>
                <w:rFonts w:hint="eastAsia" w:ascii="宋体" w:hAnsi="宋体" w:cs="宋体"/>
                <w:color w:val="auto"/>
                <w:szCs w:val="21"/>
                <w:highlight w:val="none"/>
              </w:rPr>
            </w:pPr>
          </w:p>
        </w:tc>
        <w:tc>
          <w:tcPr>
            <w:tcW w:w="703" w:type="dxa"/>
            <w:tcBorders>
              <w:right w:val="single" w:color="auto" w:sz="6" w:space="0"/>
            </w:tcBorders>
            <w:vAlign w:val="center"/>
          </w:tcPr>
          <w:p w14:paraId="3F9810D6">
            <w:pPr>
              <w:pageBreakBefore w:val="0"/>
              <w:shd w:val="clear"/>
              <w:topLinePunct w:val="0"/>
              <w:bidi w:val="0"/>
              <w:spacing w:after="0" w:line="360" w:lineRule="auto"/>
              <w:jc w:val="center"/>
              <w:rPr>
                <w:rFonts w:hint="eastAsia" w:ascii="宋体" w:hAnsi="宋体" w:cs="宋体"/>
                <w:color w:val="auto"/>
                <w:szCs w:val="21"/>
                <w:highlight w:val="none"/>
              </w:rPr>
            </w:pPr>
          </w:p>
        </w:tc>
      </w:tr>
      <w:tr w14:paraId="3EE47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2" w:type="dxa"/>
            <w:vAlign w:val="center"/>
          </w:tcPr>
          <w:p w14:paraId="67AD22FE">
            <w:pPr>
              <w:pageBreakBefore w:val="0"/>
              <w:shd w:val="clear"/>
              <w:topLinePunct w:val="0"/>
              <w:bidi w:val="0"/>
              <w:spacing w:after="0" w:line="360" w:lineRule="auto"/>
              <w:jc w:val="center"/>
              <w:rPr>
                <w:rFonts w:hint="eastAsia" w:ascii="宋体" w:hAnsi="宋体" w:cs="宋体"/>
                <w:color w:val="auto"/>
                <w:szCs w:val="21"/>
                <w:highlight w:val="none"/>
              </w:rPr>
            </w:pPr>
          </w:p>
        </w:tc>
        <w:tc>
          <w:tcPr>
            <w:tcW w:w="702" w:type="dxa"/>
            <w:vAlign w:val="center"/>
          </w:tcPr>
          <w:p w14:paraId="25E49217">
            <w:pPr>
              <w:pageBreakBefore w:val="0"/>
              <w:shd w:val="clear"/>
              <w:topLinePunct w:val="0"/>
              <w:bidi w:val="0"/>
              <w:spacing w:after="0" w:line="360" w:lineRule="auto"/>
              <w:jc w:val="center"/>
              <w:rPr>
                <w:rFonts w:hint="eastAsia" w:ascii="宋体" w:hAnsi="宋体" w:cs="宋体"/>
                <w:color w:val="auto"/>
                <w:szCs w:val="21"/>
                <w:highlight w:val="none"/>
              </w:rPr>
            </w:pPr>
          </w:p>
        </w:tc>
        <w:tc>
          <w:tcPr>
            <w:tcW w:w="1861" w:type="dxa"/>
            <w:vAlign w:val="center"/>
          </w:tcPr>
          <w:p w14:paraId="5BB98DC2">
            <w:pPr>
              <w:pageBreakBefore w:val="0"/>
              <w:shd w:val="clear"/>
              <w:topLinePunct w:val="0"/>
              <w:bidi w:val="0"/>
              <w:spacing w:after="0" w:line="360" w:lineRule="auto"/>
              <w:jc w:val="center"/>
              <w:rPr>
                <w:rFonts w:hint="eastAsia" w:ascii="宋体" w:hAnsi="宋体" w:cs="宋体"/>
                <w:color w:val="auto"/>
                <w:szCs w:val="21"/>
                <w:highlight w:val="none"/>
              </w:rPr>
            </w:pPr>
          </w:p>
        </w:tc>
        <w:tc>
          <w:tcPr>
            <w:tcW w:w="702" w:type="dxa"/>
            <w:vAlign w:val="center"/>
          </w:tcPr>
          <w:p w14:paraId="3865259F">
            <w:pPr>
              <w:pageBreakBefore w:val="0"/>
              <w:shd w:val="clear"/>
              <w:topLinePunct w:val="0"/>
              <w:bidi w:val="0"/>
              <w:spacing w:after="0" w:line="360" w:lineRule="auto"/>
              <w:jc w:val="center"/>
              <w:rPr>
                <w:rFonts w:hint="eastAsia" w:ascii="宋体" w:hAnsi="宋体" w:cs="宋体"/>
                <w:color w:val="auto"/>
                <w:szCs w:val="21"/>
                <w:highlight w:val="none"/>
              </w:rPr>
            </w:pPr>
          </w:p>
        </w:tc>
        <w:tc>
          <w:tcPr>
            <w:tcW w:w="702" w:type="dxa"/>
            <w:vAlign w:val="center"/>
          </w:tcPr>
          <w:p w14:paraId="34B73569">
            <w:pPr>
              <w:pageBreakBefore w:val="0"/>
              <w:shd w:val="clear"/>
              <w:topLinePunct w:val="0"/>
              <w:bidi w:val="0"/>
              <w:spacing w:after="0" w:line="360" w:lineRule="auto"/>
              <w:jc w:val="center"/>
              <w:rPr>
                <w:rFonts w:hint="eastAsia" w:ascii="宋体" w:hAnsi="宋体" w:cs="宋体"/>
                <w:color w:val="auto"/>
                <w:szCs w:val="21"/>
                <w:highlight w:val="none"/>
              </w:rPr>
            </w:pPr>
          </w:p>
        </w:tc>
        <w:tc>
          <w:tcPr>
            <w:tcW w:w="1164" w:type="dxa"/>
            <w:vAlign w:val="center"/>
          </w:tcPr>
          <w:p w14:paraId="19D5D423">
            <w:pPr>
              <w:pageBreakBefore w:val="0"/>
              <w:shd w:val="clear"/>
              <w:topLinePunct w:val="0"/>
              <w:bidi w:val="0"/>
              <w:spacing w:after="0" w:line="360" w:lineRule="auto"/>
              <w:jc w:val="center"/>
              <w:rPr>
                <w:rFonts w:hint="eastAsia" w:ascii="宋体" w:hAnsi="宋体" w:cs="宋体"/>
                <w:color w:val="auto"/>
                <w:szCs w:val="21"/>
                <w:highlight w:val="none"/>
              </w:rPr>
            </w:pPr>
          </w:p>
        </w:tc>
        <w:tc>
          <w:tcPr>
            <w:tcW w:w="818" w:type="dxa"/>
            <w:vAlign w:val="center"/>
          </w:tcPr>
          <w:p w14:paraId="0772EC25">
            <w:pPr>
              <w:pageBreakBefore w:val="0"/>
              <w:shd w:val="clear"/>
              <w:topLinePunct w:val="0"/>
              <w:bidi w:val="0"/>
              <w:spacing w:after="0" w:line="360" w:lineRule="auto"/>
              <w:jc w:val="center"/>
              <w:rPr>
                <w:rFonts w:hint="eastAsia" w:ascii="宋体" w:hAnsi="宋体" w:cs="宋体"/>
                <w:color w:val="auto"/>
                <w:szCs w:val="21"/>
                <w:highlight w:val="none"/>
              </w:rPr>
            </w:pPr>
          </w:p>
        </w:tc>
        <w:tc>
          <w:tcPr>
            <w:tcW w:w="1165" w:type="dxa"/>
            <w:vAlign w:val="center"/>
          </w:tcPr>
          <w:p w14:paraId="05193EDB">
            <w:pPr>
              <w:pageBreakBefore w:val="0"/>
              <w:shd w:val="clear"/>
              <w:topLinePunct w:val="0"/>
              <w:bidi w:val="0"/>
              <w:spacing w:after="0" w:line="360" w:lineRule="auto"/>
              <w:jc w:val="center"/>
              <w:rPr>
                <w:rFonts w:hint="eastAsia" w:ascii="宋体" w:hAnsi="宋体" w:cs="宋体"/>
                <w:color w:val="auto"/>
                <w:szCs w:val="21"/>
                <w:highlight w:val="none"/>
              </w:rPr>
            </w:pPr>
          </w:p>
        </w:tc>
        <w:tc>
          <w:tcPr>
            <w:tcW w:w="703" w:type="dxa"/>
            <w:tcBorders>
              <w:right w:val="single" w:color="auto" w:sz="6" w:space="0"/>
            </w:tcBorders>
            <w:vAlign w:val="center"/>
          </w:tcPr>
          <w:p w14:paraId="728B4A6C">
            <w:pPr>
              <w:pageBreakBefore w:val="0"/>
              <w:shd w:val="clear"/>
              <w:topLinePunct w:val="0"/>
              <w:bidi w:val="0"/>
              <w:spacing w:after="0" w:line="360" w:lineRule="auto"/>
              <w:jc w:val="center"/>
              <w:rPr>
                <w:rFonts w:hint="eastAsia" w:ascii="宋体" w:hAnsi="宋体" w:cs="宋体"/>
                <w:color w:val="auto"/>
                <w:szCs w:val="21"/>
                <w:highlight w:val="none"/>
              </w:rPr>
            </w:pPr>
          </w:p>
        </w:tc>
      </w:tr>
      <w:tr w14:paraId="1AF78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2" w:type="dxa"/>
            <w:vAlign w:val="center"/>
          </w:tcPr>
          <w:p w14:paraId="486121D2">
            <w:pPr>
              <w:pageBreakBefore w:val="0"/>
              <w:shd w:val="clear"/>
              <w:topLinePunct w:val="0"/>
              <w:bidi w:val="0"/>
              <w:spacing w:after="0" w:line="360" w:lineRule="auto"/>
              <w:jc w:val="center"/>
              <w:rPr>
                <w:rFonts w:hint="eastAsia" w:ascii="宋体" w:hAnsi="宋体" w:cs="宋体"/>
                <w:color w:val="auto"/>
                <w:szCs w:val="21"/>
                <w:highlight w:val="none"/>
              </w:rPr>
            </w:pPr>
          </w:p>
        </w:tc>
        <w:tc>
          <w:tcPr>
            <w:tcW w:w="702" w:type="dxa"/>
            <w:vAlign w:val="center"/>
          </w:tcPr>
          <w:p w14:paraId="42B1A9E3">
            <w:pPr>
              <w:pageBreakBefore w:val="0"/>
              <w:shd w:val="clear"/>
              <w:topLinePunct w:val="0"/>
              <w:bidi w:val="0"/>
              <w:spacing w:after="0" w:line="360" w:lineRule="auto"/>
              <w:jc w:val="center"/>
              <w:rPr>
                <w:rFonts w:hint="eastAsia" w:ascii="宋体" w:hAnsi="宋体" w:cs="宋体"/>
                <w:color w:val="auto"/>
                <w:szCs w:val="21"/>
                <w:highlight w:val="none"/>
              </w:rPr>
            </w:pPr>
          </w:p>
        </w:tc>
        <w:tc>
          <w:tcPr>
            <w:tcW w:w="1861" w:type="dxa"/>
            <w:vAlign w:val="center"/>
          </w:tcPr>
          <w:p w14:paraId="5D8E6E5E">
            <w:pPr>
              <w:pageBreakBefore w:val="0"/>
              <w:shd w:val="clear"/>
              <w:topLinePunct w:val="0"/>
              <w:bidi w:val="0"/>
              <w:spacing w:after="0" w:line="360" w:lineRule="auto"/>
              <w:jc w:val="center"/>
              <w:rPr>
                <w:rFonts w:hint="eastAsia" w:ascii="宋体" w:hAnsi="宋体" w:cs="宋体"/>
                <w:color w:val="auto"/>
                <w:szCs w:val="21"/>
                <w:highlight w:val="none"/>
              </w:rPr>
            </w:pPr>
          </w:p>
        </w:tc>
        <w:tc>
          <w:tcPr>
            <w:tcW w:w="702" w:type="dxa"/>
            <w:vAlign w:val="center"/>
          </w:tcPr>
          <w:p w14:paraId="344D902E">
            <w:pPr>
              <w:pageBreakBefore w:val="0"/>
              <w:shd w:val="clear"/>
              <w:topLinePunct w:val="0"/>
              <w:bidi w:val="0"/>
              <w:spacing w:after="0" w:line="360" w:lineRule="auto"/>
              <w:jc w:val="center"/>
              <w:rPr>
                <w:rFonts w:hint="eastAsia" w:ascii="宋体" w:hAnsi="宋体" w:cs="宋体"/>
                <w:color w:val="auto"/>
                <w:szCs w:val="21"/>
                <w:highlight w:val="none"/>
              </w:rPr>
            </w:pPr>
          </w:p>
        </w:tc>
        <w:tc>
          <w:tcPr>
            <w:tcW w:w="702" w:type="dxa"/>
            <w:vAlign w:val="center"/>
          </w:tcPr>
          <w:p w14:paraId="2677CC57">
            <w:pPr>
              <w:pageBreakBefore w:val="0"/>
              <w:shd w:val="clear"/>
              <w:topLinePunct w:val="0"/>
              <w:bidi w:val="0"/>
              <w:spacing w:after="0" w:line="360" w:lineRule="auto"/>
              <w:jc w:val="center"/>
              <w:rPr>
                <w:rFonts w:hint="eastAsia" w:ascii="宋体" w:hAnsi="宋体" w:cs="宋体"/>
                <w:color w:val="auto"/>
                <w:szCs w:val="21"/>
                <w:highlight w:val="none"/>
              </w:rPr>
            </w:pPr>
          </w:p>
        </w:tc>
        <w:tc>
          <w:tcPr>
            <w:tcW w:w="1164" w:type="dxa"/>
            <w:vAlign w:val="center"/>
          </w:tcPr>
          <w:p w14:paraId="28B43E4C">
            <w:pPr>
              <w:pageBreakBefore w:val="0"/>
              <w:shd w:val="clear"/>
              <w:topLinePunct w:val="0"/>
              <w:bidi w:val="0"/>
              <w:spacing w:after="0" w:line="360" w:lineRule="auto"/>
              <w:jc w:val="center"/>
              <w:rPr>
                <w:rFonts w:hint="eastAsia" w:ascii="宋体" w:hAnsi="宋体" w:cs="宋体"/>
                <w:color w:val="auto"/>
                <w:szCs w:val="21"/>
                <w:highlight w:val="none"/>
              </w:rPr>
            </w:pPr>
          </w:p>
        </w:tc>
        <w:tc>
          <w:tcPr>
            <w:tcW w:w="818" w:type="dxa"/>
            <w:vAlign w:val="center"/>
          </w:tcPr>
          <w:p w14:paraId="3D1289DC">
            <w:pPr>
              <w:pageBreakBefore w:val="0"/>
              <w:shd w:val="clear"/>
              <w:topLinePunct w:val="0"/>
              <w:bidi w:val="0"/>
              <w:spacing w:after="0" w:line="360" w:lineRule="auto"/>
              <w:jc w:val="center"/>
              <w:rPr>
                <w:rFonts w:hint="eastAsia" w:ascii="宋体" w:hAnsi="宋体" w:cs="宋体"/>
                <w:color w:val="auto"/>
                <w:szCs w:val="21"/>
                <w:highlight w:val="none"/>
              </w:rPr>
            </w:pPr>
          </w:p>
        </w:tc>
        <w:tc>
          <w:tcPr>
            <w:tcW w:w="1165" w:type="dxa"/>
            <w:vAlign w:val="center"/>
          </w:tcPr>
          <w:p w14:paraId="79047995">
            <w:pPr>
              <w:pageBreakBefore w:val="0"/>
              <w:shd w:val="clear"/>
              <w:topLinePunct w:val="0"/>
              <w:bidi w:val="0"/>
              <w:spacing w:after="0" w:line="360" w:lineRule="auto"/>
              <w:jc w:val="center"/>
              <w:rPr>
                <w:rFonts w:hint="eastAsia" w:ascii="宋体" w:hAnsi="宋体" w:cs="宋体"/>
                <w:color w:val="auto"/>
                <w:szCs w:val="21"/>
                <w:highlight w:val="none"/>
              </w:rPr>
            </w:pPr>
          </w:p>
        </w:tc>
        <w:tc>
          <w:tcPr>
            <w:tcW w:w="703" w:type="dxa"/>
            <w:tcBorders>
              <w:right w:val="single" w:color="auto" w:sz="6" w:space="0"/>
            </w:tcBorders>
            <w:vAlign w:val="center"/>
          </w:tcPr>
          <w:p w14:paraId="13788B00">
            <w:pPr>
              <w:pageBreakBefore w:val="0"/>
              <w:shd w:val="clear"/>
              <w:topLinePunct w:val="0"/>
              <w:bidi w:val="0"/>
              <w:spacing w:after="0" w:line="360" w:lineRule="auto"/>
              <w:jc w:val="center"/>
              <w:rPr>
                <w:rFonts w:hint="eastAsia" w:ascii="宋体" w:hAnsi="宋体" w:cs="宋体"/>
                <w:color w:val="auto"/>
                <w:szCs w:val="21"/>
                <w:highlight w:val="none"/>
              </w:rPr>
            </w:pPr>
          </w:p>
        </w:tc>
      </w:tr>
      <w:tr w14:paraId="08583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2" w:type="dxa"/>
            <w:vAlign w:val="center"/>
          </w:tcPr>
          <w:p w14:paraId="145AFF20">
            <w:pPr>
              <w:pageBreakBefore w:val="0"/>
              <w:shd w:val="clear"/>
              <w:topLinePunct w:val="0"/>
              <w:bidi w:val="0"/>
              <w:spacing w:after="0" w:line="360" w:lineRule="auto"/>
              <w:jc w:val="center"/>
              <w:rPr>
                <w:rFonts w:hint="eastAsia" w:ascii="宋体" w:hAnsi="宋体" w:cs="宋体"/>
                <w:color w:val="auto"/>
                <w:szCs w:val="21"/>
                <w:highlight w:val="none"/>
              </w:rPr>
            </w:pPr>
          </w:p>
        </w:tc>
        <w:tc>
          <w:tcPr>
            <w:tcW w:w="702" w:type="dxa"/>
            <w:vAlign w:val="center"/>
          </w:tcPr>
          <w:p w14:paraId="104A41BB">
            <w:pPr>
              <w:pageBreakBefore w:val="0"/>
              <w:shd w:val="clear"/>
              <w:topLinePunct w:val="0"/>
              <w:bidi w:val="0"/>
              <w:spacing w:after="0" w:line="360" w:lineRule="auto"/>
              <w:jc w:val="center"/>
              <w:rPr>
                <w:rFonts w:hint="eastAsia" w:ascii="宋体" w:hAnsi="宋体" w:cs="宋体"/>
                <w:color w:val="auto"/>
                <w:szCs w:val="21"/>
                <w:highlight w:val="none"/>
              </w:rPr>
            </w:pPr>
          </w:p>
        </w:tc>
        <w:tc>
          <w:tcPr>
            <w:tcW w:w="1861" w:type="dxa"/>
            <w:vAlign w:val="center"/>
          </w:tcPr>
          <w:p w14:paraId="7E6C715F">
            <w:pPr>
              <w:pageBreakBefore w:val="0"/>
              <w:shd w:val="clear"/>
              <w:topLinePunct w:val="0"/>
              <w:bidi w:val="0"/>
              <w:spacing w:after="0" w:line="360" w:lineRule="auto"/>
              <w:jc w:val="center"/>
              <w:rPr>
                <w:rFonts w:hint="eastAsia" w:ascii="宋体" w:hAnsi="宋体" w:cs="宋体"/>
                <w:color w:val="auto"/>
                <w:szCs w:val="21"/>
                <w:highlight w:val="none"/>
              </w:rPr>
            </w:pPr>
          </w:p>
        </w:tc>
        <w:tc>
          <w:tcPr>
            <w:tcW w:w="702" w:type="dxa"/>
            <w:vAlign w:val="center"/>
          </w:tcPr>
          <w:p w14:paraId="7F43D3B4">
            <w:pPr>
              <w:pageBreakBefore w:val="0"/>
              <w:shd w:val="clear"/>
              <w:topLinePunct w:val="0"/>
              <w:bidi w:val="0"/>
              <w:spacing w:after="0" w:line="360" w:lineRule="auto"/>
              <w:jc w:val="center"/>
              <w:rPr>
                <w:rFonts w:hint="eastAsia" w:ascii="宋体" w:hAnsi="宋体" w:cs="宋体"/>
                <w:color w:val="auto"/>
                <w:szCs w:val="21"/>
                <w:highlight w:val="none"/>
              </w:rPr>
            </w:pPr>
          </w:p>
        </w:tc>
        <w:tc>
          <w:tcPr>
            <w:tcW w:w="702" w:type="dxa"/>
            <w:vAlign w:val="center"/>
          </w:tcPr>
          <w:p w14:paraId="6363398C">
            <w:pPr>
              <w:pageBreakBefore w:val="0"/>
              <w:shd w:val="clear"/>
              <w:topLinePunct w:val="0"/>
              <w:bidi w:val="0"/>
              <w:spacing w:after="0" w:line="360" w:lineRule="auto"/>
              <w:jc w:val="center"/>
              <w:rPr>
                <w:rFonts w:hint="eastAsia" w:ascii="宋体" w:hAnsi="宋体" w:cs="宋体"/>
                <w:color w:val="auto"/>
                <w:szCs w:val="21"/>
                <w:highlight w:val="none"/>
              </w:rPr>
            </w:pPr>
          </w:p>
        </w:tc>
        <w:tc>
          <w:tcPr>
            <w:tcW w:w="1164" w:type="dxa"/>
            <w:vAlign w:val="center"/>
          </w:tcPr>
          <w:p w14:paraId="69361A3B">
            <w:pPr>
              <w:pageBreakBefore w:val="0"/>
              <w:shd w:val="clear"/>
              <w:topLinePunct w:val="0"/>
              <w:bidi w:val="0"/>
              <w:spacing w:after="0" w:line="360" w:lineRule="auto"/>
              <w:jc w:val="center"/>
              <w:rPr>
                <w:rFonts w:hint="eastAsia" w:ascii="宋体" w:hAnsi="宋体" w:cs="宋体"/>
                <w:color w:val="auto"/>
                <w:szCs w:val="21"/>
                <w:highlight w:val="none"/>
              </w:rPr>
            </w:pPr>
          </w:p>
        </w:tc>
        <w:tc>
          <w:tcPr>
            <w:tcW w:w="818" w:type="dxa"/>
            <w:vAlign w:val="center"/>
          </w:tcPr>
          <w:p w14:paraId="2A128F0B">
            <w:pPr>
              <w:pageBreakBefore w:val="0"/>
              <w:shd w:val="clear"/>
              <w:topLinePunct w:val="0"/>
              <w:bidi w:val="0"/>
              <w:spacing w:after="0" w:line="360" w:lineRule="auto"/>
              <w:jc w:val="center"/>
              <w:rPr>
                <w:rFonts w:hint="eastAsia" w:ascii="宋体" w:hAnsi="宋体" w:cs="宋体"/>
                <w:color w:val="auto"/>
                <w:szCs w:val="21"/>
                <w:highlight w:val="none"/>
              </w:rPr>
            </w:pPr>
          </w:p>
        </w:tc>
        <w:tc>
          <w:tcPr>
            <w:tcW w:w="1165" w:type="dxa"/>
            <w:vAlign w:val="center"/>
          </w:tcPr>
          <w:p w14:paraId="2A9B19F8">
            <w:pPr>
              <w:pageBreakBefore w:val="0"/>
              <w:shd w:val="clear"/>
              <w:topLinePunct w:val="0"/>
              <w:bidi w:val="0"/>
              <w:spacing w:after="0" w:line="360" w:lineRule="auto"/>
              <w:jc w:val="center"/>
              <w:rPr>
                <w:rFonts w:hint="eastAsia" w:ascii="宋体" w:hAnsi="宋体" w:cs="宋体"/>
                <w:color w:val="auto"/>
                <w:szCs w:val="21"/>
                <w:highlight w:val="none"/>
              </w:rPr>
            </w:pPr>
          </w:p>
        </w:tc>
        <w:tc>
          <w:tcPr>
            <w:tcW w:w="703" w:type="dxa"/>
            <w:tcBorders>
              <w:right w:val="single" w:color="auto" w:sz="6" w:space="0"/>
            </w:tcBorders>
            <w:vAlign w:val="center"/>
          </w:tcPr>
          <w:p w14:paraId="6BB1A565">
            <w:pPr>
              <w:pageBreakBefore w:val="0"/>
              <w:shd w:val="clear"/>
              <w:topLinePunct w:val="0"/>
              <w:bidi w:val="0"/>
              <w:spacing w:after="0" w:line="360" w:lineRule="auto"/>
              <w:jc w:val="center"/>
              <w:rPr>
                <w:rFonts w:hint="eastAsia" w:ascii="宋体" w:hAnsi="宋体" w:cs="宋体"/>
                <w:color w:val="auto"/>
                <w:szCs w:val="21"/>
                <w:highlight w:val="none"/>
              </w:rPr>
            </w:pPr>
          </w:p>
        </w:tc>
      </w:tr>
    </w:tbl>
    <w:p w14:paraId="32A7EF67">
      <w:pPr>
        <w:pageBreakBefore w:val="0"/>
        <w:shd w:val="clear"/>
        <w:topLinePunct w:val="0"/>
        <w:bidi w:val="0"/>
        <w:spacing w:after="0" w:line="360" w:lineRule="auto"/>
        <w:ind w:firstLine="178" w:firstLineChars="85"/>
        <w:rPr>
          <w:rFonts w:hint="eastAsia" w:ascii="宋体" w:hAnsi="宋体" w:cs="宋体"/>
          <w:color w:val="auto"/>
          <w:szCs w:val="21"/>
          <w:highlight w:val="none"/>
        </w:rPr>
      </w:pPr>
    </w:p>
    <w:p w14:paraId="0757836B">
      <w:pPr>
        <w:pageBreakBefore w:val="0"/>
        <w:shd w:val="clear"/>
        <w:topLinePunct w:val="0"/>
        <w:bidi w:val="0"/>
        <w:spacing w:after="0" w:line="360" w:lineRule="auto"/>
        <w:ind w:firstLine="178" w:firstLineChars="85"/>
        <w:rPr>
          <w:rFonts w:hint="eastAsia" w:ascii="宋体" w:hAnsi="宋体" w:cs="宋体"/>
          <w:color w:val="auto"/>
          <w:szCs w:val="21"/>
          <w:highlight w:val="none"/>
        </w:rPr>
      </w:pPr>
      <w:r>
        <w:rPr>
          <w:rFonts w:hint="eastAsia" w:ascii="宋体" w:hAnsi="宋体" w:cs="宋体"/>
          <w:color w:val="auto"/>
          <w:szCs w:val="21"/>
          <w:highlight w:val="none"/>
        </w:rPr>
        <w:t>附有关证明文件（复印件加盖公章）</w:t>
      </w:r>
    </w:p>
    <w:p w14:paraId="39481018">
      <w:pPr>
        <w:pageBreakBefore w:val="0"/>
        <w:shd w:val="clear"/>
        <w:topLinePunct w:val="0"/>
        <w:bidi w:val="0"/>
        <w:spacing w:after="0" w:line="360" w:lineRule="auto"/>
        <w:ind w:firstLine="178" w:firstLineChars="85"/>
        <w:rPr>
          <w:rFonts w:hint="eastAsia" w:ascii="宋体" w:hAnsi="宋体" w:cs="宋体"/>
          <w:color w:val="auto"/>
          <w:szCs w:val="21"/>
          <w:highlight w:val="none"/>
        </w:rPr>
      </w:pPr>
      <w:r>
        <w:rPr>
          <w:rFonts w:hint="eastAsia" w:ascii="宋体" w:hAnsi="宋体" w:cs="宋体"/>
          <w:color w:val="auto"/>
          <w:szCs w:val="21"/>
          <w:highlight w:val="none"/>
        </w:rPr>
        <w:t>投标人代表签字：</w:t>
      </w:r>
    </w:p>
    <w:p w14:paraId="25037092">
      <w:pPr>
        <w:pageBreakBefore w:val="0"/>
        <w:shd w:val="clear"/>
        <w:topLinePunct w:val="0"/>
        <w:bidi w:val="0"/>
        <w:spacing w:after="0" w:line="360" w:lineRule="auto"/>
        <w:ind w:firstLine="178" w:firstLineChars="85"/>
        <w:rPr>
          <w:rFonts w:hint="eastAsia" w:ascii="宋体" w:hAnsi="宋体" w:cs="宋体"/>
          <w:color w:val="auto"/>
          <w:szCs w:val="21"/>
          <w:highlight w:val="none"/>
        </w:rPr>
      </w:pPr>
      <w:r>
        <w:rPr>
          <w:rFonts w:hint="eastAsia" w:ascii="宋体" w:hAnsi="宋体" w:cs="宋体"/>
          <w:color w:val="auto"/>
          <w:szCs w:val="21"/>
          <w:highlight w:val="none"/>
        </w:rPr>
        <w:t>投标人盖章：</w:t>
      </w:r>
    </w:p>
    <w:p w14:paraId="48634D3E">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注：</w:t>
      </w:r>
    </w:p>
    <w:p w14:paraId="06FE4C9F">
      <w:pPr>
        <w:pStyle w:val="45"/>
        <w:pageBreakBefore w:val="0"/>
        <w:numPr>
          <w:ilvl w:val="0"/>
          <w:numId w:val="12"/>
        </w:numPr>
        <w:shd w:val="clear"/>
        <w:topLinePunct w:val="0"/>
        <w:bidi w:val="0"/>
        <w:spacing w:after="0" w:line="360" w:lineRule="auto"/>
        <w:ind w:firstLineChars="0"/>
        <w:rPr>
          <w:rFonts w:hint="eastAsia" w:ascii="宋体" w:hAnsi="宋体" w:cs="宋体"/>
          <w:color w:val="auto"/>
          <w:szCs w:val="21"/>
          <w:highlight w:val="none"/>
        </w:rPr>
      </w:pPr>
      <w:r>
        <w:rPr>
          <w:rFonts w:hint="eastAsia" w:ascii="宋体" w:hAnsi="宋体" w:cs="宋体"/>
          <w:color w:val="auto"/>
          <w:szCs w:val="21"/>
          <w:highlight w:val="none"/>
        </w:rPr>
        <w:t>投标人可按项目的实际需要提供本表格。</w:t>
      </w:r>
    </w:p>
    <w:p w14:paraId="2426FFF9">
      <w:pPr>
        <w:pStyle w:val="45"/>
        <w:pageBreakBefore w:val="0"/>
        <w:numPr>
          <w:ilvl w:val="0"/>
          <w:numId w:val="12"/>
        </w:numPr>
        <w:shd w:val="clear"/>
        <w:topLinePunct w:val="0"/>
        <w:bidi w:val="0"/>
        <w:spacing w:after="0" w:line="360" w:lineRule="auto"/>
        <w:ind w:firstLineChars="0"/>
        <w:rPr>
          <w:rFonts w:hint="eastAsia" w:ascii="宋体" w:hAnsi="宋体" w:cs="宋体"/>
          <w:color w:val="auto"/>
          <w:szCs w:val="21"/>
          <w:highlight w:val="none"/>
        </w:rPr>
      </w:pPr>
      <w:r>
        <w:rPr>
          <w:rFonts w:hint="eastAsia" w:ascii="宋体" w:hAnsi="宋体" w:cs="宋体"/>
          <w:color w:val="auto"/>
          <w:szCs w:val="21"/>
          <w:highlight w:val="none"/>
        </w:rPr>
        <w:t>该表格为参考格式，投标人可按实际情况自行制订。</w:t>
      </w:r>
    </w:p>
    <w:p w14:paraId="18630E85">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3、投标人若未提供或未填写完整则视为完全响应采购文件的人员要求，因此对投标人投标产生负面影响的，投标人自行承担后果。</w:t>
      </w:r>
    </w:p>
    <w:p w14:paraId="0B660A72">
      <w:pPr>
        <w:pStyle w:val="45"/>
        <w:pageBreakBefore w:val="0"/>
        <w:numPr>
          <w:ilvl w:val="0"/>
          <w:numId w:val="12"/>
        </w:numPr>
        <w:shd w:val="clear"/>
        <w:topLinePunct w:val="0"/>
        <w:bidi w:val="0"/>
        <w:spacing w:after="0" w:line="360" w:lineRule="auto"/>
        <w:ind w:firstLineChars="0"/>
        <w:rPr>
          <w:rFonts w:hint="eastAsia" w:ascii="宋体" w:hAnsi="宋体" w:cs="宋体"/>
          <w:color w:val="auto"/>
          <w:szCs w:val="21"/>
          <w:highlight w:val="none"/>
        </w:rPr>
      </w:pPr>
      <w:r>
        <w:rPr>
          <w:rFonts w:hint="eastAsia" w:ascii="宋体" w:hAnsi="宋体" w:cs="宋体"/>
          <w:color w:val="auto"/>
          <w:szCs w:val="21"/>
          <w:highlight w:val="none"/>
        </w:rPr>
        <w:br w:type="page"/>
      </w:r>
    </w:p>
    <w:p w14:paraId="7E1FE93E">
      <w:pPr>
        <w:pStyle w:val="6"/>
        <w:pageBreakBefore w:val="0"/>
        <w:widowControl w:val="0"/>
        <w:shd w:val="clear"/>
        <w:overflowPunct w:val="0"/>
        <w:topLinePunct w:val="0"/>
        <w:bidi w:val="0"/>
        <w:spacing w:after="0" w:line="360" w:lineRule="auto"/>
        <w:rPr>
          <w:rFonts w:hint="eastAsia" w:ascii="宋体" w:hAnsi="宋体" w:cs="宋体"/>
          <w:color w:val="auto"/>
          <w:highlight w:val="none"/>
        </w:rPr>
      </w:pPr>
      <w:bookmarkStart w:id="268" w:name="_Toc2724"/>
      <w:bookmarkStart w:id="269" w:name="_Toc21915"/>
      <w:r>
        <w:rPr>
          <w:rFonts w:hint="eastAsia" w:ascii="宋体" w:hAnsi="宋体" w:cs="宋体"/>
          <w:color w:val="auto"/>
          <w:sz w:val="21"/>
          <w:szCs w:val="21"/>
          <w:highlight w:val="none"/>
        </w:rPr>
        <w:t>附件1</w:t>
      </w:r>
      <w:r>
        <w:rPr>
          <w:rFonts w:hint="eastAsia" w:ascii="宋体" w:hAnsi="宋体" w:cs="宋体"/>
          <w:color w:val="auto"/>
          <w:sz w:val="21"/>
          <w:szCs w:val="21"/>
          <w:highlight w:val="none"/>
          <w:lang w:val="en-US" w:eastAsia="zh-CN"/>
        </w:rPr>
        <w:t>8</w:t>
      </w:r>
      <w:r>
        <w:rPr>
          <w:rFonts w:hint="eastAsia" w:ascii="宋体" w:hAnsi="宋体" w:cs="宋体"/>
          <w:color w:val="auto"/>
          <w:sz w:val="21"/>
          <w:szCs w:val="21"/>
          <w:highlight w:val="none"/>
        </w:rPr>
        <w:t>.投标保证金汇入情况说明格式</w:t>
      </w:r>
      <w:bookmarkEnd w:id="268"/>
      <w:bookmarkEnd w:id="269"/>
    </w:p>
    <w:p w14:paraId="264F3F83">
      <w:pPr>
        <w:pageBreakBefore w:val="0"/>
        <w:shd w:val="clear"/>
        <w:topLinePunct w:val="0"/>
        <w:bidi w:val="0"/>
        <w:spacing w:after="0" w:line="360" w:lineRule="auto"/>
        <w:rPr>
          <w:rFonts w:hint="eastAsia" w:ascii="宋体" w:hAnsi="宋体" w:cs="宋体"/>
          <w:color w:val="auto"/>
          <w:highlight w:val="none"/>
        </w:rPr>
      </w:pPr>
    </w:p>
    <w:p w14:paraId="2F9CA16D">
      <w:pPr>
        <w:pageBreakBefore w:val="0"/>
        <w:shd w:val="clear"/>
        <w:topLinePunct w:val="0"/>
        <w:bidi w:val="0"/>
        <w:spacing w:after="0" w:line="360" w:lineRule="auto"/>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投标保证金汇入情况说明</w:t>
      </w:r>
    </w:p>
    <w:p w14:paraId="426C9D8E">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致：xxxxxx公司：</w:t>
      </w:r>
    </w:p>
    <w:p w14:paraId="6D409D1D">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本单位已按</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项目（采购项目编号：）的采购文件要求，于年月日前以</w:t>
      </w:r>
      <w:r>
        <w:rPr>
          <w:rFonts w:hint="eastAsia" w:ascii="宋体" w:hAnsi="宋体" w:cs="宋体"/>
          <w:color w:val="auto"/>
          <w:szCs w:val="21"/>
          <w:highlight w:val="none"/>
          <w:u w:val="single"/>
        </w:rPr>
        <w:t xml:space="preserve">           （付款形式）</w:t>
      </w:r>
      <w:r>
        <w:rPr>
          <w:rFonts w:hint="eastAsia" w:ascii="宋体" w:hAnsi="宋体" w:cs="宋体"/>
          <w:color w:val="auto"/>
          <w:szCs w:val="21"/>
          <w:highlight w:val="none"/>
        </w:rPr>
        <w:t>方式汇入指定账户（账户名称：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，账号：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,开户银行：</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304D9FAF">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本单位投标保证金的汇款情况：（详见附件－投标保证金进账单）</w:t>
      </w:r>
    </w:p>
    <w:p w14:paraId="0C2B7B2E">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汇出时间：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5FCE7FC9">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汇款金额：（大写）人民币</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元（小写：￥</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元），</w:t>
      </w:r>
    </w:p>
    <w:p w14:paraId="022A11FF">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汇款账户名称：</w:t>
      </w:r>
      <w:r>
        <w:rPr>
          <w:rFonts w:hint="eastAsia" w:ascii="宋体" w:hAnsi="宋体" w:cs="宋体"/>
          <w:color w:val="auto"/>
          <w:szCs w:val="21"/>
          <w:highlight w:val="none"/>
          <w:u w:val="single"/>
        </w:rPr>
        <w:t xml:space="preserve">  （必须是投标时使用的</w:t>
      </w:r>
      <w:r>
        <w:rPr>
          <w:rFonts w:hint="eastAsia" w:ascii="宋体" w:hAnsi="宋体" w:cs="宋体"/>
          <w:color w:val="auto"/>
          <w:szCs w:val="21"/>
          <w:highlight w:val="none"/>
        </w:rPr>
        <w:t>账</w:t>
      </w:r>
      <w:r>
        <w:rPr>
          <w:rFonts w:hint="eastAsia" w:ascii="宋体" w:hAnsi="宋体" w:cs="宋体"/>
          <w:color w:val="auto"/>
          <w:szCs w:val="21"/>
          <w:highlight w:val="none"/>
          <w:u w:val="single"/>
        </w:rPr>
        <w:t xml:space="preserve">户名）   </w:t>
      </w:r>
    </w:p>
    <w:p w14:paraId="26C378CC">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账        号：</w:t>
      </w:r>
      <w:r>
        <w:rPr>
          <w:rFonts w:hint="eastAsia" w:ascii="宋体" w:hAnsi="宋体" w:cs="宋体"/>
          <w:color w:val="auto"/>
          <w:szCs w:val="21"/>
          <w:highlight w:val="none"/>
          <w:u w:val="single"/>
        </w:rPr>
        <w:t xml:space="preserve">  （必须是投标时使用的</w:t>
      </w:r>
      <w:r>
        <w:rPr>
          <w:rFonts w:hint="eastAsia" w:ascii="宋体" w:hAnsi="宋体" w:cs="宋体"/>
          <w:color w:val="auto"/>
          <w:szCs w:val="21"/>
          <w:highlight w:val="none"/>
        </w:rPr>
        <w:t>账</w:t>
      </w:r>
      <w:r>
        <w:rPr>
          <w:rFonts w:hint="eastAsia" w:ascii="宋体" w:hAnsi="宋体" w:cs="宋体"/>
          <w:color w:val="auto"/>
          <w:szCs w:val="21"/>
          <w:highlight w:val="none"/>
          <w:u w:val="single"/>
        </w:rPr>
        <w:t xml:space="preserve">号）        </w:t>
      </w:r>
    </w:p>
    <w:p w14:paraId="5725DA49">
      <w:pPr>
        <w:pageBreakBefore w:val="0"/>
        <w:shd w:val="clear"/>
        <w:topLinePunct w:val="0"/>
        <w:bidi w:val="0"/>
        <w:spacing w:after="0"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开 户  银 行：</w:t>
      </w:r>
      <w:r>
        <w:rPr>
          <w:rFonts w:hint="eastAsia" w:ascii="宋体" w:hAnsi="宋体" w:cs="宋体"/>
          <w:color w:val="auto"/>
          <w:szCs w:val="21"/>
          <w:highlight w:val="none"/>
          <w:u w:val="single"/>
        </w:rPr>
        <w:t xml:space="preserve">  （  XX 银行 XX 分行 XX 支行   ）</w:t>
      </w:r>
    </w:p>
    <w:p w14:paraId="021932B3">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本单位谨承诺上述资料是正确、真实的，如因上述证明与事实不符导致的一切损失，本单位保证承担赔偿等一切法律责任。</w:t>
      </w:r>
    </w:p>
    <w:p w14:paraId="086E06FD">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投标保证金退回时，请按上述资料退回。</w:t>
      </w:r>
    </w:p>
    <w:p w14:paraId="27C30DC7">
      <w:pPr>
        <w:pageBreakBefore w:val="0"/>
        <w:shd w:val="clear"/>
        <w:topLinePunct w:val="0"/>
        <w:bidi w:val="0"/>
        <w:spacing w:after="0" w:line="360" w:lineRule="auto"/>
        <w:ind w:right="844" w:rightChars="402"/>
        <w:jc w:val="right"/>
        <w:rPr>
          <w:rFonts w:hint="eastAsia" w:ascii="宋体" w:hAnsi="宋体" w:cs="宋体"/>
          <w:color w:val="auto"/>
          <w:szCs w:val="21"/>
          <w:highlight w:val="none"/>
        </w:rPr>
      </w:pPr>
      <w:r>
        <w:rPr>
          <w:rFonts w:hint="eastAsia" w:ascii="宋体" w:hAnsi="宋体" w:cs="宋体"/>
          <w:color w:val="auto"/>
          <w:szCs w:val="21"/>
          <w:highlight w:val="none"/>
        </w:rPr>
        <w:t>（单位公章）</w:t>
      </w:r>
    </w:p>
    <w:p w14:paraId="1C7F9819">
      <w:pPr>
        <w:pageBreakBefore w:val="0"/>
        <w:shd w:val="clear"/>
        <w:topLinePunct w:val="0"/>
        <w:bidi w:val="0"/>
        <w:spacing w:after="0" w:line="360" w:lineRule="auto"/>
        <w:ind w:right="628" w:rightChars="299"/>
        <w:jc w:val="right"/>
        <w:rPr>
          <w:rFonts w:hint="eastAsia" w:ascii="宋体" w:hAnsi="宋体" w:cs="宋体"/>
          <w:color w:val="auto"/>
          <w:szCs w:val="21"/>
          <w:highlight w:val="none"/>
        </w:rPr>
      </w:pPr>
      <w:r>
        <w:rPr>
          <w:rFonts w:hint="eastAsia" w:ascii="宋体" w:hAnsi="宋体" w:cs="宋体"/>
          <w:color w:val="auto"/>
          <w:szCs w:val="21"/>
          <w:highlight w:val="none"/>
        </w:rPr>
        <w:t>年 月 日</w:t>
      </w:r>
    </w:p>
    <w:p w14:paraId="60833E73">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单位名称：</w:t>
      </w:r>
    </w:p>
    <w:p w14:paraId="3BD7DB09">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单位地址：</w:t>
      </w:r>
    </w:p>
    <w:p w14:paraId="11793C6E">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联系人：</w:t>
      </w:r>
    </w:p>
    <w:p w14:paraId="280B3D12">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单位电话： 联系人手机：</w:t>
      </w:r>
    </w:p>
    <w:p w14:paraId="4D15D039">
      <w:pPr>
        <w:pageBreakBefore w:val="0"/>
        <w:shd w:val="clear"/>
        <w:topLinePunct w:val="0"/>
        <w:bidi w:val="0"/>
        <w:spacing w:after="0" w:line="360" w:lineRule="auto"/>
        <w:rPr>
          <w:rFonts w:hint="eastAsia" w:ascii="宋体" w:hAnsi="宋体" w:cs="宋体"/>
          <w:color w:val="auto"/>
          <w:szCs w:val="21"/>
          <w:highlight w:val="none"/>
        </w:rPr>
      </w:pPr>
    </w:p>
    <w:p w14:paraId="65E7B63A">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br w:type="page"/>
      </w:r>
    </w:p>
    <w:p w14:paraId="6522F272">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附：我方投标保证金汇款凭证</w:t>
      </w:r>
    </w:p>
    <w:tbl>
      <w:tblPr>
        <w:tblStyle w:val="32"/>
        <w:tblW w:w="895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53"/>
      </w:tblGrid>
      <w:tr w14:paraId="4BD7B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9" w:hRule="atLeast"/>
        </w:trPr>
        <w:tc>
          <w:tcPr>
            <w:tcW w:w="8953" w:type="dxa"/>
            <w:vAlign w:val="center"/>
          </w:tcPr>
          <w:p w14:paraId="49991186">
            <w:pPr>
              <w:pageBreakBefore w:val="0"/>
              <w:shd w:val="clear"/>
              <w:tabs>
                <w:tab w:val="left" w:pos="3885"/>
              </w:tabs>
              <w:topLinePunct w:val="0"/>
              <w:bidi w:val="0"/>
              <w:spacing w:after="0"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（粘贴汇款单或转账凭证复印件，并在骑缝上加盖投标人公章，或是直接把转账凭证复印到此张纸上）</w:t>
            </w:r>
          </w:p>
        </w:tc>
      </w:tr>
    </w:tbl>
    <w:p w14:paraId="3E5E4A44">
      <w:pPr>
        <w:pageBreakBefore w:val="0"/>
        <w:shd w:val="clear"/>
        <w:topLinePunct w:val="0"/>
        <w:bidi w:val="0"/>
        <w:spacing w:after="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注：此表既要装订在投标文件中，又要按投标人须知的规定与开标一览表、投标保证金汇款底单复印件及授权委托书一同密封装入唱标信封，唱标信封单独提交。</w:t>
      </w:r>
    </w:p>
    <w:p w14:paraId="61920FA2">
      <w:pPr>
        <w:pageBreakBefore w:val="0"/>
        <w:shd w:val="clear"/>
        <w:topLinePunct w:val="0"/>
        <w:bidi w:val="0"/>
        <w:spacing w:after="0" w:line="360" w:lineRule="auto"/>
        <w:rPr>
          <w:rFonts w:hint="eastAsia" w:ascii="宋体" w:hAnsi="宋体" w:cs="宋体"/>
          <w:color w:val="auto"/>
          <w:szCs w:val="21"/>
          <w:highlight w:val="none"/>
        </w:rPr>
      </w:pPr>
    </w:p>
    <w:p w14:paraId="19EF3578">
      <w:pPr>
        <w:pageBreakBefore w:val="0"/>
        <w:shd w:val="clear"/>
        <w:topLinePunct w:val="0"/>
        <w:bidi w:val="0"/>
        <w:spacing w:after="0" w:line="360" w:lineRule="auto"/>
        <w:rPr>
          <w:rFonts w:hint="eastAsia" w:ascii="宋体" w:hAnsi="宋体" w:cs="宋体"/>
          <w:color w:val="auto"/>
          <w:szCs w:val="21"/>
          <w:highlight w:val="none"/>
        </w:rPr>
      </w:pPr>
    </w:p>
    <w:p w14:paraId="3B700BC0">
      <w:pPr>
        <w:pageBreakBefore w:val="0"/>
        <w:shd w:val="clear"/>
        <w:topLinePunct w:val="0"/>
        <w:bidi w:val="0"/>
        <w:spacing w:after="0" w:line="360" w:lineRule="auto"/>
        <w:rPr>
          <w:rFonts w:hint="eastAsia" w:ascii="宋体" w:hAnsi="宋体" w:cs="宋体"/>
          <w:color w:val="auto"/>
          <w:szCs w:val="21"/>
          <w:highlight w:val="none"/>
        </w:rPr>
      </w:pPr>
    </w:p>
    <w:p w14:paraId="112E62C1">
      <w:pPr>
        <w:pageBreakBefore w:val="0"/>
        <w:shd w:val="clear"/>
        <w:topLinePunct w:val="0"/>
        <w:bidi w:val="0"/>
        <w:spacing w:after="0" w:line="360" w:lineRule="auto"/>
        <w:rPr>
          <w:rFonts w:hint="eastAsia" w:ascii="宋体" w:hAnsi="宋体" w:cs="宋体"/>
          <w:color w:val="auto"/>
          <w:szCs w:val="21"/>
          <w:highlight w:val="none"/>
        </w:rPr>
      </w:pPr>
    </w:p>
    <w:p w14:paraId="2FC5CEB5">
      <w:pPr>
        <w:pageBreakBefore w:val="0"/>
        <w:shd w:val="clear"/>
        <w:topLinePunct w:val="0"/>
        <w:bidi w:val="0"/>
        <w:spacing w:after="0" w:line="360" w:lineRule="auto"/>
        <w:rPr>
          <w:rFonts w:hint="eastAsia" w:ascii="宋体" w:hAnsi="宋体" w:cs="宋体"/>
          <w:color w:val="auto"/>
          <w:szCs w:val="21"/>
          <w:highlight w:val="none"/>
        </w:rPr>
      </w:pPr>
    </w:p>
    <w:p w14:paraId="52E73D13">
      <w:pPr>
        <w:pageBreakBefore w:val="0"/>
        <w:shd w:val="clear"/>
        <w:topLinePunct w:val="0"/>
        <w:bidi w:val="0"/>
        <w:spacing w:after="0" w:line="360" w:lineRule="auto"/>
        <w:rPr>
          <w:rFonts w:hint="eastAsia" w:ascii="宋体" w:hAnsi="宋体" w:cs="宋体"/>
          <w:color w:val="auto"/>
          <w:szCs w:val="21"/>
          <w:highlight w:val="none"/>
        </w:rPr>
      </w:pPr>
    </w:p>
    <w:p w14:paraId="6DA43846">
      <w:pPr>
        <w:pageBreakBefore w:val="0"/>
        <w:shd w:val="clear"/>
        <w:topLinePunct w:val="0"/>
        <w:bidi w:val="0"/>
        <w:spacing w:after="0" w:line="360" w:lineRule="auto"/>
        <w:rPr>
          <w:rFonts w:hint="eastAsia" w:ascii="宋体" w:hAnsi="宋体" w:cs="宋体"/>
          <w:color w:val="auto"/>
          <w:szCs w:val="21"/>
          <w:highlight w:val="none"/>
        </w:rPr>
      </w:pPr>
    </w:p>
    <w:p w14:paraId="32E8988A">
      <w:pPr>
        <w:pageBreakBefore w:val="0"/>
        <w:shd w:val="clear"/>
        <w:topLinePunct w:val="0"/>
        <w:bidi w:val="0"/>
        <w:spacing w:after="0" w:line="360" w:lineRule="auto"/>
        <w:rPr>
          <w:rFonts w:hint="eastAsia" w:ascii="宋体" w:hAnsi="宋体" w:cs="宋体"/>
          <w:color w:val="auto"/>
          <w:szCs w:val="21"/>
          <w:highlight w:val="none"/>
        </w:rPr>
      </w:pPr>
    </w:p>
    <w:p w14:paraId="267A27CD">
      <w:pPr>
        <w:pageBreakBefore w:val="0"/>
        <w:shd w:val="clear"/>
        <w:topLinePunct w:val="0"/>
        <w:bidi w:val="0"/>
        <w:spacing w:after="0" w:line="360" w:lineRule="auto"/>
        <w:rPr>
          <w:rFonts w:hint="eastAsia" w:ascii="宋体" w:hAnsi="宋体" w:cs="宋体"/>
          <w:color w:val="auto"/>
          <w:szCs w:val="21"/>
          <w:highlight w:val="none"/>
        </w:rPr>
      </w:pPr>
    </w:p>
    <w:p w14:paraId="0B94B62B">
      <w:pPr>
        <w:pageBreakBefore w:val="0"/>
        <w:shd w:val="clear"/>
        <w:topLinePunct w:val="0"/>
        <w:bidi w:val="0"/>
        <w:spacing w:after="0" w:line="360" w:lineRule="auto"/>
        <w:rPr>
          <w:rFonts w:hint="eastAsia" w:ascii="宋体" w:hAnsi="宋体" w:cs="宋体"/>
          <w:color w:val="auto"/>
          <w:szCs w:val="21"/>
          <w:highlight w:val="none"/>
        </w:rPr>
      </w:pPr>
    </w:p>
    <w:p w14:paraId="6025DC1C">
      <w:pPr>
        <w:pageBreakBefore w:val="0"/>
        <w:shd w:val="clear"/>
        <w:topLinePunct w:val="0"/>
        <w:bidi w:val="0"/>
        <w:spacing w:after="0" w:line="360" w:lineRule="auto"/>
        <w:rPr>
          <w:rFonts w:hint="eastAsia" w:ascii="宋体" w:hAnsi="宋体" w:cs="宋体"/>
          <w:color w:val="auto"/>
          <w:szCs w:val="21"/>
          <w:highlight w:val="none"/>
        </w:rPr>
      </w:pPr>
    </w:p>
    <w:p w14:paraId="6AEBB7A3">
      <w:pPr>
        <w:pageBreakBefore w:val="0"/>
        <w:shd w:val="clear"/>
        <w:topLinePunct w:val="0"/>
        <w:bidi w:val="0"/>
        <w:spacing w:after="0" w:line="360" w:lineRule="auto"/>
        <w:rPr>
          <w:rFonts w:hint="eastAsia" w:ascii="宋体" w:hAnsi="宋体" w:cs="宋体"/>
          <w:color w:val="auto"/>
          <w:szCs w:val="21"/>
          <w:highlight w:val="none"/>
        </w:rPr>
      </w:pPr>
    </w:p>
    <w:p w14:paraId="79BD7F18">
      <w:pPr>
        <w:pageBreakBefore w:val="0"/>
        <w:shd w:val="clear"/>
        <w:topLinePunct w:val="0"/>
        <w:bidi w:val="0"/>
        <w:spacing w:after="0" w:line="360" w:lineRule="auto"/>
        <w:rPr>
          <w:rFonts w:hint="eastAsia" w:ascii="宋体" w:hAnsi="宋体" w:cs="宋体"/>
          <w:color w:val="auto"/>
          <w:szCs w:val="21"/>
          <w:highlight w:val="none"/>
        </w:rPr>
      </w:pPr>
    </w:p>
    <w:p w14:paraId="286CCC6F">
      <w:pPr>
        <w:pageBreakBefore w:val="0"/>
        <w:shd w:val="clear"/>
        <w:topLinePunct w:val="0"/>
        <w:bidi w:val="0"/>
        <w:spacing w:after="0" w:line="360" w:lineRule="auto"/>
        <w:rPr>
          <w:rFonts w:hint="eastAsia" w:ascii="宋体" w:hAnsi="宋体" w:cs="宋体"/>
          <w:color w:val="auto"/>
          <w:szCs w:val="21"/>
          <w:highlight w:val="none"/>
        </w:rPr>
      </w:pPr>
    </w:p>
    <w:p w14:paraId="16876EDE">
      <w:pPr>
        <w:pageBreakBefore w:val="0"/>
        <w:shd w:val="clear"/>
        <w:topLinePunct w:val="0"/>
        <w:bidi w:val="0"/>
        <w:spacing w:after="0" w:line="360" w:lineRule="auto"/>
        <w:rPr>
          <w:rFonts w:hint="eastAsia" w:ascii="宋体" w:hAnsi="宋体" w:cs="宋体"/>
          <w:color w:val="auto"/>
          <w:szCs w:val="21"/>
          <w:highlight w:val="none"/>
        </w:rPr>
      </w:pPr>
    </w:p>
    <w:p w14:paraId="053806D0">
      <w:pPr>
        <w:pageBreakBefore w:val="0"/>
        <w:shd w:val="clear"/>
        <w:topLinePunct w:val="0"/>
        <w:bidi w:val="0"/>
        <w:spacing w:after="0" w:line="360" w:lineRule="auto"/>
        <w:rPr>
          <w:rFonts w:hint="eastAsia" w:ascii="宋体" w:hAnsi="宋体" w:cs="宋体"/>
          <w:color w:val="auto"/>
          <w:szCs w:val="21"/>
          <w:highlight w:val="none"/>
        </w:rPr>
      </w:pPr>
    </w:p>
    <w:p w14:paraId="626EDB68">
      <w:pPr>
        <w:pageBreakBefore w:val="0"/>
        <w:shd w:val="clear"/>
        <w:topLinePunct w:val="0"/>
        <w:bidi w:val="0"/>
        <w:spacing w:after="0" w:line="360" w:lineRule="auto"/>
        <w:rPr>
          <w:rFonts w:hint="eastAsia" w:ascii="宋体" w:hAnsi="宋体" w:cs="宋体"/>
          <w:color w:val="auto"/>
          <w:szCs w:val="21"/>
          <w:highlight w:val="none"/>
        </w:rPr>
      </w:pPr>
    </w:p>
    <w:p w14:paraId="2C45B10B">
      <w:pPr>
        <w:pageBreakBefore w:val="0"/>
        <w:shd w:val="clear"/>
        <w:topLinePunct w:val="0"/>
        <w:bidi w:val="0"/>
        <w:spacing w:after="0" w:line="360" w:lineRule="auto"/>
        <w:rPr>
          <w:rFonts w:hint="eastAsia" w:ascii="宋体" w:hAnsi="宋体" w:cs="宋体"/>
          <w:color w:val="auto"/>
          <w:szCs w:val="21"/>
          <w:highlight w:val="none"/>
        </w:rPr>
      </w:pPr>
    </w:p>
    <w:p w14:paraId="43A69D26">
      <w:pPr>
        <w:pageBreakBefore w:val="0"/>
        <w:shd w:val="clear"/>
        <w:topLinePunct w:val="0"/>
        <w:bidi w:val="0"/>
        <w:spacing w:after="0" w:line="360" w:lineRule="auto"/>
        <w:rPr>
          <w:rFonts w:hint="eastAsia" w:ascii="宋体" w:hAnsi="宋体" w:cs="宋体"/>
          <w:color w:val="auto"/>
          <w:szCs w:val="21"/>
          <w:highlight w:val="none"/>
        </w:rPr>
      </w:pPr>
    </w:p>
    <w:p w14:paraId="0282A2BC">
      <w:pPr>
        <w:pageBreakBefore w:val="0"/>
        <w:shd w:val="clear"/>
        <w:topLinePunct w:val="0"/>
        <w:bidi w:val="0"/>
        <w:spacing w:after="0" w:line="360" w:lineRule="auto"/>
        <w:rPr>
          <w:rFonts w:hint="eastAsia" w:ascii="宋体" w:hAnsi="宋体" w:cs="宋体"/>
          <w:color w:val="auto"/>
          <w:szCs w:val="21"/>
          <w:highlight w:val="none"/>
        </w:rPr>
      </w:pPr>
    </w:p>
    <w:p w14:paraId="1276F785">
      <w:pPr>
        <w:pageBreakBefore w:val="0"/>
        <w:shd w:val="clear"/>
        <w:topLinePunct w:val="0"/>
        <w:bidi w:val="0"/>
        <w:spacing w:after="0" w:line="360" w:lineRule="auto"/>
        <w:rPr>
          <w:rFonts w:hint="eastAsia" w:ascii="宋体" w:hAnsi="宋体" w:cs="宋体"/>
          <w:color w:val="auto"/>
          <w:szCs w:val="21"/>
          <w:highlight w:val="none"/>
        </w:rPr>
      </w:pPr>
    </w:p>
    <w:p w14:paraId="0B07D1FD">
      <w:pPr>
        <w:pStyle w:val="6"/>
        <w:pageBreakBefore w:val="0"/>
        <w:numPr>
          <w:ilvl w:val="255"/>
          <w:numId w:val="0"/>
        </w:numPr>
        <w:shd w:val="clear"/>
        <w:tabs>
          <w:tab w:val="left" w:pos="720"/>
          <w:tab w:val="left" w:pos="3840"/>
        </w:tabs>
        <w:topLinePunct w:val="0"/>
        <w:bidi w:val="0"/>
        <w:spacing w:after="0" w:line="360" w:lineRule="auto"/>
        <w:ind w:left="283"/>
        <w:jc w:val="both"/>
        <w:rPr>
          <w:rFonts w:hint="eastAsia" w:ascii="宋体" w:hAnsi="宋体" w:cs="宋体"/>
          <w:color w:val="auto"/>
          <w:sz w:val="21"/>
          <w:szCs w:val="21"/>
          <w:highlight w:val="none"/>
        </w:rPr>
      </w:pPr>
      <w:bookmarkStart w:id="270" w:name="_Toc29855"/>
      <w:bookmarkStart w:id="271" w:name="_Toc28623"/>
      <w:bookmarkStart w:id="272" w:name="_Toc25861"/>
      <w:bookmarkStart w:id="273" w:name="_Toc17028"/>
      <w:bookmarkStart w:id="274" w:name="_Toc14605"/>
      <w:bookmarkStart w:id="275" w:name="_Toc1562"/>
      <w:bookmarkStart w:id="276" w:name="_Toc18296"/>
      <w:bookmarkStart w:id="277" w:name="_Toc8825"/>
      <w:bookmarkStart w:id="278" w:name="_Toc2144"/>
      <w:bookmarkStart w:id="279" w:name="_Toc19947"/>
      <w:bookmarkStart w:id="280" w:name="_Toc4866"/>
      <w:bookmarkStart w:id="281" w:name="_Toc14388"/>
      <w:r>
        <w:rPr>
          <w:rFonts w:hint="eastAsia" w:ascii="宋体" w:hAnsi="宋体" w:cs="宋体"/>
          <w:color w:val="auto"/>
          <w:sz w:val="21"/>
          <w:szCs w:val="21"/>
          <w:highlight w:val="none"/>
        </w:rPr>
        <w:t>附件1</w:t>
      </w:r>
      <w:r>
        <w:rPr>
          <w:rFonts w:hint="eastAsia" w:ascii="宋体" w:hAnsi="宋体" w:cs="宋体"/>
          <w:color w:val="auto"/>
          <w:sz w:val="21"/>
          <w:szCs w:val="21"/>
          <w:highlight w:val="none"/>
          <w:lang w:val="en-US" w:eastAsia="zh-CN"/>
        </w:rPr>
        <w:t>9</w:t>
      </w:r>
      <w:r>
        <w:rPr>
          <w:rFonts w:hint="eastAsia" w:ascii="宋体" w:hAnsi="宋体" w:cs="宋体"/>
          <w:color w:val="auto"/>
          <w:sz w:val="21"/>
          <w:szCs w:val="21"/>
          <w:highlight w:val="none"/>
        </w:rPr>
        <w:t>.不可撤销履约保函</w:t>
      </w:r>
      <w:bookmarkEnd w:id="270"/>
      <w:bookmarkEnd w:id="271"/>
      <w:bookmarkEnd w:id="272"/>
      <w:bookmarkEnd w:id="273"/>
      <w:bookmarkEnd w:id="274"/>
      <w:bookmarkEnd w:id="275"/>
      <w:bookmarkEnd w:id="276"/>
      <w:bookmarkEnd w:id="277"/>
      <w:bookmarkEnd w:id="278"/>
      <w:bookmarkEnd w:id="279"/>
      <w:bookmarkEnd w:id="280"/>
      <w:bookmarkEnd w:id="281"/>
    </w:p>
    <w:p w14:paraId="55342813">
      <w:pPr>
        <w:pageBreakBefore w:val="0"/>
        <w:shd w:val="clear"/>
        <w:topLinePunct w:val="0"/>
        <w:bidi w:val="0"/>
        <w:spacing w:after="0" w:line="360" w:lineRule="auto"/>
        <w:jc w:val="center"/>
        <w:rPr>
          <w:rFonts w:hint="eastAsia" w:ascii="宋体" w:hAnsi="宋体" w:cs="宋体"/>
          <w:color w:val="auto"/>
          <w:highlight w:val="none"/>
        </w:rPr>
      </w:pPr>
      <w:r>
        <w:rPr>
          <w:rFonts w:hint="eastAsia" w:ascii="宋体" w:hAnsi="宋体" w:cs="宋体"/>
          <w:color w:val="auto"/>
          <w:highlight w:val="none"/>
        </w:rPr>
        <w:t>银行编号：</w:t>
      </w:r>
    </w:p>
    <w:p w14:paraId="495AB6E7">
      <w:pPr>
        <w:pageBreakBefore w:val="0"/>
        <w:shd w:val="clear"/>
        <w:topLinePunct w:val="0"/>
        <w:bidi w:val="0"/>
        <w:spacing w:after="0" w:line="360" w:lineRule="auto"/>
        <w:rPr>
          <w:rFonts w:hint="eastAsia" w:ascii="宋体" w:hAnsi="宋体" w:cs="宋体"/>
          <w:color w:val="auto"/>
          <w:highlight w:val="none"/>
        </w:rPr>
      </w:pPr>
      <w:r>
        <w:rPr>
          <w:rFonts w:hint="eastAsia" w:ascii="宋体" w:hAnsi="宋体" w:cs="宋体"/>
          <w:color w:val="auto"/>
          <w:highlight w:val="none"/>
        </w:rPr>
        <w:t>致：</w:t>
      </w:r>
      <w:r>
        <w:rPr>
          <w:rFonts w:hint="eastAsia" w:ascii="宋体" w:hAnsi="宋体" w:cs="宋体"/>
          <w:color w:val="auto"/>
          <w:highlight w:val="none"/>
          <w:u w:val="single"/>
        </w:rPr>
        <w:t xml:space="preserve">                        </w:t>
      </w:r>
      <w:r>
        <w:rPr>
          <w:rFonts w:hint="eastAsia" w:ascii="宋体" w:hAnsi="宋体" w:cs="宋体"/>
          <w:color w:val="auto"/>
          <w:highlight w:val="none"/>
        </w:rPr>
        <w:t>（甲方）</w:t>
      </w:r>
    </w:p>
    <w:p w14:paraId="17735701">
      <w:pPr>
        <w:pageBreakBefore w:val="0"/>
        <w:shd w:val="clear"/>
        <w:topLinePunct w:val="0"/>
        <w:bidi w:val="0"/>
        <w:spacing w:after="0"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鉴于</w:t>
      </w:r>
      <w:r>
        <w:rPr>
          <w:rFonts w:hint="eastAsia" w:ascii="宋体" w:hAnsi="宋体" w:cs="宋体"/>
          <w:color w:val="auto"/>
          <w:highlight w:val="none"/>
          <w:u w:val="single"/>
        </w:rPr>
        <w:t xml:space="preserve">         （地址：          ，下称 “乙方” ）</w:t>
      </w:r>
      <w:r>
        <w:rPr>
          <w:rFonts w:hint="eastAsia" w:ascii="宋体" w:hAnsi="宋体" w:cs="宋体"/>
          <w:color w:val="auto"/>
          <w:highlight w:val="none"/>
        </w:rPr>
        <w:t>已保证按</w:t>
      </w:r>
      <w:r>
        <w:rPr>
          <w:rFonts w:hint="eastAsia" w:ascii="宋体" w:hAnsi="宋体" w:cs="宋体"/>
          <w:color w:val="auto"/>
          <w:highlight w:val="none"/>
          <w:u w:val="single"/>
        </w:rPr>
        <w:t xml:space="preserve">        承包合同书（合同编号：    ）</w:t>
      </w:r>
      <w:r>
        <w:rPr>
          <w:rFonts w:hint="eastAsia" w:ascii="宋体" w:hAnsi="宋体" w:cs="宋体"/>
          <w:color w:val="auto"/>
          <w:highlight w:val="none"/>
        </w:rPr>
        <w:t>中规定的义务履行合同。</w:t>
      </w:r>
    </w:p>
    <w:p w14:paraId="37B8F04A">
      <w:pPr>
        <w:pageBreakBefore w:val="0"/>
        <w:shd w:val="clear"/>
        <w:topLinePunct w:val="0"/>
        <w:bidi w:val="0"/>
        <w:spacing w:after="0"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根据上述合同约定，乙方应向甲方提供一份金额为</w:t>
      </w:r>
      <w:r>
        <w:rPr>
          <w:rFonts w:hint="eastAsia" w:ascii="宋体" w:hAnsi="宋体" w:cs="宋体"/>
          <w:color w:val="auto"/>
          <w:highlight w:val="none"/>
          <w:u w:val="single"/>
        </w:rPr>
        <w:t>人民币</w:t>
      </w:r>
      <w:r>
        <w:rPr>
          <w:rFonts w:hint="eastAsia" w:ascii="宋体" w:hAnsi="宋体" w:cs="宋体"/>
          <w:b w:val="0"/>
          <w:bCs/>
          <w:color w:val="auto"/>
          <w:szCs w:val="21"/>
          <w:highlight w:val="none"/>
          <w:lang w:val="en-US" w:eastAsia="zh-CN"/>
        </w:rPr>
        <w:t>伍拾万元整</w:t>
      </w:r>
      <w:r>
        <w:rPr>
          <w:rFonts w:hint="eastAsia" w:ascii="宋体" w:hAnsi="宋体" w:cs="宋体"/>
          <w:color w:val="auto"/>
          <w:highlight w:val="none"/>
          <w:u w:val="single"/>
        </w:rPr>
        <w:t xml:space="preserve">（RMB </w:t>
      </w:r>
      <w:r>
        <w:rPr>
          <w:rFonts w:hint="eastAsia" w:ascii="宋体" w:hAnsi="宋体" w:eastAsia="宋体" w:cs="宋体"/>
          <w:b w:val="0"/>
          <w:bCs/>
          <w:color w:val="auto"/>
          <w:szCs w:val="21"/>
          <w:highlight w:val="none"/>
          <w:lang w:val="en-US" w:eastAsia="zh-CN"/>
        </w:rPr>
        <w:t>500,000.00</w:t>
      </w:r>
      <w:r>
        <w:rPr>
          <w:rFonts w:hint="eastAsia" w:ascii="宋体" w:hAnsi="宋体" w:cs="宋体"/>
          <w:color w:val="auto"/>
          <w:highlight w:val="none"/>
          <w:u w:val="single"/>
        </w:rPr>
        <w:t>元）</w:t>
      </w:r>
      <w:r>
        <w:rPr>
          <w:rFonts w:hint="eastAsia" w:ascii="宋体" w:hAnsi="宋体" w:cs="宋体"/>
          <w:color w:val="auto"/>
          <w:highlight w:val="none"/>
        </w:rPr>
        <w:t>的</w:t>
      </w:r>
      <w:r>
        <w:rPr>
          <w:rFonts w:hint="eastAsia" w:ascii="宋体" w:hAnsi="宋体" w:cs="宋体"/>
          <w:bCs/>
          <w:color w:val="auto"/>
          <w:highlight w:val="none"/>
        </w:rPr>
        <w:t>不可撤销</w:t>
      </w:r>
      <w:r>
        <w:rPr>
          <w:rFonts w:hint="eastAsia" w:ascii="宋体" w:hAnsi="宋体" w:cs="宋体"/>
          <w:color w:val="auto"/>
          <w:highlight w:val="none"/>
        </w:rPr>
        <w:t>银行履约保函，作为乙方履行上述合同的担保。</w:t>
      </w:r>
    </w:p>
    <w:p w14:paraId="683233B3">
      <w:pPr>
        <w:pageBreakBefore w:val="0"/>
        <w:shd w:val="clear"/>
        <w:topLinePunct w:val="0"/>
        <w:bidi w:val="0"/>
        <w:spacing w:after="0"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我方</w:t>
      </w:r>
      <w:r>
        <w:rPr>
          <w:rFonts w:hint="eastAsia" w:ascii="宋体" w:hAnsi="宋体" w:cs="宋体"/>
          <w:color w:val="auto"/>
          <w:highlight w:val="none"/>
          <w:u w:val="single"/>
        </w:rPr>
        <w:t xml:space="preserve">            （银行名称）</w:t>
      </w:r>
      <w:r>
        <w:rPr>
          <w:rFonts w:hint="eastAsia" w:ascii="宋体" w:hAnsi="宋体" w:cs="宋体"/>
          <w:color w:val="auto"/>
          <w:highlight w:val="none"/>
        </w:rPr>
        <w:t>，受乙方的委托，不仅作为连带责任保证人而且作为主要的责任人，无条件和不可撤销地同意在甲方提出因乙方没有履行上述合同规定，而要求扣划保证金的书面要求后，7个工作日内为甲方扣划金额不超过</w:t>
      </w:r>
      <w:r>
        <w:rPr>
          <w:rFonts w:hint="eastAsia" w:ascii="宋体" w:hAnsi="宋体" w:cs="宋体"/>
          <w:color w:val="auto"/>
          <w:highlight w:val="none"/>
          <w:u w:val="single"/>
        </w:rPr>
        <w:t>人民币          （RMB       元）</w:t>
      </w:r>
      <w:r>
        <w:rPr>
          <w:rFonts w:hint="eastAsia" w:ascii="宋体" w:hAnsi="宋体" w:cs="宋体"/>
          <w:color w:val="auto"/>
          <w:highlight w:val="none"/>
        </w:rPr>
        <w:t>的保证金。</w:t>
      </w:r>
    </w:p>
    <w:p w14:paraId="61855F6C">
      <w:pPr>
        <w:pageBreakBefore w:val="0"/>
        <w:shd w:val="clear"/>
        <w:topLinePunct w:val="0"/>
        <w:bidi w:val="0"/>
        <w:spacing w:after="0"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我方还同意，任何甲方与乙方之间可能对合同条款的修改、规范或其他合同文件的变动补充，都不能免除我方按本保函所承担的责任。因此，有关上述变动、补充和修改无须通知我方。</w:t>
      </w:r>
    </w:p>
    <w:p w14:paraId="5A42BF08">
      <w:pPr>
        <w:pageBreakBefore w:val="0"/>
        <w:shd w:val="clear"/>
        <w:topLinePunct w:val="0"/>
        <w:bidi w:val="0"/>
        <w:spacing w:after="0"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本保函从上述合同签订之日起至项目服务期结束验收合格并完成结算后，双方签字之日起7天内保持有效。</w:t>
      </w:r>
    </w:p>
    <w:p w14:paraId="3992EFA4">
      <w:pPr>
        <w:pageBreakBefore w:val="0"/>
        <w:shd w:val="clear"/>
        <w:topLinePunct w:val="0"/>
        <w:bidi w:val="0"/>
        <w:spacing w:after="0" w:line="360" w:lineRule="auto"/>
        <w:ind w:firstLine="2824" w:firstLineChars="1345"/>
        <w:rPr>
          <w:rFonts w:hint="eastAsia" w:ascii="宋体" w:hAnsi="宋体" w:cs="宋体"/>
          <w:color w:val="auto"/>
          <w:highlight w:val="none"/>
        </w:rPr>
      </w:pPr>
    </w:p>
    <w:p w14:paraId="1B941EF6">
      <w:pPr>
        <w:pageBreakBefore w:val="0"/>
        <w:shd w:val="clear"/>
        <w:topLinePunct w:val="0"/>
        <w:bidi w:val="0"/>
        <w:spacing w:after="0" w:line="360" w:lineRule="auto"/>
        <w:ind w:firstLine="5040" w:firstLineChars="2400"/>
        <w:rPr>
          <w:rFonts w:hint="eastAsia" w:ascii="宋体" w:hAnsi="宋体" w:cs="宋体"/>
          <w:color w:val="auto"/>
          <w:highlight w:val="none"/>
        </w:rPr>
      </w:pPr>
      <w:r>
        <w:rPr>
          <w:rFonts w:hint="eastAsia" w:ascii="宋体" w:hAnsi="宋体" w:cs="宋体"/>
          <w:color w:val="auto"/>
          <w:highlight w:val="none"/>
        </w:rPr>
        <w:t>保证人：（盖章）</w:t>
      </w:r>
      <w:r>
        <w:rPr>
          <w:rFonts w:hint="eastAsia" w:ascii="宋体" w:hAnsi="宋体" w:cs="宋体"/>
          <w:color w:val="auto"/>
          <w:highlight w:val="none"/>
          <w:u w:val="single"/>
        </w:rPr>
        <w:t xml:space="preserve">                        </w:t>
      </w:r>
    </w:p>
    <w:p w14:paraId="35F5173A">
      <w:pPr>
        <w:pageBreakBefore w:val="0"/>
        <w:shd w:val="clear"/>
        <w:topLinePunct w:val="0"/>
        <w:bidi w:val="0"/>
        <w:spacing w:after="0" w:line="360" w:lineRule="auto"/>
        <w:ind w:firstLine="5040" w:firstLineChars="2400"/>
        <w:rPr>
          <w:rFonts w:hint="eastAsia" w:ascii="宋体" w:hAnsi="宋体" w:cs="宋体"/>
          <w:color w:val="auto"/>
          <w:highlight w:val="none"/>
        </w:rPr>
      </w:pPr>
      <w:r>
        <w:rPr>
          <w:rFonts w:hint="eastAsia" w:ascii="宋体" w:hAnsi="宋体" w:cs="宋体"/>
          <w:color w:val="auto"/>
          <w:highlight w:val="none"/>
        </w:rPr>
        <w:t>负责人：（签字）</w:t>
      </w:r>
      <w:r>
        <w:rPr>
          <w:rFonts w:hint="eastAsia" w:ascii="宋体" w:hAnsi="宋体" w:cs="宋体"/>
          <w:color w:val="auto"/>
          <w:highlight w:val="none"/>
          <w:u w:val="single"/>
        </w:rPr>
        <w:t xml:space="preserve">                        </w:t>
      </w:r>
    </w:p>
    <w:p w14:paraId="57718A66">
      <w:pPr>
        <w:pageBreakBefore w:val="0"/>
        <w:shd w:val="clear"/>
        <w:topLinePunct w:val="0"/>
        <w:bidi w:val="0"/>
        <w:spacing w:after="0" w:line="360" w:lineRule="auto"/>
        <w:ind w:firstLine="5040" w:firstLineChars="2400"/>
        <w:rPr>
          <w:rFonts w:hint="eastAsia" w:ascii="宋体" w:hAnsi="宋体" w:cs="宋体"/>
          <w:color w:val="auto"/>
          <w:highlight w:val="none"/>
        </w:rPr>
      </w:pPr>
      <w:r>
        <w:rPr>
          <w:rFonts w:hint="eastAsia" w:ascii="宋体" w:hAnsi="宋体" w:cs="宋体"/>
          <w:color w:val="auto"/>
          <w:highlight w:val="none"/>
        </w:rPr>
        <w:t>联系人：</w:t>
      </w:r>
      <w:r>
        <w:rPr>
          <w:rFonts w:hint="eastAsia" w:ascii="宋体" w:hAnsi="宋体" w:cs="宋体"/>
          <w:color w:val="auto"/>
          <w:highlight w:val="none"/>
          <w:u w:val="single"/>
        </w:rPr>
        <w:t xml:space="preserve">                               </w:t>
      </w:r>
      <w:r>
        <w:rPr>
          <w:rFonts w:hint="eastAsia" w:ascii="宋体" w:hAnsi="宋体" w:cs="宋体"/>
          <w:color w:val="auto"/>
          <w:highlight w:val="none"/>
        </w:rPr>
        <w:t xml:space="preserve">   </w:t>
      </w:r>
    </w:p>
    <w:p w14:paraId="0A4406A3">
      <w:pPr>
        <w:pageBreakBefore w:val="0"/>
        <w:shd w:val="clear"/>
        <w:topLinePunct w:val="0"/>
        <w:bidi w:val="0"/>
        <w:spacing w:after="0" w:line="360" w:lineRule="auto"/>
        <w:ind w:firstLine="5040" w:firstLineChars="2400"/>
        <w:rPr>
          <w:rFonts w:hint="eastAsia" w:ascii="宋体" w:hAnsi="宋体" w:cs="宋体"/>
          <w:color w:val="auto"/>
          <w:highlight w:val="none"/>
        </w:rPr>
      </w:pPr>
      <w:r>
        <w:rPr>
          <w:rFonts w:hint="eastAsia" w:ascii="宋体" w:hAnsi="宋体" w:cs="宋体"/>
          <w:color w:val="auto"/>
          <w:highlight w:val="none"/>
        </w:rPr>
        <w:t>联系电话：</w:t>
      </w:r>
      <w:r>
        <w:rPr>
          <w:rFonts w:hint="eastAsia" w:ascii="宋体" w:hAnsi="宋体" w:cs="宋体"/>
          <w:color w:val="auto"/>
          <w:highlight w:val="none"/>
          <w:u w:val="single"/>
        </w:rPr>
        <w:t xml:space="preserve">                             </w:t>
      </w:r>
    </w:p>
    <w:p w14:paraId="5CD7D1F0">
      <w:pPr>
        <w:pageBreakBefore w:val="0"/>
        <w:shd w:val="clear"/>
        <w:topLinePunct w:val="0"/>
        <w:bidi w:val="0"/>
        <w:spacing w:after="0" w:line="360" w:lineRule="auto"/>
        <w:ind w:firstLine="5040" w:firstLineChars="2400"/>
        <w:rPr>
          <w:rFonts w:hint="eastAsia" w:ascii="宋体" w:hAnsi="宋体" w:cs="宋体"/>
          <w:color w:val="auto"/>
          <w:highlight w:val="none"/>
        </w:rPr>
      </w:pPr>
      <w:r>
        <w:rPr>
          <w:rFonts w:hint="eastAsia" w:ascii="宋体" w:hAnsi="宋体" w:cs="宋体"/>
          <w:color w:val="auto"/>
          <w:highlight w:val="none"/>
        </w:rPr>
        <w:t>日期：</w:t>
      </w:r>
      <w:r>
        <w:rPr>
          <w:rFonts w:hint="eastAsia" w:ascii="宋体" w:hAnsi="宋体" w:cs="宋体"/>
          <w:color w:val="auto"/>
          <w:highlight w:val="none"/>
          <w:u w:val="single"/>
        </w:rPr>
        <w:t xml:space="preserve">                               </w:t>
      </w:r>
    </w:p>
    <w:p w14:paraId="1685F17B">
      <w:pPr>
        <w:pStyle w:val="11"/>
        <w:pageBreakBefore w:val="0"/>
        <w:shd w:val="clear"/>
        <w:topLinePunct w:val="0"/>
        <w:bidi w:val="0"/>
        <w:spacing w:after="0" w:line="360" w:lineRule="auto"/>
        <w:rPr>
          <w:rFonts w:hint="eastAsia" w:cs="宋体"/>
          <w:color w:val="auto"/>
          <w:szCs w:val="24"/>
          <w:highlight w:val="none"/>
        </w:rPr>
      </w:pPr>
      <w:r>
        <w:rPr>
          <w:rFonts w:hint="eastAsia" w:cs="宋体"/>
          <w:color w:val="auto"/>
          <w:szCs w:val="24"/>
          <w:highlight w:val="none"/>
        </w:rPr>
        <w:t>说明：投标人在投标时不需提交正式保函，在投标文件中盖投标人公章确认保函格式即可，乙方</w:t>
      </w:r>
      <w:r>
        <w:rPr>
          <w:rFonts w:hint="eastAsia" w:cs="宋体"/>
          <w:color w:val="auto"/>
          <w:highlight w:val="none"/>
        </w:rPr>
        <w:t>在签订合同时</w:t>
      </w:r>
      <w:r>
        <w:rPr>
          <w:rFonts w:hint="eastAsia" w:cs="宋体"/>
          <w:color w:val="auto"/>
          <w:szCs w:val="24"/>
          <w:highlight w:val="none"/>
        </w:rPr>
        <w:t>提交正式保函。</w:t>
      </w:r>
    </w:p>
    <w:p w14:paraId="05B4E7A1">
      <w:pPr>
        <w:pageBreakBefore w:val="0"/>
        <w:shd w:val="clear"/>
        <w:topLinePunct w:val="0"/>
        <w:bidi w:val="0"/>
        <w:spacing w:after="0" w:line="360" w:lineRule="auto"/>
        <w:rPr>
          <w:rFonts w:hint="eastAsia" w:ascii="宋体" w:hAnsi="宋体" w:cs="宋体"/>
          <w:color w:val="auto"/>
          <w:szCs w:val="21"/>
          <w:highlight w:val="none"/>
        </w:rPr>
      </w:pPr>
    </w:p>
    <w:p w14:paraId="733D1DE6">
      <w:pPr>
        <w:pageBreakBefore w:val="0"/>
        <w:shd w:val="clear"/>
        <w:topLinePunct w:val="0"/>
        <w:bidi w:val="0"/>
        <w:spacing w:after="0" w:line="360" w:lineRule="auto"/>
        <w:rPr>
          <w:rFonts w:hint="eastAsia" w:ascii="宋体" w:hAnsi="宋体" w:cs="宋体"/>
          <w:color w:val="auto"/>
          <w:szCs w:val="21"/>
          <w:highlight w:val="none"/>
        </w:rPr>
        <w:sectPr>
          <w:pgSz w:w="11906" w:h="16838"/>
          <w:pgMar w:top="1440" w:right="1800" w:bottom="1440" w:left="1800" w:header="708" w:footer="708" w:gutter="0"/>
          <w:cols w:space="708" w:num="1"/>
          <w:titlePg/>
          <w:docGrid w:type="lines" w:linePitch="360" w:charSpace="0"/>
        </w:sectPr>
      </w:pPr>
    </w:p>
    <w:p w14:paraId="30C3D6F4">
      <w:pPr>
        <w:pStyle w:val="6"/>
        <w:pageBreakBefore w:val="0"/>
        <w:numPr>
          <w:ilvl w:val="255"/>
          <w:numId w:val="0"/>
        </w:numPr>
        <w:shd w:val="clear"/>
        <w:tabs>
          <w:tab w:val="left" w:pos="720"/>
          <w:tab w:val="left" w:pos="3840"/>
        </w:tabs>
        <w:topLinePunct w:val="0"/>
        <w:bidi w:val="0"/>
        <w:spacing w:after="0" w:line="360" w:lineRule="auto"/>
        <w:ind w:left="283"/>
        <w:jc w:val="both"/>
        <w:rPr>
          <w:rFonts w:hint="eastAsia" w:ascii="宋体" w:hAnsi="宋体" w:cs="宋体"/>
          <w:color w:val="auto"/>
          <w:sz w:val="21"/>
          <w:szCs w:val="21"/>
          <w:highlight w:val="none"/>
        </w:rPr>
      </w:pPr>
      <w:bookmarkStart w:id="282" w:name="_Toc17421"/>
      <w:bookmarkStart w:id="283" w:name="_Toc21323"/>
      <w:r>
        <w:rPr>
          <w:rFonts w:hint="eastAsia" w:ascii="宋体" w:hAnsi="宋体" w:cs="宋体"/>
          <w:color w:val="auto"/>
          <w:sz w:val="21"/>
          <w:szCs w:val="21"/>
          <w:highlight w:val="none"/>
        </w:rPr>
        <w:t>附件</w:t>
      </w:r>
      <w:r>
        <w:rPr>
          <w:rFonts w:hint="eastAsia" w:ascii="宋体" w:hAnsi="宋体" w:cs="宋体"/>
          <w:color w:val="auto"/>
          <w:sz w:val="21"/>
          <w:szCs w:val="21"/>
          <w:highlight w:val="none"/>
          <w:lang w:val="en-US" w:eastAsia="zh-CN"/>
        </w:rPr>
        <w:t>20</w:t>
      </w:r>
      <w:r>
        <w:rPr>
          <w:rFonts w:hint="eastAsia" w:ascii="宋体" w:hAnsi="宋体" w:cs="宋体"/>
          <w:color w:val="auto"/>
          <w:sz w:val="21"/>
          <w:szCs w:val="21"/>
          <w:highlight w:val="none"/>
        </w:rPr>
        <w:t>.预付款保函（适用于预付款支付）</w:t>
      </w:r>
      <w:bookmarkEnd w:id="282"/>
      <w:bookmarkEnd w:id="283"/>
    </w:p>
    <w:p w14:paraId="743B2473">
      <w:pPr>
        <w:pStyle w:val="11"/>
        <w:pageBreakBefore w:val="0"/>
        <w:shd w:val="clear"/>
        <w:topLinePunct w:val="0"/>
        <w:bidi w:val="0"/>
        <w:spacing w:after="0" w:line="360" w:lineRule="auto"/>
        <w:rPr>
          <w:rFonts w:hint="eastAsia" w:cs="宋体"/>
          <w:color w:val="auto"/>
          <w:szCs w:val="24"/>
          <w:highlight w:val="none"/>
        </w:rPr>
      </w:pPr>
    </w:p>
    <w:p w14:paraId="50164C0A">
      <w:pPr>
        <w:pageBreakBefore w:val="0"/>
        <w:shd w:val="clear"/>
        <w:topLinePunct w:val="0"/>
        <w:bidi w:val="0"/>
        <w:spacing w:after="0" w:line="360" w:lineRule="auto"/>
        <w:jc w:val="center"/>
        <w:rPr>
          <w:rFonts w:hint="eastAsia" w:ascii="宋体" w:hAnsi="宋体" w:cs="宋体"/>
          <w:color w:val="auto"/>
          <w:sz w:val="28"/>
          <w:szCs w:val="28"/>
          <w:highlight w:val="none"/>
        </w:rPr>
      </w:pPr>
      <w:bookmarkStart w:id="284" w:name="_Toc10315"/>
      <w:bookmarkStart w:id="285" w:name="_Toc29054"/>
      <w:bookmarkStart w:id="286" w:name="_Toc29728"/>
      <w:bookmarkStart w:id="287" w:name="_Toc3295"/>
      <w:bookmarkStart w:id="288" w:name="_Toc27545"/>
      <w:bookmarkStart w:id="289" w:name="_Toc5034"/>
      <w:bookmarkStart w:id="290" w:name="_Toc25494"/>
      <w:bookmarkStart w:id="291" w:name="_Toc20669"/>
      <w:bookmarkStart w:id="292" w:name="_Toc6877"/>
      <w:bookmarkStart w:id="293" w:name="_Toc31418"/>
      <w:bookmarkStart w:id="294" w:name="_Toc1039"/>
      <w:bookmarkStart w:id="295" w:name="_Toc7374"/>
      <w:r>
        <w:rPr>
          <w:rFonts w:hint="eastAsia" w:ascii="宋体" w:hAnsi="宋体" w:cs="宋体"/>
          <w:color w:val="auto"/>
          <w:sz w:val="28"/>
          <w:szCs w:val="28"/>
          <w:highlight w:val="none"/>
        </w:rPr>
        <w:t>不可撤销预付款保函</w:t>
      </w:r>
      <w:bookmarkEnd w:id="284"/>
      <w:bookmarkEnd w:id="285"/>
      <w:bookmarkEnd w:id="286"/>
      <w:bookmarkEnd w:id="287"/>
      <w:bookmarkEnd w:id="288"/>
      <w:bookmarkEnd w:id="289"/>
      <w:bookmarkEnd w:id="290"/>
      <w:bookmarkEnd w:id="291"/>
      <w:bookmarkEnd w:id="292"/>
      <w:bookmarkEnd w:id="293"/>
      <w:bookmarkEnd w:id="294"/>
      <w:bookmarkEnd w:id="295"/>
    </w:p>
    <w:p w14:paraId="19336042">
      <w:pPr>
        <w:pageBreakBefore w:val="0"/>
        <w:shd w:val="clear"/>
        <w:topLinePunct w:val="0"/>
        <w:bidi w:val="0"/>
        <w:spacing w:after="0" w:line="360" w:lineRule="auto"/>
        <w:ind w:firstLine="6300"/>
        <w:rPr>
          <w:rFonts w:hint="eastAsia" w:ascii="宋体" w:hAnsi="宋体" w:cs="宋体"/>
          <w:color w:val="auto"/>
          <w:szCs w:val="21"/>
          <w:highlight w:val="none"/>
          <w:u w:val="single"/>
        </w:rPr>
      </w:pPr>
      <w:r>
        <w:rPr>
          <w:rFonts w:hint="eastAsia" w:ascii="宋体" w:hAnsi="宋体" w:cs="宋体"/>
          <w:color w:val="auto"/>
          <w:szCs w:val="21"/>
          <w:highlight w:val="none"/>
        </w:rPr>
        <w:t>银行编号：</w:t>
      </w:r>
      <w:r>
        <w:rPr>
          <w:rFonts w:hint="eastAsia" w:ascii="宋体" w:hAnsi="宋体" w:cs="宋体"/>
          <w:color w:val="auto"/>
          <w:szCs w:val="21"/>
          <w:highlight w:val="none"/>
          <w:u w:val="single"/>
        </w:rPr>
        <w:t xml:space="preserve">             </w:t>
      </w:r>
    </w:p>
    <w:p w14:paraId="532354C8">
      <w:pPr>
        <w:pageBreakBefore w:val="0"/>
        <w:shd w:val="clear"/>
        <w:topLinePunct w:val="0"/>
        <w:bidi w:val="0"/>
        <w:spacing w:after="0" w:line="360" w:lineRule="auto"/>
        <w:ind w:firstLine="6300"/>
        <w:rPr>
          <w:rFonts w:hint="eastAsia" w:ascii="宋体" w:hAnsi="宋体" w:cs="宋体"/>
          <w:color w:val="auto"/>
          <w:szCs w:val="21"/>
          <w:highlight w:val="none"/>
        </w:rPr>
      </w:pPr>
    </w:p>
    <w:p w14:paraId="47D8B9B7">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t>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（下称“采购人”）</w:t>
      </w:r>
    </w:p>
    <w:p w14:paraId="21E263E6">
      <w:pPr>
        <w:pageBreakBefore w:val="0"/>
        <w:shd w:val="clear"/>
        <w:topLinePunct w:val="0"/>
        <w:bidi w:val="0"/>
        <w:spacing w:after="0" w:line="360" w:lineRule="auto"/>
        <w:ind w:firstLine="437"/>
        <w:rPr>
          <w:rFonts w:hint="eastAsia" w:ascii="宋体" w:hAnsi="宋体" w:cs="宋体"/>
          <w:color w:val="auto"/>
          <w:szCs w:val="21"/>
          <w:highlight w:val="none"/>
        </w:rPr>
      </w:pPr>
      <w:r>
        <w:rPr>
          <w:rFonts w:hint="eastAsia" w:ascii="宋体" w:hAnsi="宋体" w:cs="宋体"/>
          <w:color w:val="auto"/>
          <w:szCs w:val="21"/>
          <w:highlight w:val="none"/>
        </w:rPr>
        <w:t>鉴于</w:t>
      </w:r>
      <w:r>
        <w:rPr>
          <w:rFonts w:hint="eastAsia" w:ascii="宋体" w:hAnsi="宋体" w:cs="宋体"/>
          <w:color w:val="auto"/>
          <w:szCs w:val="21"/>
          <w:highlight w:val="none"/>
          <w:u w:val="single"/>
        </w:rPr>
        <w:t xml:space="preserve">            </w:t>
      </w:r>
      <w:r>
        <w:rPr>
          <w:rFonts w:hint="eastAsia" w:ascii="宋体" w:hAnsi="宋体" w:cs="宋体"/>
          <w:color w:val="auto"/>
          <w:szCs w:val="24"/>
          <w:highlight w:val="none"/>
          <w:u w:val="single"/>
        </w:rPr>
        <w:t>（地址：          ，下称 “中标人” ）</w:t>
      </w:r>
      <w:r>
        <w:rPr>
          <w:rFonts w:hint="eastAsia" w:ascii="宋体" w:hAnsi="宋体" w:cs="宋体"/>
          <w:color w:val="auto"/>
          <w:szCs w:val="21"/>
          <w:highlight w:val="none"/>
        </w:rPr>
        <w:t>，已保证按</w:t>
      </w:r>
      <w:r>
        <w:rPr>
          <w:rFonts w:hint="eastAsia" w:ascii="宋体" w:hAnsi="宋体" w:cs="宋体"/>
          <w:color w:val="auto"/>
          <w:szCs w:val="21"/>
          <w:highlight w:val="none"/>
          <w:u w:val="single"/>
        </w:rPr>
        <w:t xml:space="preserve">          承包合同书（合同编号：    ）</w:t>
      </w:r>
      <w:r>
        <w:rPr>
          <w:rFonts w:hint="eastAsia" w:ascii="宋体" w:hAnsi="宋体" w:cs="宋体"/>
          <w:color w:val="auto"/>
          <w:szCs w:val="21"/>
          <w:highlight w:val="none"/>
        </w:rPr>
        <w:t>中规定的义务履行合同。</w:t>
      </w:r>
    </w:p>
    <w:p w14:paraId="7AFB1760">
      <w:pPr>
        <w:pageBreakBefore w:val="0"/>
        <w:shd w:val="clear"/>
        <w:topLinePunct w:val="0"/>
        <w:bidi w:val="0"/>
        <w:spacing w:after="0" w:line="360" w:lineRule="auto"/>
        <w:ind w:firstLine="437"/>
        <w:rPr>
          <w:rFonts w:hint="eastAsia" w:ascii="宋体" w:hAnsi="宋体" w:cs="宋体"/>
          <w:color w:val="auto"/>
          <w:szCs w:val="21"/>
          <w:highlight w:val="none"/>
        </w:rPr>
      </w:pPr>
      <w:r>
        <w:rPr>
          <w:rFonts w:hint="eastAsia" w:ascii="宋体" w:hAnsi="宋体" w:cs="宋体"/>
          <w:color w:val="auto"/>
          <w:szCs w:val="24"/>
          <w:highlight w:val="none"/>
        </w:rPr>
        <w:t>根据上述合同（招标文件）规定，中标人应向采购人提供一份金额为合同总价的</w:t>
      </w:r>
      <w:r>
        <w:rPr>
          <w:rFonts w:hint="eastAsia" w:ascii="宋体" w:hAnsi="宋体" w:cs="宋体"/>
          <w:color w:val="auto"/>
          <w:szCs w:val="24"/>
          <w:highlight w:val="none"/>
          <w:u w:val="single"/>
        </w:rPr>
        <w:t xml:space="preserve">   </w:t>
      </w:r>
      <w:r>
        <w:rPr>
          <w:rFonts w:hint="eastAsia" w:ascii="宋体" w:hAnsi="宋体" w:cs="宋体"/>
          <w:color w:val="auto"/>
          <w:szCs w:val="24"/>
          <w:highlight w:val="none"/>
        </w:rPr>
        <w:t>% 即人民币</w:t>
      </w:r>
      <w:r>
        <w:rPr>
          <w:rFonts w:hint="eastAsia" w:ascii="宋体" w:hAnsi="宋体" w:cs="宋体"/>
          <w:color w:val="auto"/>
          <w:szCs w:val="21"/>
          <w:highlight w:val="none"/>
          <w:u w:val="single"/>
        </w:rPr>
        <w:t xml:space="preserve">      （RMB      元）</w:t>
      </w:r>
      <w:r>
        <w:rPr>
          <w:rFonts w:hint="eastAsia" w:ascii="宋体" w:hAnsi="宋体" w:cs="宋体"/>
          <w:color w:val="auto"/>
          <w:szCs w:val="21"/>
          <w:highlight w:val="none"/>
        </w:rPr>
        <w:t>的不可撤销银行预付款保函，以保证中标人履行合同的相关条款。</w:t>
      </w:r>
    </w:p>
    <w:p w14:paraId="41E42927">
      <w:pPr>
        <w:pageBreakBefore w:val="0"/>
        <w:shd w:val="clear"/>
        <w:topLinePunct w:val="0"/>
        <w:bidi w:val="0"/>
        <w:spacing w:after="0" w:line="360" w:lineRule="auto"/>
        <w:ind w:firstLine="437"/>
        <w:rPr>
          <w:rFonts w:hint="eastAsia" w:ascii="宋体" w:hAnsi="宋体" w:cs="宋体"/>
          <w:color w:val="auto"/>
          <w:szCs w:val="21"/>
          <w:highlight w:val="none"/>
        </w:rPr>
      </w:pPr>
      <w:r>
        <w:rPr>
          <w:rFonts w:hint="eastAsia" w:ascii="宋体" w:hAnsi="宋体" w:cs="宋体"/>
          <w:color w:val="auto"/>
          <w:szCs w:val="21"/>
          <w:highlight w:val="none"/>
        </w:rPr>
        <w:t>我方</w:t>
      </w:r>
      <w:r>
        <w:rPr>
          <w:rFonts w:hint="eastAsia" w:ascii="宋体" w:hAnsi="宋体" w:cs="宋体"/>
          <w:color w:val="auto"/>
          <w:szCs w:val="21"/>
          <w:highlight w:val="none"/>
          <w:u w:val="single"/>
        </w:rPr>
        <w:t xml:space="preserve">  （银行名称）  </w:t>
      </w:r>
      <w:r>
        <w:rPr>
          <w:rFonts w:hint="eastAsia" w:ascii="宋体" w:hAnsi="宋体" w:cs="宋体"/>
          <w:color w:val="auto"/>
          <w:szCs w:val="21"/>
          <w:highlight w:val="none"/>
        </w:rPr>
        <w:t>，受中标人的委托，作为连带责任保证人，无条件和不可撤销地同意在采购人提出因中标人没有履行上述合同规定，而要求收回上述金额内任何付款的书面要求后，于7个工作日内为采购人予以支付并保证到达采购人账户，以保证在中标人没有履行或部分履行合同条款的责任时，采购人可以向中标人收回全部或部分预付款。</w:t>
      </w:r>
    </w:p>
    <w:p w14:paraId="47B7B659">
      <w:pPr>
        <w:pageBreakBefore w:val="0"/>
        <w:shd w:val="clear"/>
        <w:topLinePunct w:val="0"/>
        <w:bidi w:val="0"/>
        <w:spacing w:after="0" w:line="360" w:lineRule="auto"/>
        <w:ind w:firstLine="437"/>
        <w:rPr>
          <w:rFonts w:hint="eastAsia" w:ascii="宋体" w:hAnsi="宋体" w:cs="宋体"/>
          <w:color w:val="auto"/>
          <w:szCs w:val="21"/>
          <w:highlight w:val="none"/>
        </w:rPr>
      </w:pPr>
      <w:r>
        <w:rPr>
          <w:rFonts w:hint="eastAsia" w:ascii="宋体" w:hAnsi="宋体" w:cs="宋体"/>
          <w:color w:val="auto"/>
          <w:szCs w:val="21"/>
          <w:highlight w:val="none"/>
        </w:rPr>
        <w:t>我方还同意，任何采购人与中标人之间可能对合同条款的修改、规范或其他合同文件的变动补充，都不能免除我方按本保函所承担的责任。因此，有关上述变动、补充和修改无须通知我方。</w:t>
      </w:r>
    </w:p>
    <w:p w14:paraId="3428DD21">
      <w:pPr>
        <w:pageBreakBefore w:val="0"/>
        <w:shd w:val="clear"/>
        <w:topLinePunct w:val="0"/>
        <w:bidi w:val="0"/>
        <w:spacing w:after="0" w:line="360" w:lineRule="auto"/>
        <w:ind w:firstLine="437"/>
        <w:rPr>
          <w:rFonts w:hint="eastAsia" w:ascii="宋体" w:hAnsi="宋体" w:cs="宋体"/>
          <w:color w:val="auto"/>
          <w:szCs w:val="21"/>
          <w:highlight w:val="none"/>
        </w:rPr>
      </w:pPr>
      <w:r>
        <w:rPr>
          <w:rFonts w:hint="eastAsia" w:ascii="宋体" w:hAnsi="宋体" w:cs="宋体"/>
          <w:color w:val="auto"/>
          <w:szCs w:val="21"/>
          <w:highlight w:val="none"/>
        </w:rPr>
        <w:t>本保函有效期从保函开立之日起至采购人向中标人抵扣完所有预付款之日止。</w:t>
      </w:r>
    </w:p>
    <w:p w14:paraId="3D84937C">
      <w:pPr>
        <w:pageBreakBefore w:val="0"/>
        <w:shd w:val="clear"/>
        <w:topLinePunct w:val="0"/>
        <w:bidi w:val="0"/>
        <w:spacing w:after="0" w:line="360" w:lineRule="auto"/>
        <w:rPr>
          <w:rFonts w:hint="eastAsia" w:ascii="宋体" w:hAnsi="宋体" w:cs="宋体"/>
          <w:color w:val="auto"/>
          <w:szCs w:val="21"/>
          <w:highlight w:val="none"/>
        </w:rPr>
      </w:pPr>
    </w:p>
    <w:p w14:paraId="4E923485">
      <w:pPr>
        <w:pageBreakBefore w:val="0"/>
        <w:shd w:val="clear"/>
        <w:topLinePunct w:val="0"/>
        <w:bidi w:val="0"/>
        <w:spacing w:after="0" w:line="360" w:lineRule="auto"/>
        <w:ind w:firstLine="437"/>
        <w:rPr>
          <w:rFonts w:hint="eastAsia" w:ascii="宋体" w:hAnsi="宋体" w:cs="宋体"/>
          <w:color w:val="auto"/>
          <w:szCs w:val="21"/>
          <w:highlight w:val="none"/>
        </w:rPr>
      </w:pPr>
    </w:p>
    <w:p w14:paraId="6E625231">
      <w:pPr>
        <w:pageBreakBefore w:val="0"/>
        <w:shd w:val="clear"/>
        <w:topLinePunct w:val="0"/>
        <w:bidi w:val="0"/>
        <w:spacing w:after="0" w:line="360" w:lineRule="auto"/>
        <w:ind w:firstLine="4860"/>
        <w:rPr>
          <w:rFonts w:hint="eastAsia" w:ascii="宋体" w:hAnsi="宋体" w:cs="宋体"/>
          <w:color w:val="auto"/>
          <w:szCs w:val="21"/>
          <w:highlight w:val="none"/>
        </w:rPr>
      </w:pPr>
      <w:r>
        <w:rPr>
          <w:rFonts w:hint="eastAsia" w:ascii="宋体" w:hAnsi="宋体" w:cs="宋体"/>
          <w:color w:val="auto"/>
          <w:szCs w:val="21"/>
          <w:highlight w:val="none"/>
        </w:rPr>
        <w:t>保证人：（公章）</w:t>
      </w:r>
      <w:r>
        <w:rPr>
          <w:rFonts w:hint="eastAsia" w:ascii="宋体" w:hAnsi="宋体" w:cs="宋体"/>
          <w:color w:val="auto"/>
          <w:szCs w:val="21"/>
          <w:highlight w:val="none"/>
          <w:u w:val="single"/>
        </w:rPr>
        <w:t xml:space="preserve">                     </w:t>
      </w:r>
    </w:p>
    <w:p w14:paraId="27E9A939">
      <w:pPr>
        <w:pageBreakBefore w:val="0"/>
        <w:shd w:val="clear"/>
        <w:topLinePunct w:val="0"/>
        <w:bidi w:val="0"/>
        <w:spacing w:after="0" w:line="360" w:lineRule="auto"/>
        <w:ind w:firstLine="4860"/>
        <w:rPr>
          <w:rFonts w:hint="eastAsia" w:ascii="宋体" w:hAnsi="宋体" w:cs="宋体"/>
          <w:color w:val="auto"/>
          <w:szCs w:val="21"/>
          <w:highlight w:val="none"/>
          <w:u w:val="single"/>
        </w:rPr>
      </w:pPr>
      <w:r>
        <w:rPr>
          <w:rFonts w:hint="eastAsia" w:ascii="宋体" w:hAnsi="宋体" w:cs="宋体"/>
          <w:color w:val="auto"/>
          <w:szCs w:val="21"/>
          <w:highlight w:val="none"/>
        </w:rPr>
        <w:t>负责人：（签字）</w:t>
      </w:r>
      <w:r>
        <w:rPr>
          <w:rFonts w:hint="eastAsia" w:ascii="宋体" w:hAnsi="宋体" w:cs="宋体"/>
          <w:color w:val="auto"/>
          <w:szCs w:val="21"/>
          <w:highlight w:val="none"/>
          <w:u w:val="single"/>
        </w:rPr>
        <w:t xml:space="preserve">                     </w:t>
      </w:r>
    </w:p>
    <w:p w14:paraId="33B13FCC">
      <w:pPr>
        <w:pageBreakBefore w:val="0"/>
        <w:shd w:val="clear"/>
        <w:topLinePunct w:val="0"/>
        <w:bidi w:val="0"/>
        <w:spacing w:after="0" w:line="360" w:lineRule="auto"/>
        <w:ind w:firstLine="4860"/>
        <w:rPr>
          <w:rFonts w:hint="eastAsia" w:ascii="宋体" w:hAnsi="宋体" w:cs="宋体"/>
          <w:color w:val="auto"/>
          <w:szCs w:val="21"/>
          <w:highlight w:val="none"/>
          <w:u w:val="single"/>
        </w:rPr>
      </w:pPr>
      <w:r>
        <w:rPr>
          <w:rFonts w:hint="eastAsia" w:ascii="宋体" w:hAnsi="宋体" w:cs="宋体"/>
          <w:color w:val="auto"/>
          <w:szCs w:val="21"/>
          <w:highlight w:val="none"/>
        </w:rPr>
        <w:t>联系电话：</w:t>
      </w:r>
      <w:r>
        <w:rPr>
          <w:rFonts w:hint="eastAsia" w:ascii="宋体" w:hAnsi="宋体" w:cs="宋体"/>
          <w:color w:val="auto"/>
          <w:szCs w:val="21"/>
          <w:highlight w:val="none"/>
          <w:u w:val="single"/>
        </w:rPr>
        <w:t xml:space="preserve">                          </w:t>
      </w:r>
    </w:p>
    <w:p w14:paraId="6B49E90D">
      <w:pPr>
        <w:pageBreakBefore w:val="0"/>
        <w:shd w:val="clear"/>
        <w:topLinePunct w:val="0"/>
        <w:bidi w:val="0"/>
        <w:spacing w:after="0" w:line="360" w:lineRule="auto"/>
        <w:ind w:firstLine="4860"/>
        <w:rPr>
          <w:rFonts w:hint="eastAsia" w:ascii="宋体" w:hAnsi="宋体" w:cs="宋体"/>
          <w:color w:val="auto"/>
          <w:szCs w:val="21"/>
          <w:highlight w:val="none"/>
        </w:rPr>
      </w:pPr>
      <w:r>
        <w:rPr>
          <w:rFonts w:hint="eastAsia" w:ascii="宋体" w:hAnsi="宋体" w:cs="宋体"/>
          <w:color w:val="auto"/>
          <w:szCs w:val="21"/>
          <w:highlight w:val="none"/>
        </w:rPr>
        <w:t>地址：</w:t>
      </w:r>
      <w:r>
        <w:rPr>
          <w:rFonts w:hint="eastAsia" w:ascii="宋体" w:hAnsi="宋体" w:cs="宋体"/>
          <w:color w:val="auto"/>
          <w:szCs w:val="21"/>
          <w:highlight w:val="none"/>
          <w:u w:val="single"/>
        </w:rPr>
        <w:t xml:space="preserve">                              </w:t>
      </w:r>
    </w:p>
    <w:p w14:paraId="069EC9CB">
      <w:pPr>
        <w:pageBreakBefore w:val="0"/>
        <w:shd w:val="clear"/>
        <w:topLinePunct w:val="0"/>
        <w:bidi w:val="0"/>
        <w:spacing w:after="0" w:line="360" w:lineRule="auto"/>
        <w:ind w:firstLine="4860"/>
        <w:rPr>
          <w:rFonts w:hint="eastAsia" w:ascii="宋体" w:hAnsi="宋体" w:cs="宋体"/>
          <w:color w:val="auto"/>
          <w:szCs w:val="21"/>
          <w:highlight w:val="none"/>
          <w:u w:val="single"/>
        </w:rPr>
      </w:pPr>
      <w:r>
        <w:rPr>
          <w:rFonts w:hint="eastAsia" w:ascii="宋体" w:hAnsi="宋体" w:cs="宋体"/>
          <w:color w:val="auto"/>
          <w:szCs w:val="21"/>
          <w:highlight w:val="none"/>
        </w:rPr>
        <w:t>日期：</w:t>
      </w:r>
      <w:r>
        <w:rPr>
          <w:rFonts w:hint="eastAsia" w:ascii="宋体" w:hAnsi="宋体" w:cs="宋体"/>
          <w:color w:val="auto"/>
          <w:szCs w:val="21"/>
          <w:highlight w:val="none"/>
          <w:u w:val="single"/>
        </w:rPr>
        <w:t xml:space="preserve">                              </w:t>
      </w:r>
    </w:p>
    <w:p w14:paraId="36E7634E">
      <w:pPr>
        <w:pStyle w:val="11"/>
        <w:pageBreakBefore w:val="0"/>
        <w:shd w:val="clear"/>
        <w:topLinePunct w:val="0"/>
        <w:bidi w:val="0"/>
        <w:spacing w:after="0" w:line="360" w:lineRule="auto"/>
        <w:rPr>
          <w:rFonts w:hint="eastAsia" w:cs="宋体"/>
          <w:color w:val="auto"/>
          <w:szCs w:val="21"/>
          <w:highlight w:val="none"/>
        </w:rPr>
      </w:pPr>
    </w:p>
    <w:p w14:paraId="7F5FAA99">
      <w:pPr>
        <w:pStyle w:val="11"/>
        <w:pageBreakBefore w:val="0"/>
        <w:shd w:val="clear"/>
        <w:topLinePunct w:val="0"/>
        <w:bidi w:val="0"/>
        <w:spacing w:after="0" w:line="360" w:lineRule="auto"/>
        <w:rPr>
          <w:rFonts w:hint="eastAsia" w:cs="宋体"/>
          <w:color w:val="auto"/>
          <w:szCs w:val="21"/>
          <w:highlight w:val="none"/>
        </w:rPr>
      </w:pPr>
    </w:p>
    <w:p w14:paraId="75A2A36F">
      <w:pPr>
        <w:pageBreakBefore w:val="0"/>
        <w:shd w:val="clear"/>
        <w:topLinePunct w:val="0"/>
        <w:bidi w:val="0"/>
        <w:spacing w:after="0" w:line="360" w:lineRule="auto"/>
        <w:ind w:firstLine="413" w:firstLineChars="196"/>
        <w:rPr>
          <w:rFonts w:hint="eastAsia" w:ascii="宋体" w:hAnsi="宋体" w:cs="宋体"/>
          <w:b/>
          <w:color w:val="auto"/>
          <w:szCs w:val="21"/>
          <w:highlight w:val="none"/>
        </w:rPr>
      </w:pPr>
      <w:r>
        <w:rPr>
          <w:rFonts w:hint="eastAsia" w:ascii="宋体" w:hAnsi="宋体" w:cs="宋体"/>
          <w:b/>
          <w:color w:val="auto"/>
          <w:szCs w:val="21"/>
          <w:highlight w:val="none"/>
        </w:rPr>
        <w:t>说明：投标人在投标文件中盖投标人公章确认保函内容即可，如中标再由银行出具保函。</w:t>
      </w:r>
    </w:p>
    <w:p w14:paraId="6020D5D3">
      <w:pPr>
        <w:pageBreakBefore w:val="0"/>
        <w:shd w:val="clear"/>
        <w:topLinePunct w:val="0"/>
        <w:bidi w:val="0"/>
        <w:spacing w:after="0" w:line="360" w:lineRule="auto"/>
        <w:rPr>
          <w:rFonts w:hint="eastAsia" w:ascii="宋体" w:hAnsi="宋体" w:cs="宋体"/>
          <w:color w:val="auto"/>
          <w:szCs w:val="21"/>
          <w:highlight w:val="none"/>
        </w:rPr>
        <w:sectPr>
          <w:pgSz w:w="11906" w:h="16838"/>
          <w:pgMar w:top="1440" w:right="1800" w:bottom="1440" w:left="1800" w:header="708" w:footer="708" w:gutter="0"/>
          <w:cols w:space="708" w:num="1"/>
          <w:titlePg/>
          <w:docGrid w:type="lines" w:linePitch="360" w:charSpace="0"/>
        </w:sectPr>
      </w:pPr>
    </w:p>
    <w:p w14:paraId="024CB409">
      <w:pPr>
        <w:pStyle w:val="10"/>
        <w:pageBreakBefore w:val="0"/>
        <w:shd w:val="clear"/>
        <w:topLinePunct w:val="0"/>
        <w:bidi w:val="0"/>
        <w:spacing w:before="0" w:after="0" w:line="360" w:lineRule="auto"/>
        <w:rPr>
          <w:rFonts w:hint="eastAsia"/>
          <w:color w:val="auto"/>
          <w:highlight w:val="none"/>
        </w:rPr>
      </w:pPr>
      <w:bookmarkStart w:id="296" w:name="_Toc1968"/>
    </w:p>
    <w:p w14:paraId="5DA65544">
      <w:pPr>
        <w:pageBreakBefore w:val="0"/>
        <w:shd w:val="clear"/>
        <w:topLinePunct w:val="0"/>
        <w:bidi w:val="0"/>
        <w:spacing w:after="0" w:line="360" w:lineRule="auto"/>
        <w:jc w:val="center"/>
        <w:outlineLvl w:val="1"/>
        <w:rPr>
          <w:rFonts w:hint="eastAsia" w:ascii="宋体" w:hAnsi="宋体" w:cs="宋体"/>
          <w:color w:val="auto"/>
          <w:sz w:val="72"/>
          <w:szCs w:val="72"/>
          <w:highlight w:val="none"/>
        </w:rPr>
      </w:pPr>
      <w:bookmarkStart w:id="297" w:name="_Toc17365"/>
      <w:bookmarkStart w:id="298" w:name="_Toc16327"/>
      <w:r>
        <w:rPr>
          <w:rFonts w:hint="eastAsia" w:ascii="宋体" w:hAnsi="宋体" w:cs="宋体"/>
          <w:color w:val="auto"/>
          <w:sz w:val="72"/>
          <w:szCs w:val="72"/>
          <w:highlight w:val="none"/>
        </w:rPr>
        <w:t>唱标信封</w:t>
      </w:r>
      <w:bookmarkEnd w:id="297"/>
      <w:bookmarkEnd w:id="298"/>
    </w:p>
    <w:p w14:paraId="5AB74032">
      <w:pPr>
        <w:pageBreakBefore w:val="0"/>
        <w:shd w:val="clear"/>
        <w:topLinePunct w:val="0"/>
        <w:bidi w:val="0"/>
        <w:spacing w:after="0" w:line="360" w:lineRule="auto"/>
        <w:jc w:val="center"/>
        <w:rPr>
          <w:rFonts w:hint="eastAsia" w:ascii="宋体" w:hAnsi="宋体" w:cs="宋体"/>
          <w:color w:val="auto"/>
          <w:sz w:val="52"/>
          <w:szCs w:val="52"/>
          <w:highlight w:val="none"/>
        </w:rPr>
      </w:pPr>
      <w:r>
        <w:rPr>
          <w:rFonts w:hint="eastAsia" w:ascii="宋体" w:hAnsi="宋体" w:cs="宋体"/>
          <w:color w:val="auto"/>
          <w:sz w:val="52"/>
          <w:szCs w:val="52"/>
          <w:highlight w:val="none"/>
        </w:rPr>
        <w:t>（单独装订成册，单独封装）</w:t>
      </w:r>
    </w:p>
    <w:p w14:paraId="0BC09E3E">
      <w:pPr>
        <w:pageBreakBefore w:val="0"/>
        <w:shd w:val="clear"/>
        <w:topLinePunct w:val="0"/>
        <w:bidi w:val="0"/>
        <w:spacing w:after="0" w:line="360" w:lineRule="auto"/>
        <w:rPr>
          <w:rFonts w:hint="eastAsia" w:ascii="宋体" w:hAnsi="宋体" w:cs="宋体"/>
          <w:color w:val="auto"/>
          <w:highlight w:val="none"/>
        </w:rPr>
      </w:pPr>
    </w:p>
    <w:p w14:paraId="509144F2">
      <w:pPr>
        <w:pStyle w:val="10"/>
        <w:pageBreakBefore w:val="0"/>
        <w:shd w:val="clear"/>
        <w:topLinePunct w:val="0"/>
        <w:bidi w:val="0"/>
        <w:spacing w:before="0" w:after="0" w:line="360" w:lineRule="auto"/>
        <w:rPr>
          <w:rFonts w:hint="eastAsia"/>
          <w:color w:val="auto"/>
          <w:highlight w:val="none"/>
        </w:rPr>
      </w:pPr>
    </w:p>
    <w:p w14:paraId="7069E2A3">
      <w:pPr>
        <w:pStyle w:val="29"/>
        <w:pageBreakBefore w:val="0"/>
        <w:shd w:val="clear"/>
        <w:topLinePunct w:val="0"/>
        <w:bidi w:val="0"/>
        <w:spacing w:before="0" w:after="0" w:line="360" w:lineRule="auto"/>
        <w:ind w:firstLine="240"/>
        <w:rPr>
          <w:rFonts w:hint="eastAsia"/>
          <w:color w:val="auto"/>
          <w:highlight w:val="none"/>
        </w:rPr>
      </w:pPr>
    </w:p>
    <w:p w14:paraId="232CF663">
      <w:pPr>
        <w:pStyle w:val="29"/>
        <w:pageBreakBefore w:val="0"/>
        <w:shd w:val="clear"/>
        <w:topLinePunct w:val="0"/>
        <w:bidi w:val="0"/>
        <w:spacing w:before="0" w:after="0" w:line="360" w:lineRule="auto"/>
        <w:ind w:firstLine="240"/>
        <w:rPr>
          <w:rFonts w:hint="eastAsia"/>
          <w:color w:val="auto"/>
          <w:highlight w:val="none"/>
        </w:rPr>
      </w:pPr>
    </w:p>
    <w:p w14:paraId="77D939D8">
      <w:pPr>
        <w:pageBreakBefore w:val="0"/>
        <w:shd w:val="clear"/>
        <w:topLinePunct w:val="0"/>
        <w:bidi w:val="0"/>
        <w:spacing w:after="0" w:line="360" w:lineRule="auto"/>
        <w:rPr>
          <w:rFonts w:hint="eastAsia" w:ascii="宋体" w:hAnsi="宋体" w:cs="宋体"/>
          <w:b/>
          <w:color w:val="auto"/>
          <w:spacing w:val="-6"/>
          <w:sz w:val="32"/>
          <w:szCs w:val="32"/>
          <w:highlight w:val="none"/>
        </w:rPr>
      </w:pPr>
      <w:r>
        <w:rPr>
          <w:rFonts w:hint="eastAsia" w:ascii="宋体" w:hAnsi="宋体" w:cs="宋体"/>
          <w:b/>
          <w:color w:val="auto"/>
          <w:spacing w:val="106"/>
          <w:sz w:val="32"/>
          <w:szCs w:val="32"/>
          <w:highlight w:val="none"/>
        </w:rPr>
        <w:t>项目名</w:t>
      </w:r>
      <w:r>
        <w:rPr>
          <w:rFonts w:hint="eastAsia" w:ascii="宋体" w:hAnsi="宋体" w:cs="宋体"/>
          <w:b/>
          <w:color w:val="auto"/>
          <w:spacing w:val="2"/>
          <w:sz w:val="32"/>
          <w:szCs w:val="32"/>
          <w:highlight w:val="none"/>
        </w:rPr>
        <w:t>称</w:t>
      </w:r>
      <w:r>
        <w:rPr>
          <w:rFonts w:hint="eastAsia" w:ascii="宋体" w:hAnsi="宋体" w:cs="宋体"/>
          <w:b/>
          <w:color w:val="auto"/>
          <w:spacing w:val="-6"/>
          <w:sz w:val="32"/>
          <w:szCs w:val="32"/>
          <w:highlight w:val="none"/>
        </w:rPr>
        <w:t>：</w:t>
      </w:r>
    </w:p>
    <w:p w14:paraId="24870901">
      <w:pPr>
        <w:pageBreakBefore w:val="0"/>
        <w:shd w:val="clear"/>
        <w:topLinePunct w:val="0"/>
        <w:bidi w:val="0"/>
        <w:spacing w:after="0" w:line="360" w:lineRule="auto"/>
        <w:rPr>
          <w:rFonts w:hint="eastAsia" w:ascii="宋体" w:hAnsi="宋体" w:cs="宋体"/>
          <w:b/>
          <w:color w:val="auto"/>
          <w:sz w:val="32"/>
          <w:szCs w:val="32"/>
          <w:highlight w:val="none"/>
        </w:rPr>
      </w:pPr>
      <w:r>
        <w:rPr>
          <w:rFonts w:hint="eastAsia" w:ascii="宋体" w:hAnsi="宋体" w:cs="宋体"/>
          <w:b/>
          <w:color w:val="auto"/>
          <w:spacing w:val="106"/>
          <w:sz w:val="32"/>
          <w:szCs w:val="32"/>
          <w:highlight w:val="none"/>
        </w:rPr>
        <w:t>项目编</w:t>
      </w:r>
      <w:r>
        <w:rPr>
          <w:rFonts w:hint="eastAsia" w:ascii="宋体" w:hAnsi="宋体" w:cs="宋体"/>
          <w:b/>
          <w:color w:val="auto"/>
          <w:spacing w:val="2"/>
          <w:sz w:val="32"/>
          <w:szCs w:val="32"/>
          <w:highlight w:val="none"/>
        </w:rPr>
        <w:t>号</w:t>
      </w:r>
      <w:r>
        <w:rPr>
          <w:rFonts w:hint="eastAsia" w:ascii="宋体" w:hAnsi="宋体" w:cs="宋体"/>
          <w:b/>
          <w:color w:val="auto"/>
          <w:sz w:val="32"/>
          <w:szCs w:val="32"/>
          <w:highlight w:val="none"/>
        </w:rPr>
        <w:t>：</w:t>
      </w:r>
    </w:p>
    <w:p w14:paraId="529E4CDF">
      <w:pPr>
        <w:pStyle w:val="10"/>
        <w:pageBreakBefore w:val="0"/>
        <w:shd w:val="clear"/>
        <w:topLinePunct w:val="0"/>
        <w:bidi w:val="0"/>
        <w:spacing w:before="0" w:after="0" w:line="360" w:lineRule="auto"/>
        <w:ind w:left="0"/>
        <w:rPr>
          <w:rFonts w:hint="eastAsia"/>
          <w:b/>
          <w:color w:val="auto"/>
          <w:spacing w:val="106"/>
          <w:sz w:val="32"/>
          <w:szCs w:val="32"/>
          <w:highlight w:val="none"/>
          <w:lang w:val="en-US" w:bidi="ar-SA"/>
        </w:rPr>
      </w:pPr>
      <w:r>
        <w:rPr>
          <w:rFonts w:hint="eastAsia"/>
          <w:b/>
          <w:color w:val="auto"/>
          <w:spacing w:val="106"/>
          <w:sz w:val="32"/>
          <w:szCs w:val="32"/>
          <w:highlight w:val="none"/>
          <w:lang w:val="en-US" w:bidi="ar-SA"/>
        </w:rPr>
        <w:t>包组号（如有）：</w:t>
      </w:r>
    </w:p>
    <w:p w14:paraId="527225C5">
      <w:pPr>
        <w:pageBreakBefore w:val="0"/>
        <w:shd w:val="clear"/>
        <w:topLinePunct w:val="0"/>
        <w:bidi w:val="0"/>
        <w:spacing w:after="0" w:line="360" w:lineRule="auto"/>
        <w:rPr>
          <w:rFonts w:hint="eastAsia" w:ascii="宋体" w:hAnsi="宋体" w:cs="宋体"/>
          <w:b/>
          <w:color w:val="auto"/>
          <w:sz w:val="32"/>
          <w:szCs w:val="32"/>
          <w:highlight w:val="none"/>
        </w:rPr>
      </w:pPr>
      <w:r>
        <w:rPr>
          <w:rFonts w:hint="eastAsia" w:ascii="宋体" w:hAnsi="宋体" w:cs="宋体"/>
          <w:b/>
          <w:color w:val="auto"/>
          <w:sz w:val="32"/>
          <w:szCs w:val="32"/>
          <w:highlight w:val="none"/>
        </w:rPr>
        <w:t>投标人名称：</w:t>
      </w:r>
    </w:p>
    <w:p w14:paraId="62C2181C">
      <w:pPr>
        <w:pageBreakBefore w:val="0"/>
        <w:shd w:val="clear"/>
        <w:topLinePunct w:val="0"/>
        <w:bidi w:val="0"/>
        <w:spacing w:after="0" w:line="360" w:lineRule="auto"/>
        <w:rPr>
          <w:rFonts w:hint="eastAsia" w:ascii="宋体" w:hAnsi="宋体" w:cs="宋体"/>
          <w:b/>
          <w:color w:val="auto"/>
          <w:sz w:val="32"/>
          <w:szCs w:val="32"/>
          <w:highlight w:val="none"/>
        </w:rPr>
      </w:pPr>
      <w:r>
        <w:rPr>
          <w:rFonts w:hint="eastAsia" w:ascii="宋体" w:hAnsi="宋体" w:cs="宋体"/>
          <w:b/>
          <w:color w:val="auto"/>
          <w:spacing w:val="64"/>
          <w:sz w:val="32"/>
          <w:szCs w:val="32"/>
          <w:highlight w:val="none"/>
        </w:rPr>
        <w:t xml:space="preserve">日    </w:t>
      </w:r>
      <w:r>
        <w:rPr>
          <w:rFonts w:hint="eastAsia" w:ascii="宋体" w:hAnsi="宋体" w:cs="宋体"/>
          <w:b/>
          <w:color w:val="auto"/>
          <w:sz w:val="32"/>
          <w:szCs w:val="32"/>
          <w:highlight w:val="none"/>
        </w:rPr>
        <w:t>期：</w:t>
      </w:r>
    </w:p>
    <w:p w14:paraId="26D165E9">
      <w:pPr>
        <w:pageBreakBefore w:val="0"/>
        <w:shd w:val="clear"/>
        <w:topLinePunct w:val="0"/>
        <w:bidi w:val="0"/>
        <w:spacing w:after="0" w:line="360" w:lineRule="auto"/>
        <w:rPr>
          <w:rFonts w:hint="eastAsia" w:ascii="宋体" w:hAnsi="宋体" w:cs="宋体"/>
          <w:color w:val="auto"/>
          <w:szCs w:val="21"/>
          <w:highlight w:val="none"/>
        </w:rPr>
      </w:pPr>
      <w:r>
        <w:rPr>
          <w:rFonts w:hint="eastAsia" w:ascii="宋体" w:hAnsi="宋体" w:cs="宋体"/>
          <w:color w:val="auto"/>
          <w:szCs w:val="21"/>
          <w:highlight w:val="none"/>
        </w:rPr>
        <w:br w:type="page"/>
      </w:r>
    </w:p>
    <w:bookmarkEnd w:id="296"/>
    <w:p w14:paraId="4E595378">
      <w:pPr>
        <w:pStyle w:val="6"/>
        <w:pageBreakBefore w:val="0"/>
        <w:numPr>
          <w:ilvl w:val="255"/>
          <w:numId w:val="0"/>
        </w:numPr>
        <w:shd w:val="clear"/>
        <w:tabs>
          <w:tab w:val="left" w:pos="720"/>
          <w:tab w:val="left" w:pos="3840"/>
        </w:tabs>
        <w:topLinePunct w:val="0"/>
        <w:bidi w:val="0"/>
        <w:spacing w:after="0" w:line="360" w:lineRule="auto"/>
        <w:ind w:left="283"/>
        <w:jc w:val="both"/>
        <w:rPr>
          <w:rFonts w:hint="eastAsia" w:ascii="宋体" w:hAnsi="宋体" w:cs="宋体"/>
          <w:color w:val="auto"/>
          <w:sz w:val="21"/>
          <w:szCs w:val="21"/>
          <w:highlight w:val="none"/>
        </w:rPr>
      </w:pPr>
      <w:bookmarkStart w:id="299" w:name="_Toc6183"/>
      <w:bookmarkStart w:id="300" w:name="_Toc19830"/>
      <w:r>
        <w:rPr>
          <w:rFonts w:hint="eastAsia" w:ascii="宋体" w:hAnsi="宋体" w:cs="宋体"/>
          <w:color w:val="auto"/>
          <w:sz w:val="21"/>
          <w:szCs w:val="21"/>
          <w:highlight w:val="none"/>
        </w:rPr>
        <w:t>附件2</w:t>
      </w: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rPr>
        <w:t>.唱标信封内装（内容务必与投标文件正本一致）</w:t>
      </w:r>
      <w:bookmarkEnd w:id="299"/>
      <w:bookmarkEnd w:id="300"/>
    </w:p>
    <w:p w14:paraId="520A981A">
      <w:pPr>
        <w:pageBreakBefore w:val="0"/>
        <w:numPr>
          <w:ilvl w:val="0"/>
          <w:numId w:val="13"/>
        </w:numPr>
        <w:shd w:val="clear"/>
        <w:topLinePunct w:val="0"/>
        <w:bidi w:val="0"/>
        <w:spacing w:after="0" w:line="360" w:lineRule="auto"/>
        <w:ind w:firstLineChars="200"/>
        <w:rPr>
          <w:rFonts w:hint="eastAsia" w:ascii="宋体" w:hAnsi="宋体" w:cs="宋体"/>
          <w:color w:val="auto"/>
          <w:szCs w:val="21"/>
          <w:highlight w:val="none"/>
        </w:rPr>
      </w:pPr>
      <w:r>
        <w:rPr>
          <w:rFonts w:hint="eastAsia" w:ascii="宋体" w:hAnsi="宋体" w:cs="宋体"/>
          <w:color w:val="auto"/>
          <w:szCs w:val="21"/>
          <w:highlight w:val="none"/>
        </w:rPr>
        <w:t>开标一览表加盖公章；</w:t>
      </w:r>
    </w:p>
    <w:p w14:paraId="25B667F8">
      <w:pPr>
        <w:pageBreakBefore w:val="0"/>
        <w:numPr>
          <w:ilvl w:val="0"/>
          <w:numId w:val="13"/>
        </w:numPr>
        <w:shd w:val="clear"/>
        <w:topLinePunct w:val="0"/>
        <w:bidi w:val="0"/>
        <w:spacing w:after="0" w:line="360" w:lineRule="auto"/>
        <w:ind w:firstLineChars="200"/>
        <w:rPr>
          <w:rFonts w:hint="eastAsia" w:ascii="宋体" w:hAnsi="宋体" w:cs="宋体"/>
          <w:color w:val="auto"/>
          <w:szCs w:val="21"/>
          <w:highlight w:val="none"/>
        </w:rPr>
      </w:pPr>
      <w:r>
        <w:rPr>
          <w:rFonts w:hint="eastAsia" w:ascii="宋体" w:hAnsi="宋体" w:cs="宋体"/>
          <w:color w:val="auto"/>
          <w:szCs w:val="21"/>
          <w:highlight w:val="none"/>
        </w:rPr>
        <w:t>法定代表人证明书加盖公章；</w:t>
      </w:r>
    </w:p>
    <w:p w14:paraId="06E3311E">
      <w:pPr>
        <w:pageBreakBefore w:val="0"/>
        <w:numPr>
          <w:ilvl w:val="0"/>
          <w:numId w:val="13"/>
        </w:numPr>
        <w:shd w:val="clear"/>
        <w:topLinePunct w:val="0"/>
        <w:bidi w:val="0"/>
        <w:spacing w:after="0" w:line="360" w:lineRule="auto"/>
        <w:ind w:firstLineChars="200"/>
        <w:rPr>
          <w:rFonts w:hint="eastAsia" w:ascii="宋体" w:hAnsi="宋体" w:cs="宋体"/>
          <w:color w:val="auto"/>
          <w:szCs w:val="21"/>
          <w:highlight w:val="none"/>
        </w:rPr>
      </w:pPr>
      <w:r>
        <w:rPr>
          <w:rFonts w:hint="eastAsia" w:ascii="宋体" w:hAnsi="宋体" w:cs="宋体"/>
          <w:color w:val="auto"/>
          <w:szCs w:val="21"/>
          <w:highlight w:val="none"/>
        </w:rPr>
        <w:t>法定代表人授权委托书加盖公章（法定代表人投标的除外）；</w:t>
      </w:r>
    </w:p>
    <w:p w14:paraId="7B2E3EEA">
      <w:pPr>
        <w:pageBreakBefore w:val="0"/>
        <w:numPr>
          <w:ilvl w:val="0"/>
          <w:numId w:val="13"/>
        </w:numPr>
        <w:shd w:val="clear"/>
        <w:topLinePunct w:val="0"/>
        <w:bidi w:val="0"/>
        <w:spacing w:after="0" w:line="360" w:lineRule="auto"/>
        <w:ind w:firstLineChars="200"/>
        <w:rPr>
          <w:rFonts w:hint="eastAsia" w:ascii="宋体" w:hAnsi="宋体" w:cs="宋体"/>
          <w:color w:val="auto"/>
          <w:szCs w:val="21"/>
          <w:highlight w:val="none"/>
        </w:rPr>
      </w:pPr>
      <w:r>
        <w:rPr>
          <w:rFonts w:hint="eastAsia" w:ascii="宋体" w:hAnsi="宋体" w:cs="宋体"/>
          <w:color w:val="auto"/>
          <w:szCs w:val="21"/>
          <w:highlight w:val="none"/>
        </w:rPr>
        <w:t>投标保证金汇入情况说明（含银行汇款凭证）或投标保函加盖公章；</w:t>
      </w:r>
    </w:p>
    <w:p w14:paraId="0289140F">
      <w:pPr>
        <w:pageBreakBefore w:val="0"/>
        <w:numPr>
          <w:ilvl w:val="0"/>
          <w:numId w:val="13"/>
        </w:numPr>
        <w:shd w:val="clear"/>
        <w:topLinePunct w:val="0"/>
        <w:bidi w:val="0"/>
        <w:spacing w:after="0" w:line="360" w:lineRule="auto"/>
        <w:ind w:firstLineChars="200"/>
        <w:rPr>
          <w:rFonts w:hint="eastAsia" w:ascii="宋体" w:hAnsi="宋体" w:cs="宋体"/>
          <w:color w:val="auto"/>
          <w:szCs w:val="21"/>
          <w:highlight w:val="none"/>
        </w:rPr>
      </w:pPr>
      <w:r>
        <w:rPr>
          <w:rFonts w:hint="eastAsia" w:ascii="宋体" w:hAnsi="宋体" w:cs="宋体"/>
          <w:color w:val="auto"/>
          <w:szCs w:val="21"/>
          <w:highlight w:val="none"/>
        </w:rPr>
        <w:t>投标文件电子文件（U盘，须含盖章版PDF投标文件和WORD版投标文件各一版，文字采用WORD文档，计算表格采用 EXCEL文档。）</w:t>
      </w:r>
    </w:p>
    <w:p w14:paraId="02A56F8E">
      <w:pPr>
        <w:shd w:val="clear"/>
        <w:rPr>
          <w:rFonts w:hint="eastAsia" w:ascii="宋体" w:hAnsi="宋体" w:cs="宋体"/>
          <w:color w:val="auto"/>
          <w:szCs w:val="21"/>
          <w:highlight w:val="none"/>
        </w:rPr>
      </w:pPr>
    </w:p>
    <w:p w14:paraId="24DCA01B">
      <w:pPr>
        <w:pStyle w:val="10"/>
        <w:shd w:val="clear"/>
        <w:rPr>
          <w:rFonts w:hint="eastAsia"/>
          <w:color w:val="auto"/>
          <w:highlight w:val="none"/>
        </w:rPr>
      </w:pPr>
    </w:p>
    <w:p w14:paraId="34E3D48A">
      <w:pPr>
        <w:shd w:val="clear"/>
        <w:rPr>
          <w:color w:val="auto"/>
          <w:highlight w:val="none"/>
        </w:rPr>
      </w:pPr>
    </w:p>
    <w:p w14:paraId="6FE33315">
      <w:pPr>
        <w:shd w:val="clear"/>
        <w:rPr>
          <w:color w:val="auto"/>
          <w:highlight w:val="none"/>
        </w:rPr>
      </w:pPr>
    </w:p>
    <w:sectPr>
      <w:pgSz w:w="11906" w:h="16838"/>
      <w:pgMar w:top="1440" w:right="1800" w:bottom="1440" w:left="1800" w:header="708" w:footer="708" w:gutter="0"/>
      <w:cols w:space="708" w:num="1"/>
      <w:titlePg/>
      <w:docGrid w:type="lines"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方正书宋简体">
    <w:altName w:val="宋体"/>
    <w:panose1 w:val="00000000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01CC4">
    <w:pPr>
      <w:pStyle w:val="17"/>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B521D2">
                          <w:pPr>
                            <w:pStyle w:val="17"/>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5</w:t>
                          </w:r>
                          <w:r>
                            <w:rPr>
                              <w:rFonts w:hint="eastAsia"/>
                            </w:rPr>
                            <w:fldChar w:fldCharType="end"/>
                          </w:r>
                          <w:r>
                            <w:rPr>
                              <w:rFonts w:hint="eastAsia"/>
                            </w:rPr>
                            <w:t xml:space="preserve"> 页 共 </w:t>
                          </w:r>
                          <w:r>
                            <w:fldChar w:fldCharType="begin"/>
                          </w:r>
                          <w:r>
                            <w:instrText xml:space="preserve"> NUMPAGES  \* MERGEFORMAT </w:instrText>
                          </w:r>
                          <w:r>
                            <w:fldChar w:fldCharType="separate"/>
                          </w:r>
                          <w:r>
                            <w:t>185</w:t>
                          </w:r>
                          <w: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39B521D2">
                    <w:pPr>
                      <w:pStyle w:val="17"/>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5</w:t>
                    </w:r>
                    <w:r>
                      <w:rPr>
                        <w:rFonts w:hint="eastAsia"/>
                      </w:rPr>
                      <w:fldChar w:fldCharType="end"/>
                    </w:r>
                    <w:r>
                      <w:rPr>
                        <w:rFonts w:hint="eastAsia"/>
                      </w:rPr>
                      <w:t xml:space="preserve"> 页 共 </w:t>
                    </w:r>
                    <w:r>
                      <w:fldChar w:fldCharType="begin"/>
                    </w:r>
                    <w:r>
                      <w:instrText xml:space="preserve"> NUMPAGES  \* MERGEFORMAT </w:instrText>
                    </w:r>
                    <w:r>
                      <w:fldChar w:fldCharType="separate"/>
                    </w:r>
                    <w:r>
                      <w:t>185</w:t>
                    </w:r>
                    <w:r>
                      <w:fldChar w:fldCharType="end"/>
                    </w:r>
                    <w:r>
                      <w:rPr>
                        <w:rFonts w:hint="eastAsia"/>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0722B5">
    <w:pPr>
      <w:pStyle w:val="1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1BAD55">
    <w:pPr>
      <w:pStyle w:val="17"/>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252CAB">
                          <w:pPr>
                            <w:pStyle w:val="17"/>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7D252CAB">
                    <w:pPr>
                      <w:pStyle w:val="17"/>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1DD66B">
    <w:pPr>
      <w:pStyle w:val="1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088390" cy="1828800"/>
              <wp:effectExtent l="0" t="0" r="0" b="0"/>
              <wp:wrapNone/>
              <wp:docPr id="3" name="文本框 1026"/>
              <wp:cNvGraphicFramePr/>
              <a:graphic xmlns:a="http://schemas.openxmlformats.org/drawingml/2006/main">
                <a:graphicData uri="http://schemas.microsoft.com/office/word/2010/wordprocessingShape">
                  <wps:wsp>
                    <wps:cNvSpPr txBox="1"/>
                    <wps:spPr>
                      <a:xfrm>
                        <a:off x="0" y="0"/>
                        <a:ext cx="1088390" cy="1828800"/>
                      </a:xfrm>
                      <a:prstGeom prst="rect">
                        <a:avLst/>
                      </a:prstGeom>
                      <a:noFill/>
                      <a:ln>
                        <a:noFill/>
                      </a:ln>
                    </wps:spPr>
                    <wps:txbx>
                      <w:txbxContent>
                        <w:p w14:paraId="2E04CB1F">
                          <w:pPr>
                            <w:pStyle w:val="17"/>
                            <w:jc w:val="center"/>
                            <w:rPr>
                              <w:rFonts w:hint="eastAsia" w:ascii="宋体" w:hAnsi="宋体" w:cs="宋体"/>
                            </w:rPr>
                          </w:pPr>
                          <w:r>
                            <w:rPr>
                              <w:rFonts w:hint="eastAsia" w:ascii="宋体" w:hAnsi="宋体" w:cs="宋体"/>
                            </w:rPr>
                            <w:t xml:space="preserve">第 </w:t>
                          </w:r>
                          <w:r>
                            <w:rPr>
                              <w:rFonts w:hint="eastAsia" w:ascii="宋体" w:hAnsi="宋体" w:cs="宋体"/>
                            </w:rPr>
                            <w:fldChar w:fldCharType="begin"/>
                          </w:r>
                          <w:r>
                            <w:rPr>
                              <w:rFonts w:hint="eastAsia" w:ascii="宋体" w:hAnsi="宋体" w:cs="宋体"/>
                            </w:rPr>
                            <w:instrText xml:space="preserve"> PAGE  \* MERGEFORMAT </w:instrText>
                          </w:r>
                          <w:r>
                            <w:rPr>
                              <w:rFonts w:hint="eastAsia" w:ascii="宋体" w:hAnsi="宋体" w:cs="宋体"/>
                            </w:rPr>
                            <w:fldChar w:fldCharType="separate"/>
                          </w:r>
                          <w:r>
                            <w:rPr>
                              <w:rFonts w:hint="eastAsia" w:ascii="宋体" w:hAnsi="宋体" w:cs="宋体"/>
                            </w:rPr>
                            <w:t>10</w:t>
                          </w:r>
                          <w:r>
                            <w:rPr>
                              <w:rFonts w:hint="eastAsia" w:ascii="宋体" w:hAnsi="宋体" w:cs="宋体"/>
                            </w:rPr>
                            <w:fldChar w:fldCharType="end"/>
                          </w:r>
                          <w:r>
                            <w:rPr>
                              <w:rFonts w:hint="eastAsia" w:ascii="宋体" w:hAnsi="宋体" w:cs="宋体"/>
                            </w:rPr>
                            <w:t xml:space="preserve"> 页 共 </w:t>
                          </w:r>
                          <w:r>
                            <w:rPr>
                              <w:rFonts w:hint="eastAsia" w:ascii="宋体" w:hAnsi="宋体" w:cs="宋体"/>
                            </w:rPr>
                            <w:fldChar w:fldCharType="begin"/>
                          </w:r>
                          <w:r>
                            <w:rPr>
                              <w:rFonts w:hint="eastAsia" w:ascii="宋体" w:hAnsi="宋体" w:cs="宋体"/>
                            </w:rPr>
                            <w:instrText xml:space="preserve"> NUMPAGES  \* MERGEFORMAT </w:instrText>
                          </w:r>
                          <w:r>
                            <w:rPr>
                              <w:rFonts w:hint="eastAsia" w:ascii="宋体" w:hAnsi="宋体" w:cs="宋体"/>
                            </w:rPr>
                            <w:fldChar w:fldCharType="separate"/>
                          </w:r>
                          <w:r>
                            <w:rPr>
                              <w:rFonts w:hint="eastAsia" w:ascii="宋体" w:hAnsi="宋体" w:cs="宋体"/>
                            </w:rPr>
                            <w:t>185</w:t>
                          </w:r>
                          <w:r>
                            <w:rPr>
                              <w:rFonts w:hint="eastAsia" w:ascii="宋体" w:hAnsi="宋体" w:cs="宋体"/>
                            </w:rPr>
                            <w:fldChar w:fldCharType="end"/>
                          </w:r>
                          <w:r>
                            <w:rPr>
                              <w:rFonts w:hint="eastAsia" w:ascii="宋体" w:hAnsi="宋体" w:cs="宋体"/>
                            </w:rPr>
                            <w:t xml:space="preserve"> 页</w:t>
                          </w:r>
                        </w:p>
                      </w:txbxContent>
                    </wps:txbx>
                    <wps:bodyPr lIns="0" tIns="0" rIns="0" bIns="0" upright="1">
                      <a:spAutoFit/>
                    </wps:bodyPr>
                  </wps:wsp>
                </a:graphicData>
              </a:graphic>
            </wp:anchor>
          </w:drawing>
        </mc:Choice>
        <mc:Fallback>
          <w:pict>
            <v:shape id="文本框 1026" o:spid="_x0000_s1026" o:spt="202" type="#_x0000_t202" style="position:absolute;left:0pt;margin-top:0pt;height:144pt;width:85.7pt;mso-position-horizontal:center;mso-position-horizontal-relative:margin;z-index:251659264;mso-width-relative:page;mso-height-relative:page;" filled="f" stroked="f" coordsize="21600,21600" o:gfxdata="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Axsfqk0wAAAAUBAAAPAAAAAAAAAAEAIAAAACIAAABkcnMvZG93bnJl&#10;di54bWxQSwECFAAUAAAACACHTuJARcufEMkBAACQAwAADgAAAAAAAAABACAAAAAiAQAAZHJzL2Uy&#10;b0RvYy54bWxQSwUGAAAAAAYABgBZAQAAXQUAAAAA&#10;">
              <v:fill on="f" focussize="0,0"/>
              <v:stroke on="f"/>
              <v:imagedata o:title=""/>
              <o:lock v:ext="edit" aspectratio="f"/>
              <v:textbox inset="0mm,0mm,0mm,0mm" style="mso-fit-shape-to-text:t;">
                <w:txbxContent>
                  <w:p w14:paraId="2E04CB1F">
                    <w:pPr>
                      <w:pStyle w:val="17"/>
                      <w:jc w:val="center"/>
                      <w:rPr>
                        <w:rFonts w:hint="eastAsia" w:ascii="宋体" w:hAnsi="宋体" w:cs="宋体"/>
                      </w:rPr>
                    </w:pPr>
                    <w:r>
                      <w:rPr>
                        <w:rFonts w:hint="eastAsia" w:ascii="宋体" w:hAnsi="宋体" w:cs="宋体"/>
                      </w:rPr>
                      <w:t xml:space="preserve">第 </w:t>
                    </w:r>
                    <w:r>
                      <w:rPr>
                        <w:rFonts w:hint="eastAsia" w:ascii="宋体" w:hAnsi="宋体" w:cs="宋体"/>
                      </w:rPr>
                      <w:fldChar w:fldCharType="begin"/>
                    </w:r>
                    <w:r>
                      <w:rPr>
                        <w:rFonts w:hint="eastAsia" w:ascii="宋体" w:hAnsi="宋体" w:cs="宋体"/>
                      </w:rPr>
                      <w:instrText xml:space="preserve"> PAGE  \* MERGEFORMAT </w:instrText>
                    </w:r>
                    <w:r>
                      <w:rPr>
                        <w:rFonts w:hint="eastAsia" w:ascii="宋体" w:hAnsi="宋体" w:cs="宋体"/>
                      </w:rPr>
                      <w:fldChar w:fldCharType="separate"/>
                    </w:r>
                    <w:r>
                      <w:rPr>
                        <w:rFonts w:hint="eastAsia" w:ascii="宋体" w:hAnsi="宋体" w:cs="宋体"/>
                      </w:rPr>
                      <w:t>10</w:t>
                    </w:r>
                    <w:r>
                      <w:rPr>
                        <w:rFonts w:hint="eastAsia" w:ascii="宋体" w:hAnsi="宋体" w:cs="宋体"/>
                      </w:rPr>
                      <w:fldChar w:fldCharType="end"/>
                    </w:r>
                    <w:r>
                      <w:rPr>
                        <w:rFonts w:hint="eastAsia" w:ascii="宋体" w:hAnsi="宋体" w:cs="宋体"/>
                      </w:rPr>
                      <w:t xml:space="preserve"> 页 共 </w:t>
                    </w:r>
                    <w:r>
                      <w:rPr>
                        <w:rFonts w:hint="eastAsia" w:ascii="宋体" w:hAnsi="宋体" w:cs="宋体"/>
                      </w:rPr>
                      <w:fldChar w:fldCharType="begin"/>
                    </w:r>
                    <w:r>
                      <w:rPr>
                        <w:rFonts w:hint="eastAsia" w:ascii="宋体" w:hAnsi="宋体" w:cs="宋体"/>
                      </w:rPr>
                      <w:instrText xml:space="preserve"> NUMPAGES  \* MERGEFORMAT </w:instrText>
                    </w:r>
                    <w:r>
                      <w:rPr>
                        <w:rFonts w:hint="eastAsia" w:ascii="宋体" w:hAnsi="宋体" w:cs="宋体"/>
                      </w:rPr>
                      <w:fldChar w:fldCharType="separate"/>
                    </w:r>
                    <w:r>
                      <w:rPr>
                        <w:rFonts w:hint="eastAsia" w:ascii="宋体" w:hAnsi="宋体" w:cs="宋体"/>
                      </w:rPr>
                      <w:t>185</w:t>
                    </w:r>
                    <w:r>
                      <w:rPr>
                        <w:rFonts w:hint="eastAsia" w:ascii="宋体" w:hAnsi="宋体" w:cs="宋体"/>
                      </w:rPr>
                      <w:fldChar w:fldCharType="end"/>
                    </w:r>
                    <w:r>
                      <w:rPr>
                        <w:rFonts w:hint="eastAsia" w:ascii="宋体" w:hAnsi="宋体" w:cs="宋体"/>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9F6B3">
    <w:pPr>
      <w:pStyle w:val="17"/>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150620" cy="1828800"/>
              <wp:effectExtent l="0" t="0" r="0" b="0"/>
              <wp:wrapNone/>
              <wp:docPr id="4" name="文本框 1025"/>
              <wp:cNvGraphicFramePr/>
              <a:graphic xmlns:a="http://schemas.openxmlformats.org/drawingml/2006/main">
                <a:graphicData uri="http://schemas.microsoft.com/office/word/2010/wordprocessingShape">
                  <wps:wsp>
                    <wps:cNvSpPr txBox="1"/>
                    <wps:spPr>
                      <a:xfrm>
                        <a:off x="0" y="0"/>
                        <a:ext cx="1150620" cy="1828800"/>
                      </a:xfrm>
                      <a:prstGeom prst="rect">
                        <a:avLst/>
                      </a:prstGeom>
                      <a:noFill/>
                      <a:ln>
                        <a:noFill/>
                      </a:ln>
                    </wps:spPr>
                    <wps:txbx>
                      <w:txbxContent>
                        <w:p w14:paraId="7227C78C">
                          <w:pPr>
                            <w:pStyle w:val="17"/>
                            <w:jc w:val="center"/>
                            <w:rPr>
                              <w:rFonts w:hint="eastAsia" w:ascii="宋体" w:hAnsi="宋体" w:cs="宋体"/>
                            </w:rPr>
                          </w:pPr>
                          <w:r>
                            <w:rPr>
                              <w:rFonts w:hint="eastAsia" w:ascii="宋体" w:hAnsi="宋体" w:cs="宋体"/>
                            </w:rPr>
                            <w:t xml:space="preserve">第 </w:t>
                          </w:r>
                          <w:r>
                            <w:rPr>
                              <w:rFonts w:hint="eastAsia" w:ascii="宋体" w:hAnsi="宋体" w:cs="宋体"/>
                            </w:rPr>
                            <w:fldChar w:fldCharType="begin"/>
                          </w:r>
                          <w:r>
                            <w:rPr>
                              <w:rFonts w:hint="eastAsia" w:ascii="宋体" w:hAnsi="宋体" w:cs="宋体"/>
                            </w:rPr>
                            <w:instrText xml:space="preserve"> PAGE  \* MERGEFORMAT </w:instrText>
                          </w:r>
                          <w:r>
                            <w:rPr>
                              <w:rFonts w:hint="eastAsia" w:ascii="宋体" w:hAnsi="宋体" w:cs="宋体"/>
                            </w:rPr>
                            <w:fldChar w:fldCharType="separate"/>
                          </w:r>
                          <w:r>
                            <w:rPr>
                              <w:rFonts w:hint="eastAsia" w:ascii="宋体" w:hAnsi="宋体" w:cs="宋体"/>
                            </w:rPr>
                            <w:t>2</w:t>
                          </w:r>
                          <w:r>
                            <w:rPr>
                              <w:rFonts w:hint="eastAsia" w:ascii="宋体" w:hAnsi="宋体" w:cs="宋体"/>
                            </w:rPr>
                            <w:fldChar w:fldCharType="end"/>
                          </w:r>
                          <w:r>
                            <w:rPr>
                              <w:rFonts w:hint="eastAsia" w:ascii="宋体" w:hAnsi="宋体" w:cs="宋体"/>
                            </w:rPr>
                            <w:t xml:space="preserve"> 页 共 </w:t>
                          </w:r>
                          <w:r>
                            <w:rPr>
                              <w:rFonts w:hint="eastAsia" w:ascii="宋体" w:hAnsi="宋体" w:cs="宋体"/>
                            </w:rPr>
                            <w:fldChar w:fldCharType="begin"/>
                          </w:r>
                          <w:r>
                            <w:rPr>
                              <w:rFonts w:hint="eastAsia" w:ascii="宋体" w:hAnsi="宋体" w:cs="宋体"/>
                            </w:rPr>
                            <w:instrText xml:space="preserve"> NUMPAGES  \* MERGEFORMAT </w:instrText>
                          </w:r>
                          <w:r>
                            <w:rPr>
                              <w:rFonts w:hint="eastAsia" w:ascii="宋体" w:hAnsi="宋体" w:cs="宋体"/>
                            </w:rPr>
                            <w:fldChar w:fldCharType="separate"/>
                          </w:r>
                          <w:r>
                            <w:rPr>
                              <w:rFonts w:hint="eastAsia" w:ascii="宋体" w:hAnsi="宋体" w:cs="宋体"/>
                            </w:rPr>
                            <w:t>185</w:t>
                          </w:r>
                          <w:r>
                            <w:rPr>
                              <w:rFonts w:hint="eastAsia" w:ascii="宋体" w:hAnsi="宋体" w:cs="宋体"/>
                            </w:rPr>
                            <w:fldChar w:fldCharType="end"/>
                          </w:r>
                          <w:r>
                            <w:rPr>
                              <w:rFonts w:hint="eastAsia" w:ascii="宋体" w:hAnsi="宋体" w:cs="宋体"/>
                            </w:rPr>
                            <w:t xml:space="preserve"> 页</w:t>
                          </w:r>
                        </w:p>
                      </w:txbxContent>
                    </wps:txbx>
                    <wps:bodyPr lIns="0" tIns="0" rIns="0" bIns="0" upright="1">
                      <a:spAutoFit/>
                    </wps:bodyPr>
                  </wps:wsp>
                </a:graphicData>
              </a:graphic>
            </wp:anchor>
          </w:drawing>
        </mc:Choice>
        <mc:Fallback>
          <w:pict>
            <v:shape id="文本框 1025" o:spid="_x0000_s1026" o:spt="202" type="#_x0000_t202" style="position:absolute;left:0pt;margin-top:0pt;height:144pt;width:90.6pt;mso-position-horizontal:center;mso-position-horizontal-relative:margin;z-index:251660288;mso-width-relative:page;mso-height-relative:page;" filled="f" stroked="f" coordsize="21600,21600" o:gfxdata="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EYIEizSAAAABQEAAA8AAAAAAAAAAQAgAAAAIgAAAGRycy9kb3ducmV2&#10;LnhtbFBLAQIUABQAAAAIAIdO4kB4R5WwyQEAAJADAAAOAAAAAAAAAAEAIAAAACEBAABkcnMvZTJv&#10;RG9jLnhtbFBLBQYAAAAABgAGAFkBAABcBQAAAAA=&#10;">
              <v:fill on="f" focussize="0,0"/>
              <v:stroke on="f"/>
              <v:imagedata o:title=""/>
              <o:lock v:ext="edit" aspectratio="f"/>
              <v:textbox inset="0mm,0mm,0mm,0mm" style="mso-fit-shape-to-text:t;">
                <w:txbxContent>
                  <w:p w14:paraId="7227C78C">
                    <w:pPr>
                      <w:pStyle w:val="17"/>
                      <w:jc w:val="center"/>
                      <w:rPr>
                        <w:rFonts w:hint="eastAsia" w:ascii="宋体" w:hAnsi="宋体" w:cs="宋体"/>
                      </w:rPr>
                    </w:pPr>
                    <w:r>
                      <w:rPr>
                        <w:rFonts w:hint="eastAsia" w:ascii="宋体" w:hAnsi="宋体" w:cs="宋体"/>
                      </w:rPr>
                      <w:t xml:space="preserve">第 </w:t>
                    </w:r>
                    <w:r>
                      <w:rPr>
                        <w:rFonts w:hint="eastAsia" w:ascii="宋体" w:hAnsi="宋体" w:cs="宋体"/>
                      </w:rPr>
                      <w:fldChar w:fldCharType="begin"/>
                    </w:r>
                    <w:r>
                      <w:rPr>
                        <w:rFonts w:hint="eastAsia" w:ascii="宋体" w:hAnsi="宋体" w:cs="宋体"/>
                      </w:rPr>
                      <w:instrText xml:space="preserve"> PAGE  \* MERGEFORMAT </w:instrText>
                    </w:r>
                    <w:r>
                      <w:rPr>
                        <w:rFonts w:hint="eastAsia" w:ascii="宋体" w:hAnsi="宋体" w:cs="宋体"/>
                      </w:rPr>
                      <w:fldChar w:fldCharType="separate"/>
                    </w:r>
                    <w:r>
                      <w:rPr>
                        <w:rFonts w:hint="eastAsia" w:ascii="宋体" w:hAnsi="宋体" w:cs="宋体"/>
                      </w:rPr>
                      <w:t>2</w:t>
                    </w:r>
                    <w:r>
                      <w:rPr>
                        <w:rFonts w:hint="eastAsia" w:ascii="宋体" w:hAnsi="宋体" w:cs="宋体"/>
                      </w:rPr>
                      <w:fldChar w:fldCharType="end"/>
                    </w:r>
                    <w:r>
                      <w:rPr>
                        <w:rFonts w:hint="eastAsia" w:ascii="宋体" w:hAnsi="宋体" w:cs="宋体"/>
                      </w:rPr>
                      <w:t xml:space="preserve"> 页 共 </w:t>
                    </w:r>
                    <w:r>
                      <w:rPr>
                        <w:rFonts w:hint="eastAsia" w:ascii="宋体" w:hAnsi="宋体" w:cs="宋体"/>
                      </w:rPr>
                      <w:fldChar w:fldCharType="begin"/>
                    </w:r>
                    <w:r>
                      <w:rPr>
                        <w:rFonts w:hint="eastAsia" w:ascii="宋体" w:hAnsi="宋体" w:cs="宋体"/>
                      </w:rPr>
                      <w:instrText xml:space="preserve"> NUMPAGES  \* MERGEFORMAT </w:instrText>
                    </w:r>
                    <w:r>
                      <w:rPr>
                        <w:rFonts w:hint="eastAsia" w:ascii="宋体" w:hAnsi="宋体" w:cs="宋体"/>
                      </w:rPr>
                      <w:fldChar w:fldCharType="separate"/>
                    </w:r>
                    <w:r>
                      <w:rPr>
                        <w:rFonts w:hint="eastAsia" w:ascii="宋体" w:hAnsi="宋体" w:cs="宋体"/>
                      </w:rPr>
                      <w:t>185</w:t>
                    </w:r>
                    <w:r>
                      <w:rPr>
                        <w:rFonts w:hint="eastAsia" w:ascii="宋体" w:hAnsi="宋体" w:cs="宋体"/>
                      </w:rPr>
                      <w:fldChar w:fldCharType="end"/>
                    </w:r>
                    <w:r>
                      <w:rPr>
                        <w:rFonts w:hint="eastAsia" w:ascii="宋体" w:hAnsi="宋体" w:cs="宋体"/>
                      </w:rP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54A0BF">
    <w:pPr>
      <w:pStyle w:val="1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436A3">
    <w:pPr>
      <w:pStyle w:val="19"/>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25B38">
    <w:pPr>
      <w:pStyle w:val="1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555E15"/>
    <w:multiLevelType w:val="singleLevel"/>
    <w:tmpl w:val="C9555E15"/>
    <w:lvl w:ilvl="0" w:tentative="0">
      <w:start w:val="1"/>
      <w:numFmt w:val="decimal"/>
      <w:lvlText w:val="(%1)"/>
      <w:lvlJc w:val="left"/>
      <w:pPr>
        <w:ind w:left="425" w:hanging="425"/>
      </w:pPr>
      <w:rPr>
        <w:rFonts w:hint="default"/>
      </w:rPr>
    </w:lvl>
  </w:abstractNum>
  <w:abstractNum w:abstractNumId="1">
    <w:nsid w:val="CC23954B"/>
    <w:multiLevelType w:val="multilevel"/>
    <w:tmpl w:val="CC23954B"/>
    <w:lvl w:ilvl="0" w:tentative="0">
      <w:start w:val="1"/>
      <w:numFmt w:val="decimal"/>
      <w:lvlText w:val="%1."/>
      <w:lvlJc w:val="left"/>
      <w:pPr>
        <w:tabs>
          <w:tab w:val="left" w:pos="425"/>
        </w:tabs>
        <w:ind w:left="425" w:hanging="425"/>
      </w:pPr>
      <w:rPr>
        <w:rFonts w:hint="eastAsia" w:ascii="宋体" w:hAnsi="宋体" w:eastAsia="宋体"/>
      </w:rPr>
    </w:lvl>
    <w:lvl w:ilvl="1" w:tentative="0">
      <w:start w:val="1"/>
      <w:numFmt w:val="decimal"/>
      <w:lvlText w:val="%1.%2."/>
      <w:lvlJc w:val="left"/>
      <w:pPr>
        <w:tabs>
          <w:tab w:val="left" w:pos="567"/>
        </w:tabs>
        <w:ind w:left="567" w:hanging="567"/>
      </w:pPr>
      <w:rPr>
        <w:rFonts w:hint="eastAsia" w:ascii="宋体" w:hAnsi="宋体" w:eastAsia="宋体"/>
        <w:color w:val="auto"/>
      </w:rPr>
    </w:lvl>
    <w:lvl w:ilvl="2" w:tentative="0">
      <w:start w:val="1"/>
      <w:numFmt w:val="decimal"/>
      <w:lvlText w:val="%1.%2.%3."/>
      <w:lvlJc w:val="left"/>
      <w:pPr>
        <w:tabs>
          <w:tab w:val="left" w:pos="794"/>
        </w:tabs>
        <w:ind w:left="794" w:hanging="794"/>
      </w:pPr>
      <w:rPr>
        <w:rFonts w:hint="eastAsia" w:ascii="宋体" w:hAnsi="宋体" w:eastAsia="宋体"/>
      </w:rPr>
    </w:lvl>
    <w:lvl w:ilvl="3" w:tentative="0">
      <w:start w:val="1"/>
      <w:numFmt w:val="decimal"/>
      <w:lvlText w:val="%1.%2.%3.%4."/>
      <w:lvlJc w:val="left"/>
      <w:pPr>
        <w:tabs>
          <w:tab w:val="left" w:pos="454"/>
        </w:tabs>
        <w:ind w:left="1021" w:hanging="1021"/>
      </w:pPr>
      <w:rPr>
        <w:rFonts w:hint="eastAsia" w:ascii="宋体" w:hAnsi="宋体" w:eastAsia="宋体"/>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2">
    <w:nsid w:val="CFF174A5"/>
    <w:multiLevelType w:val="singleLevel"/>
    <w:tmpl w:val="CFF174A5"/>
    <w:lvl w:ilvl="0" w:tentative="0">
      <w:start w:val="1"/>
      <w:numFmt w:val="decimal"/>
      <w:suff w:val="nothing"/>
      <w:lvlText w:val="%1、"/>
      <w:lvlJc w:val="left"/>
    </w:lvl>
  </w:abstractNum>
  <w:abstractNum w:abstractNumId="3">
    <w:nsid w:val="D0047B7E"/>
    <w:multiLevelType w:val="singleLevel"/>
    <w:tmpl w:val="D0047B7E"/>
    <w:lvl w:ilvl="0" w:tentative="0">
      <w:start w:val="1"/>
      <w:numFmt w:val="decimal"/>
      <w:suff w:val="nothing"/>
      <w:lvlText w:val="%1、"/>
      <w:lvlJc w:val="left"/>
    </w:lvl>
  </w:abstractNum>
  <w:abstractNum w:abstractNumId="4">
    <w:nsid w:val="00000005"/>
    <w:multiLevelType w:val="multilevel"/>
    <w:tmpl w:val="00000005"/>
    <w:lvl w:ilvl="0" w:tentative="0">
      <w:start w:val="1"/>
      <w:numFmt w:val="decimal"/>
      <w:lvlText w:val="%1."/>
      <w:lvlJc w:val="left"/>
      <w:pPr>
        <w:tabs>
          <w:tab w:val="left" w:pos="0"/>
        </w:tabs>
        <w:ind w:left="0" w:firstLine="420"/>
      </w:pPr>
      <w:rPr>
        <w:rFonts w:hint="default"/>
        <w:color w:val="auto"/>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00000025"/>
    <w:multiLevelType w:val="multilevel"/>
    <w:tmpl w:val="00000025"/>
    <w:lvl w:ilvl="0" w:tentative="0">
      <w:start w:val="1"/>
      <w:numFmt w:val="decimal"/>
      <w:lvlText w:val="%1"/>
      <w:lvlJc w:val="left"/>
      <w:pPr>
        <w:tabs>
          <w:tab w:val="left" w:pos="420"/>
        </w:tabs>
        <w:ind w:left="420" w:hanging="420"/>
      </w:pPr>
      <w:rPr>
        <w:rFonts w:hint="default"/>
        <w:u w:val="none"/>
      </w:rPr>
    </w:lvl>
    <w:lvl w:ilvl="1" w:tentative="0">
      <w:start w:val="1"/>
      <w:numFmt w:val="lowerLetter"/>
      <w:lvlText w:val="%2)"/>
      <w:lvlJc w:val="left"/>
      <w:pPr>
        <w:tabs>
          <w:tab w:val="left" w:pos="840"/>
        </w:tabs>
        <w:ind w:left="840" w:hanging="420"/>
      </w:pPr>
      <w:rPr>
        <w:rFonts w:hint="default"/>
        <w:u w:val="none"/>
      </w:rPr>
    </w:lvl>
    <w:lvl w:ilvl="2" w:tentative="0">
      <w:start w:val="1"/>
      <w:numFmt w:val="lowerRoman"/>
      <w:lvlText w:val="%3."/>
      <w:lvlJc w:val="right"/>
      <w:pPr>
        <w:tabs>
          <w:tab w:val="left" w:pos="1260"/>
        </w:tabs>
        <w:ind w:left="1260" w:hanging="420"/>
      </w:pPr>
      <w:rPr>
        <w:rFonts w:hint="default"/>
        <w:u w:val="none"/>
      </w:rPr>
    </w:lvl>
    <w:lvl w:ilvl="3" w:tentative="0">
      <w:start w:val="1"/>
      <w:numFmt w:val="decimal"/>
      <w:lvlText w:val="%4."/>
      <w:lvlJc w:val="left"/>
      <w:pPr>
        <w:tabs>
          <w:tab w:val="left" w:pos="1680"/>
        </w:tabs>
        <w:ind w:left="1680" w:hanging="420"/>
      </w:pPr>
      <w:rPr>
        <w:rFonts w:hint="default"/>
        <w:u w:val="none"/>
      </w:rPr>
    </w:lvl>
    <w:lvl w:ilvl="4" w:tentative="0">
      <w:start w:val="1"/>
      <w:numFmt w:val="lowerLetter"/>
      <w:lvlText w:val="%5)"/>
      <w:lvlJc w:val="left"/>
      <w:pPr>
        <w:tabs>
          <w:tab w:val="left" w:pos="2100"/>
        </w:tabs>
        <w:ind w:left="2100" w:hanging="420"/>
      </w:pPr>
      <w:rPr>
        <w:rFonts w:hint="default"/>
        <w:u w:val="none"/>
      </w:rPr>
    </w:lvl>
    <w:lvl w:ilvl="5" w:tentative="0">
      <w:start w:val="1"/>
      <w:numFmt w:val="lowerRoman"/>
      <w:lvlText w:val="%6."/>
      <w:lvlJc w:val="right"/>
      <w:pPr>
        <w:tabs>
          <w:tab w:val="left" w:pos="2520"/>
        </w:tabs>
        <w:ind w:left="2520" w:hanging="420"/>
      </w:pPr>
      <w:rPr>
        <w:rFonts w:hint="default"/>
        <w:u w:val="none"/>
      </w:rPr>
    </w:lvl>
    <w:lvl w:ilvl="6" w:tentative="0">
      <w:start w:val="1"/>
      <w:numFmt w:val="decimal"/>
      <w:lvlText w:val="%7."/>
      <w:lvlJc w:val="left"/>
      <w:pPr>
        <w:tabs>
          <w:tab w:val="left" w:pos="2940"/>
        </w:tabs>
        <w:ind w:left="2940" w:hanging="420"/>
      </w:pPr>
      <w:rPr>
        <w:rFonts w:hint="default"/>
        <w:u w:val="none"/>
      </w:rPr>
    </w:lvl>
    <w:lvl w:ilvl="7" w:tentative="0">
      <w:start w:val="1"/>
      <w:numFmt w:val="lowerLetter"/>
      <w:lvlText w:val="%8)"/>
      <w:lvlJc w:val="left"/>
      <w:pPr>
        <w:tabs>
          <w:tab w:val="left" w:pos="3360"/>
        </w:tabs>
        <w:ind w:left="3360" w:hanging="420"/>
      </w:pPr>
      <w:rPr>
        <w:rFonts w:hint="default"/>
        <w:u w:val="none"/>
      </w:rPr>
    </w:lvl>
    <w:lvl w:ilvl="8" w:tentative="0">
      <w:start w:val="1"/>
      <w:numFmt w:val="lowerRoman"/>
      <w:lvlText w:val="%9."/>
      <w:lvlJc w:val="right"/>
      <w:pPr>
        <w:tabs>
          <w:tab w:val="left" w:pos="3780"/>
        </w:tabs>
        <w:ind w:left="3780" w:hanging="420"/>
      </w:pPr>
      <w:rPr>
        <w:rFonts w:hint="default"/>
        <w:u w:val="none"/>
      </w:rPr>
    </w:lvl>
  </w:abstractNum>
  <w:abstractNum w:abstractNumId="6">
    <w:nsid w:val="13387DFE"/>
    <w:multiLevelType w:val="multilevel"/>
    <w:tmpl w:val="13387DFE"/>
    <w:lvl w:ilvl="0" w:tentative="0">
      <w:start w:val="1"/>
      <w:numFmt w:val="decimal"/>
      <w:lvlText w:val="%1."/>
      <w:lvlJc w:val="left"/>
      <w:pPr>
        <w:tabs>
          <w:tab w:val="left" w:pos="425"/>
        </w:tabs>
        <w:ind w:left="425" w:hanging="425"/>
      </w:pPr>
      <w:rPr>
        <w:rFonts w:hint="eastAsia" w:ascii="宋体" w:hAnsi="宋体" w:eastAsia="宋体"/>
      </w:rPr>
    </w:lvl>
    <w:lvl w:ilvl="1" w:tentative="0">
      <w:start w:val="1"/>
      <w:numFmt w:val="decimal"/>
      <w:lvlText w:val="%1.%2."/>
      <w:lvlJc w:val="left"/>
      <w:pPr>
        <w:tabs>
          <w:tab w:val="left" w:pos="567"/>
        </w:tabs>
        <w:ind w:left="567" w:hanging="567"/>
      </w:pPr>
      <w:rPr>
        <w:rFonts w:hint="eastAsia" w:ascii="宋体" w:hAnsi="宋体" w:eastAsia="宋体"/>
        <w:color w:val="auto"/>
      </w:rPr>
    </w:lvl>
    <w:lvl w:ilvl="2" w:tentative="0">
      <w:start w:val="1"/>
      <w:numFmt w:val="decimal"/>
      <w:lvlText w:val="%1.%2.%3."/>
      <w:lvlJc w:val="left"/>
      <w:pPr>
        <w:tabs>
          <w:tab w:val="left" w:pos="794"/>
        </w:tabs>
        <w:ind w:left="794" w:hanging="794"/>
      </w:pPr>
      <w:rPr>
        <w:rFonts w:hint="eastAsia" w:ascii="宋体" w:hAnsi="宋体" w:eastAsia="宋体"/>
      </w:rPr>
    </w:lvl>
    <w:lvl w:ilvl="3" w:tentative="0">
      <w:start w:val="1"/>
      <w:numFmt w:val="decimal"/>
      <w:lvlText w:val="%1.%2.%3.%4."/>
      <w:lvlJc w:val="left"/>
      <w:pPr>
        <w:tabs>
          <w:tab w:val="left" w:pos="454"/>
        </w:tabs>
        <w:ind w:left="1021" w:hanging="1021"/>
      </w:pPr>
      <w:rPr>
        <w:rFonts w:hint="eastAsia" w:ascii="宋体" w:hAnsi="宋体" w:eastAsia="宋体"/>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7">
    <w:nsid w:val="20D2348B"/>
    <w:multiLevelType w:val="singleLevel"/>
    <w:tmpl w:val="20D2348B"/>
    <w:lvl w:ilvl="0" w:tentative="0">
      <w:start w:val="1"/>
      <w:numFmt w:val="chineseCounting"/>
      <w:suff w:val="nothing"/>
      <w:lvlText w:val="（%1）"/>
      <w:lvlJc w:val="left"/>
      <w:rPr>
        <w:rFonts w:hint="eastAsia"/>
      </w:rPr>
    </w:lvl>
  </w:abstractNum>
  <w:abstractNum w:abstractNumId="8">
    <w:nsid w:val="27F49B4B"/>
    <w:multiLevelType w:val="multilevel"/>
    <w:tmpl w:val="27F49B4B"/>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566" w:hanging="566"/>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9">
    <w:nsid w:val="3F88662E"/>
    <w:multiLevelType w:val="singleLevel"/>
    <w:tmpl w:val="3F88662E"/>
    <w:lvl w:ilvl="0" w:tentative="0">
      <w:start w:val="1"/>
      <w:numFmt w:val="decimal"/>
      <w:suff w:val="space"/>
      <w:lvlText w:val="%1)"/>
      <w:lvlJc w:val="left"/>
    </w:lvl>
  </w:abstractNum>
  <w:abstractNum w:abstractNumId="10">
    <w:nsid w:val="580745EB"/>
    <w:multiLevelType w:val="multilevel"/>
    <w:tmpl w:val="580745EB"/>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59C5D728"/>
    <w:multiLevelType w:val="singleLevel"/>
    <w:tmpl w:val="59C5D728"/>
    <w:lvl w:ilvl="0" w:tentative="0">
      <w:start w:val="1"/>
      <w:numFmt w:val="chineseCounting"/>
      <w:suff w:val="nothing"/>
      <w:lvlText w:val="%1、"/>
      <w:lvlJc w:val="left"/>
      <w:pPr>
        <w:ind w:left="0" w:firstLine="420"/>
      </w:pPr>
      <w:rPr>
        <w:rFonts w:hint="eastAsia"/>
      </w:rPr>
    </w:lvl>
  </w:abstractNum>
  <w:abstractNum w:abstractNumId="12">
    <w:nsid w:val="5C183DB0"/>
    <w:multiLevelType w:val="multilevel"/>
    <w:tmpl w:val="5C183DB0"/>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0"/>
  </w:num>
  <w:num w:numId="2">
    <w:abstractNumId w:val="8"/>
  </w:num>
  <w:num w:numId="3">
    <w:abstractNumId w:val="1"/>
  </w:num>
  <w:num w:numId="4">
    <w:abstractNumId w:val="9"/>
  </w:num>
  <w:num w:numId="5">
    <w:abstractNumId w:val="5"/>
  </w:num>
  <w:num w:numId="6">
    <w:abstractNumId w:val="0"/>
  </w:num>
  <w:num w:numId="7">
    <w:abstractNumId w:val="6"/>
  </w:num>
  <w:num w:numId="8">
    <w:abstractNumId w:val="2"/>
  </w:num>
  <w:num w:numId="9">
    <w:abstractNumId w:val="4"/>
  </w:num>
  <w:num w:numId="10">
    <w:abstractNumId w:val="7"/>
  </w:num>
  <w:num w:numId="11">
    <w:abstractNumId w:val="3"/>
  </w:num>
  <w:num w:numId="12">
    <w:abstractNumId w:val="1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balanceSingleByteDoubleByteWidth/>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YxNjVlOThlYjJkMzdhNjAyZTdjYWNkNWE4ZDRiY2EifQ=="/>
  </w:docVars>
  <w:rsids>
    <w:rsidRoot w:val="00172A27"/>
    <w:rsid w:val="00005A66"/>
    <w:rsid w:val="00006462"/>
    <w:rsid w:val="000300E4"/>
    <w:rsid w:val="0003307E"/>
    <w:rsid w:val="000336BA"/>
    <w:rsid w:val="000359A1"/>
    <w:rsid w:val="0005185D"/>
    <w:rsid w:val="0007500F"/>
    <w:rsid w:val="0008282E"/>
    <w:rsid w:val="00084F6D"/>
    <w:rsid w:val="00085170"/>
    <w:rsid w:val="00092BD0"/>
    <w:rsid w:val="00093A13"/>
    <w:rsid w:val="000A363F"/>
    <w:rsid w:val="000A42A8"/>
    <w:rsid w:val="000A5063"/>
    <w:rsid w:val="000A5DBD"/>
    <w:rsid w:val="000C4524"/>
    <w:rsid w:val="000D44A6"/>
    <w:rsid w:val="000E2CB7"/>
    <w:rsid w:val="000F0E98"/>
    <w:rsid w:val="000F1444"/>
    <w:rsid w:val="001049A5"/>
    <w:rsid w:val="001120E0"/>
    <w:rsid w:val="00121ADA"/>
    <w:rsid w:val="001242F3"/>
    <w:rsid w:val="001332BB"/>
    <w:rsid w:val="00134CAD"/>
    <w:rsid w:val="001368B7"/>
    <w:rsid w:val="0013730B"/>
    <w:rsid w:val="00137853"/>
    <w:rsid w:val="00137E1C"/>
    <w:rsid w:val="00147012"/>
    <w:rsid w:val="0017023B"/>
    <w:rsid w:val="00172A27"/>
    <w:rsid w:val="00173126"/>
    <w:rsid w:val="00173905"/>
    <w:rsid w:val="00173E04"/>
    <w:rsid w:val="00175D29"/>
    <w:rsid w:val="001833A1"/>
    <w:rsid w:val="001844F4"/>
    <w:rsid w:val="00185039"/>
    <w:rsid w:val="001852D7"/>
    <w:rsid w:val="001A06D8"/>
    <w:rsid w:val="001A2D42"/>
    <w:rsid w:val="001A2EF7"/>
    <w:rsid w:val="001A66BB"/>
    <w:rsid w:val="001B1F14"/>
    <w:rsid w:val="001B41CF"/>
    <w:rsid w:val="001B5860"/>
    <w:rsid w:val="001C1135"/>
    <w:rsid w:val="001C15AE"/>
    <w:rsid w:val="001C4661"/>
    <w:rsid w:val="001C5689"/>
    <w:rsid w:val="001C6E4B"/>
    <w:rsid w:val="001F0070"/>
    <w:rsid w:val="001F4B02"/>
    <w:rsid w:val="001F6BC7"/>
    <w:rsid w:val="002065A7"/>
    <w:rsid w:val="0021149E"/>
    <w:rsid w:val="00213021"/>
    <w:rsid w:val="00216BE9"/>
    <w:rsid w:val="00221D49"/>
    <w:rsid w:val="00221E7A"/>
    <w:rsid w:val="0022503E"/>
    <w:rsid w:val="00225BB4"/>
    <w:rsid w:val="00226313"/>
    <w:rsid w:val="002373BB"/>
    <w:rsid w:val="00240F5F"/>
    <w:rsid w:val="00247224"/>
    <w:rsid w:val="00247AE0"/>
    <w:rsid w:val="00260AC1"/>
    <w:rsid w:val="0026312D"/>
    <w:rsid w:val="0027078E"/>
    <w:rsid w:val="00271F39"/>
    <w:rsid w:val="0028395F"/>
    <w:rsid w:val="00284156"/>
    <w:rsid w:val="00285643"/>
    <w:rsid w:val="002867A1"/>
    <w:rsid w:val="002901F8"/>
    <w:rsid w:val="00290F04"/>
    <w:rsid w:val="002920A4"/>
    <w:rsid w:val="002B4087"/>
    <w:rsid w:val="002B5F6C"/>
    <w:rsid w:val="002C6C78"/>
    <w:rsid w:val="002D1594"/>
    <w:rsid w:val="002D3F9C"/>
    <w:rsid w:val="002D503C"/>
    <w:rsid w:val="002D7E27"/>
    <w:rsid w:val="002E17E5"/>
    <w:rsid w:val="002E6B7E"/>
    <w:rsid w:val="002F0FC9"/>
    <w:rsid w:val="0030669E"/>
    <w:rsid w:val="003101A3"/>
    <w:rsid w:val="00320CEA"/>
    <w:rsid w:val="00323B43"/>
    <w:rsid w:val="00326831"/>
    <w:rsid w:val="003274CE"/>
    <w:rsid w:val="003361E9"/>
    <w:rsid w:val="003430F6"/>
    <w:rsid w:val="00353842"/>
    <w:rsid w:val="0035595E"/>
    <w:rsid w:val="003674EB"/>
    <w:rsid w:val="00381C26"/>
    <w:rsid w:val="0038564C"/>
    <w:rsid w:val="00387CE4"/>
    <w:rsid w:val="00393B1D"/>
    <w:rsid w:val="003A1D97"/>
    <w:rsid w:val="003B32D8"/>
    <w:rsid w:val="003C17CA"/>
    <w:rsid w:val="003C18EB"/>
    <w:rsid w:val="003C1E4E"/>
    <w:rsid w:val="003C32D3"/>
    <w:rsid w:val="003C3B19"/>
    <w:rsid w:val="003C412B"/>
    <w:rsid w:val="003C415C"/>
    <w:rsid w:val="003D36FB"/>
    <w:rsid w:val="003D37D8"/>
    <w:rsid w:val="003E0802"/>
    <w:rsid w:val="003E18E7"/>
    <w:rsid w:val="003E2B8C"/>
    <w:rsid w:val="003F46B4"/>
    <w:rsid w:val="003F4822"/>
    <w:rsid w:val="0040130D"/>
    <w:rsid w:val="00401C64"/>
    <w:rsid w:val="00401CC0"/>
    <w:rsid w:val="00410AB5"/>
    <w:rsid w:val="00410F11"/>
    <w:rsid w:val="00411067"/>
    <w:rsid w:val="004203B9"/>
    <w:rsid w:val="004322A2"/>
    <w:rsid w:val="004358AB"/>
    <w:rsid w:val="00451EB4"/>
    <w:rsid w:val="00460B31"/>
    <w:rsid w:val="00462105"/>
    <w:rsid w:val="00475A80"/>
    <w:rsid w:val="00475BB4"/>
    <w:rsid w:val="00490B9E"/>
    <w:rsid w:val="00497577"/>
    <w:rsid w:val="004A05D7"/>
    <w:rsid w:val="004A2B28"/>
    <w:rsid w:val="004A69F1"/>
    <w:rsid w:val="004B3550"/>
    <w:rsid w:val="004B3F06"/>
    <w:rsid w:val="004C7FD6"/>
    <w:rsid w:val="004D08C0"/>
    <w:rsid w:val="004D1669"/>
    <w:rsid w:val="004D1736"/>
    <w:rsid w:val="004D51A2"/>
    <w:rsid w:val="004D5AFB"/>
    <w:rsid w:val="004E04FD"/>
    <w:rsid w:val="004F1BB7"/>
    <w:rsid w:val="0050759C"/>
    <w:rsid w:val="00510827"/>
    <w:rsid w:val="005267F1"/>
    <w:rsid w:val="005269A9"/>
    <w:rsid w:val="00532034"/>
    <w:rsid w:val="00545D9A"/>
    <w:rsid w:val="00546A42"/>
    <w:rsid w:val="0055408D"/>
    <w:rsid w:val="00573255"/>
    <w:rsid w:val="0057492D"/>
    <w:rsid w:val="0058523E"/>
    <w:rsid w:val="00590819"/>
    <w:rsid w:val="00593D68"/>
    <w:rsid w:val="00595447"/>
    <w:rsid w:val="005A208B"/>
    <w:rsid w:val="005A555E"/>
    <w:rsid w:val="005A7612"/>
    <w:rsid w:val="005B58A6"/>
    <w:rsid w:val="005C57E1"/>
    <w:rsid w:val="005C702E"/>
    <w:rsid w:val="005D01B8"/>
    <w:rsid w:val="005D066B"/>
    <w:rsid w:val="005D2D85"/>
    <w:rsid w:val="005D52E7"/>
    <w:rsid w:val="005F021D"/>
    <w:rsid w:val="005F20A4"/>
    <w:rsid w:val="005F4EAE"/>
    <w:rsid w:val="005F573A"/>
    <w:rsid w:val="005F660B"/>
    <w:rsid w:val="005F7EB1"/>
    <w:rsid w:val="00604B81"/>
    <w:rsid w:val="0061246F"/>
    <w:rsid w:val="00613417"/>
    <w:rsid w:val="00613B25"/>
    <w:rsid w:val="0061545F"/>
    <w:rsid w:val="00615504"/>
    <w:rsid w:val="006175DE"/>
    <w:rsid w:val="006215AC"/>
    <w:rsid w:val="00621821"/>
    <w:rsid w:val="00621C19"/>
    <w:rsid w:val="00622362"/>
    <w:rsid w:val="00622497"/>
    <w:rsid w:val="006276AD"/>
    <w:rsid w:val="006347A6"/>
    <w:rsid w:val="006378D4"/>
    <w:rsid w:val="00641E8C"/>
    <w:rsid w:val="0064416A"/>
    <w:rsid w:val="006476E3"/>
    <w:rsid w:val="00650DDC"/>
    <w:rsid w:val="00652983"/>
    <w:rsid w:val="0065365D"/>
    <w:rsid w:val="006546D0"/>
    <w:rsid w:val="006576FD"/>
    <w:rsid w:val="00662AE5"/>
    <w:rsid w:val="00664F6B"/>
    <w:rsid w:val="00666F34"/>
    <w:rsid w:val="006731D2"/>
    <w:rsid w:val="00676732"/>
    <w:rsid w:val="0067722F"/>
    <w:rsid w:val="00680EB0"/>
    <w:rsid w:val="00682986"/>
    <w:rsid w:val="00691701"/>
    <w:rsid w:val="00691AE0"/>
    <w:rsid w:val="0069491E"/>
    <w:rsid w:val="006B004E"/>
    <w:rsid w:val="006B3E6C"/>
    <w:rsid w:val="006B4832"/>
    <w:rsid w:val="006B7878"/>
    <w:rsid w:val="006C14BD"/>
    <w:rsid w:val="006C28E5"/>
    <w:rsid w:val="006C67A9"/>
    <w:rsid w:val="006D393E"/>
    <w:rsid w:val="006D43C5"/>
    <w:rsid w:val="006D4AD8"/>
    <w:rsid w:val="006E0B58"/>
    <w:rsid w:val="006E0C4B"/>
    <w:rsid w:val="00704F7B"/>
    <w:rsid w:val="007110BA"/>
    <w:rsid w:val="00711465"/>
    <w:rsid w:val="00716E96"/>
    <w:rsid w:val="00723B11"/>
    <w:rsid w:val="007343A7"/>
    <w:rsid w:val="00734BB2"/>
    <w:rsid w:val="00737823"/>
    <w:rsid w:val="0075028E"/>
    <w:rsid w:val="007528A6"/>
    <w:rsid w:val="00757359"/>
    <w:rsid w:val="007608B9"/>
    <w:rsid w:val="007724B4"/>
    <w:rsid w:val="0077462B"/>
    <w:rsid w:val="007902ED"/>
    <w:rsid w:val="007916E7"/>
    <w:rsid w:val="00791C22"/>
    <w:rsid w:val="00797C5D"/>
    <w:rsid w:val="00797D2F"/>
    <w:rsid w:val="007A34B9"/>
    <w:rsid w:val="007A3EF1"/>
    <w:rsid w:val="007A4DB3"/>
    <w:rsid w:val="007A6F47"/>
    <w:rsid w:val="007A7779"/>
    <w:rsid w:val="007C4F46"/>
    <w:rsid w:val="007C7297"/>
    <w:rsid w:val="007D1B4F"/>
    <w:rsid w:val="007D2F9E"/>
    <w:rsid w:val="007D3175"/>
    <w:rsid w:val="007D48BF"/>
    <w:rsid w:val="007D5C45"/>
    <w:rsid w:val="007E2543"/>
    <w:rsid w:val="007E4A26"/>
    <w:rsid w:val="007E7A17"/>
    <w:rsid w:val="007F01B0"/>
    <w:rsid w:val="007F259D"/>
    <w:rsid w:val="007F2CD8"/>
    <w:rsid w:val="007F4DC5"/>
    <w:rsid w:val="00806380"/>
    <w:rsid w:val="0081104F"/>
    <w:rsid w:val="0081319A"/>
    <w:rsid w:val="00822299"/>
    <w:rsid w:val="0083486A"/>
    <w:rsid w:val="00837E35"/>
    <w:rsid w:val="00841378"/>
    <w:rsid w:val="00842B87"/>
    <w:rsid w:val="00845BEB"/>
    <w:rsid w:val="008472E6"/>
    <w:rsid w:val="008518B4"/>
    <w:rsid w:val="00853463"/>
    <w:rsid w:val="008548BD"/>
    <w:rsid w:val="0086026F"/>
    <w:rsid w:val="008640F5"/>
    <w:rsid w:val="0087704E"/>
    <w:rsid w:val="008907DA"/>
    <w:rsid w:val="008967D7"/>
    <w:rsid w:val="008A0587"/>
    <w:rsid w:val="008A7273"/>
    <w:rsid w:val="008B55B9"/>
    <w:rsid w:val="008B7726"/>
    <w:rsid w:val="008C05BA"/>
    <w:rsid w:val="008D429E"/>
    <w:rsid w:val="008D5A10"/>
    <w:rsid w:val="008E319F"/>
    <w:rsid w:val="008E619C"/>
    <w:rsid w:val="008F6E0E"/>
    <w:rsid w:val="00906F49"/>
    <w:rsid w:val="00907417"/>
    <w:rsid w:val="00914604"/>
    <w:rsid w:val="00916A34"/>
    <w:rsid w:val="0092092D"/>
    <w:rsid w:val="00923533"/>
    <w:rsid w:val="00930A38"/>
    <w:rsid w:val="00934170"/>
    <w:rsid w:val="00942948"/>
    <w:rsid w:val="009474B5"/>
    <w:rsid w:val="00953E98"/>
    <w:rsid w:val="00960F22"/>
    <w:rsid w:val="00972D86"/>
    <w:rsid w:val="009736BF"/>
    <w:rsid w:val="0097392B"/>
    <w:rsid w:val="00976066"/>
    <w:rsid w:val="00980A66"/>
    <w:rsid w:val="009904F7"/>
    <w:rsid w:val="009910F6"/>
    <w:rsid w:val="009A07B1"/>
    <w:rsid w:val="009A6B4A"/>
    <w:rsid w:val="009A7058"/>
    <w:rsid w:val="009B7F41"/>
    <w:rsid w:val="009C19DE"/>
    <w:rsid w:val="009C23A6"/>
    <w:rsid w:val="009C5206"/>
    <w:rsid w:val="009C6AD9"/>
    <w:rsid w:val="009E3964"/>
    <w:rsid w:val="009E398C"/>
    <w:rsid w:val="009E6F05"/>
    <w:rsid w:val="009F644E"/>
    <w:rsid w:val="009F6A05"/>
    <w:rsid w:val="00A01BE2"/>
    <w:rsid w:val="00A10906"/>
    <w:rsid w:val="00A12E66"/>
    <w:rsid w:val="00A13E78"/>
    <w:rsid w:val="00A14EEF"/>
    <w:rsid w:val="00A23304"/>
    <w:rsid w:val="00A275C2"/>
    <w:rsid w:val="00A3295D"/>
    <w:rsid w:val="00A4012F"/>
    <w:rsid w:val="00A4190E"/>
    <w:rsid w:val="00A42E91"/>
    <w:rsid w:val="00A50383"/>
    <w:rsid w:val="00A566D5"/>
    <w:rsid w:val="00A61230"/>
    <w:rsid w:val="00A668C8"/>
    <w:rsid w:val="00A74ED3"/>
    <w:rsid w:val="00A813C5"/>
    <w:rsid w:val="00A824E6"/>
    <w:rsid w:val="00A832CD"/>
    <w:rsid w:val="00A858DC"/>
    <w:rsid w:val="00A94D14"/>
    <w:rsid w:val="00AA0EAD"/>
    <w:rsid w:val="00AB19CE"/>
    <w:rsid w:val="00AB2133"/>
    <w:rsid w:val="00AB3969"/>
    <w:rsid w:val="00AB7A64"/>
    <w:rsid w:val="00AC0E7A"/>
    <w:rsid w:val="00AC187B"/>
    <w:rsid w:val="00AD10E6"/>
    <w:rsid w:val="00AE310E"/>
    <w:rsid w:val="00AE331F"/>
    <w:rsid w:val="00AE4FC5"/>
    <w:rsid w:val="00AF1B1B"/>
    <w:rsid w:val="00AF5F1F"/>
    <w:rsid w:val="00B019CE"/>
    <w:rsid w:val="00B027A4"/>
    <w:rsid w:val="00B04202"/>
    <w:rsid w:val="00B04D96"/>
    <w:rsid w:val="00B236B3"/>
    <w:rsid w:val="00B26806"/>
    <w:rsid w:val="00B31B24"/>
    <w:rsid w:val="00B4287F"/>
    <w:rsid w:val="00B4315F"/>
    <w:rsid w:val="00B43306"/>
    <w:rsid w:val="00B60DAB"/>
    <w:rsid w:val="00B611E4"/>
    <w:rsid w:val="00B61CB1"/>
    <w:rsid w:val="00B63189"/>
    <w:rsid w:val="00B67B5C"/>
    <w:rsid w:val="00B7194E"/>
    <w:rsid w:val="00B73575"/>
    <w:rsid w:val="00B7380A"/>
    <w:rsid w:val="00B763B0"/>
    <w:rsid w:val="00B91005"/>
    <w:rsid w:val="00B92951"/>
    <w:rsid w:val="00B93045"/>
    <w:rsid w:val="00B93169"/>
    <w:rsid w:val="00B950B6"/>
    <w:rsid w:val="00BA4130"/>
    <w:rsid w:val="00BB2CAF"/>
    <w:rsid w:val="00BB79B5"/>
    <w:rsid w:val="00BC3E74"/>
    <w:rsid w:val="00BD630F"/>
    <w:rsid w:val="00BD7C1B"/>
    <w:rsid w:val="00BE0825"/>
    <w:rsid w:val="00BE2EE6"/>
    <w:rsid w:val="00BF17FD"/>
    <w:rsid w:val="00BF2820"/>
    <w:rsid w:val="00BF292F"/>
    <w:rsid w:val="00BF41D4"/>
    <w:rsid w:val="00BF5AFB"/>
    <w:rsid w:val="00C16734"/>
    <w:rsid w:val="00C17B47"/>
    <w:rsid w:val="00C25C77"/>
    <w:rsid w:val="00C303E7"/>
    <w:rsid w:val="00C319C2"/>
    <w:rsid w:val="00C323FD"/>
    <w:rsid w:val="00C32D9D"/>
    <w:rsid w:val="00C53CE5"/>
    <w:rsid w:val="00C612F8"/>
    <w:rsid w:val="00C62E44"/>
    <w:rsid w:val="00C62E56"/>
    <w:rsid w:val="00C63BD8"/>
    <w:rsid w:val="00C65954"/>
    <w:rsid w:val="00C7126B"/>
    <w:rsid w:val="00C72C24"/>
    <w:rsid w:val="00C73468"/>
    <w:rsid w:val="00C74986"/>
    <w:rsid w:val="00C80EC4"/>
    <w:rsid w:val="00C8568E"/>
    <w:rsid w:val="00CA32B5"/>
    <w:rsid w:val="00CB57AD"/>
    <w:rsid w:val="00CB7E81"/>
    <w:rsid w:val="00CC009D"/>
    <w:rsid w:val="00CC0711"/>
    <w:rsid w:val="00CC584A"/>
    <w:rsid w:val="00CC5E4E"/>
    <w:rsid w:val="00CD0EAB"/>
    <w:rsid w:val="00CE2AF3"/>
    <w:rsid w:val="00CE621D"/>
    <w:rsid w:val="00CE66E8"/>
    <w:rsid w:val="00D05388"/>
    <w:rsid w:val="00D114CD"/>
    <w:rsid w:val="00D14476"/>
    <w:rsid w:val="00D232FF"/>
    <w:rsid w:val="00D279AA"/>
    <w:rsid w:val="00D31215"/>
    <w:rsid w:val="00D34544"/>
    <w:rsid w:val="00D34841"/>
    <w:rsid w:val="00D4444E"/>
    <w:rsid w:val="00D44A97"/>
    <w:rsid w:val="00D45C0C"/>
    <w:rsid w:val="00D508A5"/>
    <w:rsid w:val="00D5104B"/>
    <w:rsid w:val="00D555D8"/>
    <w:rsid w:val="00D60778"/>
    <w:rsid w:val="00D63EB2"/>
    <w:rsid w:val="00D64D28"/>
    <w:rsid w:val="00D6604D"/>
    <w:rsid w:val="00D677F1"/>
    <w:rsid w:val="00D70771"/>
    <w:rsid w:val="00D74601"/>
    <w:rsid w:val="00D83E46"/>
    <w:rsid w:val="00D847B6"/>
    <w:rsid w:val="00D93958"/>
    <w:rsid w:val="00D951D3"/>
    <w:rsid w:val="00DA1DB9"/>
    <w:rsid w:val="00DA6169"/>
    <w:rsid w:val="00DA7B28"/>
    <w:rsid w:val="00DB5480"/>
    <w:rsid w:val="00DB6317"/>
    <w:rsid w:val="00DC2FC5"/>
    <w:rsid w:val="00DC5AD9"/>
    <w:rsid w:val="00DC691F"/>
    <w:rsid w:val="00DD02DE"/>
    <w:rsid w:val="00DD07B7"/>
    <w:rsid w:val="00DD113C"/>
    <w:rsid w:val="00DD324C"/>
    <w:rsid w:val="00DE0BEB"/>
    <w:rsid w:val="00DE4856"/>
    <w:rsid w:val="00DF485B"/>
    <w:rsid w:val="00E00E64"/>
    <w:rsid w:val="00E0295D"/>
    <w:rsid w:val="00E042BC"/>
    <w:rsid w:val="00E132FE"/>
    <w:rsid w:val="00E21B77"/>
    <w:rsid w:val="00E23352"/>
    <w:rsid w:val="00E36258"/>
    <w:rsid w:val="00E40CAD"/>
    <w:rsid w:val="00E40DC7"/>
    <w:rsid w:val="00E4215F"/>
    <w:rsid w:val="00E47B5A"/>
    <w:rsid w:val="00E61D2E"/>
    <w:rsid w:val="00E62B7F"/>
    <w:rsid w:val="00E7066D"/>
    <w:rsid w:val="00E726BC"/>
    <w:rsid w:val="00E72821"/>
    <w:rsid w:val="00E75C82"/>
    <w:rsid w:val="00E81DDC"/>
    <w:rsid w:val="00E81F67"/>
    <w:rsid w:val="00E83650"/>
    <w:rsid w:val="00E83A31"/>
    <w:rsid w:val="00E93BF5"/>
    <w:rsid w:val="00E97CC0"/>
    <w:rsid w:val="00EA22B8"/>
    <w:rsid w:val="00EA2524"/>
    <w:rsid w:val="00EA33E7"/>
    <w:rsid w:val="00EC092D"/>
    <w:rsid w:val="00EC0DF8"/>
    <w:rsid w:val="00EC7F91"/>
    <w:rsid w:val="00ED378B"/>
    <w:rsid w:val="00ED7E14"/>
    <w:rsid w:val="00EE08F9"/>
    <w:rsid w:val="00EE70B3"/>
    <w:rsid w:val="00EF24AA"/>
    <w:rsid w:val="00EF728A"/>
    <w:rsid w:val="00EF7D0D"/>
    <w:rsid w:val="00F00FF7"/>
    <w:rsid w:val="00F01C6F"/>
    <w:rsid w:val="00F02093"/>
    <w:rsid w:val="00F068E3"/>
    <w:rsid w:val="00F10B5F"/>
    <w:rsid w:val="00F218C1"/>
    <w:rsid w:val="00F321EB"/>
    <w:rsid w:val="00F32B00"/>
    <w:rsid w:val="00F346CF"/>
    <w:rsid w:val="00F3610C"/>
    <w:rsid w:val="00F36839"/>
    <w:rsid w:val="00F52A5F"/>
    <w:rsid w:val="00F55954"/>
    <w:rsid w:val="00F57308"/>
    <w:rsid w:val="00F61962"/>
    <w:rsid w:val="00F62865"/>
    <w:rsid w:val="00F64022"/>
    <w:rsid w:val="00F64660"/>
    <w:rsid w:val="00F74FF3"/>
    <w:rsid w:val="00F90343"/>
    <w:rsid w:val="00F97062"/>
    <w:rsid w:val="00F9745D"/>
    <w:rsid w:val="00FA07A9"/>
    <w:rsid w:val="00FA54B2"/>
    <w:rsid w:val="00FC0FCB"/>
    <w:rsid w:val="00FC529F"/>
    <w:rsid w:val="00FC66E1"/>
    <w:rsid w:val="00FC7B53"/>
    <w:rsid w:val="00FD48CC"/>
    <w:rsid w:val="00FE62D1"/>
    <w:rsid w:val="00FE7B94"/>
    <w:rsid w:val="00FF0736"/>
    <w:rsid w:val="00FF2515"/>
    <w:rsid w:val="00FF26BF"/>
    <w:rsid w:val="012C2953"/>
    <w:rsid w:val="013C51B0"/>
    <w:rsid w:val="01651C23"/>
    <w:rsid w:val="018023CE"/>
    <w:rsid w:val="01862DC7"/>
    <w:rsid w:val="01881AD6"/>
    <w:rsid w:val="019127B6"/>
    <w:rsid w:val="01B71A01"/>
    <w:rsid w:val="01C5592B"/>
    <w:rsid w:val="01CD0B9D"/>
    <w:rsid w:val="01CE128A"/>
    <w:rsid w:val="01D0129F"/>
    <w:rsid w:val="01D21CEC"/>
    <w:rsid w:val="01DC03CE"/>
    <w:rsid w:val="01DD1E9F"/>
    <w:rsid w:val="01DE1359"/>
    <w:rsid w:val="01E36F4E"/>
    <w:rsid w:val="01E75158"/>
    <w:rsid w:val="0208150E"/>
    <w:rsid w:val="020C71EE"/>
    <w:rsid w:val="021000FB"/>
    <w:rsid w:val="02131F75"/>
    <w:rsid w:val="021533E7"/>
    <w:rsid w:val="0224362A"/>
    <w:rsid w:val="02287D63"/>
    <w:rsid w:val="023615AF"/>
    <w:rsid w:val="024179E7"/>
    <w:rsid w:val="0246437B"/>
    <w:rsid w:val="024A2D5B"/>
    <w:rsid w:val="0253796C"/>
    <w:rsid w:val="027C6851"/>
    <w:rsid w:val="027F6AB2"/>
    <w:rsid w:val="02985CD5"/>
    <w:rsid w:val="02A30D8D"/>
    <w:rsid w:val="02A741FD"/>
    <w:rsid w:val="02AB3C57"/>
    <w:rsid w:val="02B67329"/>
    <w:rsid w:val="02BF5846"/>
    <w:rsid w:val="02C16E5D"/>
    <w:rsid w:val="02D964CF"/>
    <w:rsid w:val="02DE5ECF"/>
    <w:rsid w:val="02EF1E8A"/>
    <w:rsid w:val="0300386E"/>
    <w:rsid w:val="03082F4B"/>
    <w:rsid w:val="032E6AB8"/>
    <w:rsid w:val="032F672A"/>
    <w:rsid w:val="03457CFC"/>
    <w:rsid w:val="035E6F6D"/>
    <w:rsid w:val="03707410"/>
    <w:rsid w:val="03887BE8"/>
    <w:rsid w:val="039170C0"/>
    <w:rsid w:val="039240A3"/>
    <w:rsid w:val="03A0770F"/>
    <w:rsid w:val="03A21632"/>
    <w:rsid w:val="03A27726"/>
    <w:rsid w:val="03A448B8"/>
    <w:rsid w:val="03B34A78"/>
    <w:rsid w:val="03C01631"/>
    <w:rsid w:val="03C656A9"/>
    <w:rsid w:val="03F10E17"/>
    <w:rsid w:val="03F33148"/>
    <w:rsid w:val="04074FB1"/>
    <w:rsid w:val="04096F7B"/>
    <w:rsid w:val="042C2BD2"/>
    <w:rsid w:val="042F3419"/>
    <w:rsid w:val="04406715"/>
    <w:rsid w:val="04491596"/>
    <w:rsid w:val="04542A71"/>
    <w:rsid w:val="047B4012"/>
    <w:rsid w:val="04822497"/>
    <w:rsid w:val="048977A7"/>
    <w:rsid w:val="04897DBE"/>
    <w:rsid w:val="048E7480"/>
    <w:rsid w:val="04912485"/>
    <w:rsid w:val="04974587"/>
    <w:rsid w:val="049A0C65"/>
    <w:rsid w:val="04A07C4B"/>
    <w:rsid w:val="04A93E3A"/>
    <w:rsid w:val="04DF1036"/>
    <w:rsid w:val="04E24985"/>
    <w:rsid w:val="050962EC"/>
    <w:rsid w:val="050C01DF"/>
    <w:rsid w:val="05316537"/>
    <w:rsid w:val="053A5A77"/>
    <w:rsid w:val="056D30B8"/>
    <w:rsid w:val="0599183C"/>
    <w:rsid w:val="05A97DEC"/>
    <w:rsid w:val="05B23978"/>
    <w:rsid w:val="05C81981"/>
    <w:rsid w:val="05CD3FD8"/>
    <w:rsid w:val="05DB04A3"/>
    <w:rsid w:val="05DB7F00"/>
    <w:rsid w:val="05DF3859"/>
    <w:rsid w:val="05E97064"/>
    <w:rsid w:val="05FC20B9"/>
    <w:rsid w:val="060043AE"/>
    <w:rsid w:val="060C3203"/>
    <w:rsid w:val="061D286A"/>
    <w:rsid w:val="0627193B"/>
    <w:rsid w:val="06281344"/>
    <w:rsid w:val="062C3F70"/>
    <w:rsid w:val="062D4EC8"/>
    <w:rsid w:val="065E12DF"/>
    <w:rsid w:val="068A5878"/>
    <w:rsid w:val="069331D3"/>
    <w:rsid w:val="069A210C"/>
    <w:rsid w:val="069B4E4A"/>
    <w:rsid w:val="06A25465"/>
    <w:rsid w:val="06A26008"/>
    <w:rsid w:val="06BC41F2"/>
    <w:rsid w:val="06C22387"/>
    <w:rsid w:val="06CB109B"/>
    <w:rsid w:val="06F415CC"/>
    <w:rsid w:val="070B6B66"/>
    <w:rsid w:val="070D6D82"/>
    <w:rsid w:val="070E1D9A"/>
    <w:rsid w:val="070E26CD"/>
    <w:rsid w:val="070E48A8"/>
    <w:rsid w:val="07197D08"/>
    <w:rsid w:val="071E5C55"/>
    <w:rsid w:val="07554285"/>
    <w:rsid w:val="075C1FE5"/>
    <w:rsid w:val="077005AB"/>
    <w:rsid w:val="078F4581"/>
    <w:rsid w:val="07936BAF"/>
    <w:rsid w:val="07A715F3"/>
    <w:rsid w:val="07AA45D1"/>
    <w:rsid w:val="07BF027F"/>
    <w:rsid w:val="07CA4C73"/>
    <w:rsid w:val="07DB04B1"/>
    <w:rsid w:val="07DB3ED0"/>
    <w:rsid w:val="07DD0154"/>
    <w:rsid w:val="07E572F4"/>
    <w:rsid w:val="07E8334B"/>
    <w:rsid w:val="07F06C60"/>
    <w:rsid w:val="08031A31"/>
    <w:rsid w:val="080E2872"/>
    <w:rsid w:val="08164EB7"/>
    <w:rsid w:val="08251EAA"/>
    <w:rsid w:val="08420CAE"/>
    <w:rsid w:val="08440C14"/>
    <w:rsid w:val="084762C4"/>
    <w:rsid w:val="08594CC6"/>
    <w:rsid w:val="08610925"/>
    <w:rsid w:val="086E3851"/>
    <w:rsid w:val="08716E9D"/>
    <w:rsid w:val="08730559"/>
    <w:rsid w:val="089A5AE8"/>
    <w:rsid w:val="08A96637"/>
    <w:rsid w:val="08AA0601"/>
    <w:rsid w:val="08B734B3"/>
    <w:rsid w:val="08BA4530"/>
    <w:rsid w:val="08C02F90"/>
    <w:rsid w:val="08C15DBE"/>
    <w:rsid w:val="08D10F3A"/>
    <w:rsid w:val="08D86F1C"/>
    <w:rsid w:val="09061A75"/>
    <w:rsid w:val="090E6DE2"/>
    <w:rsid w:val="09163637"/>
    <w:rsid w:val="09182241"/>
    <w:rsid w:val="09325D4D"/>
    <w:rsid w:val="093C56FD"/>
    <w:rsid w:val="095E53F8"/>
    <w:rsid w:val="095F1030"/>
    <w:rsid w:val="09705789"/>
    <w:rsid w:val="09774987"/>
    <w:rsid w:val="09855177"/>
    <w:rsid w:val="09A17D47"/>
    <w:rsid w:val="09BF1E8A"/>
    <w:rsid w:val="09C175FE"/>
    <w:rsid w:val="09EE5125"/>
    <w:rsid w:val="09FB6BE7"/>
    <w:rsid w:val="0A3D7585"/>
    <w:rsid w:val="0A40121D"/>
    <w:rsid w:val="0A462748"/>
    <w:rsid w:val="0A4D0C81"/>
    <w:rsid w:val="0A5F6888"/>
    <w:rsid w:val="0A723E95"/>
    <w:rsid w:val="0A733243"/>
    <w:rsid w:val="0AA534D5"/>
    <w:rsid w:val="0AA650EB"/>
    <w:rsid w:val="0AA7129C"/>
    <w:rsid w:val="0AAF6F0E"/>
    <w:rsid w:val="0AED48FD"/>
    <w:rsid w:val="0AF47339"/>
    <w:rsid w:val="0B0E131B"/>
    <w:rsid w:val="0B121934"/>
    <w:rsid w:val="0B1F4D52"/>
    <w:rsid w:val="0B22594B"/>
    <w:rsid w:val="0B2668AF"/>
    <w:rsid w:val="0B27506F"/>
    <w:rsid w:val="0B3061AD"/>
    <w:rsid w:val="0B435FF2"/>
    <w:rsid w:val="0B50723E"/>
    <w:rsid w:val="0B5647AA"/>
    <w:rsid w:val="0B620C86"/>
    <w:rsid w:val="0B7F2D66"/>
    <w:rsid w:val="0B9610F4"/>
    <w:rsid w:val="0BBF77A4"/>
    <w:rsid w:val="0BC226DF"/>
    <w:rsid w:val="0BD16C8D"/>
    <w:rsid w:val="0BDF26F7"/>
    <w:rsid w:val="0BED0558"/>
    <w:rsid w:val="0C027DB2"/>
    <w:rsid w:val="0C0B585A"/>
    <w:rsid w:val="0C191E32"/>
    <w:rsid w:val="0C297E67"/>
    <w:rsid w:val="0C2B4952"/>
    <w:rsid w:val="0C2D3A23"/>
    <w:rsid w:val="0C2E3E91"/>
    <w:rsid w:val="0C353F27"/>
    <w:rsid w:val="0C46133C"/>
    <w:rsid w:val="0C4A6383"/>
    <w:rsid w:val="0C516C55"/>
    <w:rsid w:val="0C5D161C"/>
    <w:rsid w:val="0C6C00A7"/>
    <w:rsid w:val="0C7B2220"/>
    <w:rsid w:val="0CB67D83"/>
    <w:rsid w:val="0CCF79BE"/>
    <w:rsid w:val="0CD20599"/>
    <w:rsid w:val="0CE53018"/>
    <w:rsid w:val="0CFD33F5"/>
    <w:rsid w:val="0D0B5B12"/>
    <w:rsid w:val="0D133046"/>
    <w:rsid w:val="0D153F28"/>
    <w:rsid w:val="0D1F14CA"/>
    <w:rsid w:val="0D1F511A"/>
    <w:rsid w:val="0D2E1801"/>
    <w:rsid w:val="0D305390"/>
    <w:rsid w:val="0D3A0F98"/>
    <w:rsid w:val="0D4379A9"/>
    <w:rsid w:val="0D5D37FD"/>
    <w:rsid w:val="0D6A24FF"/>
    <w:rsid w:val="0D6A4502"/>
    <w:rsid w:val="0D701E19"/>
    <w:rsid w:val="0D714688"/>
    <w:rsid w:val="0D73052D"/>
    <w:rsid w:val="0D7415CA"/>
    <w:rsid w:val="0D8458C4"/>
    <w:rsid w:val="0D890E47"/>
    <w:rsid w:val="0D8E04F1"/>
    <w:rsid w:val="0D9C1C2E"/>
    <w:rsid w:val="0DA73361"/>
    <w:rsid w:val="0DC25F87"/>
    <w:rsid w:val="0DC64A00"/>
    <w:rsid w:val="0DC83A03"/>
    <w:rsid w:val="0DCB704F"/>
    <w:rsid w:val="0DCD2251"/>
    <w:rsid w:val="0DCF786E"/>
    <w:rsid w:val="0DEB5FFA"/>
    <w:rsid w:val="0DF75C46"/>
    <w:rsid w:val="0DFC60BA"/>
    <w:rsid w:val="0E034A3B"/>
    <w:rsid w:val="0E045D30"/>
    <w:rsid w:val="0E057FDC"/>
    <w:rsid w:val="0E1C06B2"/>
    <w:rsid w:val="0E35000C"/>
    <w:rsid w:val="0E3E5A73"/>
    <w:rsid w:val="0E69691B"/>
    <w:rsid w:val="0E7334FD"/>
    <w:rsid w:val="0E745939"/>
    <w:rsid w:val="0E7900C2"/>
    <w:rsid w:val="0E8B6327"/>
    <w:rsid w:val="0E995AE0"/>
    <w:rsid w:val="0EB868A4"/>
    <w:rsid w:val="0EBB5484"/>
    <w:rsid w:val="0EBD5AA3"/>
    <w:rsid w:val="0EC248F6"/>
    <w:rsid w:val="0EC71F0D"/>
    <w:rsid w:val="0EC776A7"/>
    <w:rsid w:val="0ECF2B6F"/>
    <w:rsid w:val="0F085784"/>
    <w:rsid w:val="0F1A64E0"/>
    <w:rsid w:val="0F275B4C"/>
    <w:rsid w:val="0F2B6D8C"/>
    <w:rsid w:val="0F5723EF"/>
    <w:rsid w:val="0F73799F"/>
    <w:rsid w:val="0F746C29"/>
    <w:rsid w:val="0F757F93"/>
    <w:rsid w:val="0F7C5FF6"/>
    <w:rsid w:val="0F8B65D1"/>
    <w:rsid w:val="0F9079E9"/>
    <w:rsid w:val="0F930C33"/>
    <w:rsid w:val="0FBA381F"/>
    <w:rsid w:val="0FBD0C1A"/>
    <w:rsid w:val="0FC53244"/>
    <w:rsid w:val="0FC63FBD"/>
    <w:rsid w:val="0FDD003F"/>
    <w:rsid w:val="0FEB39D9"/>
    <w:rsid w:val="0FF63282"/>
    <w:rsid w:val="0FF87EA4"/>
    <w:rsid w:val="0FFF5637"/>
    <w:rsid w:val="0FFF7484"/>
    <w:rsid w:val="10007DD4"/>
    <w:rsid w:val="100B77ED"/>
    <w:rsid w:val="10196798"/>
    <w:rsid w:val="102121EA"/>
    <w:rsid w:val="102203EB"/>
    <w:rsid w:val="10305890"/>
    <w:rsid w:val="103D5A1A"/>
    <w:rsid w:val="10437371"/>
    <w:rsid w:val="106C564D"/>
    <w:rsid w:val="10745AC6"/>
    <w:rsid w:val="10767478"/>
    <w:rsid w:val="107B7B8F"/>
    <w:rsid w:val="107C2883"/>
    <w:rsid w:val="107C67CE"/>
    <w:rsid w:val="10912D03"/>
    <w:rsid w:val="109D68CB"/>
    <w:rsid w:val="10A949B8"/>
    <w:rsid w:val="10AC04D7"/>
    <w:rsid w:val="10B93BB1"/>
    <w:rsid w:val="10C55FD8"/>
    <w:rsid w:val="10CB4D26"/>
    <w:rsid w:val="10D95F27"/>
    <w:rsid w:val="10F91E4E"/>
    <w:rsid w:val="11144AFE"/>
    <w:rsid w:val="11194576"/>
    <w:rsid w:val="11200D07"/>
    <w:rsid w:val="11205904"/>
    <w:rsid w:val="113523F9"/>
    <w:rsid w:val="11576737"/>
    <w:rsid w:val="115D0906"/>
    <w:rsid w:val="11691059"/>
    <w:rsid w:val="116A3F32"/>
    <w:rsid w:val="117619C8"/>
    <w:rsid w:val="11786AB5"/>
    <w:rsid w:val="118049D4"/>
    <w:rsid w:val="1182036D"/>
    <w:rsid w:val="118561F8"/>
    <w:rsid w:val="118916FB"/>
    <w:rsid w:val="118A241B"/>
    <w:rsid w:val="11914FAF"/>
    <w:rsid w:val="11A8021A"/>
    <w:rsid w:val="11B21219"/>
    <w:rsid w:val="11B4024C"/>
    <w:rsid w:val="11C6025A"/>
    <w:rsid w:val="11DA73AF"/>
    <w:rsid w:val="11FC1ECD"/>
    <w:rsid w:val="120340A9"/>
    <w:rsid w:val="1214033A"/>
    <w:rsid w:val="12253502"/>
    <w:rsid w:val="122B57AA"/>
    <w:rsid w:val="12457C5E"/>
    <w:rsid w:val="124D097B"/>
    <w:rsid w:val="12511265"/>
    <w:rsid w:val="126561B4"/>
    <w:rsid w:val="12744159"/>
    <w:rsid w:val="127A3FFC"/>
    <w:rsid w:val="127D0E25"/>
    <w:rsid w:val="127E0B34"/>
    <w:rsid w:val="1283614B"/>
    <w:rsid w:val="12856FF3"/>
    <w:rsid w:val="129671FB"/>
    <w:rsid w:val="12A576FF"/>
    <w:rsid w:val="12B46902"/>
    <w:rsid w:val="12C60D80"/>
    <w:rsid w:val="12FE3A23"/>
    <w:rsid w:val="13002221"/>
    <w:rsid w:val="130523B3"/>
    <w:rsid w:val="13065C60"/>
    <w:rsid w:val="13093AEE"/>
    <w:rsid w:val="13097496"/>
    <w:rsid w:val="13154AD2"/>
    <w:rsid w:val="131F4172"/>
    <w:rsid w:val="131F7A3A"/>
    <w:rsid w:val="1326001B"/>
    <w:rsid w:val="132645D0"/>
    <w:rsid w:val="133F2E39"/>
    <w:rsid w:val="134312FF"/>
    <w:rsid w:val="13455ABC"/>
    <w:rsid w:val="134E6E6F"/>
    <w:rsid w:val="134F26C3"/>
    <w:rsid w:val="13566885"/>
    <w:rsid w:val="1370322B"/>
    <w:rsid w:val="139176CE"/>
    <w:rsid w:val="13BA0460"/>
    <w:rsid w:val="13BB1914"/>
    <w:rsid w:val="13BB41AE"/>
    <w:rsid w:val="13C24F9B"/>
    <w:rsid w:val="13C45A18"/>
    <w:rsid w:val="13C9247B"/>
    <w:rsid w:val="13C92A4D"/>
    <w:rsid w:val="13DE55D1"/>
    <w:rsid w:val="13E0285C"/>
    <w:rsid w:val="13FC4407"/>
    <w:rsid w:val="141554C8"/>
    <w:rsid w:val="143B2E0B"/>
    <w:rsid w:val="14407B8F"/>
    <w:rsid w:val="14637E34"/>
    <w:rsid w:val="1475249B"/>
    <w:rsid w:val="147C1943"/>
    <w:rsid w:val="148054E9"/>
    <w:rsid w:val="14812B5E"/>
    <w:rsid w:val="14861046"/>
    <w:rsid w:val="14892735"/>
    <w:rsid w:val="149030F3"/>
    <w:rsid w:val="14906D6C"/>
    <w:rsid w:val="14955E9E"/>
    <w:rsid w:val="14C447F8"/>
    <w:rsid w:val="14CC769D"/>
    <w:rsid w:val="14D764D5"/>
    <w:rsid w:val="14F43330"/>
    <w:rsid w:val="14FC0436"/>
    <w:rsid w:val="14FC1EC2"/>
    <w:rsid w:val="151D010A"/>
    <w:rsid w:val="152138DB"/>
    <w:rsid w:val="152509D7"/>
    <w:rsid w:val="153F4E02"/>
    <w:rsid w:val="15436F05"/>
    <w:rsid w:val="155541C5"/>
    <w:rsid w:val="15691FE3"/>
    <w:rsid w:val="15763699"/>
    <w:rsid w:val="15802E15"/>
    <w:rsid w:val="158762C5"/>
    <w:rsid w:val="158B5DDD"/>
    <w:rsid w:val="15A41986"/>
    <w:rsid w:val="15A524B3"/>
    <w:rsid w:val="15B11221"/>
    <w:rsid w:val="15B4283E"/>
    <w:rsid w:val="15C16EB3"/>
    <w:rsid w:val="15CB76C9"/>
    <w:rsid w:val="15D359D7"/>
    <w:rsid w:val="15D72EF0"/>
    <w:rsid w:val="15D97BC0"/>
    <w:rsid w:val="160E7A2C"/>
    <w:rsid w:val="16111028"/>
    <w:rsid w:val="161F7731"/>
    <w:rsid w:val="16257519"/>
    <w:rsid w:val="163634D4"/>
    <w:rsid w:val="163C77BE"/>
    <w:rsid w:val="16431FFB"/>
    <w:rsid w:val="16473933"/>
    <w:rsid w:val="16573587"/>
    <w:rsid w:val="167911C0"/>
    <w:rsid w:val="1679588C"/>
    <w:rsid w:val="167C4463"/>
    <w:rsid w:val="168C2855"/>
    <w:rsid w:val="16903443"/>
    <w:rsid w:val="16994962"/>
    <w:rsid w:val="16A233CF"/>
    <w:rsid w:val="16A71041"/>
    <w:rsid w:val="16A844A2"/>
    <w:rsid w:val="16AA24BF"/>
    <w:rsid w:val="16D70EF9"/>
    <w:rsid w:val="170D53D1"/>
    <w:rsid w:val="17101F77"/>
    <w:rsid w:val="171359C3"/>
    <w:rsid w:val="17171557"/>
    <w:rsid w:val="171D3FE1"/>
    <w:rsid w:val="1742794A"/>
    <w:rsid w:val="17521D42"/>
    <w:rsid w:val="17680CAB"/>
    <w:rsid w:val="176E4128"/>
    <w:rsid w:val="1783371F"/>
    <w:rsid w:val="178D7563"/>
    <w:rsid w:val="17B61794"/>
    <w:rsid w:val="17C23271"/>
    <w:rsid w:val="17C4348D"/>
    <w:rsid w:val="17C52CBF"/>
    <w:rsid w:val="17C93012"/>
    <w:rsid w:val="17E51D7C"/>
    <w:rsid w:val="17E62B67"/>
    <w:rsid w:val="17F6116D"/>
    <w:rsid w:val="17F9073D"/>
    <w:rsid w:val="180F4499"/>
    <w:rsid w:val="18167A61"/>
    <w:rsid w:val="1818666E"/>
    <w:rsid w:val="181D4023"/>
    <w:rsid w:val="182201B4"/>
    <w:rsid w:val="18221ECE"/>
    <w:rsid w:val="18297794"/>
    <w:rsid w:val="18303840"/>
    <w:rsid w:val="183C3D90"/>
    <w:rsid w:val="18422F56"/>
    <w:rsid w:val="18504A07"/>
    <w:rsid w:val="1859036F"/>
    <w:rsid w:val="186155FB"/>
    <w:rsid w:val="18660328"/>
    <w:rsid w:val="18681814"/>
    <w:rsid w:val="186B56B7"/>
    <w:rsid w:val="18964AD3"/>
    <w:rsid w:val="18B0649B"/>
    <w:rsid w:val="18C8297B"/>
    <w:rsid w:val="18D418FC"/>
    <w:rsid w:val="18ED3A0A"/>
    <w:rsid w:val="18ED61D1"/>
    <w:rsid w:val="18FC7745"/>
    <w:rsid w:val="19027053"/>
    <w:rsid w:val="191677A6"/>
    <w:rsid w:val="193463F1"/>
    <w:rsid w:val="19353F17"/>
    <w:rsid w:val="195C32FB"/>
    <w:rsid w:val="19836A30"/>
    <w:rsid w:val="1986223D"/>
    <w:rsid w:val="198A6011"/>
    <w:rsid w:val="19A172EF"/>
    <w:rsid w:val="19BE7CA0"/>
    <w:rsid w:val="19DD0D1A"/>
    <w:rsid w:val="19DD405E"/>
    <w:rsid w:val="19EA6A40"/>
    <w:rsid w:val="1A2922F6"/>
    <w:rsid w:val="1A460CF5"/>
    <w:rsid w:val="1A7550B9"/>
    <w:rsid w:val="1A7A6BB4"/>
    <w:rsid w:val="1A7F297D"/>
    <w:rsid w:val="1A9B268C"/>
    <w:rsid w:val="1A9D6244"/>
    <w:rsid w:val="1AA722C3"/>
    <w:rsid w:val="1AAF6004"/>
    <w:rsid w:val="1AB16AC1"/>
    <w:rsid w:val="1ABF1CEA"/>
    <w:rsid w:val="1AC004CA"/>
    <w:rsid w:val="1AE12417"/>
    <w:rsid w:val="1AF72677"/>
    <w:rsid w:val="1AF916A0"/>
    <w:rsid w:val="1B014DDE"/>
    <w:rsid w:val="1B0320FB"/>
    <w:rsid w:val="1B034A52"/>
    <w:rsid w:val="1B037D10"/>
    <w:rsid w:val="1B096981"/>
    <w:rsid w:val="1B0B13D3"/>
    <w:rsid w:val="1B183A3C"/>
    <w:rsid w:val="1B45344E"/>
    <w:rsid w:val="1B572B6D"/>
    <w:rsid w:val="1B591D2B"/>
    <w:rsid w:val="1B5D76FB"/>
    <w:rsid w:val="1B610FF3"/>
    <w:rsid w:val="1B632FBD"/>
    <w:rsid w:val="1B683578"/>
    <w:rsid w:val="1B8C0040"/>
    <w:rsid w:val="1BBA4E52"/>
    <w:rsid w:val="1BCD10E5"/>
    <w:rsid w:val="1BD9519A"/>
    <w:rsid w:val="1BDE2F66"/>
    <w:rsid w:val="1BEF4851"/>
    <w:rsid w:val="1C167ACF"/>
    <w:rsid w:val="1C2A22B3"/>
    <w:rsid w:val="1C2A3ADB"/>
    <w:rsid w:val="1C330BE1"/>
    <w:rsid w:val="1C533032"/>
    <w:rsid w:val="1C750ECE"/>
    <w:rsid w:val="1CA56AF4"/>
    <w:rsid w:val="1CBD7923"/>
    <w:rsid w:val="1CE1575A"/>
    <w:rsid w:val="1CF03400"/>
    <w:rsid w:val="1D066E8E"/>
    <w:rsid w:val="1D196139"/>
    <w:rsid w:val="1D252147"/>
    <w:rsid w:val="1D2E2708"/>
    <w:rsid w:val="1D3B1C99"/>
    <w:rsid w:val="1D584C60"/>
    <w:rsid w:val="1D5E02D1"/>
    <w:rsid w:val="1D637276"/>
    <w:rsid w:val="1D7B74A7"/>
    <w:rsid w:val="1D7F0ED0"/>
    <w:rsid w:val="1D990F18"/>
    <w:rsid w:val="1DA31EB7"/>
    <w:rsid w:val="1DA55D97"/>
    <w:rsid w:val="1DBB6100"/>
    <w:rsid w:val="1DBE6816"/>
    <w:rsid w:val="1DC67725"/>
    <w:rsid w:val="1DCB4FF1"/>
    <w:rsid w:val="1DDC11E4"/>
    <w:rsid w:val="1DF51B31"/>
    <w:rsid w:val="1DF5452A"/>
    <w:rsid w:val="1E010AF7"/>
    <w:rsid w:val="1E0B4EF1"/>
    <w:rsid w:val="1E1C405A"/>
    <w:rsid w:val="1E2E29E0"/>
    <w:rsid w:val="1E301173"/>
    <w:rsid w:val="1E4B1508"/>
    <w:rsid w:val="1E6F1C79"/>
    <w:rsid w:val="1E884D18"/>
    <w:rsid w:val="1EA17B6F"/>
    <w:rsid w:val="1EAA6E5D"/>
    <w:rsid w:val="1EAC6A29"/>
    <w:rsid w:val="1EBB27C0"/>
    <w:rsid w:val="1EC729F7"/>
    <w:rsid w:val="1ED8781E"/>
    <w:rsid w:val="1EDD3235"/>
    <w:rsid w:val="1EE7283A"/>
    <w:rsid w:val="1EE77A61"/>
    <w:rsid w:val="1EEC1DE8"/>
    <w:rsid w:val="1F0B3813"/>
    <w:rsid w:val="1F0D4F59"/>
    <w:rsid w:val="1F1102B0"/>
    <w:rsid w:val="1F2F1047"/>
    <w:rsid w:val="1F43381C"/>
    <w:rsid w:val="1F4477FA"/>
    <w:rsid w:val="1F4508D2"/>
    <w:rsid w:val="1F502D2F"/>
    <w:rsid w:val="1F66307C"/>
    <w:rsid w:val="1F752F47"/>
    <w:rsid w:val="1F7D6A3D"/>
    <w:rsid w:val="1F8359DC"/>
    <w:rsid w:val="1F8A4FBC"/>
    <w:rsid w:val="1F982CB8"/>
    <w:rsid w:val="1F9B4D2F"/>
    <w:rsid w:val="1FA4148D"/>
    <w:rsid w:val="1FAD0CAB"/>
    <w:rsid w:val="1FC10FAB"/>
    <w:rsid w:val="1FC65577"/>
    <w:rsid w:val="1FD82385"/>
    <w:rsid w:val="1FE126E5"/>
    <w:rsid w:val="1FE65F6B"/>
    <w:rsid w:val="20121621"/>
    <w:rsid w:val="20137213"/>
    <w:rsid w:val="201636E2"/>
    <w:rsid w:val="20247B33"/>
    <w:rsid w:val="202E3F6D"/>
    <w:rsid w:val="2032134B"/>
    <w:rsid w:val="20322F5E"/>
    <w:rsid w:val="20325F7E"/>
    <w:rsid w:val="20437A56"/>
    <w:rsid w:val="204778E7"/>
    <w:rsid w:val="204E554F"/>
    <w:rsid w:val="20546774"/>
    <w:rsid w:val="20590035"/>
    <w:rsid w:val="206C6470"/>
    <w:rsid w:val="207B4905"/>
    <w:rsid w:val="2080575F"/>
    <w:rsid w:val="20851B47"/>
    <w:rsid w:val="209A2C3D"/>
    <w:rsid w:val="20D364EF"/>
    <w:rsid w:val="20E5011E"/>
    <w:rsid w:val="20FC799E"/>
    <w:rsid w:val="210E39CB"/>
    <w:rsid w:val="21286DA7"/>
    <w:rsid w:val="212C5BFF"/>
    <w:rsid w:val="2134683B"/>
    <w:rsid w:val="213A656E"/>
    <w:rsid w:val="213B5E42"/>
    <w:rsid w:val="2144119B"/>
    <w:rsid w:val="21623BED"/>
    <w:rsid w:val="21627873"/>
    <w:rsid w:val="21677220"/>
    <w:rsid w:val="218926BE"/>
    <w:rsid w:val="21C82E72"/>
    <w:rsid w:val="21DC405A"/>
    <w:rsid w:val="21DE0801"/>
    <w:rsid w:val="21DE339D"/>
    <w:rsid w:val="21DF2C72"/>
    <w:rsid w:val="21E36C06"/>
    <w:rsid w:val="21EB5ABA"/>
    <w:rsid w:val="220A3DF1"/>
    <w:rsid w:val="22154DDD"/>
    <w:rsid w:val="221B014E"/>
    <w:rsid w:val="221D4DB5"/>
    <w:rsid w:val="22327245"/>
    <w:rsid w:val="22336873"/>
    <w:rsid w:val="22396826"/>
    <w:rsid w:val="223A7D4B"/>
    <w:rsid w:val="22431452"/>
    <w:rsid w:val="22462468"/>
    <w:rsid w:val="224921E4"/>
    <w:rsid w:val="225471A3"/>
    <w:rsid w:val="225E34DC"/>
    <w:rsid w:val="22730765"/>
    <w:rsid w:val="227D1295"/>
    <w:rsid w:val="228E7F28"/>
    <w:rsid w:val="229B678A"/>
    <w:rsid w:val="22AB3B7D"/>
    <w:rsid w:val="22AF3A08"/>
    <w:rsid w:val="22CE51C0"/>
    <w:rsid w:val="22E322C8"/>
    <w:rsid w:val="22F92F75"/>
    <w:rsid w:val="23164DB9"/>
    <w:rsid w:val="232807AB"/>
    <w:rsid w:val="23405992"/>
    <w:rsid w:val="2342795C"/>
    <w:rsid w:val="235E49EB"/>
    <w:rsid w:val="235E52C5"/>
    <w:rsid w:val="236C1630"/>
    <w:rsid w:val="23775858"/>
    <w:rsid w:val="239634D6"/>
    <w:rsid w:val="239E037C"/>
    <w:rsid w:val="23A07421"/>
    <w:rsid w:val="23B65725"/>
    <w:rsid w:val="23BB4E7D"/>
    <w:rsid w:val="23C16AD3"/>
    <w:rsid w:val="23C172D6"/>
    <w:rsid w:val="23CB1286"/>
    <w:rsid w:val="23D67639"/>
    <w:rsid w:val="23D77537"/>
    <w:rsid w:val="23E6195D"/>
    <w:rsid w:val="23F04F64"/>
    <w:rsid w:val="23F46EA8"/>
    <w:rsid w:val="23FF584D"/>
    <w:rsid w:val="241906BD"/>
    <w:rsid w:val="24257892"/>
    <w:rsid w:val="242654AA"/>
    <w:rsid w:val="24374058"/>
    <w:rsid w:val="244119C2"/>
    <w:rsid w:val="24804C77"/>
    <w:rsid w:val="24814CBE"/>
    <w:rsid w:val="248D2C22"/>
    <w:rsid w:val="248D4C07"/>
    <w:rsid w:val="24A14F2B"/>
    <w:rsid w:val="24A41561"/>
    <w:rsid w:val="24AC168B"/>
    <w:rsid w:val="24BB6664"/>
    <w:rsid w:val="24D34D10"/>
    <w:rsid w:val="24DB3BC4"/>
    <w:rsid w:val="24EA42FA"/>
    <w:rsid w:val="24EC64CB"/>
    <w:rsid w:val="250E1318"/>
    <w:rsid w:val="25103738"/>
    <w:rsid w:val="25104604"/>
    <w:rsid w:val="251B6BFD"/>
    <w:rsid w:val="251B7FA6"/>
    <w:rsid w:val="25227FFF"/>
    <w:rsid w:val="253F46D8"/>
    <w:rsid w:val="254D0389"/>
    <w:rsid w:val="25553A68"/>
    <w:rsid w:val="25591EAC"/>
    <w:rsid w:val="255A49A8"/>
    <w:rsid w:val="25605B1F"/>
    <w:rsid w:val="25695674"/>
    <w:rsid w:val="256A7B23"/>
    <w:rsid w:val="256C2A6E"/>
    <w:rsid w:val="25724B1D"/>
    <w:rsid w:val="25884C5D"/>
    <w:rsid w:val="258C3BEC"/>
    <w:rsid w:val="25A03144"/>
    <w:rsid w:val="25B2479F"/>
    <w:rsid w:val="25C15C5D"/>
    <w:rsid w:val="25C20FB7"/>
    <w:rsid w:val="25CC175F"/>
    <w:rsid w:val="25D329B9"/>
    <w:rsid w:val="25E5427A"/>
    <w:rsid w:val="25FF1C2C"/>
    <w:rsid w:val="260B03FF"/>
    <w:rsid w:val="261849A4"/>
    <w:rsid w:val="26276A31"/>
    <w:rsid w:val="26287B6E"/>
    <w:rsid w:val="26366F9D"/>
    <w:rsid w:val="263B0742"/>
    <w:rsid w:val="263B1230"/>
    <w:rsid w:val="2642752B"/>
    <w:rsid w:val="26485508"/>
    <w:rsid w:val="264F0603"/>
    <w:rsid w:val="26554808"/>
    <w:rsid w:val="265C6F87"/>
    <w:rsid w:val="265E685B"/>
    <w:rsid w:val="26607D95"/>
    <w:rsid w:val="266A16A4"/>
    <w:rsid w:val="26700955"/>
    <w:rsid w:val="2674525D"/>
    <w:rsid w:val="267C6B2D"/>
    <w:rsid w:val="26864004"/>
    <w:rsid w:val="268F2EB8"/>
    <w:rsid w:val="26A16AE9"/>
    <w:rsid w:val="26A605D9"/>
    <w:rsid w:val="26AA5F44"/>
    <w:rsid w:val="26AD0500"/>
    <w:rsid w:val="26B121A3"/>
    <w:rsid w:val="26B859A7"/>
    <w:rsid w:val="26E464C3"/>
    <w:rsid w:val="26E92E35"/>
    <w:rsid w:val="26F64CE5"/>
    <w:rsid w:val="26FE1DEC"/>
    <w:rsid w:val="27003DB6"/>
    <w:rsid w:val="2702368A"/>
    <w:rsid w:val="27076787"/>
    <w:rsid w:val="270A0791"/>
    <w:rsid w:val="270C62B7"/>
    <w:rsid w:val="271D29E1"/>
    <w:rsid w:val="272E3097"/>
    <w:rsid w:val="272E6F74"/>
    <w:rsid w:val="27384AB7"/>
    <w:rsid w:val="2739172B"/>
    <w:rsid w:val="273B7A3B"/>
    <w:rsid w:val="27473789"/>
    <w:rsid w:val="274C14E4"/>
    <w:rsid w:val="27532679"/>
    <w:rsid w:val="27541040"/>
    <w:rsid w:val="275B61A7"/>
    <w:rsid w:val="27616FE8"/>
    <w:rsid w:val="276D655D"/>
    <w:rsid w:val="277E6655"/>
    <w:rsid w:val="2780046C"/>
    <w:rsid w:val="27933DEA"/>
    <w:rsid w:val="27A232CA"/>
    <w:rsid w:val="27B36A67"/>
    <w:rsid w:val="27B61DAC"/>
    <w:rsid w:val="27BE5E11"/>
    <w:rsid w:val="27BF5A1F"/>
    <w:rsid w:val="27C2106B"/>
    <w:rsid w:val="27D9633F"/>
    <w:rsid w:val="27EA4896"/>
    <w:rsid w:val="27F531EF"/>
    <w:rsid w:val="280B2E27"/>
    <w:rsid w:val="281E404F"/>
    <w:rsid w:val="28302479"/>
    <w:rsid w:val="28310B13"/>
    <w:rsid w:val="28416434"/>
    <w:rsid w:val="2846581F"/>
    <w:rsid w:val="284A5CA4"/>
    <w:rsid w:val="28606947"/>
    <w:rsid w:val="28620159"/>
    <w:rsid w:val="286550ED"/>
    <w:rsid w:val="286602C8"/>
    <w:rsid w:val="28665C95"/>
    <w:rsid w:val="28736F5F"/>
    <w:rsid w:val="28B01D1E"/>
    <w:rsid w:val="28C2628C"/>
    <w:rsid w:val="28C83589"/>
    <w:rsid w:val="28CC3373"/>
    <w:rsid w:val="28E219C5"/>
    <w:rsid w:val="28E60D8A"/>
    <w:rsid w:val="28F2772E"/>
    <w:rsid w:val="28F47F99"/>
    <w:rsid w:val="28F579BA"/>
    <w:rsid w:val="28FB4835"/>
    <w:rsid w:val="290B3EB9"/>
    <w:rsid w:val="291A2EC8"/>
    <w:rsid w:val="29257B04"/>
    <w:rsid w:val="292728C1"/>
    <w:rsid w:val="292827E1"/>
    <w:rsid w:val="294B32C2"/>
    <w:rsid w:val="294E392A"/>
    <w:rsid w:val="2950768C"/>
    <w:rsid w:val="29572B26"/>
    <w:rsid w:val="2963369C"/>
    <w:rsid w:val="297A5FC4"/>
    <w:rsid w:val="297C4EA8"/>
    <w:rsid w:val="29916F47"/>
    <w:rsid w:val="299B33A7"/>
    <w:rsid w:val="29B51252"/>
    <w:rsid w:val="29BB3FC4"/>
    <w:rsid w:val="29C410CB"/>
    <w:rsid w:val="29E14657"/>
    <w:rsid w:val="29E26D56"/>
    <w:rsid w:val="29E474B8"/>
    <w:rsid w:val="29ED574B"/>
    <w:rsid w:val="29F64FFC"/>
    <w:rsid w:val="29FA2D3E"/>
    <w:rsid w:val="29FE5CE6"/>
    <w:rsid w:val="2A115FC5"/>
    <w:rsid w:val="2A1C2CB5"/>
    <w:rsid w:val="2A1C2D11"/>
    <w:rsid w:val="2A225DF1"/>
    <w:rsid w:val="2A2B114A"/>
    <w:rsid w:val="2A314286"/>
    <w:rsid w:val="2A3B7451"/>
    <w:rsid w:val="2A4C1BD0"/>
    <w:rsid w:val="2A4F1B5B"/>
    <w:rsid w:val="2A743AE8"/>
    <w:rsid w:val="2A8D4F8F"/>
    <w:rsid w:val="2A917B34"/>
    <w:rsid w:val="2A9308A8"/>
    <w:rsid w:val="2A9F5AB8"/>
    <w:rsid w:val="2AA50EF4"/>
    <w:rsid w:val="2AB04FE8"/>
    <w:rsid w:val="2AB10C99"/>
    <w:rsid w:val="2AC13AEE"/>
    <w:rsid w:val="2AC86999"/>
    <w:rsid w:val="2AD4533E"/>
    <w:rsid w:val="2AD74E8C"/>
    <w:rsid w:val="2ADE440E"/>
    <w:rsid w:val="2AE3766F"/>
    <w:rsid w:val="2AE65071"/>
    <w:rsid w:val="2AEC612E"/>
    <w:rsid w:val="2B0025D7"/>
    <w:rsid w:val="2B0268A7"/>
    <w:rsid w:val="2B060F9E"/>
    <w:rsid w:val="2B0D0850"/>
    <w:rsid w:val="2B0D4CF3"/>
    <w:rsid w:val="2B0E56AB"/>
    <w:rsid w:val="2B1E480B"/>
    <w:rsid w:val="2B51141C"/>
    <w:rsid w:val="2B590601"/>
    <w:rsid w:val="2B710DB7"/>
    <w:rsid w:val="2B7408CF"/>
    <w:rsid w:val="2B7E4054"/>
    <w:rsid w:val="2B8D2D0F"/>
    <w:rsid w:val="2B8E1990"/>
    <w:rsid w:val="2BB46F1D"/>
    <w:rsid w:val="2BBA6A76"/>
    <w:rsid w:val="2BCC03D1"/>
    <w:rsid w:val="2BD31A99"/>
    <w:rsid w:val="2BDF1FBA"/>
    <w:rsid w:val="2BE15FA2"/>
    <w:rsid w:val="2BEA0B91"/>
    <w:rsid w:val="2BEE55D3"/>
    <w:rsid w:val="2BFA7026"/>
    <w:rsid w:val="2BFB0AA2"/>
    <w:rsid w:val="2C077995"/>
    <w:rsid w:val="2C092ACA"/>
    <w:rsid w:val="2C0C6D59"/>
    <w:rsid w:val="2C1761F0"/>
    <w:rsid w:val="2C2220D9"/>
    <w:rsid w:val="2C2422F5"/>
    <w:rsid w:val="2C3725E9"/>
    <w:rsid w:val="2C5B0D4B"/>
    <w:rsid w:val="2C8903AA"/>
    <w:rsid w:val="2C987C56"/>
    <w:rsid w:val="2CA156F3"/>
    <w:rsid w:val="2CB722B0"/>
    <w:rsid w:val="2CC11460"/>
    <w:rsid w:val="2CC15BAA"/>
    <w:rsid w:val="2CC72A61"/>
    <w:rsid w:val="2CDC3153"/>
    <w:rsid w:val="2CDF621C"/>
    <w:rsid w:val="2CE136D7"/>
    <w:rsid w:val="2CFE7A11"/>
    <w:rsid w:val="2CFF149A"/>
    <w:rsid w:val="2D0624DF"/>
    <w:rsid w:val="2D201865"/>
    <w:rsid w:val="2D2B1461"/>
    <w:rsid w:val="2D2B6EDE"/>
    <w:rsid w:val="2D3A4A6D"/>
    <w:rsid w:val="2D40315E"/>
    <w:rsid w:val="2D437777"/>
    <w:rsid w:val="2D4B5CEA"/>
    <w:rsid w:val="2D4C5B4C"/>
    <w:rsid w:val="2D542188"/>
    <w:rsid w:val="2D652658"/>
    <w:rsid w:val="2D8868B3"/>
    <w:rsid w:val="2D8A262B"/>
    <w:rsid w:val="2D8E5371"/>
    <w:rsid w:val="2D924DF4"/>
    <w:rsid w:val="2D964A56"/>
    <w:rsid w:val="2DB37703"/>
    <w:rsid w:val="2DBD1B38"/>
    <w:rsid w:val="2DC16E0A"/>
    <w:rsid w:val="2DC80C49"/>
    <w:rsid w:val="2DCA6355"/>
    <w:rsid w:val="2DDE5766"/>
    <w:rsid w:val="2DDE6BE5"/>
    <w:rsid w:val="2DE9306E"/>
    <w:rsid w:val="2E030E17"/>
    <w:rsid w:val="2E166748"/>
    <w:rsid w:val="2E2054A0"/>
    <w:rsid w:val="2E482374"/>
    <w:rsid w:val="2E491580"/>
    <w:rsid w:val="2E556F01"/>
    <w:rsid w:val="2E7F543C"/>
    <w:rsid w:val="2E8345A7"/>
    <w:rsid w:val="2E8E20B4"/>
    <w:rsid w:val="2EAA7BAE"/>
    <w:rsid w:val="2EC1207D"/>
    <w:rsid w:val="2ED06066"/>
    <w:rsid w:val="2ED1223D"/>
    <w:rsid w:val="2EDC0ABD"/>
    <w:rsid w:val="2F000139"/>
    <w:rsid w:val="2F076DEC"/>
    <w:rsid w:val="2F1B303D"/>
    <w:rsid w:val="2F3E36CD"/>
    <w:rsid w:val="2F3F11F4"/>
    <w:rsid w:val="2F4862FA"/>
    <w:rsid w:val="2F4F58DB"/>
    <w:rsid w:val="2F522CD5"/>
    <w:rsid w:val="2F5E0754"/>
    <w:rsid w:val="2F9F42DC"/>
    <w:rsid w:val="2FB943D9"/>
    <w:rsid w:val="2FBB4121"/>
    <w:rsid w:val="2FBC2844"/>
    <w:rsid w:val="2FBE3786"/>
    <w:rsid w:val="2FC32F68"/>
    <w:rsid w:val="2FD6418B"/>
    <w:rsid w:val="2FDF1D56"/>
    <w:rsid w:val="2FF37AB3"/>
    <w:rsid w:val="2FF862FB"/>
    <w:rsid w:val="30102F3F"/>
    <w:rsid w:val="301D1535"/>
    <w:rsid w:val="30210B8A"/>
    <w:rsid w:val="30224DC7"/>
    <w:rsid w:val="30367D54"/>
    <w:rsid w:val="303B4C3F"/>
    <w:rsid w:val="305C34E6"/>
    <w:rsid w:val="3073310C"/>
    <w:rsid w:val="30832BEA"/>
    <w:rsid w:val="30980BBB"/>
    <w:rsid w:val="309D6BE6"/>
    <w:rsid w:val="30AA1790"/>
    <w:rsid w:val="30AE7F75"/>
    <w:rsid w:val="30BA3403"/>
    <w:rsid w:val="30D22D7C"/>
    <w:rsid w:val="30DF67EA"/>
    <w:rsid w:val="30E6401D"/>
    <w:rsid w:val="30EE385E"/>
    <w:rsid w:val="30F85AFE"/>
    <w:rsid w:val="31031402"/>
    <w:rsid w:val="31170995"/>
    <w:rsid w:val="31221ED3"/>
    <w:rsid w:val="31264A30"/>
    <w:rsid w:val="312651F8"/>
    <w:rsid w:val="314066A0"/>
    <w:rsid w:val="314174A5"/>
    <w:rsid w:val="31572824"/>
    <w:rsid w:val="31862EE3"/>
    <w:rsid w:val="31884E67"/>
    <w:rsid w:val="318E0F57"/>
    <w:rsid w:val="318E3C8A"/>
    <w:rsid w:val="31A0275E"/>
    <w:rsid w:val="31A67308"/>
    <w:rsid w:val="31AA504A"/>
    <w:rsid w:val="31AF440F"/>
    <w:rsid w:val="31B91526"/>
    <w:rsid w:val="31BA7402"/>
    <w:rsid w:val="31D12C3D"/>
    <w:rsid w:val="31EF0041"/>
    <w:rsid w:val="320107F5"/>
    <w:rsid w:val="32036508"/>
    <w:rsid w:val="321D4E26"/>
    <w:rsid w:val="32344CDC"/>
    <w:rsid w:val="324175CB"/>
    <w:rsid w:val="324E00CB"/>
    <w:rsid w:val="32560D23"/>
    <w:rsid w:val="325D20BC"/>
    <w:rsid w:val="326A0524"/>
    <w:rsid w:val="327B5604"/>
    <w:rsid w:val="327B7EDF"/>
    <w:rsid w:val="3287538B"/>
    <w:rsid w:val="3296737C"/>
    <w:rsid w:val="32AB70C5"/>
    <w:rsid w:val="32BA306B"/>
    <w:rsid w:val="32E7188E"/>
    <w:rsid w:val="32EF2122"/>
    <w:rsid w:val="32F17F41"/>
    <w:rsid w:val="330B6B63"/>
    <w:rsid w:val="332038B4"/>
    <w:rsid w:val="33240E2C"/>
    <w:rsid w:val="33247607"/>
    <w:rsid w:val="333014B0"/>
    <w:rsid w:val="33427CD9"/>
    <w:rsid w:val="335345FF"/>
    <w:rsid w:val="335D0AF5"/>
    <w:rsid w:val="33615BDC"/>
    <w:rsid w:val="336570B8"/>
    <w:rsid w:val="336917EF"/>
    <w:rsid w:val="336B2EA4"/>
    <w:rsid w:val="336B3E67"/>
    <w:rsid w:val="3370088C"/>
    <w:rsid w:val="3381002D"/>
    <w:rsid w:val="33813D19"/>
    <w:rsid w:val="33872039"/>
    <w:rsid w:val="339A687B"/>
    <w:rsid w:val="33A1422B"/>
    <w:rsid w:val="33D25689"/>
    <w:rsid w:val="33DC2F78"/>
    <w:rsid w:val="34103DF6"/>
    <w:rsid w:val="34192013"/>
    <w:rsid w:val="3428227C"/>
    <w:rsid w:val="343230D5"/>
    <w:rsid w:val="3439428E"/>
    <w:rsid w:val="344E1E46"/>
    <w:rsid w:val="34571EF7"/>
    <w:rsid w:val="34686BBF"/>
    <w:rsid w:val="34741700"/>
    <w:rsid w:val="347918A5"/>
    <w:rsid w:val="347E456C"/>
    <w:rsid w:val="34802E4C"/>
    <w:rsid w:val="34886849"/>
    <w:rsid w:val="349D37D5"/>
    <w:rsid w:val="34A61BDE"/>
    <w:rsid w:val="34AF2977"/>
    <w:rsid w:val="34B561E0"/>
    <w:rsid w:val="34BB7B5F"/>
    <w:rsid w:val="34C401D1"/>
    <w:rsid w:val="34FD36E3"/>
    <w:rsid w:val="3522586C"/>
    <w:rsid w:val="353B474A"/>
    <w:rsid w:val="355303D6"/>
    <w:rsid w:val="35572473"/>
    <w:rsid w:val="35602226"/>
    <w:rsid w:val="35645FFF"/>
    <w:rsid w:val="356B72E7"/>
    <w:rsid w:val="356D2AC8"/>
    <w:rsid w:val="3572424F"/>
    <w:rsid w:val="35734CF3"/>
    <w:rsid w:val="358526BA"/>
    <w:rsid w:val="35854DED"/>
    <w:rsid w:val="35866014"/>
    <w:rsid w:val="35951A7C"/>
    <w:rsid w:val="359E5CE0"/>
    <w:rsid w:val="35AB75E3"/>
    <w:rsid w:val="35D24B6F"/>
    <w:rsid w:val="35D275C3"/>
    <w:rsid w:val="35E50FBB"/>
    <w:rsid w:val="35ED7BFB"/>
    <w:rsid w:val="35FF0568"/>
    <w:rsid w:val="362A0508"/>
    <w:rsid w:val="362A3BF1"/>
    <w:rsid w:val="362B215D"/>
    <w:rsid w:val="36413AA3"/>
    <w:rsid w:val="366666CA"/>
    <w:rsid w:val="36684088"/>
    <w:rsid w:val="367055CB"/>
    <w:rsid w:val="367070F4"/>
    <w:rsid w:val="367801A9"/>
    <w:rsid w:val="36807FCC"/>
    <w:rsid w:val="3684717A"/>
    <w:rsid w:val="36921BCD"/>
    <w:rsid w:val="36AD519D"/>
    <w:rsid w:val="36B57705"/>
    <w:rsid w:val="36B93E53"/>
    <w:rsid w:val="36DA1F2E"/>
    <w:rsid w:val="36DC1DD3"/>
    <w:rsid w:val="36F34D9D"/>
    <w:rsid w:val="36F3711D"/>
    <w:rsid w:val="36FC25DD"/>
    <w:rsid w:val="36FC3865"/>
    <w:rsid w:val="37090CD6"/>
    <w:rsid w:val="37122320"/>
    <w:rsid w:val="373249C5"/>
    <w:rsid w:val="374928BE"/>
    <w:rsid w:val="3754697A"/>
    <w:rsid w:val="37636A21"/>
    <w:rsid w:val="376712E7"/>
    <w:rsid w:val="3768096A"/>
    <w:rsid w:val="37742F8A"/>
    <w:rsid w:val="377C03A4"/>
    <w:rsid w:val="37A103ED"/>
    <w:rsid w:val="37A367C3"/>
    <w:rsid w:val="37B7401D"/>
    <w:rsid w:val="37BD33EE"/>
    <w:rsid w:val="37BE58A2"/>
    <w:rsid w:val="37C5022A"/>
    <w:rsid w:val="37CD1A92"/>
    <w:rsid w:val="37DB68CB"/>
    <w:rsid w:val="37E02B23"/>
    <w:rsid w:val="37E345A6"/>
    <w:rsid w:val="37EA5E6E"/>
    <w:rsid w:val="37EC6A58"/>
    <w:rsid w:val="37EC7A62"/>
    <w:rsid w:val="37FB2268"/>
    <w:rsid w:val="37FF016F"/>
    <w:rsid w:val="37FF7772"/>
    <w:rsid w:val="38172D0E"/>
    <w:rsid w:val="382A6E2D"/>
    <w:rsid w:val="38415FDC"/>
    <w:rsid w:val="38507FCD"/>
    <w:rsid w:val="38600F6C"/>
    <w:rsid w:val="386E4145"/>
    <w:rsid w:val="38703BC9"/>
    <w:rsid w:val="387C5ABE"/>
    <w:rsid w:val="38883C0B"/>
    <w:rsid w:val="38B60778"/>
    <w:rsid w:val="38B66D0C"/>
    <w:rsid w:val="38BA148C"/>
    <w:rsid w:val="38D41643"/>
    <w:rsid w:val="38EA2AE8"/>
    <w:rsid w:val="38EB6119"/>
    <w:rsid w:val="38FE45FA"/>
    <w:rsid w:val="39044996"/>
    <w:rsid w:val="391E02A2"/>
    <w:rsid w:val="39243934"/>
    <w:rsid w:val="392C6D9B"/>
    <w:rsid w:val="393B020C"/>
    <w:rsid w:val="39506E15"/>
    <w:rsid w:val="395B12C8"/>
    <w:rsid w:val="39624CA1"/>
    <w:rsid w:val="396678D9"/>
    <w:rsid w:val="39790BE6"/>
    <w:rsid w:val="397A0ADB"/>
    <w:rsid w:val="397B107A"/>
    <w:rsid w:val="3981130E"/>
    <w:rsid w:val="39844799"/>
    <w:rsid w:val="39954B2B"/>
    <w:rsid w:val="39B52A0B"/>
    <w:rsid w:val="39DA2245"/>
    <w:rsid w:val="39DB32C9"/>
    <w:rsid w:val="39E66E3B"/>
    <w:rsid w:val="39F72DF7"/>
    <w:rsid w:val="39FD4CC2"/>
    <w:rsid w:val="3A05156A"/>
    <w:rsid w:val="3A296F45"/>
    <w:rsid w:val="3A433BC0"/>
    <w:rsid w:val="3A51228C"/>
    <w:rsid w:val="3A545E48"/>
    <w:rsid w:val="3A552E60"/>
    <w:rsid w:val="3A5D642F"/>
    <w:rsid w:val="3A744447"/>
    <w:rsid w:val="3A78219D"/>
    <w:rsid w:val="3A995C5C"/>
    <w:rsid w:val="3AB210FC"/>
    <w:rsid w:val="3ACA4067"/>
    <w:rsid w:val="3AD4275C"/>
    <w:rsid w:val="3ADB7381"/>
    <w:rsid w:val="3AF04A37"/>
    <w:rsid w:val="3B043A1D"/>
    <w:rsid w:val="3B1E01C3"/>
    <w:rsid w:val="3B362E8C"/>
    <w:rsid w:val="3B3E5B8A"/>
    <w:rsid w:val="3B3F30F8"/>
    <w:rsid w:val="3B581E77"/>
    <w:rsid w:val="3B664D91"/>
    <w:rsid w:val="3B793A48"/>
    <w:rsid w:val="3B7E3699"/>
    <w:rsid w:val="3B85393E"/>
    <w:rsid w:val="3BA66882"/>
    <w:rsid w:val="3BB371F1"/>
    <w:rsid w:val="3BCA4B8A"/>
    <w:rsid w:val="3BCD72F7"/>
    <w:rsid w:val="3BFC2F5F"/>
    <w:rsid w:val="3C0B5F6F"/>
    <w:rsid w:val="3C232710"/>
    <w:rsid w:val="3C2D0D52"/>
    <w:rsid w:val="3C355C54"/>
    <w:rsid w:val="3C37146A"/>
    <w:rsid w:val="3C3D3625"/>
    <w:rsid w:val="3C3E2F5F"/>
    <w:rsid w:val="3C414142"/>
    <w:rsid w:val="3C430575"/>
    <w:rsid w:val="3C552056"/>
    <w:rsid w:val="3C5B725E"/>
    <w:rsid w:val="3C5E5292"/>
    <w:rsid w:val="3C6D180D"/>
    <w:rsid w:val="3C84047F"/>
    <w:rsid w:val="3C88055A"/>
    <w:rsid w:val="3C8D366E"/>
    <w:rsid w:val="3C9E57AB"/>
    <w:rsid w:val="3CA20B6B"/>
    <w:rsid w:val="3CAF79B9"/>
    <w:rsid w:val="3CB35097"/>
    <w:rsid w:val="3CC20B6A"/>
    <w:rsid w:val="3CC64822"/>
    <w:rsid w:val="3CDC67A4"/>
    <w:rsid w:val="3CF5701D"/>
    <w:rsid w:val="3CF737A2"/>
    <w:rsid w:val="3CF81BEF"/>
    <w:rsid w:val="3D10295A"/>
    <w:rsid w:val="3D121CF5"/>
    <w:rsid w:val="3D184041"/>
    <w:rsid w:val="3D327BD2"/>
    <w:rsid w:val="3D370C2A"/>
    <w:rsid w:val="3D414FC0"/>
    <w:rsid w:val="3D4F12A7"/>
    <w:rsid w:val="3D5D5FB0"/>
    <w:rsid w:val="3D762284"/>
    <w:rsid w:val="3D790934"/>
    <w:rsid w:val="3D7B5F78"/>
    <w:rsid w:val="3D7D049C"/>
    <w:rsid w:val="3D8449A1"/>
    <w:rsid w:val="3D960B78"/>
    <w:rsid w:val="3DD716B3"/>
    <w:rsid w:val="3DE063BD"/>
    <w:rsid w:val="3DE20EAE"/>
    <w:rsid w:val="3DEF3701"/>
    <w:rsid w:val="3E0572FD"/>
    <w:rsid w:val="3E0720FE"/>
    <w:rsid w:val="3E2819F6"/>
    <w:rsid w:val="3E287A22"/>
    <w:rsid w:val="3E394309"/>
    <w:rsid w:val="3E5A7FE7"/>
    <w:rsid w:val="3E5C7D7C"/>
    <w:rsid w:val="3E717F65"/>
    <w:rsid w:val="3E7D40EF"/>
    <w:rsid w:val="3E955A6A"/>
    <w:rsid w:val="3E964D81"/>
    <w:rsid w:val="3EA03A5D"/>
    <w:rsid w:val="3EA04533"/>
    <w:rsid w:val="3EA11583"/>
    <w:rsid w:val="3EA55DCA"/>
    <w:rsid w:val="3EB4647A"/>
    <w:rsid w:val="3ED656D0"/>
    <w:rsid w:val="3ED907E0"/>
    <w:rsid w:val="3EE17BD1"/>
    <w:rsid w:val="3EE51414"/>
    <w:rsid w:val="3EE70D49"/>
    <w:rsid w:val="3EED24A3"/>
    <w:rsid w:val="3EF66B2E"/>
    <w:rsid w:val="3F081602"/>
    <w:rsid w:val="3F1E438E"/>
    <w:rsid w:val="3F217914"/>
    <w:rsid w:val="3F3643C1"/>
    <w:rsid w:val="3F744EE9"/>
    <w:rsid w:val="3F7E7E5C"/>
    <w:rsid w:val="3F892743"/>
    <w:rsid w:val="3F8A1C6E"/>
    <w:rsid w:val="3FAF7CCF"/>
    <w:rsid w:val="3FD10810"/>
    <w:rsid w:val="3FD62C9D"/>
    <w:rsid w:val="3FD70BB0"/>
    <w:rsid w:val="3FDC4B75"/>
    <w:rsid w:val="3FDF5517"/>
    <w:rsid w:val="3FE45BCB"/>
    <w:rsid w:val="3FF44E1E"/>
    <w:rsid w:val="3FF57BFE"/>
    <w:rsid w:val="3FF77E17"/>
    <w:rsid w:val="3FFB2F15"/>
    <w:rsid w:val="3FFB55AC"/>
    <w:rsid w:val="40017152"/>
    <w:rsid w:val="40162BAB"/>
    <w:rsid w:val="401C5F9D"/>
    <w:rsid w:val="401C690C"/>
    <w:rsid w:val="401D7195"/>
    <w:rsid w:val="40486923"/>
    <w:rsid w:val="405C1C05"/>
    <w:rsid w:val="40645645"/>
    <w:rsid w:val="407A652F"/>
    <w:rsid w:val="40825D97"/>
    <w:rsid w:val="40836C36"/>
    <w:rsid w:val="40870EA3"/>
    <w:rsid w:val="408966EF"/>
    <w:rsid w:val="409928E7"/>
    <w:rsid w:val="40997CFE"/>
    <w:rsid w:val="409A23D5"/>
    <w:rsid w:val="409A37F5"/>
    <w:rsid w:val="40C34607"/>
    <w:rsid w:val="40CE3DC0"/>
    <w:rsid w:val="40D7455A"/>
    <w:rsid w:val="40E743E5"/>
    <w:rsid w:val="40EB4012"/>
    <w:rsid w:val="41055DF9"/>
    <w:rsid w:val="41075C9E"/>
    <w:rsid w:val="410A1661"/>
    <w:rsid w:val="410C6BD1"/>
    <w:rsid w:val="410F2828"/>
    <w:rsid w:val="41270465"/>
    <w:rsid w:val="412C0B88"/>
    <w:rsid w:val="412D5EA0"/>
    <w:rsid w:val="414C2FD9"/>
    <w:rsid w:val="415A62F5"/>
    <w:rsid w:val="416D78C7"/>
    <w:rsid w:val="41734CBA"/>
    <w:rsid w:val="417F4E1A"/>
    <w:rsid w:val="41853921"/>
    <w:rsid w:val="418B0C8A"/>
    <w:rsid w:val="419453CF"/>
    <w:rsid w:val="419B675D"/>
    <w:rsid w:val="41A82190"/>
    <w:rsid w:val="41DE5999"/>
    <w:rsid w:val="41E1181A"/>
    <w:rsid w:val="41E32A20"/>
    <w:rsid w:val="41F8595E"/>
    <w:rsid w:val="41FA3241"/>
    <w:rsid w:val="420F7A65"/>
    <w:rsid w:val="4216611A"/>
    <w:rsid w:val="421B789E"/>
    <w:rsid w:val="42220C2D"/>
    <w:rsid w:val="422E62A5"/>
    <w:rsid w:val="42321B6A"/>
    <w:rsid w:val="423619A3"/>
    <w:rsid w:val="423E300F"/>
    <w:rsid w:val="425656C8"/>
    <w:rsid w:val="4257273C"/>
    <w:rsid w:val="425734F9"/>
    <w:rsid w:val="42687ACE"/>
    <w:rsid w:val="4270145E"/>
    <w:rsid w:val="427F6631"/>
    <w:rsid w:val="428D7381"/>
    <w:rsid w:val="42970CF4"/>
    <w:rsid w:val="429E6041"/>
    <w:rsid w:val="42B67C1B"/>
    <w:rsid w:val="42B775C7"/>
    <w:rsid w:val="42BB3C75"/>
    <w:rsid w:val="42BF4B02"/>
    <w:rsid w:val="42EA5DF4"/>
    <w:rsid w:val="42FD694D"/>
    <w:rsid w:val="43034DFA"/>
    <w:rsid w:val="430B16C1"/>
    <w:rsid w:val="432509D4"/>
    <w:rsid w:val="43352ACB"/>
    <w:rsid w:val="434210FC"/>
    <w:rsid w:val="4346094B"/>
    <w:rsid w:val="43760EAB"/>
    <w:rsid w:val="43765742"/>
    <w:rsid w:val="437D6687"/>
    <w:rsid w:val="438351F5"/>
    <w:rsid w:val="4388293C"/>
    <w:rsid w:val="438D35EA"/>
    <w:rsid w:val="43A0005B"/>
    <w:rsid w:val="43A17B08"/>
    <w:rsid w:val="43BC1E57"/>
    <w:rsid w:val="43BC439B"/>
    <w:rsid w:val="43D23F8D"/>
    <w:rsid w:val="43D43F1D"/>
    <w:rsid w:val="43D63A7D"/>
    <w:rsid w:val="43DF421C"/>
    <w:rsid w:val="43F73771"/>
    <w:rsid w:val="43FA5777"/>
    <w:rsid w:val="44023422"/>
    <w:rsid w:val="44184A2D"/>
    <w:rsid w:val="441C1611"/>
    <w:rsid w:val="44290050"/>
    <w:rsid w:val="44292F78"/>
    <w:rsid w:val="44315157"/>
    <w:rsid w:val="443C440B"/>
    <w:rsid w:val="4450382F"/>
    <w:rsid w:val="44514F52"/>
    <w:rsid w:val="446C7220"/>
    <w:rsid w:val="446F16D3"/>
    <w:rsid w:val="447134BF"/>
    <w:rsid w:val="44761C8F"/>
    <w:rsid w:val="448C6831"/>
    <w:rsid w:val="448D3D2F"/>
    <w:rsid w:val="449722E3"/>
    <w:rsid w:val="449A2CFC"/>
    <w:rsid w:val="449D7B09"/>
    <w:rsid w:val="44AE3FD4"/>
    <w:rsid w:val="44CC0C37"/>
    <w:rsid w:val="44CD30D2"/>
    <w:rsid w:val="44D0586F"/>
    <w:rsid w:val="44E328F5"/>
    <w:rsid w:val="44E346A3"/>
    <w:rsid w:val="44FA2D53"/>
    <w:rsid w:val="4527575A"/>
    <w:rsid w:val="4528267A"/>
    <w:rsid w:val="45350C77"/>
    <w:rsid w:val="45390767"/>
    <w:rsid w:val="453942C3"/>
    <w:rsid w:val="453C4912"/>
    <w:rsid w:val="454669E0"/>
    <w:rsid w:val="454809AA"/>
    <w:rsid w:val="455B6DE2"/>
    <w:rsid w:val="45687813"/>
    <w:rsid w:val="4571374F"/>
    <w:rsid w:val="458B1BB0"/>
    <w:rsid w:val="458C33C1"/>
    <w:rsid w:val="45A41560"/>
    <w:rsid w:val="45AD31D6"/>
    <w:rsid w:val="45B93426"/>
    <w:rsid w:val="45BD3146"/>
    <w:rsid w:val="45CF1361"/>
    <w:rsid w:val="45EF7078"/>
    <w:rsid w:val="460277D9"/>
    <w:rsid w:val="461D5F02"/>
    <w:rsid w:val="462F612A"/>
    <w:rsid w:val="464C6420"/>
    <w:rsid w:val="46552F9B"/>
    <w:rsid w:val="46565349"/>
    <w:rsid w:val="466F7C95"/>
    <w:rsid w:val="467A0297"/>
    <w:rsid w:val="4682613E"/>
    <w:rsid w:val="468679DC"/>
    <w:rsid w:val="468B7125"/>
    <w:rsid w:val="469E6024"/>
    <w:rsid w:val="469F729F"/>
    <w:rsid w:val="46B506EF"/>
    <w:rsid w:val="46C4691F"/>
    <w:rsid w:val="46C525FE"/>
    <w:rsid w:val="46CB53EF"/>
    <w:rsid w:val="46EE513F"/>
    <w:rsid w:val="470F5A71"/>
    <w:rsid w:val="473154FF"/>
    <w:rsid w:val="47372A84"/>
    <w:rsid w:val="47541888"/>
    <w:rsid w:val="475B697F"/>
    <w:rsid w:val="47685427"/>
    <w:rsid w:val="47694C08"/>
    <w:rsid w:val="476C4065"/>
    <w:rsid w:val="476D294A"/>
    <w:rsid w:val="4776498D"/>
    <w:rsid w:val="4779499C"/>
    <w:rsid w:val="477B6530"/>
    <w:rsid w:val="47801172"/>
    <w:rsid w:val="4783216D"/>
    <w:rsid w:val="479D1D34"/>
    <w:rsid w:val="47B2035D"/>
    <w:rsid w:val="47B31375"/>
    <w:rsid w:val="47B609C0"/>
    <w:rsid w:val="47C0344F"/>
    <w:rsid w:val="47C9115B"/>
    <w:rsid w:val="47D1535C"/>
    <w:rsid w:val="47EC3B04"/>
    <w:rsid w:val="47EC6277"/>
    <w:rsid w:val="47F44672"/>
    <w:rsid w:val="48021483"/>
    <w:rsid w:val="481A219B"/>
    <w:rsid w:val="481E59F2"/>
    <w:rsid w:val="482254E2"/>
    <w:rsid w:val="482A25E9"/>
    <w:rsid w:val="482D31EA"/>
    <w:rsid w:val="483F7A5A"/>
    <w:rsid w:val="48403CD8"/>
    <w:rsid w:val="48447D02"/>
    <w:rsid w:val="485853A8"/>
    <w:rsid w:val="485970A0"/>
    <w:rsid w:val="485B7A9B"/>
    <w:rsid w:val="48643D4D"/>
    <w:rsid w:val="486A6E89"/>
    <w:rsid w:val="48732992"/>
    <w:rsid w:val="48823516"/>
    <w:rsid w:val="48877686"/>
    <w:rsid w:val="488B498B"/>
    <w:rsid w:val="489D2DBB"/>
    <w:rsid w:val="48AC1250"/>
    <w:rsid w:val="48B176C2"/>
    <w:rsid w:val="48B65C71"/>
    <w:rsid w:val="48D550F0"/>
    <w:rsid w:val="48E83DF3"/>
    <w:rsid w:val="48FB1909"/>
    <w:rsid w:val="491A3F69"/>
    <w:rsid w:val="491F266E"/>
    <w:rsid w:val="492C0873"/>
    <w:rsid w:val="492D0816"/>
    <w:rsid w:val="492E6A57"/>
    <w:rsid w:val="493F20C4"/>
    <w:rsid w:val="49431385"/>
    <w:rsid w:val="495839AA"/>
    <w:rsid w:val="49700A6F"/>
    <w:rsid w:val="49730298"/>
    <w:rsid w:val="49771AFE"/>
    <w:rsid w:val="497A75A0"/>
    <w:rsid w:val="49802948"/>
    <w:rsid w:val="4986089F"/>
    <w:rsid w:val="498B5309"/>
    <w:rsid w:val="49926698"/>
    <w:rsid w:val="499F0AAB"/>
    <w:rsid w:val="49BB726B"/>
    <w:rsid w:val="49C154CE"/>
    <w:rsid w:val="49C33FF5"/>
    <w:rsid w:val="49D93387"/>
    <w:rsid w:val="49DB11EC"/>
    <w:rsid w:val="49E31DD1"/>
    <w:rsid w:val="4A0030EE"/>
    <w:rsid w:val="4A0568D6"/>
    <w:rsid w:val="4A0C4F3C"/>
    <w:rsid w:val="4A162478"/>
    <w:rsid w:val="4A171EC9"/>
    <w:rsid w:val="4A1A1689"/>
    <w:rsid w:val="4A1B1B53"/>
    <w:rsid w:val="4A1D4B49"/>
    <w:rsid w:val="4A201EF6"/>
    <w:rsid w:val="4A484D41"/>
    <w:rsid w:val="4A606EBB"/>
    <w:rsid w:val="4A6D15F8"/>
    <w:rsid w:val="4A7617B6"/>
    <w:rsid w:val="4A8C4FB8"/>
    <w:rsid w:val="4A9A25BD"/>
    <w:rsid w:val="4A9E0551"/>
    <w:rsid w:val="4AB542AE"/>
    <w:rsid w:val="4AC72144"/>
    <w:rsid w:val="4AC76136"/>
    <w:rsid w:val="4AD131F0"/>
    <w:rsid w:val="4ADD7E6C"/>
    <w:rsid w:val="4AF72FEA"/>
    <w:rsid w:val="4B02784D"/>
    <w:rsid w:val="4B1477B3"/>
    <w:rsid w:val="4B1F062C"/>
    <w:rsid w:val="4B243D9D"/>
    <w:rsid w:val="4B281425"/>
    <w:rsid w:val="4B29658A"/>
    <w:rsid w:val="4B2B6DA4"/>
    <w:rsid w:val="4B6F66A1"/>
    <w:rsid w:val="4B85213F"/>
    <w:rsid w:val="4B8C2DEB"/>
    <w:rsid w:val="4B8F5DC2"/>
    <w:rsid w:val="4B966D92"/>
    <w:rsid w:val="4BA66CAE"/>
    <w:rsid w:val="4BB50DBD"/>
    <w:rsid w:val="4BD016F9"/>
    <w:rsid w:val="4BEA1743"/>
    <w:rsid w:val="4BEB584B"/>
    <w:rsid w:val="4BFA3C9F"/>
    <w:rsid w:val="4BFA7F6C"/>
    <w:rsid w:val="4BFF3E23"/>
    <w:rsid w:val="4C0E1DB5"/>
    <w:rsid w:val="4C107F48"/>
    <w:rsid w:val="4C164A70"/>
    <w:rsid w:val="4C3117D0"/>
    <w:rsid w:val="4C3277BC"/>
    <w:rsid w:val="4C3677AE"/>
    <w:rsid w:val="4C414F41"/>
    <w:rsid w:val="4C547C35"/>
    <w:rsid w:val="4C5C442D"/>
    <w:rsid w:val="4C6562E6"/>
    <w:rsid w:val="4C6D42A9"/>
    <w:rsid w:val="4C716A38"/>
    <w:rsid w:val="4CC0351C"/>
    <w:rsid w:val="4CC353EB"/>
    <w:rsid w:val="4CE64E14"/>
    <w:rsid w:val="4CE95763"/>
    <w:rsid w:val="4CE95EE5"/>
    <w:rsid w:val="4CF36F3C"/>
    <w:rsid w:val="4CF3744D"/>
    <w:rsid w:val="4D007BC8"/>
    <w:rsid w:val="4D0602E5"/>
    <w:rsid w:val="4D1470BD"/>
    <w:rsid w:val="4D154882"/>
    <w:rsid w:val="4D1C3C50"/>
    <w:rsid w:val="4D220AF6"/>
    <w:rsid w:val="4D3F38CB"/>
    <w:rsid w:val="4D4E0B28"/>
    <w:rsid w:val="4D603399"/>
    <w:rsid w:val="4D6A7284"/>
    <w:rsid w:val="4D6E30E1"/>
    <w:rsid w:val="4D867EE1"/>
    <w:rsid w:val="4D884895"/>
    <w:rsid w:val="4DAE7818"/>
    <w:rsid w:val="4DB27309"/>
    <w:rsid w:val="4DBC1F35"/>
    <w:rsid w:val="4DBC4C65"/>
    <w:rsid w:val="4DC6360B"/>
    <w:rsid w:val="4DC9105D"/>
    <w:rsid w:val="4DCB5994"/>
    <w:rsid w:val="4DDC3853"/>
    <w:rsid w:val="4DE2009B"/>
    <w:rsid w:val="4DF86974"/>
    <w:rsid w:val="4E0538DC"/>
    <w:rsid w:val="4E0F235E"/>
    <w:rsid w:val="4E157689"/>
    <w:rsid w:val="4E265601"/>
    <w:rsid w:val="4E347D1E"/>
    <w:rsid w:val="4E444316"/>
    <w:rsid w:val="4E471216"/>
    <w:rsid w:val="4E533FA5"/>
    <w:rsid w:val="4E550010"/>
    <w:rsid w:val="4E5F14CB"/>
    <w:rsid w:val="4E656CF6"/>
    <w:rsid w:val="4E6600F3"/>
    <w:rsid w:val="4E6808B0"/>
    <w:rsid w:val="4E780BC4"/>
    <w:rsid w:val="4EBA42F2"/>
    <w:rsid w:val="4EC00DDD"/>
    <w:rsid w:val="4ED908C5"/>
    <w:rsid w:val="4EF265BE"/>
    <w:rsid w:val="4EFB1C45"/>
    <w:rsid w:val="4F05790C"/>
    <w:rsid w:val="4F0C2A48"/>
    <w:rsid w:val="4F212511"/>
    <w:rsid w:val="4F252E44"/>
    <w:rsid w:val="4F26273B"/>
    <w:rsid w:val="4F2D3A8A"/>
    <w:rsid w:val="4F32478A"/>
    <w:rsid w:val="4F3705F8"/>
    <w:rsid w:val="4F37279D"/>
    <w:rsid w:val="4F442421"/>
    <w:rsid w:val="4F493C9D"/>
    <w:rsid w:val="4F5D292B"/>
    <w:rsid w:val="4F913A9A"/>
    <w:rsid w:val="4F9714A0"/>
    <w:rsid w:val="4F9A6B8E"/>
    <w:rsid w:val="4FA15035"/>
    <w:rsid w:val="4FA40ED3"/>
    <w:rsid w:val="4FA964E9"/>
    <w:rsid w:val="4FAA3F91"/>
    <w:rsid w:val="4FAC3540"/>
    <w:rsid w:val="4FB56C3C"/>
    <w:rsid w:val="4FCF1583"/>
    <w:rsid w:val="4FD23E66"/>
    <w:rsid w:val="4FD44D1B"/>
    <w:rsid w:val="4FDC066D"/>
    <w:rsid w:val="4FE94B38"/>
    <w:rsid w:val="4FFA7625"/>
    <w:rsid w:val="501F0559"/>
    <w:rsid w:val="501F49FD"/>
    <w:rsid w:val="50245B70"/>
    <w:rsid w:val="50453E7E"/>
    <w:rsid w:val="504D657A"/>
    <w:rsid w:val="504E50E8"/>
    <w:rsid w:val="50594CF7"/>
    <w:rsid w:val="506272F9"/>
    <w:rsid w:val="507D2599"/>
    <w:rsid w:val="507E34D2"/>
    <w:rsid w:val="508D31AF"/>
    <w:rsid w:val="508D37BE"/>
    <w:rsid w:val="5096229D"/>
    <w:rsid w:val="509E157D"/>
    <w:rsid w:val="50A6165E"/>
    <w:rsid w:val="50B57674"/>
    <w:rsid w:val="50BB1603"/>
    <w:rsid w:val="50D931FE"/>
    <w:rsid w:val="50DC4184"/>
    <w:rsid w:val="50E253E0"/>
    <w:rsid w:val="50EC57D4"/>
    <w:rsid w:val="50F81107"/>
    <w:rsid w:val="50FB6146"/>
    <w:rsid w:val="512F4CA0"/>
    <w:rsid w:val="51361FFF"/>
    <w:rsid w:val="513D4C38"/>
    <w:rsid w:val="514C3EA7"/>
    <w:rsid w:val="51531066"/>
    <w:rsid w:val="51730B5D"/>
    <w:rsid w:val="517953F1"/>
    <w:rsid w:val="51802A6A"/>
    <w:rsid w:val="51861C61"/>
    <w:rsid w:val="519531C9"/>
    <w:rsid w:val="51AC4D00"/>
    <w:rsid w:val="51FF3C99"/>
    <w:rsid w:val="5211609C"/>
    <w:rsid w:val="522A20E4"/>
    <w:rsid w:val="522A2A0B"/>
    <w:rsid w:val="52363D4D"/>
    <w:rsid w:val="524A2AC9"/>
    <w:rsid w:val="52521A20"/>
    <w:rsid w:val="525922EE"/>
    <w:rsid w:val="528604EC"/>
    <w:rsid w:val="529E2C3A"/>
    <w:rsid w:val="52AC4ABC"/>
    <w:rsid w:val="52C201B9"/>
    <w:rsid w:val="52CB118B"/>
    <w:rsid w:val="52DB7620"/>
    <w:rsid w:val="52E57A12"/>
    <w:rsid w:val="52EF06B7"/>
    <w:rsid w:val="52F20B62"/>
    <w:rsid w:val="52F42171"/>
    <w:rsid w:val="52FD5CE1"/>
    <w:rsid w:val="531C4FCC"/>
    <w:rsid w:val="53284E0A"/>
    <w:rsid w:val="53637A88"/>
    <w:rsid w:val="5379139A"/>
    <w:rsid w:val="537C5523"/>
    <w:rsid w:val="53827E49"/>
    <w:rsid w:val="538374BB"/>
    <w:rsid w:val="538A6BB9"/>
    <w:rsid w:val="539964FD"/>
    <w:rsid w:val="539C1B81"/>
    <w:rsid w:val="539D7755"/>
    <w:rsid w:val="53A447B1"/>
    <w:rsid w:val="53AB6CD4"/>
    <w:rsid w:val="53AE750F"/>
    <w:rsid w:val="53B316E5"/>
    <w:rsid w:val="53B37937"/>
    <w:rsid w:val="53B45B09"/>
    <w:rsid w:val="53C27B7A"/>
    <w:rsid w:val="53D224B3"/>
    <w:rsid w:val="53F81D96"/>
    <w:rsid w:val="541D5DE8"/>
    <w:rsid w:val="541F57C4"/>
    <w:rsid w:val="543B2DF6"/>
    <w:rsid w:val="544B5214"/>
    <w:rsid w:val="54502491"/>
    <w:rsid w:val="546F523C"/>
    <w:rsid w:val="54782FBD"/>
    <w:rsid w:val="547C4479"/>
    <w:rsid w:val="5483138F"/>
    <w:rsid w:val="5488523A"/>
    <w:rsid w:val="549A6BFA"/>
    <w:rsid w:val="54B34A13"/>
    <w:rsid w:val="54C341E7"/>
    <w:rsid w:val="54CC0E1C"/>
    <w:rsid w:val="54D933CD"/>
    <w:rsid w:val="55046EB5"/>
    <w:rsid w:val="550A0415"/>
    <w:rsid w:val="551751CF"/>
    <w:rsid w:val="55175CA3"/>
    <w:rsid w:val="5522558F"/>
    <w:rsid w:val="55244D7F"/>
    <w:rsid w:val="55305397"/>
    <w:rsid w:val="55362287"/>
    <w:rsid w:val="55432F3C"/>
    <w:rsid w:val="55436A98"/>
    <w:rsid w:val="55795BF1"/>
    <w:rsid w:val="55840674"/>
    <w:rsid w:val="558465DA"/>
    <w:rsid w:val="55A37FFD"/>
    <w:rsid w:val="55A82B13"/>
    <w:rsid w:val="55AE22F1"/>
    <w:rsid w:val="55B66BF8"/>
    <w:rsid w:val="55C3227E"/>
    <w:rsid w:val="55CE1AA9"/>
    <w:rsid w:val="55E0347B"/>
    <w:rsid w:val="55F6381F"/>
    <w:rsid w:val="55FA2961"/>
    <w:rsid w:val="5602250F"/>
    <w:rsid w:val="56041FEA"/>
    <w:rsid w:val="564220BA"/>
    <w:rsid w:val="564D73DE"/>
    <w:rsid w:val="5654495B"/>
    <w:rsid w:val="56574EF1"/>
    <w:rsid w:val="565E7F4F"/>
    <w:rsid w:val="565F3DA6"/>
    <w:rsid w:val="566118CC"/>
    <w:rsid w:val="56711F73"/>
    <w:rsid w:val="56737851"/>
    <w:rsid w:val="56752A85"/>
    <w:rsid w:val="568D26C1"/>
    <w:rsid w:val="56914056"/>
    <w:rsid w:val="56B61E36"/>
    <w:rsid w:val="56C1236A"/>
    <w:rsid w:val="56C36589"/>
    <w:rsid w:val="56E46059"/>
    <w:rsid w:val="56ED4321"/>
    <w:rsid w:val="570A3D11"/>
    <w:rsid w:val="570D55B0"/>
    <w:rsid w:val="57154441"/>
    <w:rsid w:val="57250D60"/>
    <w:rsid w:val="57293C95"/>
    <w:rsid w:val="572A6381"/>
    <w:rsid w:val="572B41B4"/>
    <w:rsid w:val="57365868"/>
    <w:rsid w:val="57376AD1"/>
    <w:rsid w:val="573C1959"/>
    <w:rsid w:val="57430FD1"/>
    <w:rsid w:val="57554571"/>
    <w:rsid w:val="57566F57"/>
    <w:rsid w:val="57816FAE"/>
    <w:rsid w:val="57B36157"/>
    <w:rsid w:val="57B7551B"/>
    <w:rsid w:val="57B8376D"/>
    <w:rsid w:val="57B84FBB"/>
    <w:rsid w:val="57C00874"/>
    <w:rsid w:val="57D165DD"/>
    <w:rsid w:val="57DA125F"/>
    <w:rsid w:val="57E24A90"/>
    <w:rsid w:val="57F65317"/>
    <w:rsid w:val="57FC2169"/>
    <w:rsid w:val="58024015"/>
    <w:rsid w:val="58096275"/>
    <w:rsid w:val="58185802"/>
    <w:rsid w:val="5819544F"/>
    <w:rsid w:val="582D6D32"/>
    <w:rsid w:val="582E6EF7"/>
    <w:rsid w:val="584E30E6"/>
    <w:rsid w:val="58546EFD"/>
    <w:rsid w:val="58733B38"/>
    <w:rsid w:val="5881703E"/>
    <w:rsid w:val="58AE459A"/>
    <w:rsid w:val="58CA519E"/>
    <w:rsid w:val="58E0087C"/>
    <w:rsid w:val="58E26731"/>
    <w:rsid w:val="58EB1371"/>
    <w:rsid w:val="59091D98"/>
    <w:rsid w:val="590B05CA"/>
    <w:rsid w:val="590E4A97"/>
    <w:rsid w:val="591250FF"/>
    <w:rsid w:val="591E1CF6"/>
    <w:rsid w:val="5920012C"/>
    <w:rsid w:val="593700E7"/>
    <w:rsid w:val="594554D5"/>
    <w:rsid w:val="595578DE"/>
    <w:rsid w:val="5969460A"/>
    <w:rsid w:val="59710721"/>
    <w:rsid w:val="597345F9"/>
    <w:rsid w:val="597B384D"/>
    <w:rsid w:val="598D0C2A"/>
    <w:rsid w:val="59996DA8"/>
    <w:rsid w:val="59AD7291"/>
    <w:rsid w:val="59C10AAF"/>
    <w:rsid w:val="59C30F1B"/>
    <w:rsid w:val="59C97EB4"/>
    <w:rsid w:val="59CE4759"/>
    <w:rsid w:val="59D90B78"/>
    <w:rsid w:val="5A250E62"/>
    <w:rsid w:val="5A322A6E"/>
    <w:rsid w:val="5A6D106F"/>
    <w:rsid w:val="5A814766"/>
    <w:rsid w:val="5A8C20D0"/>
    <w:rsid w:val="5A980B76"/>
    <w:rsid w:val="5A9B2ED2"/>
    <w:rsid w:val="5ABC29E4"/>
    <w:rsid w:val="5AC5019D"/>
    <w:rsid w:val="5AC661A1"/>
    <w:rsid w:val="5AC7121C"/>
    <w:rsid w:val="5AD90B8D"/>
    <w:rsid w:val="5AE12927"/>
    <w:rsid w:val="5AE35472"/>
    <w:rsid w:val="5AF41CF3"/>
    <w:rsid w:val="5AF87CC9"/>
    <w:rsid w:val="5B07329F"/>
    <w:rsid w:val="5B0F2F87"/>
    <w:rsid w:val="5B104342"/>
    <w:rsid w:val="5B10790A"/>
    <w:rsid w:val="5B1F1D55"/>
    <w:rsid w:val="5B4A2E52"/>
    <w:rsid w:val="5B4E1A44"/>
    <w:rsid w:val="5B5B778F"/>
    <w:rsid w:val="5B7C4AB2"/>
    <w:rsid w:val="5B873201"/>
    <w:rsid w:val="5B8C2FDD"/>
    <w:rsid w:val="5B967767"/>
    <w:rsid w:val="5B9D1624"/>
    <w:rsid w:val="5BA2386D"/>
    <w:rsid w:val="5BBC1352"/>
    <w:rsid w:val="5BBC75A4"/>
    <w:rsid w:val="5BBF73E2"/>
    <w:rsid w:val="5BE538AA"/>
    <w:rsid w:val="5BEE5378"/>
    <w:rsid w:val="5C0C2FF6"/>
    <w:rsid w:val="5C0D04A9"/>
    <w:rsid w:val="5C1241CC"/>
    <w:rsid w:val="5C286807"/>
    <w:rsid w:val="5C34339E"/>
    <w:rsid w:val="5C355656"/>
    <w:rsid w:val="5C370E72"/>
    <w:rsid w:val="5C446BC8"/>
    <w:rsid w:val="5C464B7B"/>
    <w:rsid w:val="5C4B56E1"/>
    <w:rsid w:val="5C6A7000"/>
    <w:rsid w:val="5C7146B1"/>
    <w:rsid w:val="5C72307C"/>
    <w:rsid w:val="5C7C2768"/>
    <w:rsid w:val="5C7E0A6F"/>
    <w:rsid w:val="5CA02A22"/>
    <w:rsid w:val="5CAD3BC1"/>
    <w:rsid w:val="5CAE62DC"/>
    <w:rsid w:val="5CB23AE6"/>
    <w:rsid w:val="5CBF734C"/>
    <w:rsid w:val="5CC03E12"/>
    <w:rsid w:val="5CED5863"/>
    <w:rsid w:val="5CF41904"/>
    <w:rsid w:val="5D0D6DF5"/>
    <w:rsid w:val="5D15202C"/>
    <w:rsid w:val="5D1E5184"/>
    <w:rsid w:val="5D236D42"/>
    <w:rsid w:val="5D284EF1"/>
    <w:rsid w:val="5D3166D4"/>
    <w:rsid w:val="5D4A5E05"/>
    <w:rsid w:val="5D557CB0"/>
    <w:rsid w:val="5D580A8A"/>
    <w:rsid w:val="5D71564A"/>
    <w:rsid w:val="5D7E6D71"/>
    <w:rsid w:val="5D812854"/>
    <w:rsid w:val="5D893B14"/>
    <w:rsid w:val="5D947722"/>
    <w:rsid w:val="5DA6050C"/>
    <w:rsid w:val="5DB42C29"/>
    <w:rsid w:val="5DB46785"/>
    <w:rsid w:val="5DD65FB7"/>
    <w:rsid w:val="5DE43302"/>
    <w:rsid w:val="5E1219F7"/>
    <w:rsid w:val="5E18541D"/>
    <w:rsid w:val="5E232FE9"/>
    <w:rsid w:val="5E291636"/>
    <w:rsid w:val="5E48511F"/>
    <w:rsid w:val="5E6261E1"/>
    <w:rsid w:val="5E655B72"/>
    <w:rsid w:val="5E7303EE"/>
    <w:rsid w:val="5E8B0770"/>
    <w:rsid w:val="5EA06921"/>
    <w:rsid w:val="5EB6477F"/>
    <w:rsid w:val="5EBA259F"/>
    <w:rsid w:val="5EBF3EFF"/>
    <w:rsid w:val="5EE1082B"/>
    <w:rsid w:val="5EE97BB4"/>
    <w:rsid w:val="5EED3E21"/>
    <w:rsid w:val="5EF55BC9"/>
    <w:rsid w:val="5EFD48FF"/>
    <w:rsid w:val="5F085DDA"/>
    <w:rsid w:val="5F0C446A"/>
    <w:rsid w:val="5F1D5E84"/>
    <w:rsid w:val="5F2E2D52"/>
    <w:rsid w:val="5F385194"/>
    <w:rsid w:val="5F5226F9"/>
    <w:rsid w:val="5F54198B"/>
    <w:rsid w:val="5F6B37BB"/>
    <w:rsid w:val="5F6C74C2"/>
    <w:rsid w:val="5F742670"/>
    <w:rsid w:val="5F950838"/>
    <w:rsid w:val="5F980EF6"/>
    <w:rsid w:val="5F9A19AB"/>
    <w:rsid w:val="5F9D1350"/>
    <w:rsid w:val="5FA44AD1"/>
    <w:rsid w:val="5FA647F3"/>
    <w:rsid w:val="5FA97E40"/>
    <w:rsid w:val="5FBE370A"/>
    <w:rsid w:val="5FC61F2E"/>
    <w:rsid w:val="5FC83407"/>
    <w:rsid w:val="5FC935C2"/>
    <w:rsid w:val="5FD56E87"/>
    <w:rsid w:val="5FD70E51"/>
    <w:rsid w:val="5FDE5D3B"/>
    <w:rsid w:val="5FE61615"/>
    <w:rsid w:val="5FE64BF0"/>
    <w:rsid w:val="5FF0558C"/>
    <w:rsid w:val="5FF53A47"/>
    <w:rsid w:val="60015A45"/>
    <w:rsid w:val="601A0F02"/>
    <w:rsid w:val="601A27F4"/>
    <w:rsid w:val="60236BFB"/>
    <w:rsid w:val="60292845"/>
    <w:rsid w:val="603251B8"/>
    <w:rsid w:val="60650FBA"/>
    <w:rsid w:val="606F2632"/>
    <w:rsid w:val="606F5D21"/>
    <w:rsid w:val="6071543B"/>
    <w:rsid w:val="607921FE"/>
    <w:rsid w:val="607E12CC"/>
    <w:rsid w:val="608F62AE"/>
    <w:rsid w:val="60954E8E"/>
    <w:rsid w:val="609603C4"/>
    <w:rsid w:val="609B5BC6"/>
    <w:rsid w:val="609D1752"/>
    <w:rsid w:val="60A97567"/>
    <w:rsid w:val="60B85FE0"/>
    <w:rsid w:val="60B9251B"/>
    <w:rsid w:val="60D85EE9"/>
    <w:rsid w:val="60DA29A7"/>
    <w:rsid w:val="60E236C1"/>
    <w:rsid w:val="60E37983"/>
    <w:rsid w:val="61062343"/>
    <w:rsid w:val="61260B6B"/>
    <w:rsid w:val="61281051"/>
    <w:rsid w:val="612B3ABB"/>
    <w:rsid w:val="612E1A5D"/>
    <w:rsid w:val="614E5D7E"/>
    <w:rsid w:val="61581B1D"/>
    <w:rsid w:val="61596D72"/>
    <w:rsid w:val="615F2EAC"/>
    <w:rsid w:val="61665F59"/>
    <w:rsid w:val="61816046"/>
    <w:rsid w:val="61A74F5C"/>
    <w:rsid w:val="61A905CB"/>
    <w:rsid w:val="61BA27D8"/>
    <w:rsid w:val="61BD04E4"/>
    <w:rsid w:val="61C81AB1"/>
    <w:rsid w:val="61F07A07"/>
    <w:rsid w:val="620B0059"/>
    <w:rsid w:val="620E701F"/>
    <w:rsid w:val="621444A4"/>
    <w:rsid w:val="62391564"/>
    <w:rsid w:val="624A22BE"/>
    <w:rsid w:val="625C73EB"/>
    <w:rsid w:val="626136C2"/>
    <w:rsid w:val="6263230B"/>
    <w:rsid w:val="626E235A"/>
    <w:rsid w:val="626F60D5"/>
    <w:rsid w:val="62816669"/>
    <w:rsid w:val="6282086D"/>
    <w:rsid w:val="629007F7"/>
    <w:rsid w:val="629143E0"/>
    <w:rsid w:val="629372B1"/>
    <w:rsid w:val="62AB4D99"/>
    <w:rsid w:val="62B36CD7"/>
    <w:rsid w:val="62BA0953"/>
    <w:rsid w:val="62D03A7C"/>
    <w:rsid w:val="62F42FAE"/>
    <w:rsid w:val="62F648FE"/>
    <w:rsid w:val="63071A4D"/>
    <w:rsid w:val="63167A4F"/>
    <w:rsid w:val="631D2BD6"/>
    <w:rsid w:val="632D11C2"/>
    <w:rsid w:val="6330458A"/>
    <w:rsid w:val="635356F3"/>
    <w:rsid w:val="636B1FDC"/>
    <w:rsid w:val="637D5B70"/>
    <w:rsid w:val="63825E77"/>
    <w:rsid w:val="63A10995"/>
    <w:rsid w:val="63A63014"/>
    <w:rsid w:val="63BA086D"/>
    <w:rsid w:val="63C23EFA"/>
    <w:rsid w:val="63D255DA"/>
    <w:rsid w:val="63D2584B"/>
    <w:rsid w:val="63D672DD"/>
    <w:rsid w:val="63EB2168"/>
    <w:rsid w:val="63F854C1"/>
    <w:rsid w:val="63FB5857"/>
    <w:rsid w:val="64076B79"/>
    <w:rsid w:val="640B7654"/>
    <w:rsid w:val="64110F7C"/>
    <w:rsid w:val="64116D46"/>
    <w:rsid w:val="643A070A"/>
    <w:rsid w:val="64410A96"/>
    <w:rsid w:val="644258FC"/>
    <w:rsid w:val="644C573D"/>
    <w:rsid w:val="644F7891"/>
    <w:rsid w:val="64507EFB"/>
    <w:rsid w:val="64520AA6"/>
    <w:rsid w:val="64610DAF"/>
    <w:rsid w:val="646D2528"/>
    <w:rsid w:val="64935B4A"/>
    <w:rsid w:val="6497742E"/>
    <w:rsid w:val="64980688"/>
    <w:rsid w:val="64A15589"/>
    <w:rsid w:val="64C56CBE"/>
    <w:rsid w:val="64F83B95"/>
    <w:rsid w:val="64FF2785"/>
    <w:rsid w:val="650173F8"/>
    <w:rsid w:val="65032F85"/>
    <w:rsid w:val="65051FBC"/>
    <w:rsid w:val="65091869"/>
    <w:rsid w:val="651304A7"/>
    <w:rsid w:val="65136B50"/>
    <w:rsid w:val="651932F1"/>
    <w:rsid w:val="651D5558"/>
    <w:rsid w:val="6531690D"/>
    <w:rsid w:val="65320485"/>
    <w:rsid w:val="655A12F3"/>
    <w:rsid w:val="656F7435"/>
    <w:rsid w:val="657E2A35"/>
    <w:rsid w:val="65942EA9"/>
    <w:rsid w:val="65A94E9D"/>
    <w:rsid w:val="65B96B3F"/>
    <w:rsid w:val="65BE1071"/>
    <w:rsid w:val="65BF3643"/>
    <w:rsid w:val="65C60A92"/>
    <w:rsid w:val="65DB19DF"/>
    <w:rsid w:val="660451CE"/>
    <w:rsid w:val="66083B12"/>
    <w:rsid w:val="662F1115"/>
    <w:rsid w:val="66486604"/>
    <w:rsid w:val="66495ED8"/>
    <w:rsid w:val="664B3BEB"/>
    <w:rsid w:val="664D3C1B"/>
    <w:rsid w:val="665346B7"/>
    <w:rsid w:val="667C7CCE"/>
    <w:rsid w:val="668F3467"/>
    <w:rsid w:val="66A12460"/>
    <w:rsid w:val="66A17AC3"/>
    <w:rsid w:val="66B85812"/>
    <w:rsid w:val="66BE2423"/>
    <w:rsid w:val="66CF6026"/>
    <w:rsid w:val="66D25ECE"/>
    <w:rsid w:val="66DD6702"/>
    <w:rsid w:val="66E856F1"/>
    <w:rsid w:val="66FB0BAD"/>
    <w:rsid w:val="670E4E0D"/>
    <w:rsid w:val="67185FD7"/>
    <w:rsid w:val="671B1623"/>
    <w:rsid w:val="671E6EBA"/>
    <w:rsid w:val="6731269C"/>
    <w:rsid w:val="6747066A"/>
    <w:rsid w:val="675352AA"/>
    <w:rsid w:val="6759400B"/>
    <w:rsid w:val="675E528D"/>
    <w:rsid w:val="676315FA"/>
    <w:rsid w:val="676C598C"/>
    <w:rsid w:val="678A67A9"/>
    <w:rsid w:val="67966EFB"/>
    <w:rsid w:val="679E7FA1"/>
    <w:rsid w:val="67A32389"/>
    <w:rsid w:val="67B657F0"/>
    <w:rsid w:val="67B768D0"/>
    <w:rsid w:val="67BF1395"/>
    <w:rsid w:val="67C27CF0"/>
    <w:rsid w:val="67C36227"/>
    <w:rsid w:val="67C779FD"/>
    <w:rsid w:val="67C85DAF"/>
    <w:rsid w:val="67D27918"/>
    <w:rsid w:val="68281CFE"/>
    <w:rsid w:val="682A2352"/>
    <w:rsid w:val="682A2630"/>
    <w:rsid w:val="682D5AB2"/>
    <w:rsid w:val="682E4A5B"/>
    <w:rsid w:val="682E7AFD"/>
    <w:rsid w:val="685017A0"/>
    <w:rsid w:val="6865354C"/>
    <w:rsid w:val="68707071"/>
    <w:rsid w:val="687A4379"/>
    <w:rsid w:val="687B015C"/>
    <w:rsid w:val="687E3889"/>
    <w:rsid w:val="6884222C"/>
    <w:rsid w:val="68A957C8"/>
    <w:rsid w:val="68AD17BB"/>
    <w:rsid w:val="68D6620B"/>
    <w:rsid w:val="68D94D22"/>
    <w:rsid w:val="68E53F7B"/>
    <w:rsid w:val="68F06F2B"/>
    <w:rsid w:val="69011241"/>
    <w:rsid w:val="69203F89"/>
    <w:rsid w:val="692B2E4A"/>
    <w:rsid w:val="69361967"/>
    <w:rsid w:val="693966D8"/>
    <w:rsid w:val="696577CD"/>
    <w:rsid w:val="696A0B34"/>
    <w:rsid w:val="69790883"/>
    <w:rsid w:val="697D65C5"/>
    <w:rsid w:val="69820A4E"/>
    <w:rsid w:val="69821807"/>
    <w:rsid w:val="698D6A17"/>
    <w:rsid w:val="699026E3"/>
    <w:rsid w:val="69987E08"/>
    <w:rsid w:val="699E0BED"/>
    <w:rsid w:val="699F0522"/>
    <w:rsid w:val="69C8777A"/>
    <w:rsid w:val="69D37590"/>
    <w:rsid w:val="69F954C1"/>
    <w:rsid w:val="69FD7559"/>
    <w:rsid w:val="6A1260FA"/>
    <w:rsid w:val="6A1C5DDE"/>
    <w:rsid w:val="6A1E1E73"/>
    <w:rsid w:val="6A2031B6"/>
    <w:rsid w:val="6A2151A2"/>
    <w:rsid w:val="6A224793"/>
    <w:rsid w:val="6A2F57D7"/>
    <w:rsid w:val="6A3924BB"/>
    <w:rsid w:val="6A3C1D40"/>
    <w:rsid w:val="6A525130"/>
    <w:rsid w:val="6A6432E1"/>
    <w:rsid w:val="6A731776"/>
    <w:rsid w:val="6AA23DFF"/>
    <w:rsid w:val="6AAA6F38"/>
    <w:rsid w:val="6AC122B7"/>
    <w:rsid w:val="6AC61F6F"/>
    <w:rsid w:val="6AD34E53"/>
    <w:rsid w:val="6AD83EA1"/>
    <w:rsid w:val="6AD9782B"/>
    <w:rsid w:val="6ADE74F0"/>
    <w:rsid w:val="6AE3321A"/>
    <w:rsid w:val="6AF900C6"/>
    <w:rsid w:val="6B1D62E8"/>
    <w:rsid w:val="6B1E16E2"/>
    <w:rsid w:val="6B582B12"/>
    <w:rsid w:val="6B5E5F82"/>
    <w:rsid w:val="6B667183"/>
    <w:rsid w:val="6B723594"/>
    <w:rsid w:val="6B75109A"/>
    <w:rsid w:val="6B7F4EFD"/>
    <w:rsid w:val="6B805156"/>
    <w:rsid w:val="6B8A49EE"/>
    <w:rsid w:val="6B8C0D41"/>
    <w:rsid w:val="6B8F438D"/>
    <w:rsid w:val="6B945E48"/>
    <w:rsid w:val="6B974A7B"/>
    <w:rsid w:val="6B975BE9"/>
    <w:rsid w:val="6B9A726B"/>
    <w:rsid w:val="6BBB3149"/>
    <w:rsid w:val="6BD50977"/>
    <w:rsid w:val="6BDF70C3"/>
    <w:rsid w:val="6BE450D3"/>
    <w:rsid w:val="6BE60C84"/>
    <w:rsid w:val="6BE62D47"/>
    <w:rsid w:val="6C007039"/>
    <w:rsid w:val="6C0307FF"/>
    <w:rsid w:val="6C0A7EB8"/>
    <w:rsid w:val="6C1F3963"/>
    <w:rsid w:val="6C495839"/>
    <w:rsid w:val="6C4F0900"/>
    <w:rsid w:val="6C5F32E0"/>
    <w:rsid w:val="6C6C32E1"/>
    <w:rsid w:val="6C6E3E15"/>
    <w:rsid w:val="6C77554D"/>
    <w:rsid w:val="6C8B1F5D"/>
    <w:rsid w:val="6C9A56E0"/>
    <w:rsid w:val="6C9D0D2C"/>
    <w:rsid w:val="6CA85D3A"/>
    <w:rsid w:val="6CAA3931"/>
    <w:rsid w:val="6CC14A1B"/>
    <w:rsid w:val="6CC27409"/>
    <w:rsid w:val="6CCB7647"/>
    <w:rsid w:val="6CD3634A"/>
    <w:rsid w:val="6CE2512E"/>
    <w:rsid w:val="6CEA06D7"/>
    <w:rsid w:val="6CF36E25"/>
    <w:rsid w:val="6CF70607"/>
    <w:rsid w:val="6D081438"/>
    <w:rsid w:val="6D325918"/>
    <w:rsid w:val="6D3933CA"/>
    <w:rsid w:val="6D401810"/>
    <w:rsid w:val="6D433529"/>
    <w:rsid w:val="6D4B4C86"/>
    <w:rsid w:val="6D6261FE"/>
    <w:rsid w:val="6D7B222A"/>
    <w:rsid w:val="6D7B61EC"/>
    <w:rsid w:val="6D804856"/>
    <w:rsid w:val="6D8E03AA"/>
    <w:rsid w:val="6D9C0B83"/>
    <w:rsid w:val="6DBB089F"/>
    <w:rsid w:val="6DC63038"/>
    <w:rsid w:val="6DCF3167"/>
    <w:rsid w:val="6DDC5608"/>
    <w:rsid w:val="6DE05374"/>
    <w:rsid w:val="6DE30DE0"/>
    <w:rsid w:val="6DE6130A"/>
    <w:rsid w:val="6DE74955"/>
    <w:rsid w:val="6DFC695B"/>
    <w:rsid w:val="6E09491E"/>
    <w:rsid w:val="6E0D3655"/>
    <w:rsid w:val="6E1119D2"/>
    <w:rsid w:val="6E1A437E"/>
    <w:rsid w:val="6E3A144E"/>
    <w:rsid w:val="6E527C89"/>
    <w:rsid w:val="6E5606D3"/>
    <w:rsid w:val="6E5A5B41"/>
    <w:rsid w:val="6E5F4465"/>
    <w:rsid w:val="6E8B1663"/>
    <w:rsid w:val="6E8C54DA"/>
    <w:rsid w:val="6EB752BD"/>
    <w:rsid w:val="6EBC36EB"/>
    <w:rsid w:val="6ECD58F9"/>
    <w:rsid w:val="6EE7766E"/>
    <w:rsid w:val="6EF11E03"/>
    <w:rsid w:val="6EF1241D"/>
    <w:rsid w:val="6EF82916"/>
    <w:rsid w:val="6F0234E0"/>
    <w:rsid w:val="6F0B2DE7"/>
    <w:rsid w:val="6F111C62"/>
    <w:rsid w:val="6F2176E5"/>
    <w:rsid w:val="6F31254B"/>
    <w:rsid w:val="6F3A2A5F"/>
    <w:rsid w:val="6F3D6958"/>
    <w:rsid w:val="6F3F60CB"/>
    <w:rsid w:val="6F4F7F03"/>
    <w:rsid w:val="6F5523A2"/>
    <w:rsid w:val="6F592303"/>
    <w:rsid w:val="6F5F5B74"/>
    <w:rsid w:val="6F682400"/>
    <w:rsid w:val="6F7E22F3"/>
    <w:rsid w:val="6F8E7CC5"/>
    <w:rsid w:val="6F9600A4"/>
    <w:rsid w:val="6F98032D"/>
    <w:rsid w:val="6F9B1C65"/>
    <w:rsid w:val="6F9E54E7"/>
    <w:rsid w:val="6FA44937"/>
    <w:rsid w:val="6FAD3FB9"/>
    <w:rsid w:val="6FB1072E"/>
    <w:rsid w:val="6FB10EAC"/>
    <w:rsid w:val="6FD15732"/>
    <w:rsid w:val="6FE15721"/>
    <w:rsid w:val="6FE82C9C"/>
    <w:rsid w:val="6FEE5461"/>
    <w:rsid w:val="6FF70753"/>
    <w:rsid w:val="6FFB146E"/>
    <w:rsid w:val="700B382A"/>
    <w:rsid w:val="70104BD7"/>
    <w:rsid w:val="70160742"/>
    <w:rsid w:val="701C2725"/>
    <w:rsid w:val="7030610F"/>
    <w:rsid w:val="70390D6C"/>
    <w:rsid w:val="70471F20"/>
    <w:rsid w:val="704F233D"/>
    <w:rsid w:val="705005D7"/>
    <w:rsid w:val="70612DB4"/>
    <w:rsid w:val="706516C3"/>
    <w:rsid w:val="70657DB3"/>
    <w:rsid w:val="70660714"/>
    <w:rsid w:val="706933FF"/>
    <w:rsid w:val="708168ED"/>
    <w:rsid w:val="70896E68"/>
    <w:rsid w:val="708A4844"/>
    <w:rsid w:val="70A8236C"/>
    <w:rsid w:val="70C51FC5"/>
    <w:rsid w:val="70C94DCA"/>
    <w:rsid w:val="70E05E9D"/>
    <w:rsid w:val="71073061"/>
    <w:rsid w:val="71155335"/>
    <w:rsid w:val="711A201F"/>
    <w:rsid w:val="71215AE9"/>
    <w:rsid w:val="712864E5"/>
    <w:rsid w:val="713954C7"/>
    <w:rsid w:val="71396ACC"/>
    <w:rsid w:val="714D0F73"/>
    <w:rsid w:val="715B60E9"/>
    <w:rsid w:val="71600CA6"/>
    <w:rsid w:val="716F0EE9"/>
    <w:rsid w:val="716F7056"/>
    <w:rsid w:val="717F6C52"/>
    <w:rsid w:val="719409A7"/>
    <w:rsid w:val="7196674D"/>
    <w:rsid w:val="719E245E"/>
    <w:rsid w:val="71BA3FE5"/>
    <w:rsid w:val="71EA1FED"/>
    <w:rsid w:val="71EB2A4E"/>
    <w:rsid w:val="71F86B5E"/>
    <w:rsid w:val="71FB452B"/>
    <w:rsid w:val="72165C6B"/>
    <w:rsid w:val="721B697B"/>
    <w:rsid w:val="722021E3"/>
    <w:rsid w:val="72290340"/>
    <w:rsid w:val="722C6DDA"/>
    <w:rsid w:val="72331F17"/>
    <w:rsid w:val="72395053"/>
    <w:rsid w:val="72515945"/>
    <w:rsid w:val="72553257"/>
    <w:rsid w:val="729243CB"/>
    <w:rsid w:val="72A609F2"/>
    <w:rsid w:val="72B27B5F"/>
    <w:rsid w:val="72BA2638"/>
    <w:rsid w:val="72D87D3A"/>
    <w:rsid w:val="72E661B1"/>
    <w:rsid w:val="730313F6"/>
    <w:rsid w:val="730E4732"/>
    <w:rsid w:val="73134697"/>
    <w:rsid w:val="73370D24"/>
    <w:rsid w:val="73397FB3"/>
    <w:rsid w:val="73400D76"/>
    <w:rsid w:val="73472C84"/>
    <w:rsid w:val="7359268C"/>
    <w:rsid w:val="735F327A"/>
    <w:rsid w:val="73605042"/>
    <w:rsid w:val="7366631C"/>
    <w:rsid w:val="736C263C"/>
    <w:rsid w:val="73723640"/>
    <w:rsid w:val="737311F5"/>
    <w:rsid w:val="73835C08"/>
    <w:rsid w:val="738375AF"/>
    <w:rsid w:val="73947976"/>
    <w:rsid w:val="739503EB"/>
    <w:rsid w:val="73A05B28"/>
    <w:rsid w:val="73C07D69"/>
    <w:rsid w:val="73C979D4"/>
    <w:rsid w:val="73CC2623"/>
    <w:rsid w:val="73DC335B"/>
    <w:rsid w:val="73ED07EB"/>
    <w:rsid w:val="73ED5237"/>
    <w:rsid w:val="73F423CB"/>
    <w:rsid w:val="740022CC"/>
    <w:rsid w:val="74031DBD"/>
    <w:rsid w:val="740B60EC"/>
    <w:rsid w:val="74122000"/>
    <w:rsid w:val="742B4004"/>
    <w:rsid w:val="74416441"/>
    <w:rsid w:val="745E7D35"/>
    <w:rsid w:val="7465362D"/>
    <w:rsid w:val="7475188D"/>
    <w:rsid w:val="747A05B4"/>
    <w:rsid w:val="747A24D7"/>
    <w:rsid w:val="747C4DB2"/>
    <w:rsid w:val="748177AC"/>
    <w:rsid w:val="7494727E"/>
    <w:rsid w:val="749E16A8"/>
    <w:rsid w:val="74A27E76"/>
    <w:rsid w:val="74AC41CB"/>
    <w:rsid w:val="74B42AE4"/>
    <w:rsid w:val="74C414FF"/>
    <w:rsid w:val="74C54993"/>
    <w:rsid w:val="74D06A8A"/>
    <w:rsid w:val="74D43250"/>
    <w:rsid w:val="74E46308"/>
    <w:rsid w:val="74EB68F6"/>
    <w:rsid w:val="74F213D7"/>
    <w:rsid w:val="7501454E"/>
    <w:rsid w:val="750802B1"/>
    <w:rsid w:val="750A429D"/>
    <w:rsid w:val="752739E7"/>
    <w:rsid w:val="75306BE1"/>
    <w:rsid w:val="75474B47"/>
    <w:rsid w:val="75533AB0"/>
    <w:rsid w:val="755C285C"/>
    <w:rsid w:val="75614792"/>
    <w:rsid w:val="75717F13"/>
    <w:rsid w:val="75761866"/>
    <w:rsid w:val="75784473"/>
    <w:rsid w:val="75866801"/>
    <w:rsid w:val="75956A44"/>
    <w:rsid w:val="75B10995"/>
    <w:rsid w:val="75B161B3"/>
    <w:rsid w:val="75B96BD7"/>
    <w:rsid w:val="75CA2B92"/>
    <w:rsid w:val="75D43A11"/>
    <w:rsid w:val="75DC6C44"/>
    <w:rsid w:val="75EF084A"/>
    <w:rsid w:val="75F05CC0"/>
    <w:rsid w:val="761A2A6B"/>
    <w:rsid w:val="7625601A"/>
    <w:rsid w:val="762A3631"/>
    <w:rsid w:val="762F6A19"/>
    <w:rsid w:val="76341B33"/>
    <w:rsid w:val="764A3CD3"/>
    <w:rsid w:val="76570F20"/>
    <w:rsid w:val="76736B32"/>
    <w:rsid w:val="76807C04"/>
    <w:rsid w:val="76AF35EE"/>
    <w:rsid w:val="76BE6880"/>
    <w:rsid w:val="76C27A74"/>
    <w:rsid w:val="76C726A5"/>
    <w:rsid w:val="76D61879"/>
    <w:rsid w:val="76E3765E"/>
    <w:rsid w:val="76FB4FCD"/>
    <w:rsid w:val="76FC2AFA"/>
    <w:rsid w:val="76FF4ABD"/>
    <w:rsid w:val="77015847"/>
    <w:rsid w:val="7718743B"/>
    <w:rsid w:val="772462D2"/>
    <w:rsid w:val="773C5162"/>
    <w:rsid w:val="77527424"/>
    <w:rsid w:val="77653671"/>
    <w:rsid w:val="776D0EF5"/>
    <w:rsid w:val="77707007"/>
    <w:rsid w:val="777A3013"/>
    <w:rsid w:val="77844FC2"/>
    <w:rsid w:val="778546CC"/>
    <w:rsid w:val="778B6B46"/>
    <w:rsid w:val="77A337B9"/>
    <w:rsid w:val="77B551B3"/>
    <w:rsid w:val="77B56730"/>
    <w:rsid w:val="77B92EBE"/>
    <w:rsid w:val="77C04A8B"/>
    <w:rsid w:val="77CC2BDE"/>
    <w:rsid w:val="77D85DB3"/>
    <w:rsid w:val="77E433BD"/>
    <w:rsid w:val="77EB1B74"/>
    <w:rsid w:val="77EC16DB"/>
    <w:rsid w:val="782A3EA3"/>
    <w:rsid w:val="78372035"/>
    <w:rsid w:val="78490703"/>
    <w:rsid w:val="787038CC"/>
    <w:rsid w:val="788A03B6"/>
    <w:rsid w:val="78A50513"/>
    <w:rsid w:val="78C43087"/>
    <w:rsid w:val="78CA3838"/>
    <w:rsid w:val="78D37FAF"/>
    <w:rsid w:val="78DF77D1"/>
    <w:rsid w:val="78EF7AB5"/>
    <w:rsid w:val="78F0365D"/>
    <w:rsid w:val="78F85C68"/>
    <w:rsid w:val="78FD6DDA"/>
    <w:rsid w:val="790A599B"/>
    <w:rsid w:val="790D6849"/>
    <w:rsid w:val="79134850"/>
    <w:rsid w:val="79352A18"/>
    <w:rsid w:val="794478C7"/>
    <w:rsid w:val="795767E3"/>
    <w:rsid w:val="79586707"/>
    <w:rsid w:val="796518DD"/>
    <w:rsid w:val="797177C8"/>
    <w:rsid w:val="79724BEF"/>
    <w:rsid w:val="797264AC"/>
    <w:rsid w:val="79867B4E"/>
    <w:rsid w:val="79A33521"/>
    <w:rsid w:val="79A744A6"/>
    <w:rsid w:val="79AA0532"/>
    <w:rsid w:val="79D35D8D"/>
    <w:rsid w:val="79DE02B7"/>
    <w:rsid w:val="79E602AF"/>
    <w:rsid w:val="79F042C8"/>
    <w:rsid w:val="79FA22BC"/>
    <w:rsid w:val="79FE1DDD"/>
    <w:rsid w:val="7A075767"/>
    <w:rsid w:val="7A0C15B3"/>
    <w:rsid w:val="7A153774"/>
    <w:rsid w:val="7A19518C"/>
    <w:rsid w:val="7A212062"/>
    <w:rsid w:val="7A2522C9"/>
    <w:rsid w:val="7A282A11"/>
    <w:rsid w:val="7A3A59B8"/>
    <w:rsid w:val="7A57076C"/>
    <w:rsid w:val="7A5D0F75"/>
    <w:rsid w:val="7A715CD2"/>
    <w:rsid w:val="7A7716CC"/>
    <w:rsid w:val="7A921E9A"/>
    <w:rsid w:val="7A9E53BF"/>
    <w:rsid w:val="7AA16798"/>
    <w:rsid w:val="7AA914B9"/>
    <w:rsid w:val="7AB06C9C"/>
    <w:rsid w:val="7ABF2475"/>
    <w:rsid w:val="7AC21562"/>
    <w:rsid w:val="7AC70407"/>
    <w:rsid w:val="7AD474A4"/>
    <w:rsid w:val="7AD51A66"/>
    <w:rsid w:val="7AD848DD"/>
    <w:rsid w:val="7AFC38DE"/>
    <w:rsid w:val="7B303E8C"/>
    <w:rsid w:val="7B3670E0"/>
    <w:rsid w:val="7B3E4A5C"/>
    <w:rsid w:val="7B49346B"/>
    <w:rsid w:val="7B5F5B2A"/>
    <w:rsid w:val="7B65510B"/>
    <w:rsid w:val="7B6E1531"/>
    <w:rsid w:val="7B7D6B6D"/>
    <w:rsid w:val="7B865D50"/>
    <w:rsid w:val="7B8D34C3"/>
    <w:rsid w:val="7B915F00"/>
    <w:rsid w:val="7B9559F0"/>
    <w:rsid w:val="7B971D84"/>
    <w:rsid w:val="7B980684"/>
    <w:rsid w:val="7BAB0CB7"/>
    <w:rsid w:val="7BB4028F"/>
    <w:rsid w:val="7BC1107E"/>
    <w:rsid w:val="7BCB5265"/>
    <w:rsid w:val="7BD06A28"/>
    <w:rsid w:val="7BDD385E"/>
    <w:rsid w:val="7BDE0BC1"/>
    <w:rsid w:val="7BF22E42"/>
    <w:rsid w:val="7BF32F03"/>
    <w:rsid w:val="7BF50D2C"/>
    <w:rsid w:val="7BFF3F73"/>
    <w:rsid w:val="7C066F4E"/>
    <w:rsid w:val="7C1724A5"/>
    <w:rsid w:val="7C38637B"/>
    <w:rsid w:val="7C417063"/>
    <w:rsid w:val="7C4B4AAE"/>
    <w:rsid w:val="7C5F1B5A"/>
    <w:rsid w:val="7C8561DF"/>
    <w:rsid w:val="7CA109FD"/>
    <w:rsid w:val="7CA54112"/>
    <w:rsid w:val="7CA553D9"/>
    <w:rsid w:val="7CAB27F5"/>
    <w:rsid w:val="7CAF438A"/>
    <w:rsid w:val="7CCE726D"/>
    <w:rsid w:val="7CD71EA3"/>
    <w:rsid w:val="7CDC13FD"/>
    <w:rsid w:val="7CDF00AD"/>
    <w:rsid w:val="7CE50CE4"/>
    <w:rsid w:val="7CE94EE1"/>
    <w:rsid w:val="7CED7FC7"/>
    <w:rsid w:val="7CEE5733"/>
    <w:rsid w:val="7CF877E9"/>
    <w:rsid w:val="7D134762"/>
    <w:rsid w:val="7D21458C"/>
    <w:rsid w:val="7D244CB3"/>
    <w:rsid w:val="7D28572D"/>
    <w:rsid w:val="7D2E5ABF"/>
    <w:rsid w:val="7D4A45B8"/>
    <w:rsid w:val="7D535AC7"/>
    <w:rsid w:val="7D964A74"/>
    <w:rsid w:val="7D9873AC"/>
    <w:rsid w:val="7DB67EA0"/>
    <w:rsid w:val="7DC4436B"/>
    <w:rsid w:val="7DD10ED1"/>
    <w:rsid w:val="7DDA3B8E"/>
    <w:rsid w:val="7DFB43EA"/>
    <w:rsid w:val="7E007625"/>
    <w:rsid w:val="7E0737C8"/>
    <w:rsid w:val="7E131C51"/>
    <w:rsid w:val="7E176B90"/>
    <w:rsid w:val="7E1D48FF"/>
    <w:rsid w:val="7E2142A2"/>
    <w:rsid w:val="7E240411"/>
    <w:rsid w:val="7E301A00"/>
    <w:rsid w:val="7E48335A"/>
    <w:rsid w:val="7E527BC8"/>
    <w:rsid w:val="7E6B2A38"/>
    <w:rsid w:val="7E755665"/>
    <w:rsid w:val="7E797DE5"/>
    <w:rsid w:val="7E7B0BF2"/>
    <w:rsid w:val="7E8D75B6"/>
    <w:rsid w:val="7E8E672B"/>
    <w:rsid w:val="7E9C7095"/>
    <w:rsid w:val="7E9E5A62"/>
    <w:rsid w:val="7EA27DDF"/>
    <w:rsid w:val="7EA5419C"/>
    <w:rsid w:val="7EC67BB0"/>
    <w:rsid w:val="7EC87E8B"/>
    <w:rsid w:val="7ED809AD"/>
    <w:rsid w:val="7EEB3B79"/>
    <w:rsid w:val="7EF760EE"/>
    <w:rsid w:val="7F030EC3"/>
    <w:rsid w:val="7F043CC7"/>
    <w:rsid w:val="7F2536B5"/>
    <w:rsid w:val="7F2C3CE7"/>
    <w:rsid w:val="7F2F688E"/>
    <w:rsid w:val="7F5A01CA"/>
    <w:rsid w:val="7F5D499F"/>
    <w:rsid w:val="7F5F130B"/>
    <w:rsid w:val="7F75661B"/>
    <w:rsid w:val="7F7D2A23"/>
    <w:rsid w:val="7FB17429"/>
    <w:rsid w:val="7FC237CA"/>
    <w:rsid w:val="7FD954A6"/>
    <w:rsid w:val="7FE74340"/>
    <w:rsid w:val="7FF1276A"/>
    <w:rsid w:val="97FEA5F5"/>
    <w:rsid w:val="EFEEE92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nhideWhenUsed="0"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qFormat="1"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160" w:line="360" w:lineRule="auto"/>
    </w:pPr>
    <w:rPr>
      <w:rFonts w:ascii="Tahoma" w:hAnsi="Tahoma" w:eastAsia="宋体" w:cstheme="minorBidi"/>
      <w:sz w:val="21"/>
      <w:szCs w:val="22"/>
      <w:lang w:val="en-US" w:eastAsia="zh-CN" w:bidi="ar-SA"/>
    </w:rPr>
  </w:style>
  <w:style w:type="paragraph" w:styleId="3">
    <w:name w:val="heading 1"/>
    <w:basedOn w:val="1"/>
    <w:next w:val="1"/>
    <w:link w:val="77"/>
    <w:qFormat/>
    <w:uiPriority w:val="9"/>
    <w:pPr>
      <w:keepNext/>
      <w:keepLines/>
      <w:spacing w:before="340" w:after="330" w:line="576" w:lineRule="auto"/>
      <w:outlineLvl w:val="0"/>
    </w:pPr>
    <w:rPr>
      <w:b/>
      <w:kern w:val="44"/>
      <w:sz w:val="44"/>
    </w:rPr>
  </w:style>
  <w:style w:type="paragraph" w:styleId="4">
    <w:name w:val="heading 2"/>
    <w:basedOn w:val="1"/>
    <w:next w:val="1"/>
    <w:link w:val="43"/>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44"/>
    <w:unhideWhenUsed/>
    <w:qFormat/>
    <w:uiPriority w:val="9"/>
    <w:pPr>
      <w:keepNext/>
      <w:keepLines/>
      <w:spacing w:before="260" w:after="260" w:line="416" w:lineRule="auto"/>
      <w:outlineLvl w:val="2"/>
    </w:pPr>
    <w:rPr>
      <w:b/>
      <w:bCs/>
      <w:sz w:val="32"/>
      <w:szCs w:val="32"/>
    </w:rPr>
  </w:style>
  <w:style w:type="paragraph" w:styleId="6">
    <w:name w:val="heading 4"/>
    <w:basedOn w:val="1"/>
    <w:next w:val="1"/>
    <w:link w:val="46"/>
    <w:unhideWhenUsed/>
    <w:qFormat/>
    <w:uiPriority w:val="9"/>
    <w:pPr>
      <w:keepNext/>
      <w:keepLines/>
      <w:outlineLvl w:val="3"/>
    </w:pPr>
    <w:rPr>
      <w:rFonts w:asciiTheme="majorHAnsi" w:hAnsiTheme="majorHAnsi" w:cstheme="majorBidi"/>
      <w:b/>
      <w:bCs/>
      <w:sz w:val="24"/>
      <w:szCs w:val="28"/>
    </w:rPr>
  </w:style>
  <w:style w:type="paragraph" w:styleId="7">
    <w:name w:val="heading 5"/>
    <w:basedOn w:val="1"/>
    <w:next w:val="1"/>
    <w:link w:val="76"/>
    <w:semiHidden/>
    <w:unhideWhenUsed/>
    <w:qFormat/>
    <w:uiPriority w:val="9"/>
    <w:pPr>
      <w:keepNext/>
      <w:keepLines/>
      <w:spacing w:before="280" w:after="290" w:line="372" w:lineRule="auto"/>
      <w:outlineLvl w:val="4"/>
    </w:pPr>
    <w:rPr>
      <w:b/>
      <w:sz w:val="28"/>
    </w:rPr>
  </w:style>
  <w:style w:type="character" w:default="1" w:styleId="34">
    <w:name w:val="Default Paragraph Font"/>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style>
  <w:style w:type="paragraph" w:styleId="8">
    <w:name w:val="toc 7"/>
    <w:basedOn w:val="1"/>
    <w:next w:val="1"/>
    <w:unhideWhenUsed/>
    <w:qFormat/>
    <w:uiPriority w:val="39"/>
    <w:pPr>
      <w:widowControl w:val="0"/>
      <w:adjustRightInd/>
      <w:snapToGrid/>
      <w:spacing w:line="240" w:lineRule="auto"/>
      <w:ind w:left="2520" w:leftChars="1200"/>
      <w:jc w:val="both"/>
    </w:pPr>
    <w:rPr>
      <w:rFonts w:asciiTheme="minorHAnsi" w:hAnsiTheme="minorHAnsi" w:eastAsiaTheme="minorEastAsia"/>
      <w:kern w:val="2"/>
    </w:rPr>
  </w:style>
  <w:style w:type="paragraph" w:styleId="9">
    <w:name w:val="annotation text"/>
    <w:basedOn w:val="1"/>
    <w:link w:val="65"/>
    <w:unhideWhenUsed/>
    <w:qFormat/>
    <w:uiPriority w:val="99"/>
  </w:style>
  <w:style w:type="paragraph" w:styleId="10">
    <w:name w:val="Body Text"/>
    <w:basedOn w:val="1"/>
    <w:next w:val="11"/>
    <w:link w:val="68"/>
    <w:qFormat/>
    <w:uiPriority w:val="1"/>
    <w:pPr>
      <w:spacing w:before="161"/>
      <w:ind w:left="120"/>
    </w:pPr>
    <w:rPr>
      <w:rFonts w:ascii="宋体" w:hAnsi="宋体" w:cs="宋体"/>
      <w:sz w:val="24"/>
      <w:lang w:val="zh-CN" w:bidi="zh-CN"/>
    </w:rPr>
  </w:style>
  <w:style w:type="paragraph" w:styleId="11">
    <w:name w:val="Body Text Indent"/>
    <w:basedOn w:val="1"/>
    <w:qFormat/>
    <w:uiPriority w:val="0"/>
    <w:pPr>
      <w:ind w:left="359" w:leftChars="171" w:firstLine="179" w:firstLineChars="85"/>
    </w:pPr>
    <w:rPr>
      <w:rFonts w:ascii="宋体" w:hAnsi="宋体"/>
      <w:b/>
      <w:bCs/>
      <w:szCs w:val="26"/>
    </w:rPr>
  </w:style>
  <w:style w:type="paragraph" w:styleId="12">
    <w:name w:val="toc 5"/>
    <w:basedOn w:val="1"/>
    <w:next w:val="1"/>
    <w:unhideWhenUsed/>
    <w:qFormat/>
    <w:uiPriority w:val="39"/>
    <w:pPr>
      <w:widowControl w:val="0"/>
      <w:adjustRightInd/>
      <w:snapToGrid/>
      <w:spacing w:line="240" w:lineRule="auto"/>
      <w:ind w:left="1680" w:leftChars="800"/>
      <w:jc w:val="both"/>
    </w:pPr>
    <w:rPr>
      <w:rFonts w:asciiTheme="minorHAnsi" w:hAnsiTheme="minorHAnsi" w:eastAsiaTheme="minorEastAsia"/>
      <w:kern w:val="2"/>
    </w:rPr>
  </w:style>
  <w:style w:type="paragraph" w:styleId="13">
    <w:name w:val="toc 3"/>
    <w:basedOn w:val="1"/>
    <w:next w:val="1"/>
    <w:unhideWhenUsed/>
    <w:qFormat/>
    <w:uiPriority w:val="39"/>
    <w:pPr>
      <w:tabs>
        <w:tab w:val="right" w:leader="dot" w:pos="8296"/>
      </w:tabs>
      <w:ind w:left="838" w:leftChars="381"/>
    </w:pPr>
    <w:rPr>
      <w:szCs w:val="21"/>
    </w:rPr>
  </w:style>
  <w:style w:type="paragraph" w:styleId="14">
    <w:name w:val="Plain Text"/>
    <w:basedOn w:val="1"/>
    <w:link w:val="57"/>
    <w:qFormat/>
    <w:uiPriority w:val="0"/>
    <w:pPr>
      <w:widowControl w:val="0"/>
      <w:adjustRightInd/>
      <w:snapToGrid/>
      <w:jc w:val="both"/>
    </w:pPr>
    <w:rPr>
      <w:rFonts w:ascii="宋体" w:hAnsi="Courier New" w:cs="Times New Roman"/>
      <w:b/>
      <w:kern w:val="2"/>
      <w:szCs w:val="20"/>
    </w:rPr>
  </w:style>
  <w:style w:type="paragraph" w:styleId="15">
    <w:name w:val="toc 8"/>
    <w:basedOn w:val="1"/>
    <w:next w:val="1"/>
    <w:unhideWhenUsed/>
    <w:qFormat/>
    <w:uiPriority w:val="39"/>
    <w:pPr>
      <w:widowControl w:val="0"/>
      <w:adjustRightInd/>
      <w:snapToGrid/>
      <w:spacing w:line="240" w:lineRule="auto"/>
      <w:ind w:left="2940" w:leftChars="1400"/>
      <w:jc w:val="both"/>
    </w:pPr>
    <w:rPr>
      <w:rFonts w:asciiTheme="minorHAnsi" w:hAnsiTheme="minorHAnsi" w:eastAsiaTheme="minorEastAsia"/>
      <w:kern w:val="2"/>
    </w:rPr>
  </w:style>
  <w:style w:type="paragraph" w:styleId="16">
    <w:name w:val="Balloon Text"/>
    <w:basedOn w:val="1"/>
    <w:link w:val="60"/>
    <w:semiHidden/>
    <w:unhideWhenUsed/>
    <w:qFormat/>
    <w:uiPriority w:val="99"/>
    <w:rPr>
      <w:sz w:val="18"/>
      <w:szCs w:val="18"/>
    </w:rPr>
  </w:style>
  <w:style w:type="paragraph" w:styleId="17">
    <w:name w:val="footer"/>
    <w:basedOn w:val="1"/>
    <w:link w:val="59"/>
    <w:unhideWhenUsed/>
    <w:qFormat/>
    <w:uiPriority w:val="99"/>
    <w:pPr>
      <w:tabs>
        <w:tab w:val="center" w:pos="4153"/>
        <w:tab w:val="right" w:pos="8306"/>
      </w:tabs>
    </w:pPr>
    <w:rPr>
      <w:sz w:val="18"/>
      <w:szCs w:val="18"/>
    </w:rPr>
  </w:style>
  <w:style w:type="paragraph" w:styleId="18">
    <w:name w:val="envelope return"/>
    <w:basedOn w:val="1"/>
    <w:qFormat/>
    <w:uiPriority w:val="0"/>
  </w:style>
  <w:style w:type="paragraph" w:styleId="19">
    <w:name w:val="header"/>
    <w:basedOn w:val="1"/>
    <w:link w:val="58"/>
    <w:unhideWhenUsed/>
    <w:qFormat/>
    <w:uiPriority w:val="99"/>
    <w:pPr>
      <w:pBdr>
        <w:bottom w:val="single" w:color="auto" w:sz="6" w:space="1"/>
      </w:pBdr>
      <w:tabs>
        <w:tab w:val="center" w:pos="4153"/>
        <w:tab w:val="right" w:pos="8306"/>
      </w:tabs>
      <w:jc w:val="center"/>
    </w:pPr>
    <w:rPr>
      <w:sz w:val="18"/>
      <w:szCs w:val="18"/>
    </w:rPr>
  </w:style>
  <w:style w:type="paragraph" w:styleId="20">
    <w:name w:val="toc 1"/>
    <w:basedOn w:val="1"/>
    <w:next w:val="1"/>
    <w:unhideWhenUsed/>
    <w:qFormat/>
    <w:uiPriority w:val="39"/>
  </w:style>
  <w:style w:type="paragraph" w:styleId="21">
    <w:name w:val="toc 4"/>
    <w:basedOn w:val="1"/>
    <w:next w:val="1"/>
    <w:unhideWhenUsed/>
    <w:qFormat/>
    <w:uiPriority w:val="39"/>
    <w:pPr>
      <w:tabs>
        <w:tab w:val="right" w:leader="dot" w:pos="8296"/>
      </w:tabs>
      <w:spacing w:after="120"/>
      <w:ind w:left="1320" w:leftChars="600"/>
    </w:pPr>
  </w:style>
  <w:style w:type="paragraph" w:styleId="22">
    <w:name w:val="footnote text"/>
    <w:basedOn w:val="1"/>
    <w:semiHidden/>
    <w:unhideWhenUsed/>
    <w:qFormat/>
    <w:uiPriority w:val="99"/>
    <w:rPr>
      <w:sz w:val="18"/>
    </w:rPr>
  </w:style>
  <w:style w:type="paragraph" w:styleId="23">
    <w:name w:val="toc 6"/>
    <w:basedOn w:val="1"/>
    <w:next w:val="1"/>
    <w:qFormat/>
    <w:uiPriority w:val="39"/>
    <w:pPr>
      <w:ind w:left="1200"/>
    </w:pPr>
    <w:rPr>
      <w:rFonts w:ascii="Calibri" w:cs="Calibri"/>
      <w:sz w:val="18"/>
      <w:szCs w:val="18"/>
    </w:rPr>
  </w:style>
  <w:style w:type="paragraph" w:styleId="24">
    <w:name w:val="toc 2"/>
    <w:basedOn w:val="1"/>
    <w:next w:val="1"/>
    <w:unhideWhenUsed/>
    <w:qFormat/>
    <w:uiPriority w:val="39"/>
    <w:pPr>
      <w:tabs>
        <w:tab w:val="right" w:leader="dot" w:pos="8296"/>
      </w:tabs>
      <w:ind w:left="440" w:leftChars="200"/>
      <w:jc w:val="center"/>
    </w:pPr>
    <w:rPr>
      <w:rFonts w:ascii="宋体" w:hAnsi="宋体"/>
      <w:sz w:val="30"/>
      <w:szCs w:val="30"/>
    </w:rPr>
  </w:style>
  <w:style w:type="paragraph" w:styleId="25">
    <w:name w:val="toc 9"/>
    <w:basedOn w:val="1"/>
    <w:next w:val="1"/>
    <w:unhideWhenUsed/>
    <w:qFormat/>
    <w:uiPriority w:val="39"/>
    <w:pPr>
      <w:widowControl w:val="0"/>
      <w:adjustRightInd/>
      <w:snapToGrid/>
      <w:spacing w:line="240" w:lineRule="auto"/>
      <w:ind w:left="3360" w:leftChars="1600"/>
      <w:jc w:val="both"/>
    </w:pPr>
    <w:rPr>
      <w:rFonts w:asciiTheme="minorHAnsi" w:hAnsiTheme="minorHAnsi" w:eastAsiaTheme="minorEastAsia"/>
      <w:kern w:val="2"/>
    </w:rPr>
  </w:style>
  <w:style w:type="paragraph" w:styleId="26">
    <w:name w:val="Body Text 2"/>
    <w:basedOn w:val="1"/>
    <w:qFormat/>
    <w:uiPriority w:val="0"/>
    <w:rPr>
      <w:sz w:val="24"/>
    </w:rPr>
  </w:style>
  <w:style w:type="paragraph" w:styleId="27">
    <w:name w:val="Normal (Web)"/>
    <w:basedOn w:val="1"/>
    <w:link w:val="62"/>
    <w:qFormat/>
    <w:uiPriority w:val="0"/>
    <w:pPr>
      <w:widowControl w:val="0"/>
      <w:adjustRightInd/>
      <w:snapToGrid/>
      <w:jc w:val="both"/>
    </w:pPr>
    <w:rPr>
      <w:rFonts w:asciiTheme="minorHAnsi" w:hAnsiTheme="minorHAnsi"/>
      <w:kern w:val="2"/>
      <w:sz w:val="24"/>
      <w:szCs w:val="24"/>
    </w:rPr>
  </w:style>
  <w:style w:type="paragraph" w:styleId="28">
    <w:name w:val="annotation subject"/>
    <w:basedOn w:val="9"/>
    <w:next w:val="9"/>
    <w:link w:val="66"/>
    <w:semiHidden/>
    <w:unhideWhenUsed/>
    <w:qFormat/>
    <w:uiPriority w:val="99"/>
    <w:rPr>
      <w:b/>
      <w:bCs/>
    </w:rPr>
  </w:style>
  <w:style w:type="paragraph" w:styleId="29">
    <w:name w:val="Body Text First Indent"/>
    <w:basedOn w:val="10"/>
    <w:next w:val="30"/>
    <w:qFormat/>
    <w:uiPriority w:val="0"/>
    <w:pPr>
      <w:spacing w:after="120"/>
      <w:ind w:firstLine="420" w:firstLineChars="100"/>
    </w:pPr>
    <w:rPr>
      <w:bCs/>
      <w:szCs w:val="21"/>
    </w:rPr>
  </w:style>
  <w:style w:type="paragraph" w:customStyle="1" w:styleId="30">
    <w:name w:val="样式 正文首行缩进 + 首行缩进:  1 字符"/>
    <w:basedOn w:val="1"/>
    <w:next w:val="1"/>
    <w:qFormat/>
    <w:uiPriority w:val="0"/>
    <w:pPr>
      <w:ind w:firstLine="200" w:firstLineChars="200"/>
    </w:pPr>
    <w:rPr>
      <w:rFonts w:cs="宋体"/>
      <w:szCs w:val="20"/>
    </w:rPr>
  </w:style>
  <w:style w:type="paragraph" w:styleId="31">
    <w:name w:val="Body Text First Indent 2"/>
    <w:basedOn w:val="11"/>
    <w:qFormat/>
    <w:uiPriority w:val="0"/>
    <w:pPr>
      <w:ind w:left="0" w:leftChars="0" w:firstLine="420" w:firstLineChars="200"/>
    </w:pPr>
    <w:rPr>
      <w:rFonts w:ascii="Tahoma" w:hAnsi="Tahoma"/>
      <w:sz w:val="28"/>
    </w:rPr>
  </w:style>
  <w:style w:type="table" w:styleId="33">
    <w:name w:val="Table Grid"/>
    <w:basedOn w:val="3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5">
    <w:name w:val="Strong"/>
    <w:basedOn w:val="34"/>
    <w:qFormat/>
    <w:uiPriority w:val="22"/>
    <w:rPr>
      <w:b/>
    </w:rPr>
  </w:style>
  <w:style w:type="character" w:styleId="36">
    <w:name w:val="page number"/>
    <w:basedOn w:val="34"/>
    <w:qFormat/>
    <w:uiPriority w:val="0"/>
  </w:style>
  <w:style w:type="character" w:styleId="37">
    <w:name w:val="Emphasis"/>
    <w:basedOn w:val="34"/>
    <w:qFormat/>
    <w:uiPriority w:val="20"/>
    <w:rPr>
      <w:i/>
      <w:iCs/>
    </w:rPr>
  </w:style>
  <w:style w:type="character" w:styleId="38">
    <w:name w:val="Hyperlink"/>
    <w:qFormat/>
    <w:uiPriority w:val="99"/>
    <w:rPr>
      <w:rFonts w:hint="eastAsia" w:ascii="宋体" w:hAnsi="宋体" w:eastAsia="宋体" w:cs="宋体"/>
      <w:b/>
      <w:color w:val="0031C1"/>
      <w:kern w:val="0"/>
      <w:sz w:val="18"/>
      <w:szCs w:val="18"/>
      <w:u w:val="none"/>
      <w:lang w:eastAsia="en-US"/>
    </w:rPr>
  </w:style>
  <w:style w:type="character" w:styleId="39">
    <w:name w:val="annotation reference"/>
    <w:basedOn w:val="34"/>
    <w:semiHidden/>
    <w:unhideWhenUsed/>
    <w:qFormat/>
    <w:uiPriority w:val="99"/>
    <w:rPr>
      <w:sz w:val="21"/>
      <w:szCs w:val="21"/>
    </w:rPr>
  </w:style>
  <w:style w:type="character" w:styleId="40">
    <w:name w:val="footnote reference"/>
    <w:basedOn w:val="34"/>
    <w:semiHidden/>
    <w:unhideWhenUsed/>
    <w:qFormat/>
    <w:uiPriority w:val="99"/>
    <w:rPr>
      <w:vertAlign w:val="superscript"/>
    </w:rPr>
  </w:style>
  <w:style w:type="paragraph" w:customStyle="1" w:styleId="41">
    <w:name w:val="文档正文"/>
    <w:basedOn w:val="1"/>
    <w:qFormat/>
    <w:uiPriority w:val="0"/>
    <w:rPr>
      <w:rFonts w:cs="Arial"/>
      <w:bCs/>
    </w:rPr>
  </w:style>
  <w:style w:type="paragraph" w:customStyle="1" w:styleId="42">
    <w:name w:val="首行缩进"/>
    <w:basedOn w:val="1"/>
    <w:qFormat/>
    <w:uiPriority w:val="0"/>
    <w:pPr>
      <w:adjustRightInd/>
      <w:spacing w:line="300" w:lineRule="auto"/>
      <w:ind w:firstLine="420" w:firstLineChars="200"/>
      <w:jc w:val="both"/>
    </w:pPr>
    <w:rPr>
      <w:rFonts w:ascii="Calibri" w:hAnsi="Calibri" w:eastAsia="方正书宋简体" w:cs="Times New Roman"/>
      <w:sz w:val="20"/>
    </w:rPr>
  </w:style>
  <w:style w:type="character" w:customStyle="1" w:styleId="43">
    <w:name w:val="标题 2 字符"/>
    <w:basedOn w:val="34"/>
    <w:link w:val="4"/>
    <w:qFormat/>
    <w:uiPriority w:val="9"/>
    <w:rPr>
      <w:rFonts w:asciiTheme="majorHAnsi" w:hAnsiTheme="majorHAnsi" w:eastAsiaTheme="majorEastAsia" w:cstheme="majorBidi"/>
      <w:b/>
      <w:bCs/>
      <w:sz w:val="32"/>
      <w:szCs w:val="32"/>
    </w:rPr>
  </w:style>
  <w:style w:type="character" w:customStyle="1" w:styleId="44">
    <w:name w:val="标题 3 字符"/>
    <w:basedOn w:val="34"/>
    <w:link w:val="5"/>
    <w:qFormat/>
    <w:uiPriority w:val="9"/>
    <w:rPr>
      <w:rFonts w:ascii="Tahoma" w:hAnsi="Tahoma"/>
      <w:b/>
      <w:bCs/>
      <w:sz w:val="32"/>
      <w:szCs w:val="32"/>
    </w:rPr>
  </w:style>
  <w:style w:type="paragraph" w:styleId="45">
    <w:name w:val="List Paragraph"/>
    <w:basedOn w:val="1"/>
    <w:link w:val="67"/>
    <w:qFormat/>
    <w:uiPriority w:val="0"/>
    <w:pPr>
      <w:ind w:firstLine="420" w:firstLineChars="200"/>
    </w:pPr>
  </w:style>
  <w:style w:type="character" w:customStyle="1" w:styleId="46">
    <w:name w:val="标题 4 字符"/>
    <w:basedOn w:val="34"/>
    <w:link w:val="6"/>
    <w:qFormat/>
    <w:uiPriority w:val="9"/>
    <w:rPr>
      <w:rFonts w:eastAsia="宋体" w:asciiTheme="majorHAnsi" w:hAnsiTheme="majorHAnsi" w:cstheme="majorBidi"/>
      <w:b/>
      <w:bCs/>
      <w:sz w:val="24"/>
      <w:szCs w:val="28"/>
    </w:rPr>
  </w:style>
  <w:style w:type="character" w:customStyle="1" w:styleId="47">
    <w:name w:val="正文缩进2格 Char"/>
    <w:link w:val="48"/>
    <w:qFormat/>
    <w:uiPriority w:val="0"/>
    <w:rPr>
      <w:rFonts w:ascii="仿宋_GB2312" w:hAnsi="宋体" w:eastAsia="仿宋_GB2312"/>
      <w:kern w:val="2"/>
      <w:sz w:val="31"/>
    </w:rPr>
  </w:style>
  <w:style w:type="paragraph" w:customStyle="1" w:styleId="48">
    <w:name w:val="正文缩进2格"/>
    <w:basedOn w:val="1"/>
    <w:link w:val="47"/>
    <w:qFormat/>
    <w:uiPriority w:val="0"/>
    <w:pPr>
      <w:widowControl w:val="0"/>
      <w:adjustRightInd/>
      <w:snapToGrid/>
      <w:spacing w:line="600" w:lineRule="exact"/>
      <w:ind w:firstLine="639" w:firstLineChars="206"/>
      <w:jc w:val="both"/>
    </w:pPr>
    <w:rPr>
      <w:rFonts w:ascii="仿宋_GB2312" w:hAnsi="宋体" w:eastAsia="仿宋_GB2312"/>
      <w:kern w:val="2"/>
      <w:sz w:val="31"/>
    </w:rPr>
  </w:style>
  <w:style w:type="paragraph" w:customStyle="1" w:styleId="49">
    <w:name w:val="正文缩进4格"/>
    <w:basedOn w:val="48"/>
    <w:qFormat/>
    <w:uiPriority w:val="0"/>
    <w:pPr>
      <w:ind w:left="2" w:firstLine="538" w:firstLineChars="192"/>
    </w:pPr>
    <w:rPr>
      <w:color w:val="0000FF"/>
      <w:sz w:val="28"/>
    </w:rPr>
  </w:style>
  <w:style w:type="character" w:customStyle="1" w:styleId="50">
    <w:name w:val="正文缩进2格 Char Char"/>
    <w:qFormat/>
    <w:uiPriority w:val="0"/>
    <w:rPr>
      <w:rFonts w:ascii="仿宋_GB2312" w:hAnsi="宋体" w:eastAsia="仿宋_GB2312" w:cs="Times New Roman"/>
      <w:b/>
      <w:kern w:val="2"/>
      <w:sz w:val="31"/>
      <w:szCs w:val="28"/>
      <w:lang w:val="en-US" w:eastAsia="zh-CN" w:bidi="ar-SA"/>
    </w:rPr>
  </w:style>
  <w:style w:type="paragraph" w:customStyle="1" w:styleId="51">
    <w:name w:val="_Style 3"/>
    <w:basedOn w:val="1"/>
    <w:qFormat/>
    <w:uiPriority w:val="0"/>
    <w:pPr>
      <w:widowControl w:val="0"/>
      <w:adjustRightInd/>
      <w:snapToGrid/>
      <w:ind w:firstLine="420" w:firstLineChars="200"/>
      <w:jc w:val="both"/>
    </w:pPr>
    <w:rPr>
      <w:rFonts w:ascii="Times New Roman" w:hAnsi="Times New Roman" w:cs="Times New Roman"/>
      <w:kern w:val="2"/>
      <w:szCs w:val="24"/>
    </w:rPr>
  </w:style>
  <w:style w:type="character" w:customStyle="1" w:styleId="52">
    <w:name w:val="标题1"/>
    <w:qFormat/>
    <w:uiPriority w:val="0"/>
    <w:rPr>
      <w:rFonts w:ascii="Times New Roman" w:hAnsi="Times New Roman" w:eastAsia="宋体" w:cs="Times New Roman"/>
      <w:b/>
      <w:kern w:val="0"/>
      <w:sz w:val="24"/>
      <w:szCs w:val="20"/>
      <w:lang w:eastAsia="en-US"/>
    </w:rPr>
  </w:style>
  <w:style w:type="character" w:customStyle="1" w:styleId="53">
    <w:name w:val="标题 3.1 Char"/>
    <w:link w:val="54"/>
    <w:qFormat/>
    <w:uiPriority w:val="0"/>
    <w:rPr>
      <w:rFonts w:ascii="宋体" w:hAnsi="宋体" w:eastAsia="宋体"/>
      <w:b/>
      <w:color w:val="FF0000"/>
      <w:kern w:val="2"/>
      <w:sz w:val="32"/>
    </w:rPr>
  </w:style>
  <w:style w:type="paragraph" w:customStyle="1" w:styleId="54">
    <w:name w:val="标题 3.1"/>
    <w:basedOn w:val="5"/>
    <w:link w:val="53"/>
    <w:qFormat/>
    <w:uiPriority w:val="0"/>
    <w:pPr>
      <w:widowControl w:val="0"/>
      <w:tabs>
        <w:tab w:val="left" w:pos="1440"/>
        <w:tab w:val="left" w:pos="1620"/>
      </w:tabs>
      <w:adjustRightInd/>
      <w:snapToGrid/>
      <w:spacing w:line="600" w:lineRule="exact"/>
      <w:jc w:val="both"/>
    </w:pPr>
    <w:rPr>
      <w:rFonts w:ascii="宋体" w:hAnsi="宋体"/>
      <w:bCs w:val="0"/>
      <w:color w:val="FF0000"/>
      <w:kern w:val="2"/>
      <w:szCs w:val="22"/>
    </w:rPr>
  </w:style>
  <w:style w:type="character" w:customStyle="1" w:styleId="55">
    <w:name w:val="样式 楷体_GB2312 小四"/>
    <w:qFormat/>
    <w:uiPriority w:val="0"/>
    <w:rPr>
      <w:rFonts w:ascii="楷体_GB2312" w:hAnsi="楷体_GB2312" w:eastAsia="仿宋_GB2312"/>
      <w:sz w:val="24"/>
    </w:rPr>
  </w:style>
  <w:style w:type="character" w:customStyle="1" w:styleId="56">
    <w:name w:val="纯文本 Char"/>
    <w:qFormat/>
    <w:uiPriority w:val="0"/>
    <w:rPr>
      <w:rFonts w:ascii="宋体" w:hAnsi="Courier New" w:eastAsia="宋体" w:cs="Times New Roman"/>
      <w:b/>
      <w:kern w:val="2"/>
      <w:sz w:val="21"/>
      <w:szCs w:val="20"/>
    </w:rPr>
  </w:style>
  <w:style w:type="character" w:customStyle="1" w:styleId="57">
    <w:name w:val="纯文本 字符"/>
    <w:basedOn w:val="34"/>
    <w:link w:val="14"/>
    <w:semiHidden/>
    <w:qFormat/>
    <w:uiPriority w:val="99"/>
    <w:rPr>
      <w:rFonts w:ascii="宋体" w:hAnsi="Courier New" w:eastAsia="宋体" w:cs="Courier New"/>
      <w:sz w:val="21"/>
      <w:szCs w:val="21"/>
    </w:rPr>
  </w:style>
  <w:style w:type="character" w:customStyle="1" w:styleId="58">
    <w:name w:val="页眉 字符"/>
    <w:basedOn w:val="34"/>
    <w:link w:val="19"/>
    <w:qFormat/>
    <w:uiPriority w:val="99"/>
    <w:rPr>
      <w:rFonts w:ascii="Tahoma" w:hAnsi="Tahoma"/>
      <w:sz w:val="18"/>
      <w:szCs w:val="18"/>
    </w:rPr>
  </w:style>
  <w:style w:type="character" w:customStyle="1" w:styleId="59">
    <w:name w:val="页脚 字符"/>
    <w:basedOn w:val="34"/>
    <w:link w:val="17"/>
    <w:qFormat/>
    <w:uiPriority w:val="99"/>
    <w:rPr>
      <w:rFonts w:ascii="Tahoma" w:hAnsi="Tahoma"/>
      <w:sz w:val="18"/>
      <w:szCs w:val="18"/>
    </w:rPr>
  </w:style>
  <w:style w:type="character" w:customStyle="1" w:styleId="60">
    <w:name w:val="批注框文本 字符"/>
    <w:basedOn w:val="34"/>
    <w:link w:val="16"/>
    <w:semiHidden/>
    <w:qFormat/>
    <w:uiPriority w:val="99"/>
    <w:rPr>
      <w:rFonts w:ascii="Tahoma" w:hAnsi="Tahoma"/>
      <w:sz w:val="18"/>
      <w:szCs w:val="18"/>
    </w:rPr>
  </w:style>
  <w:style w:type="paragraph" w:customStyle="1" w:styleId="61">
    <w:name w:val="Char Char2 Char"/>
    <w:basedOn w:val="1"/>
    <w:qFormat/>
    <w:uiPriority w:val="0"/>
    <w:pPr>
      <w:widowControl w:val="0"/>
      <w:adjustRightInd/>
      <w:snapToGrid/>
      <w:jc w:val="both"/>
    </w:pPr>
    <w:rPr>
      <w:rFonts w:ascii="宋体" w:hAnsi="宋体" w:cs="Times New Roman"/>
      <w:b/>
      <w:kern w:val="2"/>
      <w:sz w:val="28"/>
      <w:szCs w:val="28"/>
    </w:rPr>
  </w:style>
  <w:style w:type="character" w:customStyle="1" w:styleId="62">
    <w:name w:val="普通(网站) 字符"/>
    <w:link w:val="27"/>
    <w:qFormat/>
    <w:uiPriority w:val="0"/>
    <w:rPr>
      <w:rFonts w:eastAsia="宋体"/>
      <w:kern w:val="2"/>
      <w:sz w:val="24"/>
      <w:szCs w:val="24"/>
    </w:rPr>
  </w:style>
  <w:style w:type="paragraph" w:customStyle="1" w:styleId="63">
    <w:name w:val="列出段落1"/>
    <w:basedOn w:val="1"/>
    <w:qFormat/>
    <w:uiPriority w:val="99"/>
    <w:pPr>
      <w:widowControl w:val="0"/>
      <w:adjustRightInd/>
      <w:snapToGrid/>
      <w:ind w:firstLine="420" w:firstLineChars="200"/>
      <w:jc w:val="both"/>
    </w:pPr>
    <w:rPr>
      <w:rFonts w:ascii="Times New Roman" w:hAnsi="Times New Roman" w:cs="Times New Roman"/>
      <w:kern w:val="2"/>
      <w:sz w:val="24"/>
      <w:szCs w:val="24"/>
    </w:rPr>
  </w:style>
  <w:style w:type="character" w:customStyle="1" w:styleId="64">
    <w:name w:val="p141"/>
    <w:qFormat/>
    <w:uiPriority w:val="0"/>
    <w:rPr>
      <w:sz w:val="21"/>
      <w:szCs w:val="21"/>
    </w:rPr>
  </w:style>
  <w:style w:type="character" w:customStyle="1" w:styleId="65">
    <w:name w:val="批注文字 字符"/>
    <w:basedOn w:val="34"/>
    <w:link w:val="9"/>
    <w:qFormat/>
    <w:uiPriority w:val="99"/>
    <w:rPr>
      <w:rFonts w:ascii="Tahoma" w:hAnsi="Tahoma" w:eastAsia="微软雅黑" w:cstheme="minorBidi"/>
      <w:sz w:val="22"/>
      <w:szCs w:val="22"/>
    </w:rPr>
  </w:style>
  <w:style w:type="character" w:customStyle="1" w:styleId="66">
    <w:name w:val="批注主题 字符"/>
    <w:basedOn w:val="65"/>
    <w:link w:val="28"/>
    <w:semiHidden/>
    <w:qFormat/>
    <w:uiPriority w:val="99"/>
    <w:rPr>
      <w:rFonts w:ascii="Tahoma" w:hAnsi="Tahoma" w:eastAsia="微软雅黑" w:cstheme="minorBidi"/>
      <w:b/>
      <w:bCs/>
      <w:sz w:val="22"/>
      <w:szCs w:val="22"/>
    </w:rPr>
  </w:style>
  <w:style w:type="character" w:customStyle="1" w:styleId="67">
    <w:name w:val="列表段落 字符"/>
    <w:link w:val="45"/>
    <w:qFormat/>
    <w:uiPriority w:val="0"/>
    <w:rPr>
      <w:rFonts w:ascii="Tahoma" w:hAnsi="Tahoma" w:eastAsia="微软雅黑" w:cstheme="minorBidi"/>
      <w:sz w:val="22"/>
      <w:szCs w:val="22"/>
    </w:rPr>
  </w:style>
  <w:style w:type="character" w:customStyle="1" w:styleId="68">
    <w:name w:val="正文文本 字符"/>
    <w:basedOn w:val="34"/>
    <w:link w:val="10"/>
    <w:qFormat/>
    <w:uiPriority w:val="1"/>
    <w:rPr>
      <w:rFonts w:ascii="宋体" w:hAnsi="宋体" w:cs="宋体"/>
      <w:sz w:val="24"/>
      <w:szCs w:val="22"/>
      <w:lang w:val="zh-CN" w:bidi="zh-CN"/>
    </w:rPr>
  </w:style>
  <w:style w:type="paragraph" w:customStyle="1" w:styleId="69">
    <w:name w:val="Default"/>
    <w:qFormat/>
    <w:uiPriority w:val="0"/>
    <w:pPr>
      <w:widowControl w:val="0"/>
      <w:autoSpaceDE w:val="0"/>
      <w:autoSpaceDN w:val="0"/>
      <w:adjustRightInd w:val="0"/>
      <w:spacing w:after="160" w:line="278" w:lineRule="auto"/>
    </w:pPr>
    <w:rPr>
      <w:rFonts w:ascii="宋体" w:hAnsi="Times New Roman" w:eastAsia="宋体" w:cs="宋体"/>
      <w:color w:val="000000"/>
      <w:sz w:val="24"/>
      <w:szCs w:val="24"/>
      <w:lang w:val="en-US" w:eastAsia="zh-CN" w:bidi="ar-SA"/>
    </w:rPr>
  </w:style>
  <w:style w:type="paragraph" w:customStyle="1" w:styleId="70">
    <w:name w:val="_Style 1"/>
    <w:basedOn w:val="1"/>
    <w:qFormat/>
    <w:uiPriority w:val="0"/>
    <w:pPr>
      <w:ind w:firstLine="420" w:firstLineChars="200"/>
    </w:pPr>
  </w:style>
  <w:style w:type="paragraph" w:customStyle="1" w:styleId="71">
    <w:name w:val="列出段落2"/>
    <w:basedOn w:val="1"/>
    <w:qFormat/>
    <w:uiPriority w:val="0"/>
    <w:pPr>
      <w:ind w:firstLine="420" w:firstLineChars="200"/>
    </w:pPr>
  </w:style>
  <w:style w:type="paragraph" w:customStyle="1" w:styleId="72">
    <w:name w:val="p0"/>
    <w:basedOn w:val="1"/>
    <w:qFormat/>
    <w:uiPriority w:val="0"/>
    <w:rPr>
      <w:szCs w:val="21"/>
    </w:rPr>
  </w:style>
  <w:style w:type="paragraph" w:customStyle="1" w:styleId="73">
    <w:name w:val="正文文本缩进 21"/>
    <w:basedOn w:val="1"/>
    <w:qFormat/>
    <w:uiPriority w:val="0"/>
    <w:pPr>
      <w:spacing w:line="480" w:lineRule="auto"/>
      <w:ind w:firstLine="540"/>
    </w:pPr>
    <w:rPr>
      <w:rFonts w:ascii="Calibri" w:hAnsi="Calibri"/>
      <w:sz w:val="20"/>
      <w:szCs w:val="20"/>
    </w:rPr>
  </w:style>
  <w:style w:type="paragraph" w:customStyle="1" w:styleId="74">
    <w:name w:val="_Style 2"/>
    <w:basedOn w:val="1"/>
    <w:qFormat/>
    <w:uiPriority w:val="0"/>
    <w:pPr>
      <w:ind w:firstLine="420" w:firstLineChars="200"/>
    </w:pPr>
  </w:style>
  <w:style w:type="paragraph" w:customStyle="1" w:styleId="75">
    <w:name w:val="msolistparagraph"/>
    <w:basedOn w:val="1"/>
    <w:qFormat/>
    <w:uiPriority w:val="0"/>
    <w:pPr>
      <w:ind w:firstLine="420" w:firstLineChars="200"/>
    </w:pPr>
    <w:rPr>
      <w:rFonts w:hint="eastAsia" w:hAnsi="宋体"/>
    </w:rPr>
  </w:style>
  <w:style w:type="character" w:customStyle="1" w:styleId="76">
    <w:name w:val="标题 5 字符"/>
    <w:link w:val="7"/>
    <w:qFormat/>
    <w:uiPriority w:val="0"/>
    <w:rPr>
      <w:b/>
      <w:sz w:val="28"/>
    </w:rPr>
  </w:style>
  <w:style w:type="character" w:customStyle="1" w:styleId="77">
    <w:name w:val="标题 1 字符"/>
    <w:link w:val="3"/>
    <w:qFormat/>
    <w:uiPriority w:val="9"/>
    <w:rPr>
      <w:b/>
      <w:kern w:val="44"/>
      <w:sz w:val="44"/>
    </w:rPr>
  </w:style>
  <w:style w:type="paragraph" w:customStyle="1" w:styleId="78">
    <w:name w:val="修订1"/>
    <w:hidden/>
    <w:semiHidden/>
    <w:qFormat/>
    <w:uiPriority w:val="99"/>
    <w:pPr>
      <w:spacing w:after="160" w:line="278" w:lineRule="auto"/>
    </w:pPr>
    <w:rPr>
      <w:rFonts w:ascii="Tahoma" w:hAnsi="Tahoma" w:eastAsia="宋体" w:cstheme="minorBidi"/>
      <w:sz w:val="21"/>
      <w:szCs w:val="22"/>
      <w:lang w:val="en-US" w:eastAsia="zh-CN" w:bidi="ar-SA"/>
    </w:rPr>
  </w:style>
  <w:style w:type="paragraph" w:customStyle="1" w:styleId="79">
    <w:name w:val="表格文字"/>
    <w:basedOn w:val="1"/>
    <w:qFormat/>
    <w:uiPriority w:val="0"/>
    <w:pPr>
      <w:adjustRightInd/>
      <w:spacing w:before="25" w:after="25"/>
    </w:pPr>
    <w:rPr>
      <w:rFonts w:ascii="Times New Roman"/>
      <w:bCs/>
      <w:spacing w:val="10"/>
      <w:szCs w:val="20"/>
    </w:rPr>
  </w:style>
  <w:style w:type="paragraph" w:customStyle="1" w:styleId="80">
    <w:name w:val="纯文本1"/>
    <w:basedOn w:val="81"/>
    <w:qFormat/>
    <w:uiPriority w:val="0"/>
    <w:rPr>
      <w:rFonts w:ascii="宋体" w:hAnsi="Courier New"/>
      <w:szCs w:val="20"/>
    </w:rPr>
  </w:style>
  <w:style w:type="paragraph" w:customStyle="1" w:styleId="81">
    <w:name w:val="正文 New"/>
    <w:qFormat/>
    <w:uiPriority w:val="99"/>
    <w:pPr>
      <w:widowControl w:val="0"/>
      <w:spacing w:after="160" w:line="360" w:lineRule="auto"/>
      <w:jc w:val="both"/>
    </w:pPr>
    <w:rPr>
      <w:rFonts w:ascii="Times New Roman" w:hAnsi="Times New Roman" w:eastAsia="宋体" w:cs="黑体"/>
      <w:kern w:val="2"/>
      <w:sz w:val="21"/>
      <w:szCs w:val="22"/>
      <w:lang w:val="en-US" w:eastAsia="zh-CN" w:bidi="ar-SA"/>
    </w:rPr>
  </w:style>
  <w:style w:type="paragraph" w:customStyle="1" w:styleId="82">
    <w:name w:val="正文2"/>
    <w:qFormat/>
    <w:uiPriority w:val="0"/>
    <w:pPr>
      <w:spacing w:after="160" w:line="278" w:lineRule="auto"/>
      <w:jc w:val="both"/>
    </w:pPr>
    <w:rPr>
      <w:rFonts w:ascii="Times New Roman" w:hAnsi="Times New Roman" w:eastAsia="宋体" w:cs="Times New Roman"/>
      <w:kern w:val="2"/>
      <w:sz w:val="21"/>
      <w:szCs w:val="21"/>
      <w:lang w:val="en-US" w:eastAsia="zh-CN" w:bidi="ar-SA"/>
    </w:rPr>
  </w:style>
  <w:style w:type="table" w:customStyle="1" w:styleId="83">
    <w:name w:val="Table Normal"/>
    <w:semiHidden/>
    <w:unhideWhenUsed/>
    <w:qFormat/>
    <w:uiPriority w:val="2"/>
    <w:tblPr>
      <w:tblCellMar>
        <w:top w:w="0" w:type="dxa"/>
        <w:left w:w="0" w:type="dxa"/>
        <w:bottom w:w="0" w:type="dxa"/>
        <w:right w:w="0" w:type="dxa"/>
      </w:tblCellMar>
    </w:tblPr>
  </w:style>
  <w:style w:type="paragraph" w:customStyle="1" w:styleId="84">
    <w:name w:val="Table Paragraph"/>
    <w:basedOn w:val="1"/>
    <w:qFormat/>
    <w:uiPriority w:val="1"/>
  </w:style>
  <w:style w:type="paragraph" w:customStyle="1" w:styleId="85">
    <w:name w:val="正文文本缩进1"/>
    <w:basedOn w:val="81"/>
    <w:qFormat/>
    <w:uiPriority w:val="0"/>
    <w:pPr>
      <w:spacing w:after="120"/>
      <w:ind w:left="420" w:leftChars="200"/>
    </w:pPr>
  </w:style>
  <w:style w:type="paragraph" w:customStyle="1" w:styleId="86">
    <w:name w:val="正文 New New"/>
    <w:qFormat/>
    <w:uiPriority w:val="0"/>
    <w:pPr>
      <w:widowControl w:val="0"/>
      <w:spacing w:after="160" w:line="278" w:lineRule="auto"/>
      <w:jc w:val="both"/>
    </w:pPr>
    <w:rPr>
      <w:rFonts w:ascii="Times New Roman" w:hAnsi="Times New Roman" w:eastAsia="宋体" w:cs="Times New Roman"/>
      <w:szCs w:val="24"/>
      <w:lang w:val="en-US" w:eastAsia="zh-CN" w:bidi="ar-SA"/>
    </w:rPr>
  </w:style>
  <w:style w:type="paragraph" w:customStyle="1" w:styleId="87">
    <w:name w:val="纯文本2"/>
    <w:basedOn w:val="81"/>
    <w:qFormat/>
    <w:uiPriority w:val="0"/>
    <w:rPr>
      <w:rFonts w:ascii="宋体" w:hAnsi="Courier New"/>
      <w:szCs w:val="20"/>
    </w:rPr>
  </w:style>
  <w:style w:type="character" w:customStyle="1" w:styleId="88">
    <w:name w:val="font141"/>
    <w:qFormat/>
    <w:uiPriority w:val="0"/>
    <w:rPr>
      <w:rFonts w:hint="default" w:ascii="Times New Roman" w:hAnsi="Times New Roman" w:cs="Times New Roman"/>
      <w:color w:val="000000"/>
      <w:sz w:val="18"/>
      <w:szCs w:val="18"/>
      <w:u w:val="none"/>
    </w:rPr>
  </w:style>
  <w:style w:type="character" w:customStyle="1" w:styleId="89">
    <w:name w:val="font71"/>
    <w:qFormat/>
    <w:uiPriority w:val="0"/>
    <w:rPr>
      <w:rFonts w:hint="eastAsia" w:ascii="宋体" w:hAnsi="宋体" w:eastAsia="宋体" w:cs="宋体"/>
      <w:color w:val="000000"/>
      <w:sz w:val="18"/>
      <w:szCs w:val="18"/>
      <w:u w:val="none"/>
    </w:rPr>
  </w:style>
  <w:style w:type="paragraph" w:customStyle="1" w:styleId="90">
    <w:name w:val="Table Text"/>
    <w:basedOn w:val="1"/>
    <w:semiHidden/>
    <w:qFormat/>
    <w:uiPriority w:val="0"/>
    <w:rPr>
      <w:rFonts w:ascii="宋体" w:hAnsi="宋体" w:cs="宋体"/>
      <w:sz w:val="28"/>
      <w:szCs w:val="28"/>
      <w:lang w:eastAsia="en-US"/>
    </w:rPr>
  </w:style>
  <w:style w:type="paragraph" w:customStyle="1" w:styleId="91">
    <w:name w:val="Normal-1"/>
    <w:basedOn w:val="1"/>
    <w:qFormat/>
    <w:uiPriority w:val="0"/>
    <w:pPr>
      <w:spacing w:after="156" w:afterLines="50" w:line="312" w:lineRule="auto"/>
      <w:ind w:firstLine="200" w:firstLineChars="200"/>
    </w:pPr>
    <w:rPr>
      <w:rFonts w:ascii="Arial" w:hAnsi="Arial" w:cs="Arial"/>
      <w:sz w:val="24"/>
    </w:rPr>
  </w:style>
  <w:style w:type="paragraph" w:customStyle="1" w:styleId="92">
    <w:name w:val="表格字体"/>
    <w:basedOn w:val="1"/>
    <w:qFormat/>
    <w:uiPriority w:val="0"/>
    <w:rPr>
      <w:rFonts w:ascii="微软雅黑" w:hAnsi="微软雅黑" w:eastAsia="仿宋"/>
      <w:kern w:val="2"/>
      <w:sz w:val="20"/>
    </w:rPr>
  </w:style>
  <w:style w:type="paragraph" w:customStyle="1" w:styleId="93">
    <w:name w:val="Revision"/>
    <w:hidden/>
    <w:unhideWhenUsed/>
    <w:qFormat/>
    <w:uiPriority w:val="99"/>
    <w:pPr>
      <w:spacing w:after="0" w:line="240" w:lineRule="auto"/>
    </w:pPr>
    <w:rPr>
      <w:rFonts w:ascii="Tahoma" w:hAnsi="Tahoma" w:eastAsia="宋体" w:cstheme="minorBidi"/>
      <w:sz w:val="21"/>
      <w:szCs w:val="22"/>
      <w:lang w:val="en-US" w:eastAsia="zh-CN" w:bidi="ar-SA"/>
    </w:rPr>
  </w:style>
  <w:style w:type="character" w:customStyle="1" w:styleId="94">
    <w:name w:val="font11"/>
    <w:basedOn w:val="34"/>
    <w:qFormat/>
    <w:uiPriority w:val="0"/>
    <w:rPr>
      <w:rFonts w:hint="default" w:ascii="Arial" w:hAnsi="Arial" w:cs="Arial"/>
      <w:color w:val="000000"/>
      <w:sz w:val="20"/>
      <w:szCs w:val="20"/>
      <w:u w:val="none"/>
    </w:rPr>
  </w:style>
  <w:style w:type="character" w:customStyle="1" w:styleId="95">
    <w:name w:val="font01"/>
    <w:basedOn w:val="34"/>
    <w:qFormat/>
    <w:uiPriority w:val="0"/>
    <w:rPr>
      <w:rFonts w:hint="eastAsia" w:ascii="宋体" w:hAnsi="宋体" w:eastAsia="宋体" w:cs="宋体"/>
      <w:color w:val="000000"/>
      <w:sz w:val="20"/>
      <w:szCs w:val="20"/>
      <w:u w:val="none"/>
    </w:rPr>
  </w:style>
  <w:style w:type="character" w:customStyle="1" w:styleId="96">
    <w:name w:val="font21"/>
    <w:basedOn w:val="34"/>
    <w:qFormat/>
    <w:uiPriority w:val="0"/>
    <w:rPr>
      <w:rFonts w:hint="default" w:ascii="Arial" w:hAnsi="Arial" w:cs="Arial"/>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126</Pages>
  <Words>71141</Words>
  <Characters>73651</Characters>
  <Lines>1592</Lines>
  <Paragraphs>943</Paragraphs>
  <TotalTime>5</TotalTime>
  <ScaleCrop>false</ScaleCrop>
  <LinksUpToDate>false</LinksUpToDate>
  <CharactersWithSpaces>76300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2022-10-29T09:19:00Z</dcterms:created>
  <dc:creator>MyPC</dc:creator>
  <cp:lastModifiedBy>张晓彬</cp:lastModifiedBy>
  <cp:lastPrinted>2025-07-17T08:47:00Z</cp:lastPrinted>
  <dcterms:modified xsi:type="dcterms:W3CDTF">2026-09-30T02:51:27Z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17F93CC15BF8427789654C9FD6A709F6_13</vt:lpwstr>
  </property>
  <property fmtid="{D5CDD505-2E9C-101B-9397-08002B2CF9AE}" pid="4" name="KSOTemplateDocerSaveRecord">
    <vt:lpwstr>eyJoZGlkIjoiMGViNTBlNDg4ZDAxYzRkZWU0OGZlNWFlMGNmNzFiNzEiLCJ1c2VySWQiOiIzODE1MDA0MDkifQ==</vt:lpwstr>
  </property>
</Properties>
</file>