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327D2">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6741D615">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7820397B">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东莞市三江六岸滨水岸线示范段项目二期综合材料采购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2426BF5E">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东莞市三江六岸滨水岸线示范段项目二期综合材料采购</w:t>
      </w:r>
      <w:r>
        <w:rPr>
          <w:rFonts w:hint="eastAsia" w:ascii="仿宋_GB2312" w:hAnsi="仿宋_GB2312" w:eastAsia="仿宋_GB2312" w:cs="仿宋_GB2312"/>
          <w:color w:val="auto"/>
          <w:kern w:val="0"/>
          <w:sz w:val="21"/>
          <w:szCs w:val="21"/>
          <w:u w:val="single"/>
          <w:lang w:val="en-US" w:eastAsia="zh-CN"/>
        </w:rPr>
        <w:t xml:space="preserve">  </w:t>
      </w:r>
    </w:p>
    <w:p w14:paraId="71EC170F">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185</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p>
    <w:p w14:paraId="5B4ECE68">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东莞万江                   </w:t>
      </w:r>
    </w:p>
    <w:p w14:paraId="1120F4B3">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73312208">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¥ 734459.47</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柒拾叁万肆仟肆佰伍拾玖元肆角柒分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)¥ 649964.13元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陆拾肆万玖仟玖佰陆拾肆元壹角叁分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¥ 84495.34元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捌万肆仟肆佰玖拾伍元叁角肆分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5746839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val="0"/>
          <w:bCs w:val="0"/>
          <w:color w:val="auto"/>
          <w:kern w:val="0"/>
          <w:sz w:val="21"/>
          <w:szCs w:val="21"/>
          <w:highlight w:val="none"/>
          <w:lang w:val="en-US" w:eastAsia="zh-CN"/>
        </w:rPr>
        <w:t>东莞市三江六岸滨水岸线示范段项目二期工程位于东莞主城区万江街道金曲路，塔园覆土建筑面积为:633m2,建筑高度:4.00m，包括但不限于:装饰工程、给排水工程、电气工程、弱电工程、消防工程、通风工程等。以上招标范围未尽事宜，详见招标图纸和技术要求，并满足设计文件的要求。</w:t>
      </w:r>
    </w:p>
    <w:p w14:paraId="012FBA12">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435C09B4">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20" w:firstLineChars="200"/>
        <w:textAlignment w:val="auto"/>
        <w:rPr>
          <w:rFonts w:hint="eastAsia" w:ascii="仿宋_GB2312" w:hAnsi="仿宋_GB2312" w:eastAsia="仿宋_GB2312" w:cs="仿宋_GB2312"/>
          <w:b/>
          <w:bCs/>
          <w:color w:val="auto"/>
          <w:kern w:val="0"/>
          <w:sz w:val="21"/>
          <w:szCs w:val="21"/>
          <w:u w:val="single"/>
        </w:rPr>
      </w:pPr>
      <w:r>
        <w:rPr>
          <w:rFonts w:ascii="仿宋_GB2312" w:hAnsi="仿宋_GB2312" w:eastAsia="仿宋_GB2312" w:cs="仿宋_GB2312"/>
          <w:i w:val="0"/>
          <w:iCs w:val="0"/>
          <w:caps w:val="0"/>
          <w:color w:val="auto"/>
          <w:spacing w:val="0"/>
          <w:sz w:val="21"/>
          <w:szCs w:val="21"/>
          <w:highlight w:val="none"/>
          <w:shd w:val="clear" w:color="auto" w:fill="auto"/>
          <w:lang w:bidi="ar-SA"/>
        </w:rPr>
        <w:t>综合材料：中砂、青砖、蒸压加气混凝土砌块等</w:t>
      </w:r>
      <w:r>
        <w:rPr>
          <w:rFonts w:hint="eastAsia" w:ascii="仿宋_GB2312" w:hAnsi="仿宋_GB2312" w:eastAsia="仿宋_GB2312" w:cs="仿宋_GB2312"/>
          <w:i w:val="0"/>
          <w:iCs w:val="0"/>
          <w:caps w:val="0"/>
          <w:color w:val="auto"/>
          <w:spacing w:val="0"/>
          <w:sz w:val="21"/>
          <w:szCs w:val="21"/>
          <w:highlight w:val="none"/>
          <w:shd w:val="clear" w:color="auto" w:fill="auto"/>
          <w:lang w:val="en-US" w:eastAsia="zh-CN" w:bidi="ar-SA"/>
        </w:rPr>
        <w:t>材料，</w:t>
      </w:r>
      <w:r>
        <w:rPr>
          <w:rFonts w:hint="eastAsia" w:ascii="仿宋_GB2312" w:hAnsi="仿宋_GB2312" w:eastAsia="仿宋_GB2312" w:cs="仿宋_GB2312"/>
          <w:color w:val="auto"/>
          <w:kern w:val="0"/>
          <w:sz w:val="21"/>
          <w:szCs w:val="21"/>
          <w:highlight w:val="none"/>
          <w:lang w:val="en-US" w:eastAsia="zh-CN"/>
        </w:rPr>
        <w:t>具体品名、规格型号、技术参数、数量等</w:t>
      </w:r>
      <w:r>
        <w:rPr>
          <w:rFonts w:hint="eastAsia" w:ascii="仿宋_GB2312" w:hAnsi="仿宋_GB2312" w:eastAsia="仿宋_GB2312" w:cs="仿宋_GB2312"/>
          <w:color w:val="auto"/>
          <w:spacing w:val="0"/>
          <w:kern w:val="0"/>
          <w:szCs w:val="21"/>
          <w:highlight w:val="none"/>
          <w:lang w:val="en-US" w:eastAsia="zh-CN"/>
        </w:rPr>
        <w:t>具体详见工程量清单及图纸。</w:t>
      </w:r>
      <w:r>
        <w:rPr>
          <w:rFonts w:hint="eastAsia" w:ascii="仿宋_GB2312" w:hAnsi="仿宋_GB2312" w:eastAsia="仿宋_GB2312" w:cs="仿宋_GB2312"/>
          <w:b w:val="0"/>
          <w:bCs w:val="0"/>
          <w:color w:val="auto"/>
          <w:kern w:val="0"/>
          <w:sz w:val="21"/>
          <w:szCs w:val="21"/>
          <w:highlight w:val="none"/>
          <w:u w:val="none"/>
          <w:lang w:val="en-US" w:eastAsia="zh-CN"/>
        </w:rPr>
        <w:t xml:space="preserve"> </w:t>
      </w:r>
    </w:p>
    <w:p w14:paraId="3FE26CF8">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186F0CA0">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w:t>
      </w:r>
      <w:r>
        <w:rPr>
          <w:rFonts w:hint="eastAsia" w:ascii="仿宋_GB2312" w:hAnsi="仿宋_GB2312" w:eastAsia="仿宋_GB2312" w:cs="仿宋_GB2312"/>
          <w:color w:val="auto"/>
          <w:kern w:val="0"/>
          <w:sz w:val="21"/>
          <w:szCs w:val="21"/>
          <w:highlight w:val="none"/>
          <w:lang w:val="en-US" w:eastAsia="zh-CN"/>
        </w:rPr>
        <w:t>批次</w:t>
      </w:r>
      <w:r>
        <w:rPr>
          <w:rFonts w:hint="eastAsia" w:ascii="仿宋_GB2312" w:hAnsi="仿宋_GB2312" w:eastAsia="仿宋_GB2312" w:cs="仿宋_GB2312"/>
          <w:color w:val="auto"/>
          <w:kern w:val="0"/>
          <w:sz w:val="21"/>
          <w:szCs w:val="21"/>
          <w:highlight w:val="none"/>
        </w:rPr>
        <w:t>供货期工期为</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2124719D">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7EA74D3C">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22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22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66FDE0AC">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开标地址：东莞市南城</w:t>
      </w:r>
      <w:r>
        <w:rPr>
          <w:rFonts w:hint="eastAsia" w:ascii="仿宋_GB2312" w:hAnsi="仿宋_GB2312" w:eastAsia="仿宋_GB2312" w:cs="仿宋_GB2312"/>
          <w:color w:val="auto"/>
          <w:kern w:val="0"/>
          <w:sz w:val="21"/>
          <w:szCs w:val="21"/>
          <w:highlight w:val="none"/>
          <w:lang w:val="en-US" w:eastAsia="zh-CN"/>
        </w:rPr>
        <w:t>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7230D94D">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680F4E5D">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3A8327BE">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69685054">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7A795A58">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3CEB7960">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7F680259">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7EB3C578">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4C54F129">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20D5C21E">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40D3F9D4">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地址：东莞市南城区城市风景街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2AA9BF0D">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5E0D3344">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6AEE7F41">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2F8014A8">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24425EFC">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013505D2">
      <w:pPr>
        <w:jc w:val="right"/>
      </w:pPr>
      <w:bookmarkStart w:id="0" w:name="_GoBack"/>
      <w:bookmarkEnd w:id="0"/>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16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E97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2026-09-16T02:14:48Z</dcterms:created>
  <dc:creator>lenovo</dc:creator>
  <cp:lastModifiedBy>黄惠东</cp:lastModifiedBy>
  <dcterms:modified xsi:type="dcterms:W3CDTF">2026-09-16T02:15:01Z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BF3A1D15675949F7BD1BBBCB0AEE5AF3_12</vt:lpwstr>
  </property>
</Properties>
</file>