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A413B8">
      <w:pPr>
        <w:jc w:val="center"/>
        <w:rPr>
          <w:rFonts w:hint="eastAsia" w:ascii="楷体_GB2312" w:hAnsi="楷体_GB2312" w:eastAsia="楷体_GB2312" w:cs="楷体_GB2312"/>
          <w:color w:val="auto"/>
          <w:sz w:val="32"/>
          <w:highlight w:val="none"/>
        </w:rPr>
      </w:pPr>
      <w:r>
        <w:rPr>
          <w:rFonts w:hint="eastAsia" w:ascii="楷体_GB2312" w:hAnsi="楷体_GB2312" w:eastAsia="楷体_GB2312" w:cs="楷体_GB2312"/>
          <w:color w:val="auto"/>
          <w:sz w:val="32"/>
          <w:highlight w:val="none"/>
        </w:rPr>
        <w:t>采购公告</w:t>
      </w:r>
    </w:p>
    <w:p w14:paraId="79AFDF47">
      <w:pPr>
        <w:widowControl/>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至：投标人</w:t>
      </w:r>
    </w:p>
    <w:p w14:paraId="5A025E2C">
      <w:pPr>
        <w:widowControl/>
        <w:snapToGrid w:val="0"/>
        <w:spacing w:line="360" w:lineRule="auto"/>
        <w:ind w:firstLine="525" w:firstLineChars="25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lang w:eastAsia="zh-CN"/>
        </w:rPr>
        <w:t>东莞市城市工程建设集团有限公司</w:t>
      </w:r>
      <w:r>
        <w:rPr>
          <w:rFonts w:hint="eastAsia" w:ascii="仿宋_GB2312" w:hAnsi="仿宋_GB2312" w:eastAsia="仿宋_GB2312" w:cs="仿宋_GB2312"/>
          <w:color w:val="auto"/>
          <w:kern w:val="0"/>
          <w:szCs w:val="21"/>
          <w:highlight w:val="none"/>
        </w:rPr>
        <w:t>就</w:t>
      </w:r>
      <w:r>
        <w:rPr>
          <w:rFonts w:hint="eastAsia" w:ascii="仿宋_GB2312" w:hAnsi="仿宋_GB2312" w:eastAsia="仿宋_GB2312" w:cs="仿宋_GB2312"/>
          <w:color w:val="auto"/>
          <w:kern w:val="0"/>
          <w:szCs w:val="21"/>
          <w:highlight w:val="none"/>
          <w:u w:val="single"/>
          <w:lang w:val="en-US" w:eastAsia="zh-CN"/>
        </w:rPr>
        <w:t>东莞市三江六岸滨水岸线示范段项目二期工程项目土方工程</w:t>
      </w:r>
      <w:r>
        <w:rPr>
          <w:rFonts w:hint="eastAsia" w:ascii="仿宋_GB2312" w:hAnsi="仿宋_GB2312" w:eastAsia="仿宋_GB2312" w:cs="仿宋_GB2312"/>
          <w:color w:val="auto"/>
          <w:kern w:val="0"/>
          <w:szCs w:val="21"/>
          <w:highlight w:val="none"/>
        </w:rPr>
        <w:t>进行</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公开</w:t>
      </w:r>
      <w:r>
        <w:rPr>
          <w:rFonts w:hint="eastAsia" w:ascii="仿宋_GB2312" w:hAnsi="仿宋_GB2312" w:eastAsia="仿宋_GB2312" w:cs="仿宋_GB2312"/>
          <w:color w:val="auto"/>
          <w:kern w:val="0"/>
          <w:szCs w:val="21"/>
          <w:highlight w:val="none"/>
          <w:u w:val="single"/>
        </w:rPr>
        <w:t xml:space="preserve">采购 </w:t>
      </w:r>
      <w:r>
        <w:rPr>
          <w:rFonts w:hint="eastAsia" w:ascii="仿宋_GB2312" w:hAnsi="仿宋_GB2312" w:eastAsia="仿宋_GB2312" w:cs="仿宋_GB2312"/>
          <w:color w:val="auto"/>
          <w:kern w:val="0"/>
          <w:szCs w:val="21"/>
          <w:highlight w:val="none"/>
        </w:rPr>
        <w:t>现将有关事项说明如下：</w:t>
      </w:r>
    </w:p>
    <w:p w14:paraId="7BBA19A8">
      <w:pPr>
        <w:widowControl/>
        <w:numPr>
          <w:ilvl w:val="0"/>
          <w:numId w:val="1"/>
        </w:numPr>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项目名称：</w:t>
      </w:r>
      <w:r>
        <w:rPr>
          <w:rFonts w:hint="eastAsia" w:ascii="仿宋_GB2312" w:hAnsi="仿宋_GB2312" w:eastAsia="仿宋_GB2312" w:cs="仿宋_GB2312"/>
          <w:color w:val="auto"/>
          <w:kern w:val="0"/>
          <w:szCs w:val="21"/>
          <w:highlight w:val="none"/>
          <w:u w:val="single"/>
          <w:lang w:val="en-US" w:eastAsia="zh-CN"/>
        </w:rPr>
        <w:t>东莞市三江六岸滨水岸线示范段项目二期工程项目土方工程</w:t>
      </w:r>
    </w:p>
    <w:p w14:paraId="0392AB9A">
      <w:pPr>
        <w:widowControl/>
        <w:numPr>
          <w:ilvl w:val="0"/>
          <w:numId w:val="1"/>
        </w:numPr>
        <w:snapToGrid w:val="0"/>
        <w:spacing w:line="360" w:lineRule="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项目编号：</w:t>
      </w:r>
      <w:r>
        <w:rPr>
          <w:rFonts w:hint="eastAsia" w:ascii="仿宋_GB2312" w:hAnsi="仿宋_GB2312" w:eastAsia="仿宋_GB2312" w:cs="仿宋_GB2312"/>
          <w:color w:val="auto"/>
          <w:kern w:val="0"/>
          <w:szCs w:val="21"/>
          <w:highlight w:val="none"/>
          <w:u w:val="single"/>
          <w:lang w:val="en-US" w:eastAsia="zh-CN"/>
        </w:rPr>
        <w:t xml:space="preserve">  ZBCG-2026-183</w:t>
      </w:r>
      <w:r>
        <w:rPr>
          <w:rFonts w:hint="eastAsia" w:ascii="仿宋_GB2312" w:hAnsi="仿宋_GB2312" w:eastAsia="仿宋_GB2312" w:cs="仿宋_GB2312"/>
          <w:color w:val="auto"/>
          <w:kern w:val="0"/>
          <w:szCs w:val="21"/>
          <w:highlight w:val="none"/>
        </w:rPr>
        <w:t xml:space="preserve"> </w:t>
      </w:r>
    </w:p>
    <w:p w14:paraId="40884FD7">
      <w:pPr>
        <w:widowControl/>
        <w:snapToGrid w:val="0"/>
        <w:spacing w:line="360" w:lineRule="auto"/>
        <w:ind w:left="420"/>
        <w:rPr>
          <w:rFonts w:hint="default" w:ascii="仿宋_GB2312" w:hAnsi="仿宋_GB2312" w:eastAsia="仿宋_GB2312" w:cs="仿宋_GB2312"/>
          <w:color w:val="auto"/>
          <w:kern w:val="0"/>
          <w:szCs w:val="21"/>
          <w:highlight w:val="none"/>
          <w:u w:val="single"/>
          <w:lang w:val="en-US" w:eastAsia="zh-CN"/>
        </w:rPr>
      </w:pPr>
      <w:r>
        <w:rPr>
          <w:rFonts w:hint="eastAsia" w:ascii="仿宋_GB2312" w:hAnsi="仿宋_GB2312" w:eastAsia="仿宋_GB2312" w:cs="仿宋_GB2312"/>
          <w:color w:val="auto"/>
          <w:kern w:val="0"/>
          <w:szCs w:val="21"/>
          <w:highlight w:val="none"/>
        </w:rPr>
        <w:t>三、工程地点：</w:t>
      </w:r>
      <w:r>
        <w:rPr>
          <w:rFonts w:hint="default" w:ascii="仿宋_GB2312" w:hAnsi="仿宋_GB2312" w:eastAsia="仿宋_GB2312" w:cs="仿宋_GB2312"/>
          <w:color w:val="auto"/>
          <w:kern w:val="0"/>
          <w:szCs w:val="21"/>
          <w:highlight w:val="none"/>
          <w:u w:val="single"/>
          <w:lang w:val="en-US" w:eastAsia="zh-CN"/>
        </w:rPr>
        <w:t>东莞</w:t>
      </w:r>
      <w:r>
        <w:rPr>
          <w:rFonts w:hint="eastAsia" w:ascii="仿宋_GB2312" w:hAnsi="仿宋_GB2312" w:eastAsia="仿宋_GB2312" w:cs="仿宋_GB2312"/>
          <w:color w:val="auto"/>
          <w:kern w:val="0"/>
          <w:szCs w:val="21"/>
          <w:highlight w:val="none"/>
          <w:u w:val="single"/>
          <w:lang w:val="en-US" w:eastAsia="zh-CN"/>
        </w:rPr>
        <w:t>万江</w:t>
      </w:r>
    </w:p>
    <w:p w14:paraId="238EDCC7">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四、采购限价：</w:t>
      </w:r>
    </w:p>
    <w:p w14:paraId="28D92E4F">
      <w:pPr>
        <w:spacing w:line="360" w:lineRule="auto"/>
        <w:ind w:firstLine="420" w:firstLineChars="200"/>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本</w:t>
      </w:r>
      <w:r>
        <w:rPr>
          <w:rFonts w:hint="eastAsia" w:ascii="仿宋_GB2312" w:hAnsi="仿宋_GB2312" w:eastAsia="仿宋_GB2312" w:cs="仿宋_GB2312"/>
          <w:color w:val="auto"/>
          <w:kern w:val="0"/>
          <w:szCs w:val="21"/>
          <w:highlight w:val="none"/>
          <w:lang w:val="en-US" w:eastAsia="zh-CN"/>
        </w:rPr>
        <w:t>项目采购限价为¥356553.12元（含税9%），(大写) 人民币叁拾伍万陆仟伍佰伍拾叁元壹角贰分；其中不含税工程价款为:(小写)¥ 327112.95元，(大写)人民币叁拾贰万柒仟壹佰壹拾贰元玖角伍分;税金:(小写)¥29440.17元，(大写)人民币贰万玖仟肆佰肆拾元壹角柒分。（投标人报价不得高于采购限价）</w:t>
      </w:r>
    </w:p>
    <w:p w14:paraId="305D200D">
      <w:pPr>
        <w:pageBreakBefore w:val="0"/>
        <w:widowControl/>
        <w:numPr>
          <w:ilvl w:val="0"/>
          <w:numId w:val="2"/>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工程概况：东莞市三江六岸滨水岸线示范段项目二期工程位于东莞主城区万江街道金曲路，塔园覆土建筑面积为:633m2,建筑高度:4.00m，包括但不限于:装饰工程、给排水工程、电气工程、弱电工程、消防工程、通风工程等。以上招标范围未尽事宜，详见招标图纸和技术要求，并满足设计文件的要求。</w:t>
      </w:r>
    </w:p>
    <w:p w14:paraId="288A9109">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六、工程范围：</w:t>
      </w:r>
    </w:p>
    <w:p w14:paraId="6F686982">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1、挖基坑土方、弃方外运、土方回填，原建筑拆除、拆除建筑废弃物外运，租赁钢板桩（租赁数量以项目部实际需求量为准）及钢板桩机的进出场，钢板桩的沉桩及拔除，挖机台班费、吊车台班费。</w:t>
      </w:r>
    </w:p>
    <w:p w14:paraId="2876F304">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2、安全文明施工项目包括不限于：施工场地的平整清理，保证机械作业及用电安全，确保施工安全作业。</w:t>
      </w:r>
    </w:p>
    <w:p w14:paraId="740D2F42">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default"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b w:val="0"/>
          <w:bCs w:val="0"/>
          <w:color w:val="auto"/>
          <w:kern w:val="0"/>
          <w:sz w:val="21"/>
          <w:szCs w:val="21"/>
          <w:highlight w:val="none"/>
          <w:lang w:val="en-US" w:eastAsia="zh-CN"/>
        </w:rPr>
        <w:t>以上详见工程量清单及图纸。</w:t>
      </w:r>
    </w:p>
    <w:p w14:paraId="5BA40DC1">
      <w:pPr>
        <w:keepNext w:val="0"/>
        <w:keepLines w:val="0"/>
        <w:pageBreakBefore w:val="0"/>
        <w:widowControl/>
        <w:numPr>
          <w:ilvl w:val="0"/>
          <w:numId w:val="3"/>
        </w:numPr>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承包方式：</w:t>
      </w:r>
    </w:p>
    <w:p w14:paraId="20E28FA8">
      <w:pPr>
        <w:pageBreakBefore w:val="0"/>
        <w:widowControl/>
        <w:numPr>
          <w:ilvl w:val="0"/>
          <w:numId w:val="0"/>
        </w:numPr>
        <w:kinsoku/>
        <w:wordWrap w:val="0"/>
        <w:overflowPunct/>
        <w:topLinePunct w:val="0"/>
        <w:autoSpaceDE/>
        <w:autoSpaceDN/>
        <w:bidi w:val="0"/>
        <w:adjustRightInd/>
        <w:snapToGrid/>
        <w:spacing w:line="360" w:lineRule="auto"/>
        <w:ind w:firstLine="420" w:firstLineChars="200"/>
        <w:jc w:val="left"/>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b w:val="0"/>
          <w:bCs w:val="0"/>
          <w:color w:val="auto"/>
          <w:kern w:val="0"/>
          <w:sz w:val="21"/>
          <w:szCs w:val="21"/>
          <w:highlight w:val="none"/>
          <w:lang w:val="en-US" w:eastAsia="zh-CN"/>
        </w:rPr>
        <w:t>包工、包材料（甲供材除外）、包机械设备（甲方提供除外）、包机械设备操作用工、包施工用水电设备及相关费用、包保险费用、包税金、包工期、包质量、包安全生产、包现场文明施工、包治安、包验收、包结算、包风险、包报建、包与其他分包单位的配合等、完成图纸所有工程内容的全部费用。</w:t>
      </w:r>
    </w:p>
    <w:p w14:paraId="0B1ABBDB">
      <w:pPr>
        <w:keepNext w:val="0"/>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default" w:ascii="仿宋_GB2312" w:hAnsi="仿宋_GB2312" w:eastAsia="仿宋_GB2312" w:cs="仿宋_GB2312"/>
          <w:color w:val="auto"/>
          <w:kern w:val="0"/>
          <w:szCs w:val="21"/>
          <w:highlight w:val="none"/>
          <w:u w:val="single"/>
          <w:lang w:val="en-US" w:eastAsia="zh-CN"/>
        </w:rPr>
      </w:pPr>
      <w:r>
        <w:rPr>
          <w:rFonts w:hint="eastAsia" w:ascii="仿宋_GB2312" w:hAnsi="仿宋_GB2312" w:eastAsia="仿宋_GB2312" w:cs="仿宋_GB2312"/>
          <w:color w:val="auto"/>
          <w:kern w:val="0"/>
          <w:szCs w:val="21"/>
          <w:highlight w:val="none"/>
        </w:rPr>
        <w:t>2、甲供材：</w:t>
      </w:r>
      <w:r>
        <w:rPr>
          <w:rFonts w:hint="eastAsia" w:ascii="仿宋_GB2312" w:hAnsi="仿宋_GB2312" w:eastAsia="仿宋_GB2312" w:cs="仿宋_GB2312"/>
          <w:color w:val="auto"/>
          <w:kern w:val="0"/>
          <w:szCs w:val="21"/>
          <w:highlight w:val="none"/>
          <w:lang w:val="en-US" w:eastAsia="zh-CN"/>
        </w:rPr>
        <w:t>详见报价清单甲供材</w:t>
      </w:r>
    </w:p>
    <w:p w14:paraId="7D88EF1D">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b w:val="0"/>
          <w:bCs w:val="0"/>
          <w:color w:val="auto"/>
          <w:kern w:val="0"/>
          <w:sz w:val="21"/>
          <w:szCs w:val="21"/>
          <w:highlight w:val="none"/>
          <w:lang w:val="en-US" w:eastAsia="zh-CN"/>
        </w:rPr>
      </w:pPr>
      <w:r>
        <w:rPr>
          <w:rFonts w:hint="eastAsia" w:ascii="仿宋_GB2312" w:hAnsi="仿宋_GB2312" w:eastAsia="仿宋_GB2312" w:cs="仿宋_GB2312"/>
          <w:color w:val="auto"/>
          <w:kern w:val="0"/>
          <w:szCs w:val="21"/>
          <w:highlight w:val="none"/>
        </w:rPr>
        <w:t>八、工期：</w:t>
      </w:r>
      <w:r>
        <w:rPr>
          <w:rFonts w:hint="eastAsia" w:ascii="仿宋_GB2312" w:hAnsi="仿宋_GB2312" w:eastAsia="仿宋_GB2312" w:cs="仿宋_GB2312"/>
          <w:color w:val="auto"/>
          <w:kern w:val="0"/>
          <w:szCs w:val="21"/>
          <w:highlight w:val="none"/>
          <w:lang w:val="en-US" w:eastAsia="zh-CN"/>
        </w:rPr>
        <w:t>计划</w:t>
      </w:r>
      <w:r>
        <w:rPr>
          <w:rFonts w:hint="eastAsia" w:ascii="仿宋_GB2312" w:hAnsi="仿宋_GB2312" w:eastAsia="仿宋_GB2312" w:cs="仿宋_GB2312"/>
          <w:strike w:val="0"/>
          <w:dstrike w:val="0"/>
          <w:color w:val="auto"/>
          <w:kern w:val="0"/>
          <w:szCs w:val="21"/>
          <w:highlight w:val="none"/>
          <w:lang w:val="en-US" w:eastAsia="zh-CN"/>
        </w:rPr>
        <w:t>工期为15个日历天，具体施工时间根据项目部施工进度安排。乙方无条件配合甲方施工进度要求。</w:t>
      </w:r>
    </w:p>
    <w:p w14:paraId="30550D76">
      <w:pPr>
        <w:keepNext w:val="0"/>
        <w:keepLines w:val="0"/>
        <w:pageBreakBefore w:val="0"/>
        <w:widowControl/>
        <w:kinsoku/>
        <w:wordWrap/>
        <w:overflowPunct/>
        <w:topLinePunct w:val="0"/>
        <w:autoSpaceDE/>
        <w:autoSpaceDN/>
        <w:bidi w:val="0"/>
        <w:adjustRightInd/>
        <w:snapToGrid w:val="0"/>
        <w:spacing w:line="360" w:lineRule="auto"/>
        <w:ind w:firstLine="367" w:firstLineChars="175"/>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九、投标文件的递交时间及开标地点：以密封形式于</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2026</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09</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 xml:space="preserve">18 </w:t>
      </w:r>
      <w:r>
        <w:rPr>
          <w:rFonts w:hint="eastAsia" w:ascii="仿宋_GB2312" w:hAnsi="仿宋_GB2312" w:eastAsia="仿宋_GB2312" w:cs="仿宋_GB2312"/>
          <w:color w:val="auto"/>
          <w:kern w:val="0"/>
          <w:szCs w:val="21"/>
          <w:highlight w:val="none"/>
        </w:rPr>
        <w:t>日</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17</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时</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00</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分前递交，截止时间为</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2026</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09</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 xml:space="preserve">18 </w:t>
      </w:r>
      <w:r>
        <w:rPr>
          <w:rFonts w:hint="eastAsia" w:ascii="仿宋_GB2312" w:hAnsi="仿宋_GB2312" w:eastAsia="仿宋_GB2312" w:cs="仿宋_GB2312"/>
          <w:color w:val="auto"/>
          <w:kern w:val="0"/>
          <w:szCs w:val="21"/>
          <w:highlight w:val="none"/>
        </w:rPr>
        <w:t>日</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17</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时</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u w:val="single"/>
          <w:lang w:val="en-US" w:eastAsia="zh-CN"/>
        </w:rPr>
        <w:t>00</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分，所有应答文件必须在规定的应答截止时间前按规定地址送达采购人，逾期恕不接受。</w:t>
      </w:r>
    </w:p>
    <w:p w14:paraId="035AA3D2">
      <w:pPr>
        <w:keepNext w:val="0"/>
        <w:keepLines w:val="0"/>
        <w:pageBreakBefore w:val="0"/>
        <w:widowControl/>
        <w:kinsoku/>
        <w:wordWrap/>
        <w:overflowPunct/>
        <w:topLinePunct w:val="0"/>
        <w:autoSpaceDE/>
        <w:autoSpaceDN/>
        <w:bidi w:val="0"/>
        <w:adjustRightInd/>
        <w:snapToGrid w:val="0"/>
        <w:spacing w:line="360" w:lineRule="auto"/>
        <w:ind w:firstLine="630" w:firstLineChars="300"/>
        <w:textAlignment w:val="auto"/>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开标地址：东莞市南城街道城市风景街8栋</w:t>
      </w:r>
      <w:r>
        <w:rPr>
          <w:rFonts w:hint="eastAsia" w:ascii="仿宋_GB2312" w:hAnsi="仿宋_GB2312" w:eastAsia="仿宋_GB2312" w:cs="仿宋_GB2312"/>
          <w:color w:val="auto"/>
          <w:kern w:val="0"/>
          <w:szCs w:val="21"/>
          <w:highlight w:val="none"/>
          <w:lang w:val="en-US" w:eastAsia="zh-CN"/>
        </w:rPr>
        <w:t>4楼</w:t>
      </w:r>
      <w:r>
        <w:rPr>
          <w:rFonts w:hint="eastAsia" w:ascii="仿宋_GB2312" w:hAnsi="仿宋_GB2312" w:eastAsia="仿宋_GB2312" w:cs="仿宋_GB2312"/>
          <w:color w:val="auto"/>
          <w:kern w:val="0"/>
          <w:szCs w:val="21"/>
          <w:highlight w:val="none"/>
        </w:rPr>
        <w:t>城工集团开标室。</w:t>
      </w:r>
    </w:p>
    <w:p w14:paraId="364D263C">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十、注意事项：</w:t>
      </w:r>
    </w:p>
    <w:p w14:paraId="1C00D7EB">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1、投标人必须全面响应采购文件要求，投标人任何附加条件采购人一律不接受或视为废标。</w:t>
      </w:r>
    </w:p>
    <w:p w14:paraId="32C82576">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2、中标人严禁有挂靠或者违法转包行为。</w:t>
      </w:r>
    </w:p>
    <w:p w14:paraId="7AAF52A9">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3、投标文件严禁出现不平衡报价。</w:t>
      </w:r>
    </w:p>
    <w:p w14:paraId="6EE69556">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4、质量要求：现行的施工规范要求及用户需求书列明的质量管控要求。</w:t>
      </w:r>
    </w:p>
    <w:p w14:paraId="29124B55">
      <w:pPr>
        <w:widowControl/>
        <w:snapToGrid w:val="0"/>
        <w:spacing w:line="360" w:lineRule="auto"/>
        <w:ind w:firstLine="367" w:firstLineChars="175"/>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b w:val="0"/>
          <w:bCs w:val="0"/>
          <w:color w:val="auto"/>
          <w:kern w:val="0"/>
          <w:szCs w:val="21"/>
          <w:highlight w:val="none"/>
        </w:rPr>
        <w:t>5、</w:t>
      </w:r>
      <w:r>
        <w:rPr>
          <w:rFonts w:hint="eastAsia" w:ascii="仿宋_GB2312" w:hAnsi="仿宋_GB2312" w:eastAsia="仿宋_GB2312" w:cs="仿宋_GB2312"/>
          <w:b w:val="0"/>
          <w:bCs w:val="0"/>
          <w:color w:val="auto"/>
          <w:kern w:val="0"/>
          <w:szCs w:val="21"/>
          <w:highlight w:val="none"/>
          <w:lang w:val="en-US" w:eastAsia="zh-CN"/>
        </w:rPr>
        <w:t>本工程要求开具工人工资支付保函：本项目不设立</w:t>
      </w:r>
      <w:r>
        <w:rPr>
          <w:rFonts w:hint="eastAsia" w:ascii="仿宋_GB2312" w:hAnsi="仿宋_GB2312" w:eastAsia="仿宋_GB2312" w:cs="仿宋_GB2312"/>
          <w:color w:val="auto"/>
          <w:kern w:val="0"/>
          <w:szCs w:val="21"/>
          <w:highlight w:val="none"/>
          <w:lang w:val="en-US" w:eastAsia="zh-CN"/>
        </w:rPr>
        <w:t>。</w:t>
      </w:r>
    </w:p>
    <w:p w14:paraId="420465B7">
      <w:pPr>
        <w:widowControl/>
        <w:snapToGrid w:val="0"/>
        <w:spacing w:line="360" w:lineRule="auto"/>
        <w:ind w:firstLine="367" w:firstLineChars="175"/>
        <w:rPr>
          <w:rFonts w:hint="default"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lang w:val="en-US" w:eastAsia="zh-CN"/>
        </w:rPr>
        <w:t>6、本项目履约保证金：</w:t>
      </w:r>
      <w:r>
        <w:rPr>
          <w:rFonts w:hint="eastAsia" w:ascii="仿宋_GB2312" w:hAnsi="仿宋_GB2312" w:eastAsia="仿宋_GB2312" w:cs="仿宋_GB2312"/>
          <w:b/>
          <w:bCs/>
          <w:color w:val="auto"/>
          <w:kern w:val="0"/>
          <w:szCs w:val="21"/>
          <w:highlight w:val="none"/>
          <w:lang w:val="en-US" w:eastAsia="zh-CN"/>
        </w:rPr>
        <w:t>设立</w:t>
      </w:r>
      <w:r>
        <w:rPr>
          <w:rFonts w:hint="eastAsia" w:ascii="仿宋_GB2312" w:hAnsi="仿宋_GB2312" w:eastAsia="仿宋_GB2312" w:cs="仿宋_GB2312"/>
          <w:color w:val="auto"/>
          <w:kern w:val="0"/>
          <w:szCs w:val="21"/>
          <w:highlight w:val="none"/>
          <w:lang w:val="en-US" w:eastAsia="zh-CN"/>
        </w:rPr>
        <w:t>（详见合同条款约定第十二条）</w:t>
      </w:r>
    </w:p>
    <w:p w14:paraId="586DE9DD">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十一、采购文件获取：</w:t>
      </w:r>
    </w:p>
    <w:p w14:paraId="736C785C">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城工集团公司官网（http://www.dggcc.cn）。</w:t>
      </w:r>
      <w:r>
        <w:rPr>
          <w:rFonts w:hint="eastAsia" w:ascii="仿宋_GB2312" w:hAnsi="仿宋_GB2312" w:eastAsia="仿宋_GB2312" w:cs="仿宋_GB2312"/>
          <w:color w:val="auto"/>
          <w:kern w:val="0"/>
          <w:szCs w:val="21"/>
          <w:highlight w:val="none"/>
          <w:lang w:val="en-US" w:eastAsia="zh-CN"/>
        </w:rPr>
        <w:t>东实集团官网（http://www.dgsy.com.cn）。</w:t>
      </w:r>
    </w:p>
    <w:p w14:paraId="0DC90E57">
      <w:pPr>
        <w:widowControl/>
        <w:snapToGrid w:val="0"/>
        <w:spacing w:line="360" w:lineRule="auto"/>
        <w:ind w:firstLine="367" w:firstLineChars="175"/>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Cs w:val="21"/>
          <w:highlight w:val="none"/>
        </w:rPr>
        <w:t>十二、其他及特别内容说明：</w:t>
      </w:r>
      <w:r>
        <w:rPr>
          <w:rFonts w:hint="eastAsia" w:ascii="仿宋_GB2312" w:hAnsi="仿宋_GB2312" w:eastAsia="仿宋_GB2312" w:cs="仿宋_GB2312"/>
          <w:color w:val="auto"/>
          <w:kern w:val="0"/>
          <w:szCs w:val="21"/>
          <w:highlight w:val="none"/>
          <w:lang w:val="en-US" w:eastAsia="zh-CN"/>
        </w:rPr>
        <w:t>无。</w:t>
      </w:r>
    </w:p>
    <w:p w14:paraId="7C2E93C7">
      <w:pPr>
        <w:widowControl/>
        <w:snapToGrid w:val="0"/>
        <w:spacing w:line="360" w:lineRule="auto"/>
        <w:ind w:firstLine="367" w:firstLineChars="175"/>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十三、有关此次采购答疑事宜，按下列地址以书面或电话形式向采购人查询：  </w:t>
      </w:r>
    </w:p>
    <w:p w14:paraId="1BFF5BC3">
      <w:pPr>
        <w:widowControl/>
        <w:snapToGrid w:val="0"/>
        <w:spacing w:line="360" w:lineRule="auto"/>
        <w:ind w:firstLine="840" w:firstLineChars="400"/>
        <w:rPr>
          <w:rFonts w:hint="eastAsia" w:ascii="仿宋_GB2312" w:hAnsi="仿宋_GB2312" w:eastAsia="仿宋_GB2312" w:cs="仿宋_GB2312"/>
          <w:color w:val="auto"/>
          <w:kern w:val="0"/>
          <w:szCs w:val="21"/>
          <w:highlight w:val="none"/>
          <w:lang w:eastAsia="zh-CN"/>
        </w:rPr>
      </w:pPr>
      <w:r>
        <w:rPr>
          <w:rFonts w:hint="eastAsia" w:ascii="仿宋_GB2312" w:hAnsi="仿宋_GB2312" w:eastAsia="仿宋_GB2312" w:cs="仿宋_GB2312"/>
          <w:color w:val="auto"/>
          <w:kern w:val="0"/>
          <w:szCs w:val="21"/>
          <w:highlight w:val="none"/>
        </w:rPr>
        <w:t>采购人：</w:t>
      </w:r>
      <w:r>
        <w:rPr>
          <w:rFonts w:hint="eastAsia" w:ascii="仿宋_GB2312" w:hAnsi="仿宋_GB2312" w:eastAsia="仿宋_GB2312" w:cs="仿宋_GB2312"/>
          <w:color w:val="auto"/>
          <w:kern w:val="0"/>
          <w:szCs w:val="21"/>
          <w:highlight w:val="none"/>
          <w:lang w:eastAsia="zh-CN"/>
        </w:rPr>
        <w:t>东莞市城市工程建设集团有限公司</w:t>
      </w:r>
    </w:p>
    <w:p w14:paraId="4034609F">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地址：东莞市南城区城市风景街8栋城工集团</w:t>
      </w:r>
      <w:r>
        <w:rPr>
          <w:rFonts w:hint="eastAsia" w:ascii="仿宋_GB2312" w:hAnsi="仿宋_GB2312" w:eastAsia="仿宋_GB2312" w:cs="仿宋_GB2312"/>
          <w:color w:val="auto"/>
          <w:kern w:val="0"/>
          <w:szCs w:val="21"/>
          <w:highlight w:val="none"/>
          <w:lang w:val="en-US" w:eastAsia="zh-CN"/>
        </w:rPr>
        <w:t>7</w:t>
      </w:r>
      <w:r>
        <w:rPr>
          <w:rFonts w:hint="eastAsia" w:ascii="仿宋_GB2312" w:hAnsi="仿宋_GB2312" w:eastAsia="仿宋_GB2312" w:cs="仿宋_GB2312"/>
          <w:color w:val="auto"/>
          <w:kern w:val="0"/>
          <w:szCs w:val="21"/>
          <w:highlight w:val="none"/>
        </w:rPr>
        <w:t>层。</w:t>
      </w:r>
    </w:p>
    <w:p w14:paraId="4D4C571C">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联系人：</w:t>
      </w:r>
      <w:r>
        <w:rPr>
          <w:rFonts w:hint="eastAsia" w:ascii="仿宋_GB2312" w:hAnsi="仿宋_GB2312" w:eastAsia="仿宋_GB2312" w:cs="仿宋_GB2312"/>
          <w:color w:val="auto"/>
          <w:kern w:val="0"/>
          <w:szCs w:val="21"/>
          <w:highlight w:val="none"/>
          <w:lang w:val="en-US" w:eastAsia="zh-CN"/>
        </w:rPr>
        <w:t>黄</w:t>
      </w:r>
      <w:r>
        <w:rPr>
          <w:rFonts w:hint="eastAsia" w:ascii="仿宋_GB2312" w:hAnsi="仿宋_GB2312" w:eastAsia="仿宋_GB2312" w:cs="仿宋_GB2312"/>
          <w:color w:val="auto"/>
          <w:kern w:val="0"/>
          <w:szCs w:val="21"/>
          <w:highlight w:val="none"/>
        </w:rPr>
        <w:t>工                   邮政编码：523000</w:t>
      </w:r>
    </w:p>
    <w:p w14:paraId="521E0870">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联系方式：</w:t>
      </w:r>
      <w:r>
        <w:rPr>
          <w:rFonts w:hint="eastAsia" w:ascii="仿宋_GB2312" w:hAnsi="仿宋_GB2312" w:eastAsia="仿宋_GB2312" w:cs="仿宋_GB2312"/>
          <w:color w:val="auto"/>
          <w:kern w:val="0"/>
          <w:szCs w:val="21"/>
          <w:highlight w:val="none"/>
          <w:lang w:val="en-US" w:eastAsia="zh-CN"/>
        </w:rPr>
        <w:t>15017133726</w:t>
      </w:r>
      <w:r>
        <w:rPr>
          <w:rFonts w:hint="eastAsia" w:ascii="仿宋_GB2312" w:hAnsi="仿宋_GB2312" w:eastAsia="仿宋_GB2312" w:cs="仿宋_GB2312"/>
          <w:color w:val="auto"/>
          <w:kern w:val="0"/>
          <w:szCs w:val="21"/>
          <w:highlight w:val="none"/>
        </w:rPr>
        <w:t xml:space="preserve">         传真：0769-39009090</w:t>
      </w:r>
    </w:p>
    <w:p w14:paraId="1581947E">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bookmarkStart w:id="0" w:name="_GoBack"/>
      <w:bookmarkEnd w:id="0"/>
    </w:p>
    <w:p w14:paraId="7E780A05">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p>
    <w:p w14:paraId="36C0E3A5">
      <w:pPr>
        <w:widowControl/>
        <w:snapToGrid w:val="0"/>
        <w:spacing w:line="360" w:lineRule="auto"/>
        <w:ind w:firstLine="840" w:firstLineChars="400"/>
        <w:rPr>
          <w:rFonts w:hint="eastAsia" w:ascii="仿宋_GB2312" w:hAnsi="仿宋_GB2312" w:eastAsia="仿宋_GB2312" w:cs="仿宋_GB2312"/>
          <w:color w:val="auto"/>
          <w:kern w:val="0"/>
          <w:szCs w:val="21"/>
          <w:highlight w:val="none"/>
        </w:rPr>
      </w:pPr>
    </w:p>
    <w:p w14:paraId="74631B20">
      <w:pPr>
        <w:widowControl/>
        <w:snapToGrid w:val="0"/>
        <w:spacing w:line="480" w:lineRule="auto"/>
        <w:ind w:firstLine="640"/>
        <w:jc w:val="right"/>
        <w:rPr>
          <w:rFonts w:hint="eastAsia" w:ascii="仿宋_GB2312" w:hAnsi="仿宋_GB2312" w:eastAsia="仿宋_GB2312" w:cs="仿宋_GB2312"/>
          <w:color w:val="auto"/>
          <w:kern w:val="0"/>
          <w:szCs w:val="21"/>
          <w:highlight w:val="none"/>
        </w:rPr>
      </w:pPr>
    </w:p>
    <w:p w14:paraId="6E02EB71">
      <w:pPr>
        <w:widowControl/>
        <w:snapToGrid w:val="0"/>
        <w:spacing w:line="480" w:lineRule="auto"/>
        <w:ind w:firstLine="640"/>
        <w:jc w:val="right"/>
        <w:rPr>
          <w:rFonts w:hint="eastAsia" w:ascii="仿宋_GB2312" w:hAnsi="仿宋_GB2312" w:eastAsia="仿宋_GB2312" w:cs="仿宋_GB2312"/>
          <w:color w:val="auto"/>
          <w:kern w:val="0"/>
          <w:szCs w:val="21"/>
          <w:highlight w:val="none"/>
          <w:lang w:eastAsia="zh-CN"/>
        </w:rPr>
      </w:pPr>
      <w:r>
        <w:rPr>
          <w:rFonts w:hint="eastAsia" w:ascii="仿宋_GB2312" w:hAnsi="仿宋_GB2312" w:eastAsia="仿宋_GB2312" w:cs="仿宋_GB2312"/>
          <w:color w:val="auto"/>
          <w:kern w:val="0"/>
          <w:szCs w:val="21"/>
          <w:highlight w:val="none"/>
          <w:lang w:eastAsia="zh-CN"/>
        </w:rPr>
        <w:t>东莞市城市工程建设集团有限公司</w:t>
      </w:r>
    </w:p>
    <w:p w14:paraId="6C72479F">
      <w:pPr>
        <w:jc w:val="right"/>
      </w:pPr>
      <w:r>
        <w:rPr>
          <w:rFonts w:hint="eastAsia" w:ascii="仿宋_GB2312" w:hAnsi="仿宋_GB2312" w:eastAsia="仿宋_GB2312" w:cs="仿宋_GB2312"/>
          <w:color w:val="auto"/>
          <w:kern w:val="0"/>
          <w:szCs w:val="21"/>
          <w:highlight w:val="none"/>
        </w:rPr>
        <w:t xml:space="preserve"> </w:t>
      </w:r>
      <w:r>
        <w:rPr>
          <w:rFonts w:hint="eastAsia" w:ascii="仿宋_GB2312" w:hAnsi="仿宋_GB2312" w:eastAsia="仿宋_GB2312" w:cs="仿宋_GB2312"/>
          <w:color w:val="auto"/>
          <w:kern w:val="0"/>
          <w:szCs w:val="21"/>
          <w:highlight w:val="none"/>
          <w:lang w:val="en-US" w:eastAsia="zh-CN"/>
        </w:rPr>
        <w:t xml:space="preserve"> 2026</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lang w:val="en-US" w:eastAsia="zh-CN"/>
        </w:rPr>
        <w:t xml:space="preserve"> 09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lang w:val="en-US" w:eastAsia="zh-CN"/>
        </w:rPr>
        <w:t xml:space="preserve"> 14 </w:t>
      </w:r>
      <w:r>
        <w:rPr>
          <w:rFonts w:hint="eastAsia" w:ascii="仿宋_GB2312" w:hAnsi="仿宋_GB2312" w:eastAsia="仿宋_GB2312" w:cs="仿宋_GB2312"/>
          <w:color w:val="auto"/>
          <w:kern w:val="0"/>
          <w:szCs w:val="21"/>
          <w:highlight w:val="none"/>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8EEF5"/>
    <w:multiLevelType w:val="singleLevel"/>
    <w:tmpl w:val="80E8EEF5"/>
    <w:lvl w:ilvl="0" w:tentative="0">
      <w:start w:val="1"/>
      <w:numFmt w:val="chineseCounting"/>
      <w:suff w:val="nothing"/>
      <w:lvlText w:val="%1、"/>
      <w:lvlJc w:val="left"/>
      <w:pPr>
        <w:ind w:left="0" w:firstLine="420"/>
      </w:pPr>
      <w:rPr>
        <w:rFonts w:hint="eastAsia"/>
      </w:rPr>
    </w:lvl>
  </w:abstractNum>
  <w:abstractNum w:abstractNumId="1">
    <w:nsid w:val="22B18FD9"/>
    <w:multiLevelType w:val="singleLevel"/>
    <w:tmpl w:val="22B18FD9"/>
    <w:lvl w:ilvl="0" w:tentative="0">
      <w:start w:val="5"/>
      <w:numFmt w:val="chineseCounting"/>
      <w:suff w:val="nothing"/>
      <w:lvlText w:val="%1、"/>
      <w:lvlJc w:val="left"/>
      <w:rPr>
        <w:rFonts w:hint="eastAsia"/>
      </w:rPr>
    </w:lvl>
  </w:abstractNum>
  <w:abstractNum w:abstractNumId="2">
    <w:nsid w:val="3E9D9673"/>
    <w:multiLevelType w:val="singleLevel"/>
    <w:tmpl w:val="3E9D9673"/>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C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2026-09-14T03:07:52Z</dcterms:created>
  <dc:creator>lenovo</dc:creator>
  <cp:lastModifiedBy>黄惠东</cp:lastModifiedBy>
  <dcterms:modified xsi:type="dcterms:W3CDTF">2026-09-14T03:08:31Z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eyJoZGlkIjoiMDVhNGUzYzIxMzZiNGUwYjk4M2NhYzM1YTAzMjk5NTIiLCJ1c2VySWQiOiIxNTgyODExNDczIn0=</vt:lpwstr>
  </property>
  <property fmtid="{D5CDD505-2E9C-101B-9397-08002B2CF9AE}" pid="4" name="ICV">
    <vt:lpwstr>FA8697694D8E4A0CB9CD8E0BFCC649C8_12</vt:lpwstr>
  </property>
</Properties>
</file>