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B1798">
      <w:pPr>
        <w:jc w:val="center"/>
        <w:rPr>
          <w:rFonts w:hint="eastAsia" w:ascii="仿宋_GB2312" w:hAnsi="仿宋_GB2312" w:eastAsia="仿宋_GB2312" w:cs="仿宋_GB2312"/>
          <w:b/>
          <w:bCs/>
          <w:sz w:val="32"/>
        </w:rPr>
      </w:pPr>
      <w:r>
        <w:rPr>
          <w:rFonts w:hint="eastAsia" w:ascii="仿宋_GB2312" w:hAnsi="仿宋_GB2312" w:eastAsia="仿宋_GB2312" w:cs="仿宋_GB2312"/>
          <w:b/>
          <w:bCs/>
          <w:sz w:val="32"/>
        </w:rPr>
        <w:t>采购公告</w:t>
      </w:r>
    </w:p>
    <w:p w14:paraId="1EEAC695">
      <w:pPr>
        <w:widowControl/>
        <w:snapToGrid w:val="0"/>
        <w:spacing w:line="360" w:lineRule="auto"/>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至：投标人</w:t>
      </w:r>
    </w:p>
    <w:p w14:paraId="601B5D31">
      <w:pPr>
        <w:widowControl/>
        <w:snapToGrid w:val="0"/>
        <w:spacing w:line="360" w:lineRule="auto"/>
        <w:ind w:firstLine="525" w:firstLineChars="25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东莞市城市工程建设集团有限公司</w:t>
      </w:r>
      <w:r>
        <w:rPr>
          <w:rFonts w:hint="eastAsia" w:ascii="仿宋_GB2312" w:hAnsi="仿宋_GB2312" w:eastAsia="仿宋_GB2312" w:cs="仿宋_GB2312"/>
          <w:kern w:val="0"/>
          <w:szCs w:val="21"/>
        </w:rPr>
        <w:t>就</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b w:val="0"/>
          <w:bCs w:val="0"/>
          <w:color w:val="auto"/>
          <w:kern w:val="0"/>
          <w:sz w:val="21"/>
          <w:szCs w:val="21"/>
          <w:u w:val="single"/>
          <w:lang w:val="en-US" w:eastAsia="zh-CN"/>
        </w:rPr>
        <w:t>大岭山镇敬老院二期改造项目综合材料采购</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rPr>
        <w:t>进行</w:t>
      </w:r>
      <w:r>
        <w:rPr>
          <w:rFonts w:hint="eastAsia" w:ascii="仿宋_GB2312" w:hAnsi="仿宋_GB2312" w:eastAsia="仿宋_GB2312" w:cs="仿宋_GB2312"/>
          <w:kern w:val="0"/>
          <w:szCs w:val="21"/>
          <w:u w:val="single"/>
          <w:lang w:val="en-US" w:eastAsia="zh-CN"/>
        </w:rPr>
        <w:t>公开</w:t>
      </w:r>
      <w:r>
        <w:rPr>
          <w:rFonts w:hint="eastAsia" w:ascii="仿宋_GB2312" w:hAnsi="仿宋_GB2312" w:eastAsia="仿宋_GB2312" w:cs="仿宋_GB2312"/>
          <w:kern w:val="0"/>
          <w:szCs w:val="21"/>
          <w:u w:val="single"/>
        </w:rPr>
        <w:t xml:space="preserve">采购 </w:t>
      </w:r>
      <w:r>
        <w:rPr>
          <w:rFonts w:hint="eastAsia" w:ascii="仿宋_GB2312" w:hAnsi="仿宋_GB2312" w:eastAsia="仿宋_GB2312" w:cs="仿宋_GB2312"/>
          <w:kern w:val="0"/>
          <w:szCs w:val="21"/>
        </w:rPr>
        <w:t>现将有关事项说明如下：</w:t>
      </w:r>
    </w:p>
    <w:p w14:paraId="0883503A">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项目名称</w:t>
      </w:r>
      <w:r>
        <w:rPr>
          <w:rFonts w:hint="eastAsia" w:ascii="仿宋_GB2312" w:hAnsi="仿宋_GB2312" w:eastAsia="仿宋_GB2312" w:cs="仿宋_GB2312"/>
          <w:color w:val="auto"/>
          <w:kern w:val="0"/>
          <w:sz w:val="21"/>
          <w:szCs w:val="21"/>
        </w:rPr>
        <w:t>：</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b w:val="0"/>
          <w:bCs w:val="0"/>
          <w:kern w:val="0"/>
          <w:sz w:val="21"/>
          <w:szCs w:val="21"/>
          <w:u w:val="single"/>
          <w:lang w:val="en-US" w:eastAsia="zh-CN"/>
        </w:rPr>
        <w:t>大岭山镇敬老院二期改造项目综合材料采购</w:t>
      </w:r>
      <w:r>
        <w:rPr>
          <w:rFonts w:hint="eastAsia" w:ascii="仿宋_GB2312" w:hAnsi="仿宋_GB2312" w:eastAsia="仿宋_GB2312" w:cs="仿宋_GB2312"/>
          <w:color w:val="auto"/>
          <w:kern w:val="0"/>
          <w:sz w:val="21"/>
          <w:szCs w:val="21"/>
          <w:u w:val="single"/>
          <w:lang w:val="en-US" w:eastAsia="zh-CN"/>
        </w:rPr>
        <w:t xml:space="preserve">  </w:t>
      </w:r>
    </w:p>
    <w:p w14:paraId="65374E87">
      <w:pPr>
        <w:widowControl/>
        <w:numPr>
          <w:ilvl w:val="0"/>
          <w:numId w:val="1"/>
        </w:numPr>
        <w:snapToGrid w:val="0"/>
        <w:spacing w:line="360" w:lineRule="auto"/>
        <w:ind w:left="0" w:leftChars="0" w:firstLine="420" w:firstLineChars="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b/>
          <w:bCs/>
          <w:color w:val="auto"/>
          <w:kern w:val="0"/>
          <w:sz w:val="21"/>
          <w:szCs w:val="21"/>
        </w:rPr>
        <w:t>项目编号：</w:t>
      </w:r>
      <w:r>
        <w:rPr>
          <w:rFonts w:hint="eastAsia" w:ascii="仿宋_GB2312" w:hAnsi="仿宋_GB2312" w:eastAsia="仿宋_GB2312" w:cs="仿宋_GB2312"/>
          <w:color w:val="auto"/>
          <w:kern w:val="0"/>
          <w:sz w:val="21"/>
          <w:szCs w:val="21"/>
          <w:u w:val="single"/>
        </w:rPr>
        <w:t xml:space="preserve"> ZBCG-</w:t>
      </w:r>
      <w:r>
        <w:rPr>
          <w:rFonts w:hint="eastAsia" w:ascii="仿宋_GB2312" w:hAnsi="仿宋_GB2312" w:eastAsia="仿宋_GB2312" w:cs="仿宋_GB2312"/>
          <w:color w:val="auto"/>
          <w:kern w:val="0"/>
          <w:sz w:val="21"/>
          <w:szCs w:val="21"/>
          <w:u w:val="single"/>
          <w:lang w:eastAsia="zh-CN"/>
        </w:rPr>
        <w:t>202</w:t>
      </w:r>
      <w:r>
        <w:rPr>
          <w:rFonts w:hint="eastAsia" w:ascii="仿宋_GB2312" w:hAnsi="仿宋_GB2312" w:eastAsia="仿宋_GB2312" w:cs="仿宋_GB2312"/>
          <w:color w:val="auto"/>
          <w:kern w:val="0"/>
          <w:sz w:val="21"/>
          <w:szCs w:val="21"/>
          <w:u w:val="single"/>
          <w:lang w:val="en-US" w:eastAsia="zh-CN"/>
        </w:rPr>
        <w:t>6</w:t>
      </w:r>
      <w:r>
        <w:rPr>
          <w:rFonts w:hint="eastAsia" w:ascii="仿宋_GB2312" w:hAnsi="仿宋_GB2312" w:eastAsia="仿宋_GB2312" w:cs="仿宋_GB2312"/>
          <w:color w:val="auto"/>
          <w:kern w:val="0"/>
          <w:sz w:val="21"/>
          <w:szCs w:val="21"/>
          <w:u w:val="single"/>
        </w:rPr>
        <w:t>-</w:t>
      </w:r>
      <w:r>
        <w:rPr>
          <w:rFonts w:hint="eastAsia" w:ascii="仿宋_GB2312" w:hAnsi="仿宋_GB2312" w:eastAsia="仿宋_GB2312" w:cs="仿宋_GB2312"/>
          <w:color w:val="auto"/>
          <w:kern w:val="0"/>
          <w:sz w:val="21"/>
          <w:szCs w:val="21"/>
          <w:u w:val="single"/>
          <w:lang w:val="en-US" w:eastAsia="zh-CN"/>
        </w:rPr>
        <w:t>180</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u w:val="single"/>
        </w:rPr>
        <w:t xml:space="preserve"> </w:t>
      </w:r>
      <w:r>
        <w:rPr>
          <w:rFonts w:hint="eastAsia" w:ascii="仿宋_GB2312" w:hAnsi="仿宋_GB2312" w:eastAsia="仿宋_GB2312" w:cs="仿宋_GB2312"/>
          <w:color w:val="auto"/>
          <w:kern w:val="0"/>
          <w:sz w:val="21"/>
          <w:szCs w:val="21"/>
          <w:u w:val="single"/>
          <w:lang w:val="en-US" w:eastAsia="zh-CN"/>
        </w:rPr>
        <w:t xml:space="preserve"> </w:t>
      </w:r>
      <w:r>
        <w:rPr>
          <w:rFonts w:hint="eastAsia" w:ascii="仿宋_GB2312" w:hAnsi="仿宋_GB2312" w:eastAsia="仿宋_GB2312" w:cs="仿宋_GB2312"/>
          <w:color w:val="auto"/>
          <w:kern w:val="0"/>
          <w:sz w:val="21"/>
          <w:szCs w:val="21"/>
          <w:lang w:val="en-US" w:eastAsia="zh-CN"/>
        </w:rPr>
        <w:t xml:space="preserve">  </w:t>
      </w:r>
    </w:p>
    <w:p w14:paraId="23BFCFA0">
      <w:pPr>
        <w:widowControl/>
        <w:numPr>
          <w:ilvl w:val="0"/>
          <w:numId w:val="0"/>
        </w:numPr>
        <w:snapToGrid w:val="0"/>
        <w:spacing w:line="360" w:lineRule="auto"/>
        <w:ind w:left="420" w:leftChars="0"/>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三、</w:t>
      </w:r>
      <w:r>
        <w:rPr>
          <w:rFonts w:hint="eastAsia" w:ascii="仿宋_GB2312" w:hAnsi="仿宋_GB2312" w:eastAsia="仿宋_GB2312" w:cs="仿宋_GB2312"/>
          <w:b/>
          <w:bCs/>
          <w:color w:val="auto"/>
          <w:kern w:val="0"/>
          <w:sz w:val="21"/>
          <w:szCs w:val="21"/>
        </w:rPr>
        <w:t>工程地点：</w:t>
      </w:r>
      <w:r>
        <w:rPr>
          <w:rFonts w:hint="eastAsia" w:ascii="仿宋_GB2312" w:hAnsi="仿宋_GB2312" w:eastAsia="仿宋_GB2312" w:cs="仿宋_GB2312"/>
          <w:color w:val="auto"/>
          <w:kern w:val="0"/>
          <w:sz w:val="21"/>
          <w:szCs w:val="21"/>
          <w:u w:val="single"/>
          <w:lang w:val="en-US" w:eastAsia="zh-CN"/>
        </w:rPr>
        <w:t xml:space="preserve">  东莞大岭山                   </w:t>
      </w:r>
    </w:p>
    <w:p w14:paraId="42A14301">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rPr>
        <w:t>四、</w:t>
      </w:r>
      <w:r>
        <w:rPr>
          <w:rFonts w:hint="eastAsia" w:ascii="仿宋_GB2312" w:hAnsi="仿宋_GB2312" w:eastAsia="仿宋_GB2312" w:cs="仿宋_GB2312"/>
          <w:b/>
          <w:bCs/>
          <w:color w:val="auto"/>
          <w:kern w:val="0"/>
          <w:sz w:val="21"/>
          <w:szCs w:val="21"/>
          <w:lang w:val="en-US" w:eastAsia="zh-CN"/>
        </w:rPr>
        <w:t>采购限价</w:t>
      </w:r>
    </w:p>
    <w:p w14:paraId="1D56A01F">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本项目</w:t>
      </w:r>
      <w:r>
        <w:rPr>
          <w:rFonts w:hint="eastAsia" w:ascii="仿宋_GB2312" w:hAnsi="仿宋_GB2312" w:eastAsia="仿宋_GB2312" w:cs="仿宋_GB2312"/>
          <w:color w:val="auto"/>
          <w:kern w:val="0"/>
          <w:sz w:val="21"/>
          <w:szCs w:val="21"/>
          <w:lang w:val="en-US" w:eastAsia="zh-CN"/>
        </w:rPr>
        <w:t>采购限价为</w:t>
      </w:r>
      <w:r>
        <w:rPr>
          <w:rFonts w:hint="eastAsia" w:ascii="仿宋_GB2312" w:hAnsi="仿宋_GB2312" w:eastAsia="仿宋_GB2312" w:cs="仿宋_GB2312"/>
          <w:color w:val="auto"/>
          <w:kern w:val="0"/>
          <w:sz w:val="21"/>
          <w:szCs w:val="21"/>
          <w:u w:val="single"/>
          <w:lang w:val="en-US" w:eastAsia="zh-CN"/>
        </w:rPr>
        <w:t>¥ 2134443.95</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元（含税</w:t>
      </w:r>
      <w:r>
        <w:rPr>
          <w:rFonts w:hint="eastAsia" w:ascii="仿宋_GB2312" w:hAnsi="仿宋_GB2312" w:eastAsia="仿宋_GB2312" w:cs="仿宋_GB2312"/>
          <w:color w:val="auto"/>
          <w:kern w:val="0"/>
          <w:sz w:val="21"/>
          <w:szCs w:val="21"/>
          <w:u w:val="single"/>
          <w:lang w:val="en-US" w:eastAsia="zh-CN"/>
        </w:rPr>
        <w:t xml:space="preserve"> 13 </w:t>
      </w:r>
      <w:r>
        <w:rPr>
          <w:rFonts w:hint="eastAsia" w:ascii="仿宋_GB2312" w:hAnsi="仿宋_GB2312" w:eastAsia="仿宋_GB2312" w:cs="仿宋_GB2312"/>
          <w:color w:val="auto"/>
          <w:kern w:val="0"/>
          <w:sz w:val="21"/>
          <w:szCs w:val="21"/>
          <w:u w:val="none"/>
          <w:lang w:val="en-US" w:eastAsia="zh-CN"/>
        </w:rPr>
        <w:t xml:space="preserve">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贰佰壹拾叁万肆仟肆佰肆拾叁元玖角伍分   </w:t>
      </w:r>
      <w:r>
        <w:rPr>
          <w:rFonts w:hint="eastAsia" w:ascii="仿宋_GB2312" w:hAnsi="仿宋_GB2312" w:eastAsia="仿宋_GB2312" w:cs="仿宋_GB2312"/>
          <w:color w:val="auto"/>
          <w:kern w:val="0"/>
          <w:sz w:val="21"/>
          <w:szCs w:val="21"/>
          <w:u w:val="none"/>
          <w:lang w:val="en-US" w:eastAsia="zh-CN"/>
        </w:rPr>
        <w:t>;其中不含税价款为:(小写</w:t>
      </w:r>
      <w:r>
        <w:rPr>
          <w:rFonts w:hint="eastAsia" w:ascii="仿宋_GB2312" w:hAnsi="仿宋_GB2312" w:eastAsia="仿宋_GB2312" w:cs="仿宋_GB2312"/>
          <w:color w:val="auto"/>
          <w:kern w:val="0"/>
          <w:sz w:val="21"/>
          <w:szCs w:val="21"/>
          <w:u w:val="single"/>
          <w:lang w:val="en-US" w:eastAsia="zh-CN"/>
        </w:rPr>
        <w:t>)¥ 1888888.45元</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壹佰捌拾捌万捌仟捌佰捌拾捌元肆角伍分    </w:t>
      </w:r>
      <w:r>
        <w:rPr>
          <w:rFonts w:hint="eastAsia" w:ascii="仿宋_GB2312" w:hAnsi="仿宋_GB2312" w:eastAsia="仿宋_GB2312" w:cs="仿宋_GB2312"/>
          <w:color w:val="auto"/>
          <w:kern w:val="0"/>
          <w:sz w:val="21"/>
          <w:szCs w:val="21"/>
          <w:u w:val="none"/>
          <w:lang w:val="en-US" w:eastAsia="zh-CN"/>
        </w:rPr>
        <w:t>;税金:(小写)</w:t>
      </w:r>
      <w:r>
        <w:rPr>
          <w:rFonts w:hint="eastAsia" w:ascii="仿宋_GB2312" w:hAnsi="仿宋_GB2312" w:eastAsia="仿宋_GB2312" w:cs="仿宋_GB2312"/>
          <w:color w:val="auto"/>
          <w:kern w:val="0"/>
          <w:sz w:val="21"/>
          <w:szCs w:val="21"/>
          <w:u w:val="single"/>
          <w:lang w:val="en-US" w:eastAsia="zh-CN"/>
        </w:rPr>
        <w:t>¥ 245555.50 元</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color w:val="auto"/>
          <w:kern w:val="0"/>
          <w:sz w:val="21"/>
          <w:szCs w:val="21"/>
          <w:u w:val="none"/>
          <w:lang w:val="en-US" w:eastAsia="zh-CN"/>
        </w:rPr>
        <w:t>(大写)人民币</w:t>
      </w:r>
      <w:r>
        <w:rPr>
          <w:rFonts w:hint="eastAsia" w:ascii="仿宋_GB2312" w:hAnsi="仿宋_GB2312" w:eastAsia="仿宋_GB2312" w:cs="仿宋_GB2312"/>
          <w:color w:val="auto"/>
          <w:kern w:val="0"/>
          <w:sz w:val="21"/>
          <w:szCs w:val="21"/>
          <w:u w:val="single"/>
          <w:lang w:val="en-US" w:eastAsia="zh-CN"/>
        </w:rPr>
        <w:t xml:space="preserve">  贰拾肆万伍仟伍佰伍拾伍元伍角整    </w:t>
      </w:r>
      <w:r>
        <w:rPr>
          <w:rFonts w:hint="eastAsia" w:ascii="仿宋_GB2312" w:hAnsi="仿宋_GB2312" w:eastAsia="仿宋_GB2312" w:cs="仿宋_GB2312"/>
          <w:color w:val="auto"/>
          <w:kern w:val="0"/>
          <w:sz w:val="21"/>
          <w:szCs w:val="21"/>
          <w:lang w:val="en-US" w:eastAsia="zh-CN"/>
        </w:rPr>
        <w:t>。</w:t>
      </w:r>
      <w:r>
        <w:rPr>
          <w:rFonts w:hint="eastAsia" w:ascii="仿宋_GB2312" w:hAnsi="仿宋_GB2312" w:eastAsia="仿宋_GB2312" w:cs="仿宋_GB2312"/>
          <w:kern w:val="0"/>
          <w:szCs w:val="21"/>
          <w:lang w:val="en-US" w:eastAsia="zh-CN"/>
        </w:rPr>
        <w:t>（投标人报价不得高于采购限价）</w:t>
      </w:r>
    </w:p>
    <w:p w14:paraId="4F713271">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40" w:leftChars="0" w:right="0" w:rightChars="0" w:firstLine="422" w:firstLineChars="200"/>
        <w:jc w:val="left"/>
        <w:rPr>
          <w:rFonts w:hint="eastAsia" w:ascii="仿宋_GB2312" w:hAnsi="仿宋_GB2312" w:eastAsia="仿宋_GB2312" w:cs="仿宋_GB2312"/>
          <w:color w:val="auto"/>
          <w:sz w:val="21"/>
          <w:szCs w:val="21"/>
          <w:u w:val="single"/>
          <w:lang w:val="en-US" w:eastAsia="zh-CN"/>
        </w:rPr>
      </w:pPr>
      <w:r>
        <w:rPr>
          <w:rFonts w:hint="eastAsia" w:ascii="仿宋_GB2312" w:hAnsi="仿宋_GB2312" w:eastAsia="仿宋_GB2312" w:cs="仿宋_GB2312"/>
          <w:b/>
          <w:bCs/>
          <w:color w:val="auto"/>
          <w:kern w:val="0"/>
          <w:sz w:val="21"/>
          <w:szCs w:val="21"/>
          <w:lang w:val="en-US" w:eastAsia="zh-CN"/>
        </w:rPr>
        <w:t>五、</w:t>
      </w:r>
      <w:r>
        <w:rPr>
          <w:rFonts w:hint="eastAsia" w:ascii="仿宋_GB2312" w:hAnsi="仿宋_GB2312" w:eastAsia="仿宋_GB2312" w:cs="仿宋_GB2312"/>
          <w:b/>
          <w:bCs/>
          <w:color w:val="auto"/>
          <w:kern w:val="0"/>
          <w:sz w:val="21"/>
          <w:szCs w:val="21"/>
        </w:rPr>
        <w:t>工程概况</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color w:val="auto"/>
          <w:sz w:val="21"/>
          <w:szCs w:val="21"/>
          <w:highlight w:val="none"/>
          <w:u w:val="none"/>
          <w:shd w:val="clear" w:color="auto" w:fill="auto"/>
          <w:lang w:val="en-US" w:eastAsia="zh-CN" w:bidi="ar-SA"/>
        </w:rPr>
        <w:t xml:space="preserve">  </w:t>
      </w:r>
      <w:r>
        <w:rPr>
          <w:rFonts w:hint="eastAsia" w:ascii="仿宋_GB2312" w:hAnsi="仿宋_GB2312" w:eastAsia="仿宋_GB2312" w:cs="仿宋_GB2312"/>
          <w:color w:val="auto"/>
          <w:kern w:val="0"/>
          <w:sz w:val="21"/>
          <w:szCs w:val="21"/>
          <w:highlight w:val="none"/>
          <w:shd w:val="clear" w:color="auto" w:fill="auto"/>
          <w:lang w:val="en-US" w:eastAsia="zh-CN" w:bidi="ar-SA"/>
        </w:rPr>
        <w:t>一期占地460平方米，建筑面积2100平方米，楼高四层；二期占地1608.20平方米，建筑面积约1.04万平方米，楼高七层。可规划单人房20间、双人房97间、三人间16间，共计床位262张。</w:t>
      </w:r>
    </w:p>
    <w:p w14:paraId="2B757967">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200"/>
        <w:textAlignment w:val="auto"/>
        <w:rPr>
          <w:rFonts w:hint="eastAsia" w:ascii="仿宋_GB2312" w:hAnsi="仿宋_GB2312" w:eastAsia="仿宋_GB2312" w:cs="仿宋_GB2312"/>
          <w:b/>
          <w:bCs/>
          <w:color w:val="auto"/>
          <w:kern w:val="0"/>
          <w:sz w:val="21"/>
          <w:szCs w:val="21"/>
          <w:u w:val="none"/>
          <w:lang w:val="en-US" w:eastAsia="zh-CN"/>
        </w:rPr>
      </w:pPr>
      <w:r>
        <w:rPr>
          <w:rFonts w:hint="eastAsia" w:ascii="仿宋_GB2312" w:hAnsi="仿宋_GB2312" w:eastAsia="仿宋_GB2312" w:cs="仿宋_GB2312"/>
          <w:b/>
          <w:bCs/>
          <w:color w:val="auto"/>
          <w:kern w:val="0"/>
          <w:sz w:val="21"/>
          <w:szCs w:val="21"/>
          <w:lang w:val="en-US" w:eastAsia="zh-CN"/>
        </w:rPr>
        <w:t>六、采购</w:t>
      </w:r>
      <w:r>
        <w:rPr>
          <w:rFonts w:hint="eastAsia" w:ascii="仿宋_GB2312" w:hAnsi="仿宋_GB2312" w:eastAsia="仿宋_GB2312" w:cs="仿宋_GB2312"/>
          <w:b/>
          <w:bCs/>
          <w:color w:val="auto"/>
          <w:kern w:val="0"/>
          <w:sz w:val="21"/>
          <w:szCs w:val="21"/>
        </w:rPr>
        <w:t>范围</w:t>
      </w:r>
      <w:r>
        <w:rPr>
          <w:rFonts w:hint="eastAsia" w:ascii="仿宋_GB2312" w:hAnsi="仿宋_GB2312" w:eastAsia="仿宋_GB2312" w:cs="仿宋_GB2312"/>
          <w:b/>
          <w:bCs/>
          <w:color w:val="auto"/>
          <w:kern w:val="0"/>
          <w:sz w:val="21"/>
          <w:szCs w:val="21"/>
          <w:lang w:eastAsia="zh-CN"/>
        </w:rPr>
        <w:t>：</w:t>
      </w:r>
      <w:r>
        <w:rPr>
          <w:rFonts w:hint="eastAsia" w:ascii="仿宋_GB2312" w:hAnsi="仿宋_GB2312" w:eastAsia="仿宋_GB2312" w:cs="仿宋_GB2312"/>
          <w:b/>
          <w:bCs/>
          <w:color w:val="auto"/>
          <w:kern w:val="0"/>
          <w:sz w:val="21"/>
          <w:szCs w:val="21"/>
          <w:u w:val="none"/>
          <w:lang w:val="en-US" w:eastAsia="zh-CN"/>
        </w:rPr>
        <w:t xml:space="preserve">  </w:t>
      </w:r>
    </w:p>
    <w:p w14:paraId="4DFCDEF0">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20" w:firstLineChars="200"/>
        <w:textAlignment w:val="auto"/>
        <w:rPr>
          <w:rFonts w:hint="eastAsia" w:ascii="仿宋_GB2312" w:hAnsi="仿宋_GB2312" w:eastAsia="仿宋_GB2312" w:cs="仿宋_GB2312"/>
          <w:b/>
          <w:bCs/>
          <w:color w:val="auto"/>
          <w:kern w:val="0"/>
          <w:sz w:val="21"/>
          <w:szCs w:val="21"/>
          <w:u w:val="single"/>
        </w:rPr>
      </w:pPr>
      <w:r>
        <w:rPr>
          <w:rFonts w:hint="eastAsia" w:ascii="仿宋_GB2312" w:hAnsi="仿宋_GB2312" w:eastAsia="仿宋_GB2312" w:cs="仿宋_GB2312"/>
          <w:color w:val="auto"/>
          <w:kern w:val="0"/>
          <w:sz w:val="21"/>
          <w:szCs w:val="21"/>
          <w:highlight w:val="none"/>
          <w:lang w:val="en-US" w:eastAsia="zh-CN"/>
        </w:rPr>
        <w:t>本次采购综合材料包括但不限于以下类别：铝合金及制品、钢材及金属材料、砂石骨料、木材及木制品、管材管件、防水材料、保温隔热材料、装饰装修材料、五金交电、电线电缆及其他辅助材料等。具体品名、规格型号、技术参数、数量等</w:t>
      </w:r>
      <w:r>
        <w:rPr>
          <w:rFonts w:hint="eastAsia" w:ascii="仿宋_GB2312" w:hAnsi="仿宋_GB2312" w:eastAsia="仿宋_GB2312" w:cs="仿宋_GB2312"/>
          <w:color w:val="auto"/>
          <w:spacing w:val="0"/>
          <w:kern w:val="0"/>
          <w:szCs w:val="21"/>
          <w:highlight w:val="none"/>
          <w:lang w:val="en-US" w:eastAsia="zh-CN"/>
        </w:rPr>
        <w:t>具体详见工程量清单及图纸。</w:t>
      </w:r>
      <w:r>
        <w:rPr>
          <w:rFonts w:hint="eastAsia" w:ascii="仿宋_GB2312" w:hAnsi="仿宋_GB2312" w:eastAsia="仿宋_GB2312" w:cs="仿宋_GB2312"/>
          <w:b w:val="0"/>
          <w:bCs w:val="0"/>
          <w:color w:val="auto"/>
          <w:kern w:val="0"/>
          <w:sz w:val="21"/>
          <w:szCs w:val="21"/>
          <w:highlight w:val="none"/>
          <w:u w:val="none"/>
          <w:lang w:val="en-US" w:eastAsia="zh-CN"/>
        </w:rPr>
        <w:t xml:space="preserve"> </w:t>
      </w:r>
    </w:p>
    <w:p w14:paraId="336BB8E5">
      <w:pPr>
        <w:widowControl/>
        <w:numPr>
          <w:ilvl w:val="0"/>
          <w:numId w:val="0"/>
        </w:numPr>
        <w:snapToGrid w:val="0"/>
        <w:spacing w:line="360" w:lineRule="auto"/>
        <w:ind w:left="40" w:leftChars="0" w:firstLine="422" w:firstLineChars="200"/>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b/>
          <w:bCs/>
          <w:color w:val="auto"/>
          <w:kern w:val="0"/>
          <w:sz w:val="21"/>
          <w:szCs w:val="21"/>
          <w:lang w:val="en-US" w:eastAsia="zh-CN"/>
        </w:rPr>
        <w:t>七、服务</w:t>
      </w:r>
      <w:r>
        <w:rPr>
          <w:rFonts w:hint="eastAsia" w:ascii="仿宋_GB2312" w:hAnsi="仿宋_GB2312" w:eastAsia="仿宋_GB2312" w:cs="仿宋_GB2312"/>
          <w:b/>
          <w:bCs/>
          <w:color w:val="auto"/>
          <w:kern w:val="0"/>
          <w:sz w:val="21"/>
          <w:szCs w:val="21"/>
        </w:rPr>
        <w:t>期</w:t>
      </w:r>
      <w:r>
        <w:rPr>
          <w:rFonts w:hint="eastAsia" w:ascii="仿宋_GB2312" w:hAnsi="仿宋_GB2312" w:eastAsia="仿宋_GB2312" w:cs="仿宋_GB2312"/>
          <w:b/>
          <w:bCs/>
          <w:color w:val="auto"/>
          <w:kern w:val="0"/>
          <w:sz w:val="21"/>
          <w:szCs w:val="21"/>
          <w:lang w:val="en-US" w:eastAsia="zh-CN"/>
        </w:rPr>
        <w:t>及数量</w:t>
      </w:r>
    </w:p>
    <w:p w14:paraId="3BD63D36">
      <w:pPr>
        <w:widowControl/>
        <w:numPr>
          <w:ilvl w:val="0"/>
          <w:numId w:val="0"/>
        </w:numPr>
        <w:snapToGrid w:val="0"/>
        <w:spacing w:line="360" w:lineRule="auto"/>
        <w:ind w:leftChars="0" w:firstLine="420" w:firstLineChars="20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highlight w:val="none"/>
          <w:lang w:val="en-US" w:eastAsia="zh-CN"/>
        </w:rPr>
        <w:t>送货时间及数量</w:t>
      </w:r>
      <w:r>
        <w:rPr>
          <w:rFonts w:hint="eastAsia" w:ascii="仿宋_GB2312" w:hAnsi="仿宋_GB2312" w:eastAsia="仿宋_GB2312" w:cs="仿宋_GB2312"/>
          <w:color w:val="auto"/>
          <w:kern w:val="0"/>
          <w:sz w:val="21"/>
          <w:szCs w:val="21"/>
          <w:highlight w:val="none"/>
        </w:rPr>
        <w:t>：所有产品</w:t>
      </w:r>
      <w:r>
        <w:rPr>
          <w:rFonts w:hint="eastAsia" w:ascii="仿宋_GB2312" w:hAnsi="仿宋_GB2312" w:eastAsia="仿宋_GB2312" w:cs="仿宋_GB2312"/>
          <w:color w:val="auto"/>
          <w:kern w:val="0"/>
          <w:sz w:val="21"/>
          <w:szCs w:val="21"/>
          <w:highlight w:val="none"/>
          <w:lang w:val="en-US" w:eastAsia="zh-CN"/>
        </w:rPr>
        <w:t>批次</w:t>
      </w:r>
      <w:r>
        <w:rPr>
          <w:rFonts w:hint="eastAsia" w:ascii="仿宋_GB2312" w:hAnsi="仿宋_GB2312" w:eastAsia="仿宋_GB2312" w:cs="仿宋_GB2312"/>
          <w:color w:val="auto"/>
          <w:kern w:val="0"/>
          <w:sz w:val="21"/>
          <w:szCs w:val="21"/>
          <w:highlight w:val="none"/>
        </w:rPr>
        <w:t>供货期工期为</w:t>
      </w:r>
      <w:r>
        <w:rPr>
          <w:rFonts w:hint="eastAsia" w:ascii="仿宋_GB2312" w:hAnsi="仿宋_GB2312" w:eastAsia="仿宋_GB2312" w:cs="仿宋_GB2312"/>
          <w:color w:val="auto"/>
          <w:kern w:val="0"/>
          <w:sz w:val="21"/>
          <w:szCs w:val="21"/>
          <w:highlight w:val="none"/>
          <w:u w:val="single"/>
          <w:lang w:val="en-US" w:eastAsia="zh-CN"/>
        </w:rPr>
        <w:t xml:space="preserve">  10  </w:t>
      </w:r>
      <w:r>
        <w:rPr>
          <w:rFonts w:hint="eastAsia" w:ascii="仿宋_GB2312" w:hAnsi="仿宋_GB2312" w:eastAsia="仿宋_GB2312" w:cs="仿宋_GB2312"/>
          <w:color w:val="auto"/>
          <w:kern w:val="0"/>
          <w:sz w:val="21"/>
          <w:szCs w:val="21"/>
          <w:highlight w:val="none"/>
        </w:rPr>
        <w:t>个日历天</w:t>
      </w:r>
      <w:r>
        <w:rPr>
          <w:rFonts w:hint="eastAsia" w:ascii="仿宋_GB2312" w:hAnsi="仿宋_GB2312" w:eastAsia="仿宋_GB2312" w:cs="仿宋_GB2312"/>
          <w:color w:val="auto"/>
          <w:kern w:val="0"/>
          <w:sz w:val="21"/>
          <w:szCs w:val="21"/>
          <w:highlight w:val="none"/>
          <w:lang w:val="en-US" w:eastAsia="zh-CN"/>
        </w:rPr>
        <w:t>内</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lang w:val="en-US" w:eastAsia="zh-CN"/>
        </w:rPr>
        <w:t>具体送货、备货时间以项目部正式通知为准，乙方承诺无条件配合甲方项目部根据施工进度安排对产品供货期的调整</w:t>
      </w:r>
      <w:r>
        <w:rPr>
          <w:rFonts w:hint="eastAsia" w:ascii="仿宋_GB2312" w:hAnsi="仿宋_GB2312" w:eastAsia="仿宋_GB2312" w:cs="仿宋_GB2312"/>
          <w:color w:val="auto"/>
          <w:kern w:val="0"/>
          <w:sz w:val="21"/>
          <w:szCs w:val="21"/>
        </w:rPr>
        <w:t>。</w:t>
      </w:r>
    </w:p>
    <w:p w14:paraId="66B723F1">
      <w:pPr>
        <w:widowControl/>
        <w:numPr>
          <w:ilvl w:val="0"/>
          <w:numId w:val="0"/>
        </w:numPr>
        <w:snapToGrid w:val="0"/>
        <w:spacing w:line="360" w:lineRule="auto"/>
        <w:ind w:left="0" w:leftChars="0" w:firstLine="422" w:firstLineChars="200"/>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lang w:val="en-US" w:eastAsia="zh-CN"/>
        </w:rPr>
        <w:t>八、</w:t>
      </w:r>
      <w:r>
        <w:rPr>
          <w:rFonts w:hint="eastAsia" w:ascii="仿宋_GB2312" w:hAnsi="仿宋_GB2312" w:eastAsia="仿宋_GB2312" w:cs="仿宋_GB2312"/>
          <w:b/>
          <w:bCs/>
          <w:color w:val="auto"/>
          <w:kern w:val="0"/>
          <w:sz w:val="21"/>
          <w:szCs w:val="21"/>
        </w:rPr>
        <w:t>投标</w:t>
      </w:r>
      <w:r>
        <w:rPr>
          <w:rFonts w:hint="eastAsia" w:ascii="仿宋_GB2312" w:hAnsi="仿宋_GB2312" w:eastAsia="仿宋_GB2312" w:cs="仿宋_GB2312"/>
          <w:b/>
          <w:bCs/>
          <w:color w:val="auto"/>
          <w:kern w:val="0"/>
          <w:sz w:val="21"/>
          <w:szCs w:val="21"/>
          <w:highlight w:val="none"/>
        </w:rPr>
        <w:t>文件的递交时间及开标地点</w:t>
      </w:r>
    </w:p>
    <w:p w14:paraId="1F00ACF9">
      <w:pPr>
        <w:widowControl/>
        <w:numPr>
          <w:ilvl w:val="0"/>
          <w:numId w:val="0"/>
        </w:numPr>
        <w:snapToGrid w:val="0"/>
        <w:spacing w:line="360" w:lineRule="auto"/>
        <w:ind w:left="0" w:leftChars="0" w:firstLine="420" w:firstLineChars="2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以密封形式于</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u w:val="singl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u w:val="single"/>
        </w:rPr>
        <w:t>月</w:t>
      </w:r>
      <w:r>
        <w:rPr>
          <w:rFonts w:hint="eastAsia" w:ascii="仿宋_GB2312" w:hAnsi="仿宋_GB2312" w:eastAsia="仿宋_GB2312" w:cs="仿宋_GB2312"/>
          <w:color w:val="auto"/>
          <w:kern w:val="0"/>
          <w:sz w:val="21"/>
          <w:szCs w:val="21"/>
          <w:highlight w:val="none"/>
          <w:u w:val="single"/>
          <w:lang w:val="en-US" w:eastAsia="zh-CN"/>
        </w:rPr>
        <w:t xml:space="preserve">  18   </w:t>
      </w:r>
      <w:r>
        <w:rPr>
          <w:rFonts w:hint="eastAsia" w:ascii="仿宋_GB2312" w:hAnsi="仿宋_GB2312" w:eastAsia="仿宋_GB2312" w:cs="仿宋_GB2312"/>
          <w:color w:val="auto"/>
          <w:kern w:val="0"/>
          <w:sz w:val="21"/>
          <w:szCs w:val="21"/>
          <w:highlight w:val="none"/>
          <w:u w:val="single"/>
        </w:rPr>
        <w:t>日</w:t>
      </w:r>
      <w:r>
        <w:rPr>
          <w:rFonts w:hint="eastAsia" w:ascii="仿宋_GB2312" w:hAnsi="仿宋_GB2312" w:eastAsia="仿宋_GB2312" w:cs="仿宋_GB2312"/>
          <w:color w:val="auto"/>
          <w:kern w:val="0"/>
          <w:sz w:val="21"/>
          <w:szCs w:val="21"/>
          <w:highlight w:val="none"/>
          <w:u w:val="single"/>
          <w:lang w:val="en-US" w:eastAsia="zh-CN"/>
        </w:rPr>
        <w:t xml:space="preserve">  16  </w:t>
      </w:r>
      <w:r>
        <w:rPr>
          <w:rFonts w:hint="eastAsia" w:ascii="仿宋_GB2312" w:hAnsi="仿宋_GB2312" w:eastAsia="仿宋_GB2312" w:cs="仿宋_GB2312"/>
          <w:color w:val="auto"/>
          <w:kern w:val="0"/>
          <w:sz w:val="21"/>
          <w:szCs w:val="21"/>
          <w:highlight w:val="none"/>
          <w:u w:val="singl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u w:val="single"/>
        </w:rPr>
        <w:t>分</w:t>
      </w:r>
      <w:r>
        <w:rPr>
          <w:rFonts w:hint="eastAsia" w:ascii="仿宋_GB2312" w:hAnsi="仿宋_GB2312" w:eastAsia="仿宋_GB2312" w:cs="仿宋_GB2312"/>
          <w:color w:val="auto"/>
          <w:kern w:val="0"/>
          <w:sz w:val="21"/>
          <w:szCs w:val="21"/>
          <w:highlight w:val="none"/>
        </w:rPr>
        <w:t>前递交，截止时间为</w:t>
      </w:r>
      <w:r>
        <w:rPr>
          <w:rFonts w:hint="eastAsia" w:ascii="仿宋_GB2312" w:hAnsi="仿宋_GB2312" w:eastAsia="仿宋_GB2312" w:cs="仿宋_GB2312"/>
          <w:color w:val="auto"/>
          <w:kern w:val="0"/>
          <w:sz w:val="21"/>
          <w:szCs w:val="21"/>
          <w:highlight w:val="none"/>
          <w:u w:val="singl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u w:val="singl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u w:val="single"/>
          <w:lang w:val="en-US" w:eastAsia="zh-CN"/>
        </w:rPr>
        <w:t xml:space="preserve"> 18 </w:t>
      </w:r>
      <w:r>
        <w:rPr>
          <w:rFonts w:hint="eastAsia" w:ascii="仿宋_GB2312" w:hAnsi="仿宋_GB2312" w:eastAsia="仿宋_GB2312" w:cs="仿宋_GB2312"/>
          <w:color w:val="auto"/>
          <w:kern w:val="0"/>
          <w:sz w:val="21"/>
          <w:szCs w:val="21"/>
          <w:highlight w:val="none"/>
        </w:rPr>
        <w:t>日</w:t>
      </w:r>
      <w:r>
        <w:rPr>
          <w:rFonts w:hint="eastAsia" w:ascii="仿宋_GB2312" w:hAnsi="仿宋_GB2312" w:eastAsia="仿宋_GB2312" w:cs="仿宋_GB2312"/>
          <w:color w:val="auto"/>
          <w:kern w:val="0"/>
          <w:sz w:val="21"/>
          <w:szCs w:val="21"/>
          <w:highlight w:val="none"/>
          <w:u w:val="single"/>
          <w:lang w:val="en-US" w:eastAsia="zh-CN"/>
        </w:rPr>
        <w:t xml:space="preserve"> 16  </w:t>
      </w:r>
      <w:r>
        <w:rPr>
          <w:rFonts w:hint="eastAsia" w:ascii="仿宋_GB2312" w:hAnsi="仿宋_GB2312" w:eastAsia="仿宋_GB2312" w:cs="仿宋_GB2312"/>
          <w:color w:val="auto"/>
          <w:kern w:val="0"/>
          <w:sz w:val="21"/>
          <w:szCs w:val="21"/>
          <w:highlight w:val="none"/>
        </w:rPr>
        <w:t>时</w:t>
      </w:r>
      <w:r>
        <w:rPr>
          <w:rFonts w:hint="eastAsia" w:ascii="仿宋_GB2312" w:hAnsi="仿宋_GB2312" w:eastAsia="仿宋_GB2312" w:cs="仿宋_GB2312"/>
          <w:color w:val="auto"/>
          <w:kern w:val="0"/>
          <w:sz w:val="21"/>
          <w:szCs w:val="21"/>
          <w:highlight w:val="none"/>
          <w:u w:val="single"/>
          <w:lang w:val="en-US" w:eastAsia="zh-CN"/>
        </w:rPr>
        <w:t xml:space="preserve"> 00  </w:t>
      </w:r>
      <w:r>
        <w:rPr>
          <w:rFonts w:hint="eastAsia" w:ascii="仿宋_GB2312" w:hAnsi="仿宋_GB2312" w:eastAsia="仿宋_GB2312" w:cs="仿宋_GB2312"/>
          <w:color w:val="auto"/>
          <w:kern w:val="0"/>
          <w:sz w:val="21"/>
          <w:szCs w:val="21"/>
          <w:highlight w:val="none"/>
        </w:rPr>
        <w:t>分，所有报价文件必须在规定的递交截止时间前按规定送达采购方，逾期恕不接受。</w:t>
      </w:r>
    </w:p>
    <w:p w14:paraId="3A5B4331">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开标地址：东莞市南城</w:t>
      </w:r>
      <w:r>
        <w:rPr>
          <w:rFonts w:hint="eastAsia" w:ascii="仿宋_GB2312" w:hAnsi="仿宋_GB2312" w:eastAsia="仿宋_GB2312" w:cs="仿宋_GB2312"/>
          <w:color w:val="auto"/>
          <w:kern w:val="0"/>
          <w:sz w:val="21"/>
          <w:szCs w:val="21"/>
          <w:highlight w:val="none"/>
          <w:lang w:val="en-US" w:eastAsia="zh-CN"/>
        </w:rPr>
        <w:t>街道城市风景街8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val="en-US" w:eastAsia="zh-CN"/>
        </w:rPr>
        <w:t>4</w:t>
      </w:r>
      <w:r>
        <w:rPr>
          <w:rFonts w:hint="eastAsia" w:ascii="仿宋_GB2312" w:hAnsi="仿宋_GB2312" w:eastAsia="仿宋_GB2312" w:cs="仿宋_GB2312"/>
          <w:color w:val="auto"/>
          <w:kern w:val="0"/>
          <w:sz w:val="21"/>
          <w:szCs w:val="21"/>
          <w:highlight w:val="none"/>
        </w:rPr>
        <w:t>层</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开标室。</w:t>
      </w:r>
    </w:p>
    <w:p w14:paraId="3B6D4B86">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lang w:val="en-US" w:eastAsia="zh-CN"/>
        </w:rPr>
        <w:t>九</w:t>
      </w:r>
      <w:r>
        <w:rPr>
          <w:rFonts w:hint="eastAsia" w:ascii="仿宋_GB2312" w:hAnsi="仿宋_GB2312" w:eastAsia="仿宋_GB2312" w:cs="仿宋_GB2312"/>
          <w:b/>
          <w:bCs/>
          <w:color w:val="auto"/>
          <w:kern w:val="0"/>
          <w:sz w:val="21"/>
          <w:szCs w:val="21"/>
          <w:highlight w:val="none"/>
        </w:rPr>
        <w:t>、注意事项</w:t>
      </w:r>
    </w:p>
    <w:p w14:paraId="0B48A53E">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1、投标人必须全面响应采购文件要求，投标人任何附加条件采购人一律不接受或视为废标。</w:t>
      </w:r>
    </w:p>
    <w:p w14:paraId="2886E9C2">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2、投标文件严禁出现不平衡报价。</w:t>
      </w:r>
    </w:p>
    <w:p w14:paraId="55D071DF">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val="en-US" w:eastAsia="zh-CN"/>
        </w:rPr>
        <w:t>3</w:t>
      </w:r>
      <w:r>
        <w:rPr>
          <w:rFonts w:hint="eastAsia" w:ascii="仿宋_GB2312" w:hAnsi="仿宋_GB2312" w:eastAsia="仿宋_GB2312" w:cs="仿宋_GB2312"/>
          <w:color w:val="auto"/>
          <w:kern w:val="0"/>
          <w:sz w:val="21"/>
          <w:szCs w:val="21"/>
          <w:highlight w:val="none"/>
        </w:rPr>
        <w:t>、质量要求：现行的施工规范要求</w:t>
      </w:r>
      <w:r>
        <w:rPr>
          <w:rFonts w:hint="eastAsia" w:ascii="仿宋_GB2312" w:hAnsi="仿宋_GB2312" w:eastAsia="仿宋_GB2312" w:cs="仿宋_GB2312"/>
          <w:color w:val="FF0000"/>
          <w:kern w:val="0"/>
          <w:szCs w:val="21"/>
        </w:rPr>
        <w:t>及用户需求书列明的质量管控要求</w:t>
      </w:r>
      <w:r>
        <w:rPr>
          <w:rFonts w:hint="eastAsia" w:ascii="仿宋_GB2312" w:hAnsi="仿宋_GB2312" w:eastAsia="仿宋_GB2312" w:cs="仿宋_GB2312"/>
          <w:color w:val="auto"/>
          <w:kern w:val="0"/>
          <w:sz w:val="21"/>
          <w:szCs w:val="21"/>
          <w:highlight w:val="none"/>
        </w:rPr>
        <w:t>。</w:t>
      </w:r>
    </w:p>
    <w:p w14:paraId="62550061">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采购</w:t>
      </w:r>
      <w:r>
        <w:rPr>
          <w:rFonts w:hint="eastAsia" w:ascii="仿宋_GB2312" w:hAnsi="仿宋_GB2312" w:eastAsia="仿宋_GB2312" w:cs="仿宋_GB2312"/>
          <w:b/>
          <w:bCs/>
          <w:color w:val="auto"/>
          <w:kern w:val="0"/>
          <w:sz w:val="21"/>
          <w:szCs w:val="21"/>
          <w:highlight w:val="none"/>
        </w:rPr>
        <w:t>文件获取</w:t>
      </w:r>
    </w:p>
    <w:p w14:paraId="03F9AB06">
      <w:pPr>
        <w:widowControl/>
        <w:snapToGrid w:val="0"/>
        <w:spacing w:line="360" w:lineRule="auto"/>
        <w:ind w:left="0" w:leftChars="0" w:firstLine="367"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color w:val="auto"/>
          <w:kern w:val="0"/>
          <w:sz w:val="21"/>
          <w:szCs w:val="21"/>
          <w:highlight w:val="none"/>
        </w:rPr>
        <w:t>官网（http:</w:t>
      </w:r>
      <w:r>
        <w:rPr>
          <w:rFonts w:hint="eastAsia" w:ascii="仿宋_GB2312" w:hAnsi="仿宋_GB2312" w:eastAsia="仿宋_GB2312" w:cs="仿宋_GB2312"/>
          <w:color w:val="auto"/>
          <w:kern w:val="0"/>
          <w:sz w:val="21"/>
          <w:szCs w:val="21"/>
          <w:highlight w:val="none"/>
          <w:lang w:val="en-US" w:eastAsia="zh-CN"/>
        </w:rPr>
        <w:t>/</w:t>
      </w:r>
      <w:r>
        <w:rPr>
          <w:rFonts w:hint="eastAsia" w:ascii="仿宋_GB2312" w:hAnsi="仿宋_GB2312" w:eastAsia="仿宋_GB2312" w:cs="仿宋_GB2312"/>
          <w:color w:val="auto"/>
          <w:kern w:val="0"/>
          <w:sz w:val="21"/>
          <w:szCs w:val="21"/>
          <w:highlight w:val="none"/>
        </w:rPr>
        <w:t>/</w:t>
      </w:r>
      <w:r>
        <w:rPr>
          <w:rFonts w:hint="eastAsia" w:ascii="仿宋_GB2312" w:hAnsi="仿宋_GB2312" w:eastAsia="仿宋_GB2312" w:cs="仿宋_GB2312"/>
          <w:color w:val="auto"/>
          <w:kern w:val="0"/>
          <w:sz w:val="21"/>
          <w:szCs w:val="21"/>
          <w:highlight w:val="none"/>
          <w:lang w:val="en-US" w:eastAsia="zh-CN"/>
        </w:rPr>
        <w:t>www.</w:t>
      </w:r>
      <w:r>
        <w:rPr>
          <w:rFonts w:hint="eastAsia" w:ascii="仿宋_GB2312" w:hAnsi="仿宋_GB2312" w:eastAsia="仿宋_GB2312" w:cs="仿宋_GB2312"/>
          <w:color w:val="auto"/>
          <w:kern w:val="0"/>
          <w:sz w:val="21"/>
          <w:szCs w:val="21"/>
          <w:highlight w:val="none"/>
        </w:rPr>
        <w:t>dggcc.cn）</w:t>
      </w:r>
      <w:r>
        <w:rPr>
          <w:rFonts w:hint="eastAsia" w:ascii="仿宋_GB2312" w:hAnsi="仿宋_GB2312" w:eastAsia="仿宋_GB2312" w:cs="仿宋_GB2312"/>
          <w:color w:val="auto"/>
          <w:kern w:val="0"/>
          <w:sz w:val="21"/>
          <w:szCs w:val="21"/>
          <w:highlight w:val="none"/>
          <w:lang w:eastAsia="zh-CN"/>
        </w:rPr>
        <w:t>、</w:t>
      </w:r>
      <w:r>
        <w:rPr>
          <w:rFonts w:hint="eastAsia" w:ascii="仿宋_GB2312" w:hAnsi="仿宋_GB2312" w:eastAsia="仿宋_GB2312" w:cs="仿宋_GB2312"/>
          <w:color w:val="auto"/>
          <w:kern w:val="0"/>
          <w:sz w:val="21"/>
          <w:szCs w:val="21"/>
          <w:highlight w:val="none"/>
          <w:lang w:val="en-US" w:eastAsia="zh-CN"/>
        </w:rPr>
        <w:t>东实集团官网（</w:t>
      </w:r>
      <w:r>
        <w:rPr>
          <w:rFonts w:hint="eastAsia" w:ascii="仿宋_GB2312" w:hAnsi="仿宋_GB2312" w:eastAsia="仿宋_GB2312" w:cs="仿宋_GB2312"/>
          <w:color w:val="auto"/>
          <w:kern w:val="0"/>
          <w:sz w:val="21"/>
          <w:szCs w:val="21"/>
          <w:highlight w:val="none"/>
          <w:lang w:eastAsia="zh-CN"/>
        </w:rPr>
        <w:t>http://www.dgsy.com.cn）</w:t>
      </w:r>
      <w:r>
        <w:rPr>
          <w:rFonts w:hint="eastAsia" w:ascii="仿宋_GB2312" w:hAnsi="仿宋_GB2312" w:eastAsia="仿宋_GB2312" w:cs="仿宋_GB2312"/>
          <w:color w:val="auto"/>
          <w:kern w:val="0"/>
          <w:sz w:val="21"/>
          <w:szCs w:val="21"/>
          <w:highlight w:val="none"/>
        </w:rPr>
        <w:t>。</w:t>
      </w:r>
    </w:p>
    <w:p w14:paraId="43C98BF5">
      <w:pPr>
        <w:widowControl/>
        <w:snapToGrid w:val="0"/>
        <w:spacing w:line="360" w:lineRule="auto"/>
        <w:ind w:left="0" w:leftChars="0" w:firstLine="369" w:firstLineChars="175"/>
        <w:rPr>
          <w:rFonts w:hint="eastAsia" w:ascii="仿宋_GB2312" w:hAnsi="仿宋_GB2312" w:eastAsia="仿宋_GB2312" w:cs="仿宋_GB2312"/>
          <w:b/>
          <w:bCs/>
          <w:color w:val="auto"/>
          <w:kern w:val="0"/>
          <w:sz w:val="21"/>
          <w:szCs w:val="21"/>
          <w:highlight w:val="none"/>
          <w:lang w:val="en-US" w:eastAsia="zh-CN"/>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一</w:t>
      </w:r>
      <w:r>
        <w:rPr>
          <w:rFonts w:hint="eastAsia" w:ascii="仿宋_GB2312" w:hAnsi="仿宋_GB2312" w:eastAsia="仿宋_GB2312" w:cs="仿宋_GB2312"/>
          <w:b/>
          <w:bCs/>
          <w:color w:val="auto"/>
          <w:kern w:val="0"/>
          <w:sz w:val="21"/>
          <w:szCs w:val="21"/>
          <w:highlight w:val="none"/>
        </w:rPr>
        <w:t>、</w:t>
      </w:r>
      <w:r>
        <w:rPr>
          <w:rFonts w:hint="eastAsia" w:ascii="仿宋_GB2312" w:hAnsi="仿宋_GB2312" w:eastAsia="仿宋_GB2312" w:cs="仿宋_GB2312"/>
          <w:b/>
          <w:bCs/>
          <w:color w:val="auto"/>
          <w:kern w:val="0"/>
          <w:sz w:val="21"/>
          <w:szCs w:val="21"/>
          <w:highlight w:val="none"/>
          <w:lang w:val="en-US" w:eastAsia="zh-CN"/>
        </w:rPr>
        <w:t>其他及特别内容说明</w:t>
      </w:r>
    </w:p>
    <w:p w14:paraId="6DEBA59C">
      <w:pPr>
        <w:widowControl/>
        <w:snapToGrid w:val="0"/>
        <w:spacing w:line="360" w:lineRule="auto"/>
        <w:ind w:left="0" w:leftChars="0" w:firstLine="367" w:firstLineChars="175"/>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参考品牌：</w:t>
      </w:r>
      <w:r>
        <w:rPr>
          <w:rFonts w:hint="eastAsia" w:ascii="仿宋_GB2312" w:hAnsi="仿宋_GB2312" w:eastAsia="仿宋_GB2312" w:cs="仿宋_GB2312"/>
          <w:b w:val="0"/>
          <w:bCs w:val="0"/>
          <w:color w:val="auto"/>
          <w:kern w:val="0"/>
          <w:sz w:val="21"/>
          <w:szCs w:val="21"/>
          <w:highlight w:val="none"/>
          <w:u w:val="single"/>
          <w:lang w:val="en-US" w:eastAsia="zh-CN"/>
        </w:rPr>
        <w:t xml:space="preserve"> /  </w:t>
      </w:r>
      <w:r>
        <w:rPr>
          <w:rFonts w:hint="eastAsia" w:ascii="仿宋_GB2312" w:hAnsi="仿宋_GB2312" w:eastAsia="仿宋_GB2312" w:cs="仿宋_GB2312"/>
          <w:b w:val="0"/>
          <w:bCs w:val="0"/>
          <w:color w:val="auto"/>
          <w:kern w:val="0"/>
          <w:sz w:val="21"/>
          <w:szCs w:val="21"/>
          <w:highlight w:val="none"/>
          <w:lang w:val="en-US" w:eastAsia="zh-CN"/>
        </w:rPr>
        <w:t>；进场需经采购人审核同意方可使用。</w:t>
      </w:r>
    </w:p>
    <w:p w14:paraId="2A95F456">
      <w:pPr>
        <w:widowControl/>
        <w:snapToGrid w:val="0"/>
        <w:spacing w:line="360" w:lineRule="auto"/>
        <w:ind w:left="0" w:leftChars="0" w:firstLine="369" w:firstLineChars="175"/>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b/>
          <w:bCs/>
          <w:color w:val="auto"/>
          <w:kern w:val="0"/>
          <w:sz w:val="21"/>
          <w:szCs w:val="21"/>
          <w:highlight w:val="none"/>
        </w:rPr>
        <w:t>十</w:t>
      </w:r>
      <w:r>
        <w:rPr>
          <w:rFonts w:hint="eastAsia" w:ascii="仿宋_GB2312" w:hAnsi="仿宋_GB2312" w:eastAsia="仿宋_GB2312" w:cs="仿宋_GB2312"/>
          <w:b/>
          <w:bCs/>
          <w:color w:val="auto"/>
          <w:kern w:val="0"/>
          <w:sz w:val="21"/>
          <w:szCs w:val="21"/>
          <w:highlight w:val="none"/>
          <w:lang w:val="en-US" w:eastAsia="zh-CN"/>
        </w:rPr>
        <w:t>二</w:t>
      </w:r>
      <w:r>
        <w:rPr>
          <w:rFonts w:hint="eastAsia" w:ascii="仿宋_GB2312" w:hAnsi="仿宋_GB2312" w:eastAsia="仿宋_GB2312" w:cs="仿宋_GB2312"/>
          <w:color w:val="auto"/>
          <w:kern w:val="0"/>
          <w:sz w:val="21"/>
          <w:szCs w:val="21"/>
          <w:highlight w:val="none"/>
        </w:rPr>
        <w:t xml:space="preserve">、有关此次采购答疑事宜，按下列地址以书面或电话形式向采购人查询：  </w:t>
      </w:r>
    </w:p>
    <w:p w14:paraId="36FC3786">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rPr>
        <w:t>采购人：</w:t>
      </w:r>
      <w:r>
        <w:rPr>
          <w:rFonts w:hint="eastAsia" w:ascii="仿宋_GB2312" w:hAnsi="仿宋_GB2312" w:eastAsia="仿宋_GB2312" w:cs="仿宋_GB2312"/>
          <w:color w:val="auto"/>
          <w:kern w:val="0"/>
          <w:sz w:val="21"/>
          <w:szCs w:val="21"/>
          <w:highlight w:val="none"/>
          <w:lang w:eastAsia="zh-CN"/>
        </w:rPr>
        <w:t>东莞市城市工程建设集团有限公司</w:t>
      </w:r>
    </w:p>
    <w:p w14:paraId="68218BB4">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地址：东莞市南城区城市风景街</w:t>
      </w:r>
      <w:r>
        <w:rPr>
          <w:rFonts w:hint="eastAsia" w:ascii="仿宋_GB2312" w:hAnsi="仿宋_GB2312" w:eastAsia="仿宋_GB2312" w:cs="仿宋_GB2312"/>
          <w:color w:val="auto"/>
          <w:kern w:val="0"/>
          <w:sz w:val="21"/>
          <w:szCs w:val="21"/>
          <w:highlight w:val="none"/>
          <w:lang w:val="en-US" w:eastAsia="zh-CN"/>
        </w:rPr>
        <w:t>8</w:t>
      </w:r>
      <w:r>
        <w:rPr>
          <w:rFonts w:hint="eastAsia" w:ascii="仿宋_GB2312" w:hAnsi="仿宋_GB2312" w:eastAsia="仿宋_GB2312" w:cs="仿宋_GB2312"/>
          <w:color w:val="auto"/>
          <w:kern w:val="0"/>
          <w:sz w:val="21"/>
          <w:szCs w:val="21"/>
          <w:highlight w:val="none"/>
        </w:rPr>
        <w:t>栋</w:t>
      </w:r>
      <w:r>
        <w:rPr>
          <w:rFonts w:hint="eastAsia" w:ascii="仿宋_GB2312" w:hAnsi="仿宋_GB2312" w:eastAsia="仿宋_GB2312" w:cs="仿宋_GB2312"/>
          <w:color w:val="auto"/>
          <w:kern w:val="0"/>
          <w:sz w:val="21"/>
          <w:szCs w:val="21"/>
          <w:highlight w:val="none"/>
          <w:lang w:eastAsia="zh-CN"/>
        </w:rPr>
        <w:t>城工集团</w:t>
      </w:r>
      <w:r>
        <w:rPr>
          <w:rFonts w:hint="eastAsia" w:ascii="仿宋_GB2312" w:hAnsi="仿宋_GB2312" w:eastAsia="仿宋_GB2312" w:cs="仿宋_GB2312"/>
          <w:b w:val="0"/>
          <w:bCs w:val="0"/>
          <w:color w:val="auto"/>
          <w:kern w:val="0"/>
          <w:sz w:val="21"/>
          <w:szCs w:val="21"/>
          <w:highlight w:val="none"/>
          <w:lang w:val="en-US" w:eastAsia="zh-CN"/>
        </w:rPr>
        <w:t>7</w:t>
      </w:r>
      <w:r>
        <w:rPr>
          <w:rFonts w:hint="eastAsia" w:ascii="仿宋_GB2312" w:hAnsi="仿宋_GB2312" w:eastAsia="仿宋_GB2312" w:cs="仿宋_GB2312"/>
          <w:color w:val="auto"/>
          <w:kern w:val="0"/>
          <w:sz w:val="21"/>
          <w:szCs w:val="21"/>
          <w:highlight w:val="none"/>
        </w:rPr>
        <w:t>层。</w:t>
      </w:r>
    </w:p>
    <w:p w14:paraId="230F46AB">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联系人：</w:t>
      </w:r>
      <w:r>
        <w:rPr>
          <w:rFonts w:hint="eastAsia" w:ascii="仿宋_GB2312" w:hAnsi="仿宋_GB2312" w:eastAsia="仿宋_GB2312" w:cs="仿宋_GB2312"/>
          <w:color w:val="auto"/>
          <w:kern w:val="0"/>
          <w:sz w:val="21"/>
          <w:szCs w:val="21"/>
          <w:highlight w:val="none"/>
          <w:lang w:val="en-US" w:eastAsia="zh-CN"/>
        </w:rPr>
        <w:t>黄工</w:t>
      </w:r>
      <w:r>
        <w:rPr>
          <w:rFonts w:hint="eastAsia" w:ascii="仿宋_GB2312" w:hAnsi="仿宋_GB2312" w:eastAsia="仿宋_GB2312" w:cs="仿宋_GB2312"/>
          <w:color w:val="auto"/>
          <w:kern w:val="0"/>
          <w:sz w:val="21"/>
          <w:szCs w:val="21"/>
          <w:highlight w:val="none"/>
        </w:rPr>
        <w:t xml:space="preserve">                   邮政编码：</w:t>
      </w:r>
      <w:r>
        <w:rPr>
          <w:rFonts w:hint="eastAsia" w:ascii="仿宋_GB2312" w:hAnsi="仿宋_GB2312" w:eastAsia="仿宋_GB2312" w:cs="仿宋_GB2312"/>
          <w:color w:val="auto"/>
          <w:kern w:val="0"/>
          <w:sz w:val="21"/>
          <w:szCs w:val="21"/>
          <w:highlight w:val="none"/>
          <w:lang w:val="en-US" w:eastAsia="zh-CN"/>
        </w:rPr>
        <w:t>523000</w:t>
      </w:r>
    </w:p>
    <w:p w14:paraId="049EECA2">
      <w:pPr>
        <w:widowControl/>
        <w:snapToGrid w:val="0"/>
        <w:spacing w:line="360" w:lineRule="auto"/>
        <w:ind w:firstLine="840" w:firstLineChars="400"/>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联系方式：</w:t>
      </w:r>
      <w:r>
        <w:rPr>
          <w:rFonts w:hint="eastAsia" w:ascii="仿宋_GB2312" w:hAnsi="仿宋_GB2312" w:eastAsia="仿宋_GB2312" w:cs="仿宋_GB2312"/>
          <w:color w:val="auto"/>
          <w:kern w:val="0"/>
          <w:sz w:val="21"/>
          <w:szCs w:val="21"/>
          <w:highlight w:val="none"/>
          <w:lang w:val="en-US" w:eastAsia="zh-CN"/>
        </w:rPr>
        <w:t>15017133726</w:t>
      </w:r>
      <w:r>
        <w:rPr>
          <w:rFonts w:hint="default"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rPr>
        <w:t xml:space="preserve">      </w:t>
      </w:r>
      <w:r>
        <w:rPr>
          <w:rFonts w:hint="eastAsia" w:ascii="仿宋_GB2312" w:hAnsi="仿宋_GB2312" w:eastAsia="仿宋_GB2312" w:cs="仿宋_GB2312"/>
          <w:color w:val="auto"/>
          <w:kern w:val="0"/>
          <w:sz w:val="21"/>
          <w:szCs w:val="21"/>
          <w:highlight w:val="none"/>
          <w:lang w:val="en-US" w:eastAsia="zh-CN"/>
        </w:rPr>
        <w:t xml:space="preserve">  </w:t>
      </w:r>
      <w:r>
        <w:rPr>
          <w:rFonts w:hint="eastAsia" w:ascii="仿宋_GB2312" w:hAnsi="仿宋_GB2312" w:eastAsia="仿宋_GB2312" w:cs="仿宋_GB2312"/>
          <w:color w:val="auto"/>
          <w:kern w:val="0"/>
          <w:sz w:val="21"/>
          <w:szCs w:val="21"/>
          <w:highlight w:val="none"/>
        </w:rPr>
        <w:t>传真：0769-39009090</w:t>
      </w:r>
    </w:p>
    <w:p w14:paraId="6A72B62D">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66B8FCFF">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p>
    <w:p w14:paraId="7B292F1D">
      <w:pPr>
        <w:widowControl/>
        <w:snapToGrid w:val="0"/>
        <w:spacing w:line="480" w:lineRule="auto"/>
        <w:ind w:firstLine="640"/>
        <w:jc w:val="right"/>
        <w:rPr>
          <w:rFonts w:hint="eastAsia" w:ascii="仿宋_GB2312" w:hAnsi="仿宋_GB2312" w:eastAsia="仿宋_GB2312" w:cs="仿宋_GB2312"/>
          <w:color w:val="auto"/>
          <w:kern w:val="0"/>
          <w:sz w:val="21"/>
          <w:szCs w:val="21"/>
          <w:highlight w:val="none"/>
          <w:lang w:eastAsia="zh-CN"/>
        </w:rPr>
      </w:pPr>
      <w:r>
        <w:rPr>
          <w:rFonts w:hint="eastAsia" w:ascii="仿宋_GB2312" w:hAnsi="仿宋_GB2312" w:eastAsia="仿宋_GB2312" w:cs="仿宋_GB2312"/>
          <w:color w:val="auto"/>
          <w:kern w:val="0"/>
          <w:sz w:val="21"/>
          <w:szCs w:val="21"/>
          <w:highlight w:val="none"/>
          <w:lang w:eastAsia="zh-CN"/>
        </w:rPr>
        <w:t>东莞市城市工程建设集团有限公司</w:t>
      </w:r>
    </w:p>
    <w:p w14:paraId="10DA34AD">
      <w:pPr>
        <w:jc w:val="right"/>
      </w:pPr>
      <w:bookmarkStart w:id="0" w:name="_GoBack"/>
      <w:bookmarkEnd w:id="0"/>
      <w:r>
        <w:rPr>
          <w:rFonts w:hint="eastAsia" w:ascii="仿宋_GB2312" w:hAnsi="仿宋_GB2312" w:eastAsia="仿宋_GB2312" w:cs="仿宋_GB2312"/>
          <w:color w:val="auto"/>
          <w:kern w:val="0"/>
          <w:sz w:val="21"/>
          <w:szCs w:val="21"/>
          <w:highlight w:val="none"/>
          <w:lang w:val="en-US" w:eastAsia="zh-CN"/>
        </w:rPr>
        <w:t xml:space="preserve">    2026 </w:t>
      </w:r>
      <w:r>
        <w:rPr>
          <w:rFonts w:hint="eastAsia" w:ascii="仿宋_GB2312" w:hAnsi="仿宋_GB2312" w:eastAsia="仿宋_GB2312" w:cs="仿宋_GB2312"/>
          <w:color w:val="auto"/>
          <w:kern w:val="0"/>
          <w:sz w:val="21"/>
          <w:szCs w:val="21"/>
          <w:highlight w:val="none"/>
        </w:rPr>
        <w:t>年</w:t>
      </w:r>
      <w:r>
        <w:rPr>
          <w:rFonts w:hint="eastAsia" w:ascii="仿宋_GB2312" w:hAnsi="仿宋_GB2312" w:eastAsia="仿宋_GB2312" w:cs="仿宋_GB2312"/>
          <w:color w:val="auto"/>
          <w:kern w:val="0"/>
          <w:sz w:val="21"/>
          <w:szCs w:val="21"/>
          <w:highlight w:val="none"/>
          <w:lang w:val="en-US" w:eastAsia="zh-CN"/>
        </w:rPr>
        <w:t xml:space="preserve"> 09  </w:t>
      </w:r>
      <w:r>
        <w:rPr>
          <w:rFonts w:hint="eastAsia" w:ascii="仿宋_GB2312" w:hAnsi="仿宋_GB2312" w:eastAsia="仿宋_GB2312" w:cs="仿宋_GB2312"/>
          <w:color w:val="auto"/>
          <w:kern w:val="0"/>
          <w:sz w:val="21"/>
          <w:szCs w:val="21"/>
          <w:highlight w:val="none"/>
        </w:rPr>
        <w:t>月</w:t>
      </w:r>
      <w:r>
        <w:rPr>
          <w:rFonts w:hint="eastAsia" w:ascii="仿宋_GB2312" w:hAnsi="仿宋_GB2312" w:eastAsia="仿宋_GB2312" w:cs="仿宋_GB2312"/>
          <w:color w:val="auto"/>
          <w:kern w:val="0"/>
          <w:sz w:val="21"/>
          <w:szCs w:val="21"/>
          <w:highlight w:val="none"/>
          <w:lang w:val="en-US" w:eastAsia="zh-CN"/>
        </w:rPr>
        <w:t xml:space="preserve"> 14  </w:t>
      </w:r>
      <w:r>
        <w:rPr>
          <w:rFonts w:hint="eastAsia" w:ascii="仿宋_GB2312" w:hAnsi="仿宋_GB2312" w:eastAsia="仿宋_GB2312" w:cs="仿宋_GB2312"/>
          <w:color w:val="auto"/>
          <w:kern w:val="0"/>
          <w:sz w:val="21"/>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B61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2026-09-14T02:59:42Z</dcterms:created>
  <dc:creator>lenovo</dc:creator>
  <cp:lastModifiedBy>黄惠东</cp:lastModifiedBy>
  <dcterms:modified xsi:type="dcterms:W3CDTF">2026-09-14T03:00:00Z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089BC0F146A841039AA6D6756430D83C_12</vt:lpwstr>
  </property>
</Properties>
</file>