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C6765">
      <w:pPr>
        <w:adjustRightInd w:val="0"/>
        <w:snapToGrid w:val="0"/>
        <w:spacing w:before="120" w:after="120" w:line="276" w:lineRule="auto"/>
        <w:jc w:val="center"/>
        <w:rPr>
          <w:rFonts w:eastAsia="华文中宋"/>
          <w:color w:val="auto"/>
          <w:sz w:val="44"/>
          <w:szCs w:val="44"/>
          <w:highlight w:val="none"/>
        </w:rPr>
      </w:pPr>
      <w:r>
        <w:rPr>
          <w:rFonts w:hint="eastAsia" w:eastAsia="华文中宋"/>
          <w:color w:val="auto"/>
          <w:sz w:val="44"/>
          <w:szCs w:val="44"/>
          <w:highlight w:val="none"/>
        </w:rPr>
        <w:t>询价文件</w:t>
      </w:r>
    </w:p>
    <w:p w14:paraId="7C4ACB48">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东莞市新有能源投资有限公司</w:t>
      </w:r>
      <w:r>
        <w:rPr>
          <w:rFonts w:hint="eastAsia" w:eastAsia="仿宋_GB2312"/>
          <w:color w:val="auto"/>
          <w:sz w:val="32"/>
          <w:szCs w:val="32"/>
          <w:highlight w:val="none"/>
        </w:rPr>
        <w:t>需采购</w:t>
      </w:r>
      <w:r>
        <w:rPr>
          <w:rFonts w:hint="eastAsia" w:eastAsia="仿宋_GB2312"/>
          <w:color w:val="auto"/>
          <w:sz w:val="32"/>
          <w:szCs w:val="32"/>
          <w:highlight w:val="none"/>
          <w:u w:val="none"/>
          <w:lang w:val="en-US" w:eastAsia="zh-CN"/>
        </w:rPr>
        <w:t>一项</w:t>
      </w:r>
      <w:r>
        <w:rPr>
          <w:rFonts w:hint="eastAsia" w:eastAsia="仿宋_GB2312"/>
          <w:color w:val="auto"/>
          <w:sz w:val="32"/>
          <w:szCs w:val="32"/>
          <w:highlight w:val="none"/>
          <w:u w:val="single"/>
          <w:lang w:val="en-US" w:eastAsia="zh-CN"/>
        </w:rPr>
        <w:t>独立储能电站项目监理</w:t>
      </w:r>
      <w:r>
        <w:rPr>
          <w:rFonts w:hint="eastAsia" w:eastAsia="仿宋_GB2312"/>
          <w:color w:val="auto"/>
          <w:sz w:val="32"/>
          <w:szCs w:val="32"/>
          <w:highlight w:val="none"/>
          <w:u w:val="none"/>
          <w:lang w:val="en-US" w:eastAsia="zh-CN"/>
        </w:rPr>
        <w:t>的服务</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将进行公开询价，</w:t>
      </w:r>
      <w:r>
        <w:rPr>
          <w:rFonts w:hint="eastAsia" w:eastAsia="仿宋_GB2312"/>
          <w:color w:val="auto"/>
          <w:sz w:val="32"/>
          <w:szCs w:val="32"/>
          <w:highlight w:val="none"/>
        </w:rPr>
        <w:t>现将相关情况介绍如下：</w:t>
      </w:r>
    </w:p>
    <w:p w14:paraId="0DF4999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一、项目名称及内容</w:t>
      </w:r>
    </w:p>
    <w:p w14:paraId="2A9FC2E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auto"/>
          <w:sz w:val="32"/>
          <w:szCs w:val="32"/>
          <w:highlight w:val="none"/>
          <w:u w:val="non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u w:val="single"/>
          <w:lang w:val="en-US" w:eastAsia="zh-CN"/>
        </w:rPr>
        <w:t>东莞能源谢岗镇100MW/200MWh独立储能电站项目监理</w:t>
      </w:r>
      <w:r>
        <w:rPr>
          <w:rFonts w:hint="eastAsia" w:eastAsia="仿宋_GB2312"/>
          <w:color w:val="auto"/>
          <w:sz w:val="32"/>
          <w:szCs w:val="32"/>
          <w:highlight w:val="none"/>
          <w:u w:val="none"/>
        </w:rPr>
        <w:t>；</w:t>
      </w:r>
    </w:p>
    <w:p w14:paraId="40DF3053">
      <w:pPr>
        <w:pStyle w:val="2"/>
        <w:ind w:firstLine="640" w:firstLineChars="200"/>
        <w:rPr>
          <w:rFonts w:hint="default" w:eastAsia="仿宋_GB2312"/>
          <w:color w:val="auto"/>
          <w:highlight w:val="none"/>
          <w:lang w:val="en-US" w:eastAsia="zh-CN"/>
        </w:rPr>
      </w:pPr>
      <w:r>
        <w:rPr>
          <w:rFonts w:hint="eastAsia" w:eastAsia="仿宋_GB2312"/>
          <w:color w:val="auto"/>
          <w:sz w:val="32"/>
          <w:szCs w:val="32"/>
          <w:highlight w:val="none"/>
          <w:u w:val="none"/>
          <w:lang w:val="en-US" w:eastAsia="zh-CN"/>
        </w:rPr>
        <w:t>2、工作编制范围：</w:t>
      </w:r>
      <w:r>
        <w:rPr>
          <w:rFonts w:hint="eastAsia" w:eastAsia="仿宋_GB2312"/>
          <w:color w:val="auto"/>
          <w:sz w:val="32"/>
          <w:szCs w:val="32"/>
          <w:highlight w:val="none"/>
          <w:u w:val="single"/>
          <w:lang w:val="en-US" w:eastAsia="zh-CN"/>
        </w:rPr>
        <w:t>详见本文件第四点采购内容及要求和附件《可行性研究报告》；</w:t>
      </w:r>
    </w:p>
    <w:p w14:paraId="4DBAEC1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工期</w:t>
      </w:r>
      <w:r>
        <w:rPr>
          <w:rFonts w:hint="eastAsia" w:eastAsia="仿宋_GB2312"/>
          <w:color w:val="auto"/>
          <w:sz w:val="32"/>
          <w:szCs w:val="32"/>
          <w:highlight w:val="none"/>
        </w:rPr>
        <w:t>：</w:t>
      </w:r>
      <w:r>
        <w:rPr>
          <w:rFonts w:hint="eastAsia" w:eastAsia="仿宋_GB2312"/>
          <w:color w:val="auto"/>
          <w:sz w:val="32"/>
          <w:szCs w:val="32"/>
          <w:highlight w:val="none"/>
          <w:u w:val="single"/>
          <w:lang w:val="en-US" w:eastAsia="zh-CN"/>
        </w:rPr>
        <w:t>总监理服务期限为18个月，其中从采购人发出的《监理进场通知书》之日起计，至全部工程竣工验收合格为完工的监理责任期暂定为18个月；保修期具体期限以监理项目工程施工合同中的缺陷责任期为准</w:t>
      </w:r>
      <w:r>
        <w:rPr>
          <w:rFonts w:hint="eastAsia" w:eastAsia="仿宋_GB2312"/>
          <w:color w:val="auto"/>
          <w:sz w:val="32"/>
          <w:szCs w:val="32"/>
          <w:highlight w:val="none"/>
          <w:u w:val="none"/>
        </w:rPr>
        <w:t>；</w:t>
      </w:r>
    </w:p>
    <w:p w14:paraId="551F519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二、项目发布</w:t>
      </w:r>
    </w:p>
    <w:p w14:paraId="240C354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57004BB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5DB9DD6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rPr>
        <w:t>1、</w:t>
      </w:r>
      <w:r>
        <w:rPr>
          <w:rFonts w:hint="eastAsia" w:eastAsia="仿宋_GB2312"/>
          <w:color w:val="auto"/>
          <w:sz w:val="32"/>
          <w:szCs w:val="32"/>
          <w:highlight w:val="none"/>
          <w:lang w:val="en-US" w:eastAsia="zh-CN"/>
        </w:rPr>
        <w:t>响应</w:t>
      </w:r>
      <w:r>
        <w:rPr>
          <w:rFonts w:hint="eastAsia" w:eastAsia="仿宋_GB2312"/>
          <w:color w:val="auto"/>
          <w:sz w:val="32"/>
          <w:szCs w:val="32"/>
          <w:highlight w:val="none"/>
        </w:rPr>
        <w:t>单位须为在中华人民共和国境内登记注册的具有独立承担民事责任能力的法人或其他组织。【提供《营业执照》复印件（加盖公章）或《事业单位法人证书》复印件（加盖公章）或其他主体证书复印件（加盖公章）】</w:t>
      </w:r>
    </w:p>
    <w:p w14:paraId="15A607F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rPr>
        <w:t>2、</w:t>
      </w:r>
      <w:r>
        <w:rPr>
          <w:rFonts w:hint="eastAsia" w:eastAsia="仿宋_GB2312"/>
          <w:color w:val="auto"/>
          <w:sz w:val="32"/>
          <w:szCs w:val="32"/>
          <w:highlight w:val="none"/>
          <w:lang w:val="en-US" w:eastAsia="zh-CN"/>
        </w:rPr>
        <w:t>公司资质要求，具有以下有效资质其中一项</w:t>
      </w:r>
      <w:r>
        <w:rPr>
          <w:rFonts w:hint="eastAsia" w:eastAsia="仿宋_GB2312"/>
          <w:color w:val="auto"/>
          <w:sz w:val="32"/>
          <w:szCs w:val="32"/>
          <w:highlight w:val="none"/>
        </w:rPr>
        <w:t>：</w:t>
      </w:r>
    </w:p>
    <w:p w14:paraId="422694F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rPr>
        <w:t>（1）持有住建部门核发的工程监理综合资质证书（可承接各行业、各专业建设工程监理业务，完全适配本项目）；</w:t>
      </w:r>
    </w:p>
    <w:p w14:paraId="0A841C1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rPr>
        <w:t>（2）持有住建部门核发的电力工程专业监理乙级及以上资质证书，资质证书合法有效、在有效期内，资质范围覆盖电力储能电站土建、电气、设备安装、调试全流程监理业务。</w:t>
      </w:r>
    </w:p>
    <w:p w14:paraId="03D5C0B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人员</w:t>
      </w:r>
      <w:r>
        <w:rPr>
          <w:rFonts w:hint="eastAsia" w:eastAsia="仿宋_GB2312"/>
          <w:color w:val="auto"/>
          <w:sz w:val="32"/>
          <w:szCs w:val="32"/>
          <w:highlight w:val="none"/>
        </w:rPr>
        <w:t>要求</w:t>
      </w:r>
      <w:r>
        <w:rPr>
          <w:rFonts w:hint="eastAsia" w:eastAsia="仿宋_GB2312"/>
          <w:color w:val="auto"/>
          <w:sz w:val="32"/>
          <w:szCs w:val="32"/>
          <w:highlight w:val="none"/>
          <w:lang w:eastAsia="zh-CN"/>
        </w:rPr>
        <w:t>：</w:t>
      </w:r>
      <w:r>
        <w:rPr>
          <w:rFonts w:hint="eastAsia" w:eastAsia="仿宋_GB2312"/>
          <w:color w:val="auto"/>
          <w:sz w:val="32"/>
          <w:szCs w:val="32"/>
          <w:highlight w:val="none"/>
        </w:rPr>
        <w:t>项目现场必须组建监理项目部，常驻人数不少于三人：总监理工程师1名，应具备有效的注册监理工程师证件（电力/机电专业）；专监不少于2名，其中房屋建筑专业不少于1名，电力/机电专业不少于1名</w:t>
      </w:r>
      <w:r>
        <w:rPr>
          <w:rFonts w:hint="eastAsia" w:eastAsia="仿宋_GB2312"/>
          <w:color w:val="auto"/>
          <w:sz w:val="32"/>
          <w:szCs w:val="32"/>
          <w:highlight w:val="none"/>
          <w:lang w:eastAsia="zh-CN"/>
        </w:rPr>
        <w:t>（必须提供近 6 个月其中不少于连续3个月的社保证明文件）。</w:t>
      </w:r>
    </w:p>
    <w:p w14:paraId="5DD7AA12">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s="Times New Roman"/>
          <w:color w:val="auto"/>
          <w:kern w:val="2"/>
          <w:sz w:val="32"/>
          <w:szCs w:val="32"/>
          <w:highlight w:val="none"/>
          <w:lang w:val="en-US" w:eastAsia="zh-CN" w:bidi="ar-SA"/>
        </w:rPr>
        <w:t>4</w:t>
      </w:r>
      <w:r>
        <w:rPr>
          <w:rFonts w:hint="eastAsia" w:ascii="Times New Roman" w:hAnsi="Times New Roman" w:eastAsia="仿宋_GB2312" w:cs="Times New Roman"/>
          <w:color w:val="auto"/>
          <w:kern w:val="2"/>
          <w:sz w:val="32"/>
          <w:szCs w:val="32"/>
          <w:highlight w:val="none"/>
          <w:lang w:val="en-US" w:eastAsia="zh-CN" w:bidi="ar-SA"/>
        </w:rPr>
        <w:t>、</w:t>
      </w:r>
      <w:r>
        <w:rPr>
          <w:rFonts w:hint="eastAsia" w:eastAsia="仿宋_GB2312"/>
          <w:color w:val="auto"/>
          <w:sz w:val="32"/>
          <w:szCs w:val="32"/>
          <w:highlight w:val="none"/>
        </w:rPr>
        <w:t>业绩要求</w:t>
      </w:r>
      <w:r>
        <w:rPr>
          <w:rFonts w:hint="eastAsia" w:eastAsia="仿宋_GB2312"/>
          <w:color w:val="auto"/>
          <w:sz w:val="32"/>
          <w:szCs w:val="32"/>
          <w:highlight w:val="none"/>
          <w:lang w:eastAsia="zh-CN"/>
        </w:rPr>
        <w:t>，具有以下</w:t>
      </w:r>
      <w:r>
        <w:rPr>
          <w:rFonts w:hint="eastAsia" w:eastAsia="仿宋_GB2312"/>
          <w:color w:val="auto"/>
          <w:sz w:val="32"/>
          <w:szCs w:val="32"/>
          <w:highlight w:val="none"/>
          <w:lang w:val="en-US" w:eastAsia="zh-CN"/>
        </w:rPr>
        <w:t>业绩</w:t>
      </w:r>
      <w:r>
        <w:rPr>
          <w:rFonts w:hint="eastAsia" w:eastAsia="仿宋_GB2312"/>
          <w:color w:val="auto"/>
          <w:sz w:val="32"/>
          <w:szCs w:val="32"/>
          <w:highlight w:val="none"/>
          <w:lang w:eastAsia="zh-CN"/>
        </w:rPr>
        <w:t>其中一项</w:t>
      </w:r>
      <w:r>
        <w:rPr>
          <w:rFonts w:hint="eastAsia" w:eastAsia="仿宋_GB2312"/>
          <w:color w:val="auto"/>
          <w:sz w:val="32"/>
          <w:szCs w:val="32"/>
          <w:highlight w:val="none"/>
        </w:rPr>
        <w:t>：</w:t>
      </w:r>
    </w:p>
    <w:p w14:paraId="3087BD63">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（1）响应</w:t>
      </w:r>
      <w:r>
        <w:rPr>
          <w:rFonts w:hint="eastAsia" w:eastAsia="仿宋_GB2312"/>
          <w:color w:val="auto"/>
          <w:sz w:val="32"/>
          <w:szCs w:val="32"/>
          <w:highlight w:val="none"/>
        </w:rPr>
        <w:t>单位</w:t>
      </w:r>
      <w:r>
        <w:rPr>
          <w:rFonts w:hint="eastAsia" w:eastAsia="仿宋_GB2312"/>
          <w:color w:val="auto"/>
          <w:sz w:val="32"/>
          <w:szCs w:val="32"/>
          <w:highlight w:val="none"/>
          <w:lang w:val="en-US" w:eastAsia="zh-CN"/>
        </w:rPr>
        <w:t>自2021年1月1日至今，至少完成1项规模达到 220kV变电站工程监理项目业绩；</w:t>
      </w:r>
    </w:p>
    <w:p w14:paraId="5B4434D6">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（2）响应</w:t>
      </w:r>
      <w:r>
        <w:rPr>
          <w:rFonts w:hint="eastAsia" w:eastAsia="仿宋_GB2312"/>
          <w:color w:val="auto"/>
          <w:sz w:val="32"/>
          <w:szCs w:val="32"/>
          <w:highlight w:val="none"/>
        </w:rPr>
        <w:t>单位</w:t>
      </w:r>
      <w:r>
        <w:rPr>
          <w:rFonts w:hint="eastAsia" w:eastAsia="仿宋_GB2312"/>
          <w:color w:val="auto"/>
          <w:sz w:val="32"/>
          <w:szCs w:val="32"/>
          <w:highlight w:val="none"/>
          <w:lang w:val="en-US" w:eastAsia="zh-CN"/>
        </w:rPr>
        <w:t>自2021年1月1日至今，至少完成过1项规模达到50MW以上的储能工程监理项目业绩；</w:t>
      </w:r>
    </w:p>
    <w:p w14:paraId="42098A72">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注：须提供合同关键页复印件，关键页含：合同封面、标的/范围页、金额页、签字盖章页等并加盖公章。</w:t>
      </w:r>
    </w:p>
    <w:p w14:paraId="0180894D">
      <w:pPr>
        <w:pStyle w:val="2"/>
        <w:ind w:firstLine="640" w:firstLineChars="200"/>
        <w:rPr>
          <w:rFonts w:hint="eastAsia"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5、响应单位未被列入“信用中国”网站(www.creditchina.gov.cn )“记录失信被执行人或重大税收违法失信主体或政府采购严重违法失信行为”记录名单。</w:t>
      </w:r>
    </w:p>
    <w:p w14:paraId="6226C2BA">
      <w:pPr>
        <w:pStyle w:val="2"/>
        <w:ind w:firstLine="640" w:firstLineChars="200"/>
        <w:rPr>
          <w:rFonts w:hint="eastAsia"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6、响应单位自本公告发布之日起前两年内，在经营活动中没有因串通投标、弄虚作假、行贿、转包、违法分包、挂靠、死亡事故违法违规行为受到行政、刑事处罚的。</w:t>
      </w:r>
    </w:p>
    <w:p w14:paraId="0FDEF15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lang w:val="en-US" w:eastAsia="zh-CN"/>
        </w:rPr>
        <w:t>7</w:t>
      </w:r>
      <w:r>
        <w:rPr>
          <w:rFonts w:hint="eastAsia" w:eastAsia="仿宋_GB2312"/>
          <w:color w:val="auto"/>
          <w:sz w:val="32"/>
          <w:szCs w:val="32"/>
          <w:highlight w:val="none"/>
        </w:rPr>
        <w:t>、未被列入东实集团及下属企业相关领域黑名单。【以东莞实业投资控股集团有限公司发文（东实通〔2021〕44号）、（东实通〔2021〕98号）、（东实通〔2022〕75号）、（东实通〔2023〕37号）、（东实通〔2024〕163号）、（东实通〔2024〕195号）、（东实通〔2025〕157号）为准，如有最新发文通知，按最新文件执行。】</w:t>
      </w:r>
    </w:p>
    <w:p w14:paraId="7E2F123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四、采购内容及要求</w:t>
      </w:r>
    </w:p>
    <w:p w14:paraId="5BAAE78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监理服务范围，包括但不限于本项目施工准备阶段、施工阶段、竣工验收与工程收尾阶段、缺陷责任期（质量保修）阶段的全过程监理服务，以及采购人委托的与本工程监理相关的辅助工作，具体工作内容包括但不限于：</w:t>
      </w:r>
    </w:p>
    <w:p w14:paraId="6F6047F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①质量控制：对工程施工全周期实施质量监理，包括但不限于图纸会审、材料设备进场验收、隐蔽工程验收、分部分项工程验收、竣工验收监督、质量问题与整改闭环管理等全部质量监理工作，履行工程质量终身责任制对应的监理职责；</w:t>
      </w:r>
    </w:p>
    <w:p w14:paraId="5CE2BD8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②安全生产管理的监理工作：严格履行法律法规、工程建设强制性标准规定的全部安全监理职责，包括但不限于危大工程专项方案审查、安全技术措施核查、现场安全隐患排查与整改监督、旁站监理、安全生产文明施工检查、应急管理监督、安全事故上报与处置配合等工作，对施工现场安全生产承担监理责任；</w:t>
      </w:r>
    </w:p>
    <w:p w14:paraId="6677C03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③进度控制：审查施工总进度计划、年/季/月/周进度计划，跟踪监督进度计划执行，分析进度偏差原因，督促施工单位落实纠偏措施，协调解决影响工程进度的各类现场问题，确保项目按期竣工交付；</w:t>
      </w:r>
    </w:p>
    <w:p w14:paraId="4038886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④投资与造价控制：负责施工全过程造价监理工作，包括但不限于工程计量审核、工程进度款支付审核、工程变更与现场签证的费用初审、索赔费用审核、动态投资跟踪与偏差预警；积极配合建设单位完成竣工结算的相关工作，包括但不限于审核承包人报送的竣工结算资料、核实工程量的准确性与合规性，并提出书面审核意见；</w:t>
      </w:r>
    </w:p>
    <w:p w14:paraId="5A8449D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⑤合同管理：协助建设单位完成本工程各类合同的起草、谈判、签约相关辅助工作，负责施工合同履约全过程跟踪管理，包括但不限于合同履约跟踪、违约事项处理、工程索赔与反索赔管理、合同争议协调等工作；</w:t>
      </w:r>
    </w:p>
    <w:p w14:paraId="74DA8D2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⑥信息与档案管理：负责监理文件资料的全周期收集、整理、立卷、归档与移交，确保监理档案符合城建档案管理规范；同步做好工程建设各类信息的收集、流转、归档与闭环管理；协助建设单位完成工程竣工档案的汇总、组卷、移交及备案全流程辅助工作；</w:t>
      </w:r>
    </w:p>
    <w:p w14:paraId="5A067FE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⑦组织协调：负责施工现场参建各方（施工、设计、勘察、检测、供货等单位）的全面协调管理，配合建设单位完成与政府主管部门、外部配套单位的对接协调辅助工作；</w:t>
      </w:r>
    </w:p>
    <w:p w14:paraId="08EE045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⑧现场综合管理：监督施工单位落实现场文明施工、环境保护、扬尘治理、噪声管控、消防安全、卫生防疫等相关要求，履行农民工工资支付监督监理职责，督促施工单位落实农民工工资专用账户、实名制管理、工资足额发放等制度，对违规行为及时督促整改并上报；</w:t>
      </w:r>
    </w:p>
    <w:p w14:paraId="6B8A132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⑨工程收尾与移交阶段监理：负责竣工验收的组织配合、竣工资料审核、整改事项闭环监督、工程实物移交、资料移交等全流程监理工作，确保项目顺利完成竣工验收与移交；</w:t>
      </w:r>
    </w:p>
    <w:p w14:paraId="3C29CD8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⑩缺陷责任期（质量保修）阶段监理：负责缺陷责任期内工程质量回访、质量缺陷排查、责任界定、整改方案审核、整改过程监督与验收，直至缺陷责任期届满，完成质保期监理资料移交。</w:t>
      </w:r>
    </w:p>
    <w:p w14:paraId="05644910">
      <w:pPr>
        <w:pStyle w:val="2"/>
        <w:ind w:firstLine="640" w:firstLineChars="200"/>
        <w:rPr>
          <w:rFonts w:hint="eastAsia" w:ascii="Times New Roman" w:hAnsi="Times New Roman" w:eastAsia="仿宋_GB2312" w:cs="Times New Roman"/>
          <w:bCs w:val="0"/>
          <w:color w:val="auto"/>
          <w:kern w:val="2"/>
          <w:sz w:val="32"/>
          <w:szCs w:val="32"/>
          <w:highlight w:val="none"/>
          <w:u w:val="none"/>
          <w:lang w:val="en-US" w:eastAsia="zh-CN" w:bidi="ar-SA"/>
        </w:rPr>
      </w:pPr>
      <w:r>
        <w:rPr>
          <w:rFonts w:hint="eastAsia" w:ascii="Times New Roman" w:hAnsi="Times New Roman" w:eastAsia="仿宋_GB2312" w:cs="Times New Roman"/>
          <w:bCs w:val="0"/>
          <w:color w:val="auto"/>
          <w:kern w:val="2"/>
          <w:sz w:val="32"/>
          <w:szCs w:val="32"/>
          <w:highlight w:val="none"/>
          <w:u w:val="none"/>
          <w:lang w:val="en-US" w:eastAsia="zh-CN" w:bidi="ar-SA"/>
        </w:rPr>
        <w:t>当对应专业工程全部施工完毕，完成本专业范围内的监理服务工作，相关分项、分部工程验收合格，监理资料完整归集，现场监理工作任务已履行完毕后，监理单位可向采购人提交本专业退场申请，经发包人对监理履职情况、监理资料完整性、现场遗留工作进行核查确认，批准后方可安排相关专业监理人员退场</w:t>
      </w:r>
      <w:r>
        <w:rPr>
          <w:rFonts w:hint="eastAsia" w:eastAsia="仿宋_GB2312" w:cs="Times New Roman"/>
          <w:bCs w:val="0"/>
          <w:color w:val="auto"/>
          <w:kern w:val="2"/>
          <w:sz w:val="32"/>
          <w:szCs w:val="32"/>
          <w:highlight w:val="none"/>
          <w:u w:val="none"/>
          <w:lang w:val="en-US" w:eastAsia="zh-CN" w:bidi="ar-SA"/>
        </w:rPr>
        <w:t>。</w:t>
      </w:r>
    </w:p>
    <w:p w14:paraId="76AB5E2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五、完成时间</w:t>
      </w:r>
    </w:p>
    <w:p w14:paraId="44E3A85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总监理服务期限为18个月，其中从采购人发出的《监理进场通知书》之日起计，至全部工程竣工验收合格为完工的监理责任期暂定为18个月；保修期具体期限以监理项目工程施工合同中的缺陷责任期为准。</w:t>
      </w:r>
      <w:bookmarkStart w:id="4" w:name="_GoBack"/>
      <w:bookmarkEnd w:id="4"/>
    </w:p>
    <w:p w14:paraId="6520B53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六、支付方式</w:t>
      </w:r>
    </w:p>
    <w:p w14:paraId="5F9329E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1、预付款：本合同签订后 7 天内，支付10%预付款；</w:t>
      </w:r>
    </w:p>
    <w:p w14:paraId="42E03E6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2、进度款：项目土建完成以及所有主要设备到场（包括但不限于所有的储能柜、PCS、变压器、高低压柜），且经采购人确认，支付至合同总金额的50%；</w:t>
      </w:r>
    </w:p>
    <w:p w14:paraId="6ADE036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3、进度款：项目（红线内及送出线路配套工程）整体调试运行（通电）完成，经采购人确认后，支付至合同总金额的80%；</w:t>
      </w:r>
    </w:p>
    <w:p w14:paraId="5475689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4、进度款：整个项目调试完毕与正式运行后，承包人应向发包人提交与归档完整的竣工资料，并取得发包人验收合格的验收证明文件，经采购人确认后，支付至合同总金额的97%；</w:t>
      </w:r>
    </w:p>
    <w:p w14:paraId="4DD046FA">
      <w:pPr>
        <w:pStyle w:val="2"/>
        <w:ind w:firstLine="640" w:firstLineChars="200"/>
        <w:rPr>
          <w:rFonts w:hint="eastAsia" w:ascii="Times New Roman" w:hAnsi="Times New Roman" w:eastAsia="仿宋_GB2312" w:cs="Times New Roman"/>
          <w:bCs w:val="0"/>
          <w:color w:val="auto"/>
          <w:kern w:val="2"/>
          <w:sz w:val="32"/>
          <w:szCs w:val="32"/>
          <w:highlight w:val="none"/>
          <w:u w:val="none"/>
          <w:lang w:val="en-US" w:eastAsia="zh-CN" w:bidi="ar-SA"/>
        </w:rPr>
      </w:pPr>
      <w:r>
        <w:rPr>
          <w:rFonts w:hint="eastAsia" w:ascii="Times New Roman" w:hAnsi="Times New Roman" w:eastAsia="仿宋_GB2312" w:cs="Times New Roman"/>
          <w:bCs w:val="0"/>
          <w:color w:val="auto"/>
          <w:kern w:val="2"/>
          <w:sz w:val="32"/>
          <w:szCs w:val="32"/>
          <w:highlight w:val="none"/>
          <w:u w:val="none"/>
          <w:lang w:val="en-US" w:eastAsia="zh-CN" w:bidi="ar-SA"/>
        </w:rPr>
        <w:t>5、最终款：监理及项目2年质保期后与相关服务期届满 14 天内，经采购人确认后，支付至合同总金额的</w:t>
      </w:r>
      <w:r>
        <w:rPr>
          <w:rFonts w:hint="eastAsia" w:eastAsia="仿宋_GB2312" w:cs="Times New Roman"/>
          <w:bCs w:val="0"/>
          <w:color w:val="auto"/>
          <w:kern w:val="2"/>
          <w:sz w:val="32"/>
          <w:szCs w:val="32"/>
          <w:highlight w:val="none"/>
          <w:u w:val="none"/>
          <w:lang w:val="en-US" w:eastAsia="zh-CN" w:bidi="ar-SA"/>
        </w:rPr>
        <w:t>100</w:t>
      </w:r>
      <w:r>
        <w:rPr>
          <w:rFonts w:hint="eastAsia" w:ascii="Times New Roman" w:hAnsi="Times New Roman" w:eastAsia="仿宋_GB2312" w:cs="Times New Roman"/>
          <w:bCs w:val="0"/>
          <w:color w:val="auto"/>
          <w:kern w:val="2"/>
          <w:sz w:val="32"/>
          <w:szCs w:val="32"/>
          <w:highlight w:val="none"/>
          <w:u w:val="none"/>
          <w:lang w:val="en-US" w:eastAsia="zh-CN" w:bidi="ar-SA"/>
        </w:rPr>
        <w:t>%；</w:t>
      </w:r>
    </w:p>
    <w:p w14:paraId="142D796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rPr>
        <w:t>（税率</w:t>
      </w:r>
      <w:r>
        <w:rPr>
          <w:rFonts w:hint="eastAsia" w:eastAsia="仿宋_GB2312" w:cs="Times New Roman"/>
          <w:color w:val="auto"/>
          <w:sz w:val="32"/>
          <w:szCs w:val="32"/>
          <w:highlight w:val="none"/>
          <w:u w:val="none"/>
          <w:lang w:val="en-US" w:eastAsia="zh-CN"/>
        </w:rPr>
        <w:t>6</w:t>
      </w:r>
      <w:r>
        <w:rPr>
          <w:rFonts w:hint="eastAsia"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增值税额按业务发生时国家政策规定增值税率计算</w:t>
      </w:r>
      <w:r>
        <w:rPr>
          <w:rFonts w:hint="eastAsia"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w:t>
      </w:r>
    </w:p>
    <w:p w14:paraId="6946E65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七、报价</w:t>
      </w:r>
    </w:p>
    <w:p w14:paraId="03393087">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color w:val="auto"/>
          <w:sz w:val="32"/>
          <w:szCs w:val="32"/>
          <w:highlight w:val="none"/>
          <w:lang w:val="en-US" w:eastAsia="zh-CN"/>
        </w:rPr>
      </w:pPr>
      <w:r>
        <w:rPr>
          <w:rFonts w:hint="eastAsia" w:eastAsia="仿宋_GB2312"/>
          <w:color w:val="auto"/>
          <w:sz w:val="32"/>
          <w:szCs w:val="32"/>
          <w:highlight w:val="none"/>
        </w:rPr>
        <w:t>采购限价：</w:t>
      </w:r>
      <w:r>
        <w:rPr>
          <w:rFonts w:hint="eastAsia" w:eastAsia="仿宋_GB2312"/>
          <w:color w:val="auto"/>
          <w:sz w:val="32"/>
          <w:szCs w:val="32"/>
          <w:highlight w:val="none"/>
          <w:u w:val="single"/>
        </w:rPr>
        <w:t>¥</w:t>
      </w:r>
      <w:r>
        <w:rPr>
          <w:rFonts w:hint="eastAsia" w:eastAsia="仿宋_GB2312"/>
          <w:color w:val="auto"/>
          <w:sz w:val="32"/>
          <w:szCs w:val="32"/>
          <w:highlight w:val="none"/>
          <w:u w:val="single"/>
          <w:lang w:val="en-US" w:eastAsia="zh-CN"/>
        </w:rPr>
        <w:t>956</w:t>
      </w:r>
      <w:r>
        <w:rPr>
          <w:rFonts w:hint="eastAsia" w:eastAsia="仿宋_GB2312"/>
          <w:color w:val="auto"/>
          <w:sz w:val="32"/>
          <w:szCs w:val="32"/>
          <w:highlight w:val="none"/>
          <w:u w:val="single"/>
        </w:rPr>
        <w:t>,</w:t>
      </w:r>
      <w:r>
        <w:rPr>
          <w:rFonts w:hint="eastAsia" w:eastAsia="仿宋_GB2312"/>
          <w:color w:val="auto"/>
          <w:sz w:val="32"/>
          <w:szCs w:val="32"/>
          <w:highlight w:val="none"/>
          <w:u w:val="single"/>
          <w:lang w:val="en-US" w:eastAsia="zh-CN"/>
        </w:rPr>
        <w:t>2</w:t>
      </w:r>
      <w:r>
        <w:rPr>
          <w:rFonts w:hint="eastAsia" w:eastAsia="仿宋_GB2312"/>
          <w:color w:val="auto"/>
          <w:sz w:val="32"/>
          <w:szCs w:val="32"/>
          <w:highlight w:val="none"/>
          <w:u w:val="single"/>
        </w:rPr>
        <w:t>00.00</w:t>
      </w:r>
      <w:r>
        <w:rPr>
          <w:rFonts w:hint="eastAsia" w:eastAsia="仿宋_GB2312"/>
          <w:color w:val="auto"/>
          <w:sz w:val="32"/>
          <w:szCs w:val="32"/>
          <w:highlight w:val="none"/>
        </w:rPr>
        <w:t>元（含税）。</w:t>
      </w:r>
      <w:r>
        <w:rPr>
          <w:rFonts w:hint="eastAsia" w:eastAsia="仿宋_GB2312"/>
          <w:color w:val="auto"/>
          <w:sz w:val="32"/>
          <w:szCs w:val="32"/>
          <w:highlight w:val="none"/>
          <w:lang w:val="en-US" w:eastAsia="zh-CN"/>
        </w:rPr>
        <w:t xml:space="preserve">                                                                                                                                                                                                                      </w:t>
      </w:r>
    </w:p>
    <w:p w14:paraId="78BB364F">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本项目发包方式为固定</w:t>
      </w:r>
      <w:r>
        <w:rPr>
          <w:rFonts w:hint="eastAsia" w:eastAsia="仿宋_GB2312" w:cs="Times New Roman"/>
          <w:color w:val="auto"/>
          <w:sz w:val="32"/>
          <w:szCs w:val="32"/>
          <w:highlight w:val="none"/>
          <w:lang w:val="en-US" w:eastAsia="zh-CN"/>
        </w:rPr>
        <w:t>总</w:t>
      </w:r>
      <w:r>
        <w:rPr>
          <w:rFonts w:hint="eastAsia" w:ascii="Times New Roman" w:hAnsi="Times New Roman" w:eastAsia="仿宋_GB2312" w:cs="Times New Roman"/>
          <w:color w:val="auto"/>
          <w:sz w:val="32"/>
          <w:szCs w:val="32"/>
          <w:highlight w:val="none"/>
          <w:lang w:val="en-US" w:eastAsia="zh-CN"/>
        </w:rPr>
        <w:t>价包干，实行固定价格报价，包括但不限于：完成本项目的成本、利润、税金、人工费、交通费、会务费、专家评审费等在项目过程中可能产生的一切费用。响应人已充分考虑了本项目服务内容及要求描述工作量可能与最终实际工作量存在差距的风险。</w:t>
      </w:r>
    </w:p>
    <w:p w14:paraId="55F2B4F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八、定标</w:t>
      </w:r>
    </w:p>
    <w:p w14:paraId="228759AB">
      <w:pPr>
        <w:keepNext w:val="0"/>
        <w:keepLines w:val="0"/>
        <w:pageBreakBefore w:val="0"/>
        <w:kinsoku/>
        <w:wordWrap/>
        <w:overflowPunct/>
        <w:topLinePunct w:val="0"/>
        <w:autoSpaceDE/>
        <w:autoSpaceDN/>
        <w:bidi w:val="0"/>
        <w:spacing w:line="600" w:lineRule="exact"/>
        <w:ind w:firstLine="640" w:firstLineChars="200"/>
        <w:textAlignment w:val="auto"/>
        <w:rPr>
          <w:rFonts w:hint="eastAsia" w:eastAsia="仿宋_GB2312"/>
          <w:color w:val="auto"/>
          <w:sz w:val="32"/>
          <w:szCs w:val="32"/>
          <w:highlight w:val="none"/>
          <w:u w:val="single"/>
          <w:lang w:eastAsia="zh-CN"/>
        </w:rPr>
      </w:pPr>
      <w:r>
        <w:rPr>
          <w:rFonts w:hint="eastAsia" w:eastAsia="仿宋_GB2312"/>
          <w:color w:val="auto"/>
          <w:sz w:val="32"/>
          <w:szCs w:val="32"/>
          <w:highlight w:val="none"/>
          <w:u w:val="single"/>
        </w:rPr>
        <w:t>本次项目采用询价方式进行采购，</w:t>
      </w:r>
      <w:r>
        <w:rPr>
          <w:rFonts w:hint="eastAsia" w:eastAsia="仿宋_GB2312"/>
          <w:color w:val="auto"/>
          <w:sz w:val="32"/>
          <w:szCs w:val="32"/>
          <w:highlight w:val="none"/>
          <w:u w:val="single"/>
          <w:lang w:val="en-US" w:eastAsia="zh-CN"/>
        </w:rPr>
        <w:t>将</w:t>
      </w:r>
      <w:r>
        <w:rPr>
          <w:rFonts w:hint="eastAsia" w:eastAsia="仿宋_GB2312"/>
          <w:color w:val="auto"/>
          <w:sz w:val="32"/>
          <w:szCs w:val="32"/>
          <w:highlight w:val="none"/>
          <w:u w:val="single"/>
        </w:rPr>
        <w:t>对各供应商响应文件进行审核，并根据质量和服务均能满足采购文件实质性响应要求且报价最低的原则，推荐成交候选供应商（报价相同的，由采购人对投标单位的规模、人员等进行评定，并出具询价报告，排在前面的响应人的最低报价为中标供应商。采购人一致认为响应人报价明显不合理或者低于成本，应当要求响应人在规定时间内提供书面文件予以解释说明，并提供相关证明材料）</w:t>
      </w:r>
      <w:r>
        <w:rPr>
          <w:rFonts w:hint="eastAsia" w:eastAsia="仿宋_GB2312"/>
          <w:color w:val="auto"/>
          <w:sz w:val="32"/>
          <w:szCs w:val="32"/>
          <w:highlight w:val="none"/>
          <w:u w:val="single"/>
          <w:lang w:eastAsia="zh-CN"/>
        </w:rPr>
        <w:t>。</w:t>
      </w:r>
    </w:p>
    <w:p w14:paraId="527AFFA5">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询价结束后，将相关询价情况按程序审批并确定成交人。</w:t>
      </w:r>
    </w:p>
    <w:p w14:paraId="4B89037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九、采取的合同文本</w:t>
      </w:r>
    </w:p>
    <w:p w14:paraId="561469D2">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合同签订的依据为询价函、响应文件及补充说明等。确定成交单位后，成交单位在</w:t>
      </w:r>
      <w:r>
        <w:rPr>
          <w:rFonts w:hint="eastAsia" w:eastAsia="仿宋_GB2312"/>
          <w:color w:val="auto"/>
          <w:sz w:val="32"/>
          <w:szCs w:val="32"/>
          <w:highlight w:val="none"/>
          <w:u w:val="single"/>
          <w:lang w:val="en-US" w:eastAsia="zh-CN"/>
        </w:rPr>
        <w:t>10</w:t>
      </w:r>
      <w:r>
        <w:rPr>
          <w:rFonts w:hint="eastAsia" w:eastAsia="仿宋_GB2312"/>
          <w:color w:val="auto"/>
          <w:sz w:val="32"/>
          <w:szCs w:val="32"/>
          <w:highlight w:val="none"/>
        </w:rPr>
        <w:t>天内与采购人签订合同。</w:t>
      </w:r>
    </w:p>
    <w:p w14:paraId="476CF8D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427FFCAB">
      <w:pPr>
        <w:keepNext w:val="0"/>
        <w:keepLines w:val="0"/>
        <w:pageBreakBefore w:val="0"/>
        <w:numPr>
          <w:ilvl w:val="0"/>
          <w:numId w:val="0"/>
        </w:numPr>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ascii="Times New Roman" w:hAnsi="Times New Roman" w:eastAsia="仿宋_GB2312" w:cs="Times New Roman"/>
          <w:color w:val="auto"/>
          <w:kern w:val="2"/>
          <w:sz w:val="32"/>
          <w:szCs w:val="32"/>
          <w:highlight w:val="none"/>
          <w:lang w:val="en-US" w:eastAsia="zh-CN" w:bidi="ar-SA"/>
        </w:rPr>
        <w:t>1、</w:t>
      </w:r>
      <w:r>
        <w:rPr>
          <w:rFonts w:hint="eastAsia" w:eastAsia="仿宋_GB2312"/>
          <w:color w:val="auto"/>
          <w:sz w:val="32"/>
          <w:szCs w:val="32"/>
          <w:highlight w:val="none"/>
        </w:rPr>
        <w:t>报价</w:t>
      </w:r>
      <w:r>
        <w:rPr>
          <w:rFonts w:hint="eastAsia" w:eastAsia="仿宋_GB2312"/>
          <w:color w:val="auto"/>
          <w:sz w:val="32"/>
          <w:szCs w:val="32"/>
          <w:highlight w:val="none"/>
          <w:lang w:val="en-US" w:eastAsia="zh-CN"/>
        </w:rPr>
        <w:t>函</w:t>
      </w:r>
      <w:r>
        <w:rPr>
          <w:rFonts w:hint="eastAsia" w:eastAsia="仿宋_GB2312"/>
          <w:color w:val="auto"/>
          <w:sz w:val="32"/>
          <w:szCs w:val="32"/>
          <w:highlight w:val="none"/>
        </w:rPr>
        <w:t>（模板）及报价清单（</w:t>
      </w:r>
      <w:r>
        <w:rPr>
          <w:rFonts w:hint="eastAsia" w:eastAsia="仿宋_GB2312"/>
          <w:color w:val="auto"/>
          <w:sz w:val="32"/>
          <w:szCs w:val="32"/>
          <w:highlight w:val="none"/>
          <w:lang w:val="en-US" w:eastAsia="zh-CN"/>
        </w:rPr>
        <w:t>如有，可自拟</w:t>
      </w:r>
      <w:r>
        <w:rPr>
          <w:rFonts w:hint="eastAsia" w:eastAsia="仿宋_GB2312"/>
          <w:color w:val="auto"/>
          <w:sz w:val="32"/>
          <w:szCs w:val="32"/>
          <w:highlight w:val="none"/>
        </w:rPr>
        <w:t>）；</w:t>
      </w:r>
    </w:p>
    <w:p w14:paraId="1B13FC73">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16162400">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、法人授权书（模板）及被委托人身份证复印件；</w:t>
      </w:r>
    </w:p>
    <w:p w14:paraId="068922E9">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、承诺函（模板）；</w:t>
      </w:r>
    </w:p>
    <w:p w14:paraId="082E3B59">
      <w:pPr>
        <w:keepNext w:val="0"/>
        <w:keepLines w:val="0"/>
        <w:pageBreakBefore w:val="0"/>
        <w:kinsoku/>
        <w:wordWrap/>
        <w:overflowPunct/>
        <w:topLinePunct w:val="0"/>
        <w:autoSpaceDE/>
        <w:autoSpaceDN/>
        <w:bidi w:val="0"/>
        <w:spacing w:line="600" w:lineRule="exact"/>
        <w:ind w:firstLine="640" w:firstLineChars="200"/>
        <w:textAlignment w:val="auto"/>
        <w:rPr>
          <w:rFonts w:hint="eastAsia" w:eastAsia="仿宋_GB2312"/>
          <w:color w:val="auto"/>
          <w:sz w:val="32"/>
          <w:szCs w:val="32"/>
          <w:highlight w:val="none"/>
          <w:lang w:val="en-US" w:eastAsia="zh-CN"/>
        </w:rPr>
      </w:pPr>
      <w:r>
        <w:rPr>
          <w:rFonts w:eastAsia="仿宋_GB2312"/>
          <w:color w:val="auto"/>
          <w:sz w:val="32"/>
          <w:szCs w:val="32"/>
          <w:highlight w:val="none"/>
        </w:rPr>
        <w:t>5</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符合“响应人资格要求”对应的证明资料；</w:t>
      </w:r>
    </w:p>
    <w:p w14:paraId="4A4FEBBA">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b/>
          <w:color w:val="auto"/>
          <w:sz w:val="32"/>
          <w:szCs w:val="32"/>
          <w:highlight w:val="none"/>
        </w:rPr>
      </w:pPr>
      <w:r>
        <w:rPr>
          <w:rFonts w:hint="eastAsia" w:eastAsia="仿宋_GB2312"/>
          <w:color w:val="auto"/>
          <w:sz w:val="32"/>
          <w:szCs w:val="32"/>
          <w:highlight w:val="none"/>
          <w:lang w:val="en-US" w:eastAsia="zh-CN"/>
        </w:rPr>
        <w:t>6、</w:t>
      </w:r>
      <w:r>
        <w:rPr>
          <w:rFonts w:hint="eastAsia" w:eastAsia="仿宋_GB2312"/>
          <w:color w:val="auto"/>
          <w:sz w:val="32"/>
          <w:szCs w:val="32"/>
          <w:highlight w:val="none"/>
        </w:rPr>
        <w:t>响应人认为需要提供的其他资料。</w:t>
      </w:r>
    </w:p>
    <w:p w14:paraId="120A193C">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w:t>
      </w:r>
      <w:r>
        <w:rPr>
          <w:rFonts w:hint="eastAsia" w:eastAsia="仿宋_GB2312"/>
          <w:color w:val="auto"/>
          <w:sz w:val="32"/>
          <w:szCs w:val="32"/>
          <w:highlight w:val="none"/>
          <w:lang w:val="en-US" w:eastAsia="zh-CN"/>
        </w:rPr>
        <w:t>响应</w:t>
      </w:r>
      <w:r>
        <w:rPr>
          <w:rFonts w:hint="eastAsia" w:eastAsia="仿宋_GB2312"/>
          <w:color w:val="auto"/>
          <w:sz w:val="32"/>
          <w:szCs w:val="32"/>
          <w:highlight w:val="none"/>
        </w:rPr>
        <w:t>单位企业公章。</w:t>
      </w:r>
      <w:r>
        <w:rPr>
          <w:rFonts w:hint="eastAsia" w:eastAsia="仿宋_GB2312"/>
          <w:b/>
          <w:bCs/>
          <w:color w:val="auto"/>
          <w:sz w:val="32"/>
          <w:szCs w:val="32"/>
          <w:highlight w:val="none"/>
        </w:rPr>
        <w:t>装有响应文件的文件袋须贴有密封条，于骑缝处加盖企业公章</w:t>
      </w:r>
      <w:r>
        <w:rPr>
          <w:rFonts w:hint="eastAsia" w:eastAsia="仿宋_GB2312"/>
          <w:color w:val="auto"/>
          <w:sz w:val="32"/>
          <w:szCs w:val="32"/>
          <w:highlight w:val="none"/>
        </w:rPr>
        <w:t>。</w:t>
      </w:r>
    </w:p>
    <w:p w14:paraId="3DD5109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十一、响应文件份数</w:t>
      </w:r>
    </w:p>
    <w:p w14:paraId="7B8DB578">
      <w:pPr>
        <w:keepNext w:val="0"/>
        <w:keepLines w:val="0"/>
        <w:pageBreakBefore w:val="0"/>
        <w:kinsoku/>
        <w:wordWrap/>
        <w:overflowPunct/>
        <w:topLinePunct w:val="0"/>
        <w:autoSpaceDE/>
        <w:autoSpaceDN/>
        <w:bidi w:val="0"/>
        <w:spacing w:line="600" w:lineRule="exact"/>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rPr>
        <w:t>本项目有意向的响应人可</w:t>
      </w:r>
      <w:r>
        <w:rPr>
          <w:rFonts w:hint="eastAsia" w:eastAsia="仿宋_GB2312"/>
          <w:color w:val="auto"/>
          <w:sz w:val="32"/>
          <w:szCs w:val="32"/>
          <w:highlight w:val="none"/>
          <w:lang w:val="en-US" w:eastAsia="zh-CN"/>
        </w:rPr>
        <w:t>在开标截止时间之前递交响应文件</w:t>
      </w:r>
      <w:r>
        <w:rPr>
          <w:rFonts w:hint="eastAsia" w:eastAsia="仿宋_GB2312"/>
          <w:color w:val="auto"/>
          <w:sz w:val="32"/>
          <w:szCs w:val="32"/>
          <w:highlight w:val="none"/>
        </w:rPr>
        <w:t>，报价人需严格按照要求进行报价。</w:t>
      </w:r>
    </w:p>
    <w:p w14:paraId="20641A86">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color w:val="auto"/>
          <w:sz w:val="32"/>
          <w:szCs w:val="32"/>
          <w:highlight w:val="none"/>
          <w:lang w:val="en-US" w:eastAsia="zh-CN"/>
        </w:rPr>
      </w:pPr>
      <w:r>
        <w:rPr>
          <w:rFonts w:hint="eastAsia" w:eastAsia="仿宋_GB2312"/>
          <w:color w:val="auto"/>
          <w:sz w:val="32"/>
          <w:szCs w:val="32"/>
          <w:highlight w:val="none"/>
        </w:rPr>
        <w:t>有意向的响应人，可形成响应文件正本一份</w:t>
      </w:r>
      <w:r>
        <w:rPr>
          <w:rFonts w:hint="eastAsia" w:eastAsia="仿宋_GB2312"/>
          <w:color w:val="auto"/>
          <w:sz w:val="32"/>
          <w:szCs w:val="32"/>
          <w:highlight w:val="none"/>
          <w:lang w:val="en-US" w:eastAsia="zh-CN"/>
        </w:rPr>
        <w:t>（如有，可补充</w:t>
      </w:r>
      <w:r>
        <w:rPr>
          <w:rFonts w:hint="eastAsia" w:eastAsia="仿宋_GB2312"/>
          <w:color w:val="auto"/>
          <w:sz w:val="32"/>
          <w:szCs w:val="32"/>
          <w:highlight w:val="none"/>
        </w:rPr>
        <w:t>响应文件 PDF 扫描件电子版</w:t>
      </w:r>
      <w:r>
        <w:rPr>
          <w:rFonts w:hint="eastAsia" w:eastAsia="仿宋_GB2312"/>
          <w:color w:val="auto"/>
          <w:sz w:val="32"/>
          <w:szCs w:val="32"/>
          <w:highlight w:val="none"/>
          <w:lang w:val="en-US" w:eastAsia="zh-CN"/>
        </w:rPr>
        <w:t>）。</w:t>
      </w:r>
    </w:p>
    <w:p w14:paraId="6E3B3DAC">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仿宋_GB2312" w:cs="Times New Roman"/>
          <w:b/>
          <w:bCs/>
          <w:i w:val="0"/>
          <w:iCs w:val="0"/>
          <w:caps w:val="0"/>
          <w:color w:val="auto"/>
          <w:spacing w:val="0"/>
          <w:sz w:val="32"/>
          <w:szCs w:val="32"/>
          <w:highlight w:val="none"/>
          <w:u w:val="none"/>
          <w:lang w:val="en-US" w:eastAsia="zh-CN"/>
        </w:rPr>
      </w:pPr>
      <w:r>
        <w:rPr>
          <w:rFonts w:hint="eastAsia" w:ascii="黑体" w:hAnsi="黑体" w:eastAsia="黑体" w:cs="黑体"/>
          <w:i w:val="0"/>
          <w:iCs w:val="0"/>
          <w:caps w:val="0"/>
          <w:color w:val="auto"/>
          <w:spacing w:val="0"/>
          <w:sz w:val="32"/>
          <w:szCs w:val="32"/>
          <w:highlight w:val="none"/>
          <w:lang w:val="en-US" w:eastAsia="zh-CN"/>
        </w:rPr>
        <w:t>十二、</w:t>
      </w:r>
      <w:r>
        <w:rPr>
          <w:rFonts w:hint="eastAsia" w:ascii="黑体" w:hAnsi="黑体" w:eastAsia="黑体" w:cs="黑体"/>
          <w:i w:val="0"/>
          <w:iCs w:val="0"/>
          <w:caps w:val="0"/>
          <w:color w:val="auto"/>
          <w:spacing w:val="0"/>
          <w:sz w:val="32"/>
          <w:szCs w:val="32"/>
          <w:highlight w:val="none"/>
        </w:rPr>
        <w:t>保证金金额及缴纳方式</w:t>
      </w:r>
    </w:p>
    <w:p w14:paraId="28541B0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本项目无保证金额。</w:t>
      </w:r>
    </w:p>
    <w:p w14:paraId="177F42E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三</w:t>
      </w:r>
      <w:r>
        <w:rPr>
          <w:rFonts w:hint="eastAsia" w:eastAsia="黑体"/>
          <w:color w:val="auto"/>
          <w:sz w:val="32"/>
          <w:szCs w:val="32"/>
          <w:highlight w:val="none"/>
        </w:rPr>
        <w:t>、开标时间及地址</w:t>
      </w:r>
    </w:p>
    <w:p w14:paraId="3372358D">
      <w:pPr>
        <w:keepNext w:val="0"/>
        <w:keepLines w:val="0"/>
        <w:pageBreakBefore w:val="0"/>
        <w:kinsoku/>
        <w:wordWrap/>
        <w:overflowPunct/>
        <w:topLinePunct w:val="0"/>
        <w:autoSpaceDE/>
        <w:autoSpaceDN/>
        <w:bidi w:val="0"/>
        <w:spacing w:line="600" w:lineRule="exact"/>
        <w:ind w:firstLine="643" w:firstLineChars="200"/>
        <w:textAlignment w:val="auto"/>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lang w:val="en-US" w:eastAsia="zh-CN"/>
        </w:rPr>
        <w:t>26</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9</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11</w:t>
      </w:r>
      <w:r>
        <w:rPr>
          <w:rFonts w:hint="eastAsia" w:eastAsia="仿宋_GB2312"/>
          <w:b/>
          <w:color w:val="auto"/>
          <w:sz w:val="32"/>
          <w:szCs w:val="32"/>
          <w:highlight w:val="none"/>
        </w:rPr>
        <w:t>日（星期</w:t>
      </w:r>
      <w:r>
        <w:rPr>
          <w:rFonts w:hint="eastAsia" w:eastAsia="仿宋_GB2312"/>
          <w:b/>
          <w:color w:val="auto"/>
          <w:sz w:val="32"/>
          <w:szCs w:val="32"/>
          <w:highlight w:val="none"/>
          <w:lang w:val="en-US" w:eastAsia="zh-CN"/>
        </w:rPr>
        <w:t>五</w:t>
      </w:r>
      <w:r>
        <w:rPr>
          <w:rFonts w:hint="eastAsia" w:eastAsia="仿宋_GB2312"/>
          <w:b/>
          <w:color w:val="auto"/>
          <w:sz w:val="32"/>
          <w:szCs w:val="32"/>
          <w:highlight w:val="none"/>
        </w:rPr>
        <w:t>）</w:t>
      </w:r>
      <w:r>
        <w:rPr>
          <w:rFonts w:hint="eastAsia" w:eastAsia="仿宋_GB2312"/>
          <w:b/>
          <w:color w:val="auto"/>
          <w:sz w:val="32"/>
          <w:szCs w:val="32"/>
          <w:highlight w:val="none"/>
          <w:lang w:val="en-US" w:eastAsia="zh-CN"/>
        </w:rPr>
        <w:t>下</w:t>
      </w:r>
      <w:r>
        <w:rPr>
          <w:rFonts w:hint="eastAsia" w:eastAsia="仿宋_GB2312"/>
          <w:b/>
          <w:color w:val="auto"/>
          <w:sz w:val="32"/>
          <w:szCs w:val="32"/>
          <w:highlight w:val="none"/>
          <w:u w:val="none"/>
        </w:rPr>
        <w:t>午</w:t>
      </w:r>
      <w:r>
        <w:rPr>
          <w:rFonts w:hint="eastAsia" w:eastAsia="仿宋_GB2312"/>
          <w:b/>
          <w:color w:val="auto"/>
          <w:sz w:val="32"/>
          <w:szCs w:val="32"/>
          <w:highlight w:val="none"/>
          <w:u w:val="single"/>
          <w:lang w:val="en-US" w:eastAsia="zh-CN"/>
        </w:rPr>
        <w:t>10</w:t>
      </w:r>
      <w:r>
        <w:rPr>
          <w:rFonts w:eastAsia="仿宋_GB2312"/>
          <w:b/>
          <w:color w:val="auto"/>
          <w:sz w:val="32"/>
          <w:szCs w:val="32"/>
          <w:highlight w:val="none"/>
          <w:u w:val="single"/>
        </w:rPr>
        <w:t>:</w:t>
      </w:r>
      <w:r>
        <w:rPr>
          <w:rFonts w:hint="eastAsia" w:eastAsia="仿宋_GB2312"/>
          <w:b/>
          <w:color w:val="auto"/>
          <w:sz w:val="32"/>
          <w:szCs w:val="32"/>
          <w:highlight w:val="none"/>
          <w:u w:val="single"/>
          <w:lang w:val="en-US" w:eastAsia="zh-CN"/>
        </w:rPr>
        <w:t>0</w:t>
      </w:r>
      <w:r>
        <w:rPr>
          <w:rFonts w:eastAsia="仿宋_GB2312"/>
          <w:b/>
          <w:color w:val="auto"/>
          <w:sz w:val="32"/>
          <w:szCs w:val="32"/>
          <w:highlight w:val="none"/>
          <w:u w:val="single"/>
        </w:rPr>
        <w:t>0</w:t>
      </w:r>
      <w:r>
        <w:rPr>
          <w:rFonts w:hint="eastAsia" w:eastAsia="仿宋_GB2312"/>
          <w:b/>
          <w:color w:val="auto"/>
          <w:sz w:val="32"/>
          <w:szCs w:val="32"/>
          <w:highlight w:val="none"/>
        </w:rPr>
        <w:t>。</w:t>
      </w:r>
    </w:p>
    <w:p w14:paraId="2042C4D8">
      <w:pPr>
        <w:keepNext w:val="0"/>
        <w:keepLines w:val="0"/>
        <w:pageBreakBefore w:val="0"/>
        <w:kinsoku/>
        <w:wordWrap/>
        <w:overflowPunct/>
        <w:topLinePunct w:val="0"/>
        <w:autoSpaceDE/>
        <w:autoSpaceDN/>
        <w:bidi w:val="0"/>
        <w:spacing w:line="600" w:lineRule="exact"/>
        <w:ind w:firstLine="640" w:firstLineChars="200"/>
        <w:textAlignment w:val="auto"/>
        <w:rPr>
          <w:rFonts w:hint="eastAsia" w:eastAsia="仿宋_GB2312"/>
          <w:b w:val="0"/>
          <w:bCs/>
          <w:color w:val="auto"/>
          <w:sz w:val="32"/>
          <w:szCs w:val="32"/>
          <w:highlight w:val="none"/>
          <w:lang w:val="en-US" w:eastAsia="zh-CN"/>
        </w:rPr>
      </w:pPr>
      <w:r>
        <w:rPr>
          <w:rFonts w:eastAsia="仿宋_GB2312"/>
          <w:b w:val="0"/>
          <w:bCs/>
          <w:color w:val="auto"/>
          <w:sz w:val="32"/>
          <w:szCs w:val="32"/>
          <w:highlight w:val="none"/>
        </w:rPr>
        <w:t>2</w:t>
      </w:r>
      <w:r>
        <w:rPr>
          <w:rFonts w:hint="eastAsia" w:eastAsia="仿宋_GB2312"/>
          <w:b w:val="0"/>
          <w:bCs/>
          <w:color w:val="auto"/>
          <w:sz w:val="32"/>
          <w:szCs w:val="32"/>
          <w:highlight w:val="none"/>
        </w:rPr>
        <w:t>、</w:t>
      </w:r>
      <w:r>
        <w:rPr>
          <w:rFonts w:hint="eastAsia" w:eastAsia="仿宋_GB2312"/>
          <w:b w:val="0"/>
          <w:bCs/>
          <w:color w:val="auto"/>
          <w:sz w:val="32"/>
          <w:szCs w:val="32"/>
          <w:highlight w:val="none"/>
          <w:lang w:val="en-US" w:eastAsia="zh-CN"/>
        </w:rPr>
        <w:t>响应文件递交</w:t>
      </w:r>
    </w:p>
    <w:p w14:paraId="68FE0DEE">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（1）现场递交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70577BBD">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人须委派法定代表人或授权委托人按时到开标地址提交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文件，开标时间后送达的报价文件无效。</w:t>
      </w:r>
    </w:p>
    <w:p w14:paraId="0B3EC92C">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人现场递交报价文件地址：广东省东莞市松山湖园区新城路5号1栋601室会议室，逾期无效。</w:t>
      </w:r>
    </w:p>
    <w:p w14:paraId="28D79822">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联系人：</w:t>
      </w:r>
      <w:r>
        <w:rPr>
          <w:rFonts w:hint="eastAsia" w:eastAsia="仿宋_GB2312"/>
          <w:b w:val="0"/>
          <w:bCs/>
          <w:color w:val="auto"/>
          <w:sz w:val="32"/>
          <w:szCs w:val="32"/>
          <w:highlight w:val="none"/>
          <w:u w:val="single"/>
          <w:lang w:val="en-US" w:eastAsia="zh-CN"/>
        </w:rPr>
        <w:t>翟先生</w:t>
      </w:r>
    </w:p>
    <w:p w14:paraId="7306BD6A">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r>
        <w:rPr>
          <w:rFonts w:hint="eastAsia" w:eastAsia="仿宋_GB2312"/>
          <w:b w:val="0"/>
          <w:bCs/>
          <w:color w:val="auto"/>
          <w:sz w:val="32"/>
          <w:szCs w:val="32"/>
          <w:highlight w:val="none"/>
          <w:u w:val="single"/>
          <w:lang w:val="en-US" w:eastAsia="zh-CN"/>
        </w:rPr>
        <w:t>4</w:t>
      </w:r>
    </w:p>
    <w:p w14:paraId="22D5E883">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（2）邮寄递交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189FF642">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人必须确保</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文件密封完好，在开标截止时间前送达采购人处（运费自理，采购人拒收到付件），因邮寄造成报价文件破损无效或文件丢失的责任由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人自负，因快递派件人员原因造成快递派件问题的责任由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人自负，开标时间后送达的报价文件无效。</w:t>
      </w:r>
    </w:p>
    <w:p w14:paraId="0B6186F6">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邮寄递交报价收件信息：</w:t>
      </w:r>
    </w:p>
    <w:p w14:paraId="55779436">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收件地址：</w:t>
      </w:r>
      <w:r>
        <w:rPr>
          <w:rFonts w:hint="default" w:eastAsia="仿宋_GB2312"/>
          <w:b w:val="0"/>
          <w:bCs/>
          <w:color w:val="auto"/>
          <w:sz w:val="32"/>
          <w:szCs w:val="32"/>
          <w:highlight w:val="none"/>
          <w:u w:val="single"/>
          <w:lang w:val="en-US" w:eastAsia="zh-CN"/>
        </w:rPr>
        <w:t>广东省东莞市松山湖园区新城路5号1栋601室会议室</w:t>
      </w:r>
    </w:p>
    <w:p w14:paraId="050C0E70">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收件人：</w:t>
      </w:r>
      <w:r>
        <w:rPr>
          <w:rFonts w:hint="eastAsia" w:eastAsia="仿宋_GB2312"/>
          <w:b w:val="0"/>
          <w:bCs/>
          <w:color w:val="auto"/>
          <w:sz w:val="32"/>
          <w:szCs w:val="32"/>
          <w:highlight w:val="none"/>
          <w:u w:val="single"/>
          <w:lang w:val="en-US" w:eastAsia="zh-CN"/>
        </w:rPr>
        <w:t>翟先生</w:t>
      </w:r>
    </w:p>
    <w:p w14:paraId="77D60F80">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黑体" w:hAnsi="黑体" w:eastAsia="仿宋_GB2312" w:cs="黑体"/>
          <w:i w:val="0"/>
          <w:iCs w:val="0"/>
          <w:caps w:val="0"/>
          <w:color w:val="auto"/>
          <w:spacing w:val="0"/>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r>
        <w:rPr>
          <w:rFonts w:hint="eastAsia" w:eastAsia="仿宋_GB2312"/>
          <w:b w:val="0"/>
          <w:bCs/>
          <w:color w:val="auto"/>
          <w:sz w:val="32"/>
          <w:szCs w:val="32"/>
          <w:highlight w:val="none"/>
          <w:u w:val="single"/>
          <w:lang w:val="en-US" w:eastAsia="zh-CN"/>
        </w:rPr>
        <w:t>4</w:t>
      </w:r>
    </w:p>
    <w:p w14:paraId="2CCB7E4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四</w:t>
      </w:r>
      <w:r>
        <w:rPr>
          <w:rFonts w:hint="eastAsia" w:eastAsia="黑体"/>
          <w:color w:val="auto"/>
          <w:sz w:val="32"/>
          <w:szCs w:val="32"/>
          <w:highlight w:val="none"/>
        </w:rPr>
        <w:t>、注意事项</w:t>
      </w:r>
    </w:p>
    <w:p w14:paraId="64D39891">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bookmarkStart w:id="0"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6DC13D8E">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1FD58DD0">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0"/>
    </w:p>
    <w:p w14:paraId="34D61684">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14:paraId="6F9E033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olor w:val="auto"/>
          <w:sz w:val="32"/>
          <w:szCs w:val="32"/>
          <w:highlight w:val="none"/>
        </w:rPr>
        <w:t>5、</w:t>
      </w:r>
      <w:r>
        <w:rPr>
          <w:rFonts w:hint="eastAsia" w:ascii="Times New Roman" w:hAnsi="Times New Roman" w:eastAsia="仿宋_GB2312" w:cs="Times New Roman"/>
          <w:color w:val="auto"/>
          <w:kern w:val="2"/>
          <w:sz w:val="32"/>
          <w:szCs w:val="32"/>
          <w:highlight w:val="none"/>
          <w:lang w:val="en-US" w:eastAsia="zh-CN" w:bidi="ar-SA"/>
        </w:rPr>
        <w:t>本项目仅可提交一个报价方案，提交两个或以上报价方案的响应人视为无效报价。</w:t>
      </w:r>
    </w:p>
    <w:p w14:paraId="643DD92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6、本项目不接受响应人其他附加条件。</w:t>
      </w:r>
    </w:p>
    <w:p w14:paraId="3D10E4C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7、有下列情形之一的，报价保证金将被没收，并纳入采购人供应商黑名单：</w:t>
      </w:r>
    </w:p>
    <w:p w14:paraId="1DAEB92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（1）中标后无正当理由放弃中标或不与采购人签订合同。</w:t>
      </w:r>
    </w:p>
    <w:p w14:paraId="58C3612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（2）成交人将本项目转让给他人，或者在报价文件中未说明，且未经采购人同意，将中标项目分包给他人。</w:t>
      </w:r>
    </w:p>
    <w:p w14:paraId="6D3A9579">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eastAsia="仿宋_GB2312"/>
          <w:color w:val="auto"/>
          <w:sz w:val="32"/>
          <w:szCs w:val="32"/>
          <w:highlight w:val="none"/>
        </w:rPr>
      </w:pPr>
      <w:r>
        <w:rPr>
          <w:rFonts w:hint="eastAsia" w:ascii="Times New Roman" w:hAnsi="Times New Roman" w:eastAsia="仿宋_GB2312" w:cs="Times New Roman"/>
          <w:color w:val="auto"/>
          <w:kern w:val="2"/>
          <w:sz w:val="32"/>
          <w:szCs w:val="32"/>
          <w:highlight w:val="none"/>
          <w:lang w:val="en-US" w:eastAsia="zh-CN" w:bidi="ar-SA"/>
        </w:rPr>
        <w:t>（3）报价人提供虚假报价文件或虚假补充文件</w:t>
      </w:r>
      <w:r>
        <w:rPr>
          <w:rFonts w:hint="eastAsia" w:eastAsia="仿宋_GB2312" w:cs="Times New Roman"/>
          <w:color w:val="auto"/>
          <w:kern w:val="2"/>
          <w:sz w:val="32"/>
          <w:szCs w:val="32"/>
          <w:highlight w:val="none"/>
          <w:lang w:val="en-US" w:eastAsia="zh-CN" w:bidi="ar-SA"/>
        </w:rPr>
        <w:t>。</w:t>
      </w:r>
    </w:p>
    <w:p w14:paraId="74CCFC9B">
      <w:pPr>
        <w:keepNext w:val="0"/>
        <w:keepLines w:val="0"/>
        <w:pageBreakBefore w:val="0"/>
        <w:widowControl/>
        <w:kinsoku/>
        <w:wordWrap/>
        <w:overflowPunct/>
        <w:topLinePunct w:val="0"/>
        <w:autoSpaceDE/>
        <w:autoSpaceDN/>
        <w:bidi w:val="0"/>
        <w:spacing w:line="600" w:lineRule="exact"/>
        <w:jc w:val="left"/>
        <w:textAlignment w:val="auto"/>
        <w:rPr>
          <w:rFonts w:eastAsia="仿宋_GB2312"/>
          <w:color w:val="auto"/>
          <w:sz w:val="32"/>
          <w:szCs w:val="32"/>
          <w:highlight w:val="none"/>
        </w:rPr>
      </w:pPr>
    </w:p>
    <w:p w14:paraId="310401A9">
      <w:pPr>
        <w:keepNext w:val="0"/>
        <w:keepLines w:val="0"/>
        <w:pageBreakBefore w:val="0"/>
        <w:kinsoku/>
        <w:wordWrap/>
        <w:overflowPunct/>
        <w:topLinePunct w:val="0"/>
        <w:autoSpaceDE/>
        <w:autoSpaceDN/>
        <w:bidi w:val="0"/>
        <w:spacing w:line="600" w:lineRule="exact"/>
        <w:ind w:firstLine="640" w:firstLineChars="200"/>
        <w:jc w:val="right"/>
        <w:textAlignment w:val="auto"/>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东莞市新有能源投资有限公司</w:t>
      </w:r>
      <w:r>
        <w:rPr>
          <w:rFonts w:hint="eastAsia" w:eastAsia="仿宋_GB2312"/>
          <w:color w:val="auto"/>
          <w:sz w:val="32"/>
          <w:szCs w:val="32"/>
          <w:highlight w:val="none"/>
        </w:rPr>
        <w:t>（采购人）</w:t>
      </w:r>
    </w:p>
    <w:p w14:paraId="7F6075B9">
      <w:pPr>
        <w:keepNext w:val="0"/>
        <w:keepLines w:val="0"/>
        <w:pageBreakBefore w:val="0"/>
        <w:kinsoku/>
        <w:wordWrap/>
        <w:overflowPunct/>
        <w:topLinePunct w:val="0"/>
        <w:autoSpaceDE/>
        <w:autoSpaceDN/>
        <w:bidi w:val="0"/>
        <w:spacing w:line="600" w:lineRule="exact"/>
        <w:ind w:firstLine="640" w:firstLineChars="200"/>
        <w:jc w:val="center"/>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 xml:space="preserve">           </w:t>
      </w:r>
      <w:r>
        <w:rPr>
          <w:rFonts w:eastAsia="仿宋_GB2312"/>
          <w:color w:val="auto"/>
          <w:sz w:val="32"/>
          <w:szCs w:val="32"/>
          <w:highlight w:val="none"/>
          <w:u w:val="single"/>
        </w:rPr>
        <w:t>20</w:t>
      </w:r>
      <w:r>
        <w:rPr>
          <w:rFonts w:hint="eastAsia" w:eastAsia="仿宋_GB2312"/>
          <w:color w:val="auto"/>
          <w:sz w:val="32"/>
          <w:szCs w:val="32"/>
          <w:highlight w:val="none"/>
          <w:u w:val="single"/>
          <w:lang w:val="en-US" w:eastAsia="zh-CN"/>
        </w:rPr>
        <w:t>26</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9</w:t>
      </w:r>
      <w:r>
        <w:rPr>
          <w:rFonts w:hint="eastAsia" w:eastAsia="仿宋_GB2312"/>
          <w:color w:val="auto"/>
          <w:sz w:val="32"/>
          <w:szCs w:val="32"/>
          <w:highlight w:val="none"/>
        </w:rPr>
        <w:t>月</w:t>
      </w:r>
      <w:r>
        <w:rPr>
          <w:rFonts w:hint="eastAsia" w:eastAsia="仿宋_GB2312"/>
          <w:color w:val="auto"/>
          <w:sz w:val="32"/>
          <w:szCs w:val="32"/>
          <w:highlight w:val="none"/>
          <w:u w:val="single"/>
          <w:lang w:val="en-US" w:eastAsia="zh-CN"/>
        </w:rPr>
        <w:t>7</w:t>
      </w:r>
      <w:r>
        <w:rPr>
          <w:rFonts w:hint="eastAsia" w:eastAsia="仿宋_GB2312"/>
          <w:color w:val="auto"/>
          <w:sz w:val="32"/>
          <w:szCs w:val="32"/>
          <w:highlight w:val="none"/>
        </w:rPr>
        <w:t>日</w:t>
      </w:r>
    </w:p>
    <w:p w14:paraId="2CC47DFD">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eastAsia="仿宋_GB2312"/>
          <w:color w:val="auto"/>
          <w:sz w:val="32"/>
          <w:szCs w:val="32"/>
          <w:highlight w:val="none"/>
        </w:rPr>
        <w:sectPr>
          <w:headerReference r:id="rId3" w:type="default"/>
          <w:footerReference r:id="rId4" w:type="default"/>
          <w:pgSz w:w="11906" w:h="16838"/>
          <w:pgMar w:top="2041" w:right="1531" w:bottom="2041" w:left="1531" w:header="851" w:footer="992" w:gutter="0"/>
          <w:pgNumType w:fmt="decimal"/>
          <w:cols w:space="720" w:num="1"/>
          <w:docGrid w:type="lines" w:linePitch="312" w:charSpace="0"/>
        </w:sectPr>
      </w:pPr>
    </w:p>
    <w:p w14:paraId="22EC4867">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eastAsia="黑体"/>
          <w:color w:val="auto"/>
          <w:sz w:val="28"/>
          <w:szCs w:val="44"/>
          <w:highlight w:val="none"/>
        </w:rPr>
      </w:pPr>
      <w:r>
        <w:rPr>
          <w:rFonts w:hint="eastAsia" w:eastAsia="黑体"/>
          <w:color w:val="auto"/>
          <w:sz w:val="28"/>
          <w:szCs w:val="44"/>
          <w:highlight w:val="none"/>
        </w:rPr>
        <w:t>附件一 响应须知</w:t>
      </w:r>
    </w:p>
    <w:p w14:paraId="13CCAD47">
      <w:pPr>
        <w:keepNext w:val="0"/>
        <w:keepLines w:val="0"/>
        <w:pageBreakBefore w:val="0"/>
        <w:kinsoku/>
        <w:wordWrap/>
        <w:overflowPunct/>
        <w:topLinePunct w:val="0"/>
        <w:autoSpaceDE/>
        <w:autoSpaceDN/>
        <w:bidi w:val="0"/>
        <w:spacing w:line="600" w:lineRule="exact"/>
        <w:jc w:val="center"/>
        <w:textAlignment w:val="auto"/>
        <w:rPr>
          <w:rFonts w:eastAsia="华文中宋"/>
          <w:color w:val="auto"/>
          <w:sz w:val="44"/>
          <w:szCs w:val="44"/>
          <w:highlight w:val="none"/>
        </w:rPr>
      </w:pPr>
      <w:r>
        <w:rPr>
          <w:rFonts w:hint="eastAsia" w:eastAsia="华文中宋"/>
          <w:color w:val="auto"/>
          <w:sz w:val="44"/>
          <w:szCs w:val="44"/>
          <w:highlight w:val="none"/>
        </w:rPr>
        <w:t>响应须知</w:t>
      </w:r>
    </w:p>
    <w:tbl>
      <w:tblPr>
        <w:tblStyle w:val="19"/>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0A08B0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14EEFC10">
            <w:pPr>
              <w:pStyle w:val="18"/>
              <w:keepNext w:val="0"/>
              <w:keepLines w:val="0"/>
              <w:pageBreakBefore w:val="0"/>
              <w:kinsoku/>
              <w:wordWrap/>
              <w:overflowPunct/>
              <w:topLinePunct w:val="0"/>
              <w:autoSpaceDE/>
              <w:autoSpaceDN/>
              <w:bidi w:val="0"/>
              <w:spacing w:after="0" w:line="600" w:lineRule="exact"/>
              <w:ind w:firstLine="0" w:firstLineChars="0"/>
              <w:jc w:val="center"/>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2275" w:type="dxa"/>
            <w:tcBorders>
              <w:top w:val="double" w:color="auto" w:sz="4" w:space="0"/>
            </w:tcBorders>
            <w:vAlign w:val="center"/>
          </w:tcPr>
          <w:p w14:paraId="53D79CF3">
            <w:pPr>
              <w:pStyle w:val="18"/>
              <w:keepNext w:val="0"/>
              <w:keepLines w:val="0"/>
              <w:pageBreakBefore w:val="0"/>
              <w:kinsoku/>
              <w:wordWrap/>
              <w:overflowPunct/>
              <w:topLinePunct w:val="0"/>
              <w:autoSpaceDE/>
              <w:autoSpaceDN/>
              <w:bidi w:val="0"/>
              <w:spacing w:after="0" w:line="600" w:lineRule="exact"/>
              <w:ind w:firstLine="320"/>
              <w:jc w:val="center"/>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5942" w:type="dxa"/>
            <w:tcBorders>
              <w:top w:val="double" w:color="auto" w:sz="4" w:space="0"/>
            </w:tcBorders>
            <w:vAlign w:val="center"/>
          </w:tcPr>
          <w:p w14:paraId="75B8560D">
            <w:pPr>
              <w:pStyle w:val="18"/>
              <w:keepNext w:val="0"/>
              <w:keepLines w:val="0"/>
              <w:pageBreakBefore w:val="0"/>
              <w:kinsoku/>
              <w:wordWrap/>
              <w:overflowPunct/>
              <w:topLinePunct w:val="0"/>
              <w:autoSpaceDE/>
              <w:autoSpaceDN/>
              <w:bidi w:val="0"/>
              <w:spacing w:after="0" w:line="600" w:lineRule="exact"/>
              <w:ind w:firstLine="320"/>
              <w:jc w:val="center"/>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14:paraId="48C4E2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87C0387">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1</w:t>
            </w:r>
          </w:p>
        </w:tc>
        <w:tc>
          <w:tcPr>
            <w:tcW w:w="2275" w:type="dxa"/>
            <w:vAlign w:val="center"/>
          </w:tcPr>
          <w:p w14:paraId="4765BF8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项目名称</w:t>
            </w:r>
          </w:p>
        </w:tc>
        <w:tc>
          <w:tcPr>
            <w:tcW w:w="5942" w:type="dxa"/>
            <w:vAlign w:val="center"/>
          </w:tcPr>
          <w:p w14:paraId="0B267ED6">
            <w:pPr>
              <w:keepNext w:val="0"/>
              <w:keepLines w:val="0"/>
              <w:pageBreakBefore w:val="0"/>
              <w:kinsoku/>
              <w:wordWrap/>
              <w:overflowPunct/>
              <w:topLinePunct w:val="0"/>
              <w:autoSpaceDE/>
              <w:autoSpaceDN/>
              <w:bidi w:val="0"/>
              <w:adjustRightInd w:val="0"/>
              <w:snapToGrid w:val="0"/>
              <w:spacing w:line="600" w:lineRule="exact"/>
              <w:textAlignment w:val="auto"/>
              <w:rPr>
                <w:rFonts w:hint="eastAsia" w:eastAsia="仿宋_GB2312"/>
                <w:color w:val="auto"/>
                <w:sz w:val="32"/>
                <w:szCs w:val="32"/>
                <w:highlight w:val="none"/>
              </w:rPr>
            </w:pPr>
            <w:r>
              <w:rPr>
                <w:rFonts w:hint="eastAsia" w:eastAsia="仿宋_GB2312"/>
                <w:color w:val="auto"/>
                <w:sz w:val="32"/>
                <w:szCs w:val="32"/>
                <w:highlight w:val="none"/>
              </w:rPr>
              <w:t>东莞能源谢岗镇100MW/200MWh独立储能电站项目监理</w:t>
            </w:r>
          </w:p>
        </w:tc>
      </w:tr>
      <w:tr w14:paraId="3F86C9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E1D311D">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2</w:t>
            </w:r>
          </w:p>
        </w:tc>
        <w:tc>
          <w:tcPr>
            <w:tcW w:w="2275" w:type="dxa"/>
            <w:vAlign w:val="center"/>
          </w:tcPr>
          <w:p w14:paraId="3FBD427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建设地点</w:t>
            </w:r>
          </w:p>
        </w:tc>
        <w:tc>
          <w:tcPr>
            <w:tcW w:w="5942" w:type="dxa"/>
            <w:vAlign w:val="center"/>
          </w:tcPr>
          <w:p w14:paraId="7CCE4384">
            <w:pPr>
              <w:keepNext w:val="0"/>
              <w:keepLines w:val="0"/>
              <w:pageBreakBefore w:val="0"/>
              <w:kinsoku/>
              <w:wordWrap/>
              <w:overflowPunct/>
              <w:topLinePunct w:val="0"/>
              <w:autoSpaceDE/>
              <w:autoSpaceDN/>
              <w:bidi w:val="0"/>
              <w:spacing w:line="600" w:lineRule="exact"/>
              <w:textAlignment w:val="auto"/>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详见《采购文件》</w:t>
            </w:r>
          </w:p>
        </w:tc>
      </w:tr>
      <w:tr w14:paraId="60A8DA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CED823F">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3</w:t>
            </w:r>
          </w:p>
        </w:tc>
        <w:tc>
          <w:tcPr>
            <w:tcW w:w="2275" w:type="dxa"/>
            <w:vAlign w:val="center"/>
          </w:tcPr>
          <w:p w14:paraId="292B139E">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项目性质</w:t>
            </w:r>
          </w:p>
        </w:tc>
        <w:tc>
          <w:tcPr>
            <w:tcW w:w="5942" w:type="dxa"/>
            <w:vAlign w:val="center"/>
          </w:tcPr>
          <w:p w14:paraId="1ABDE3BA">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详见《采购文件》</w:t>
            </w:r>
          </w:p>
        </w:tc>
      </w:tr>
      <w:tr w14:paraId="285BA9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3D017B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4</w:t>
            </w:r>
          </w:p>
        </w:tc>
        <w:tc>
          <w:tcPr>
            <w:tcW w:w="2275" w:type="dxa"/>
            <w:vAlign w:val="center"/>
          </w:tcPr>
          <w:p w14:paraId="125A4947">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发包要求</w:t>
            </w:r>
          </w:p>
        </w:tc>
        <w:tc>
          <w:tcPr>
            <w:tcW w:w="5942" w:type="dxa"/>
            <w:vAlign w:val="center"/>
          </w:tcPr>
          <w:p w14:paraId="2AB46217">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详见《采购文件》</w:t>
            </w:r>
          </w:p>
        </w:tc>
      </w:tr>
      <w:tr w14:paraId="64403C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253361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5</w:t>
            </w:r>
          </w:p>
        </w:tc>
        <w:tc>
          <w:tcPr>
            <w:tcW w:w="2275" w:type="dxa"/>
            <w:vAlign w:val="center"/>
          </w:tcPr>
          <w:p w14:paraId="211F9B6E">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质量标准</w:t>
            </w:r>
          </w:p>
        </w:tc>
        <w:tc>
          <w:tcPr>
            <w:tcW w:w="5942" w:type="dxa"/>
            <w:vAlign w:val="center"/>
          </w:tcPr>
          <w:p w14:paraId="0388E4BB">
            <w:pPr>
              <w:keepNext w:val="0"/>
              <w:keepLines w:val="0"/>
              <w:pageBreakBefore w:val="0"/>
              <w:kinsoku/>
              <w:wordWrap/>
              <w:overflowPunct/>
              <w:topLinePunct w:val="0"/>
              <w:autoSpaceDE/>
              <w:autoSpaceDN/>
              <w:bidi w:val="0"/>
              <w:spacing w:line="600" w:lineRule="exact"/>
              <w:jc w:val="left"/>
              <w:textAlignment w:val="auto"/>
              <w:rPr>
                <w:rFonts w:eastAsia="仿宋"/>
                <w:color w:val="auto"/>
                <w:sz w:val="32"/>
                <w:szCs w:val="32"/>
                <w:highlight w:val="none"/>
              </w:rPr>
            </w:pPr>
            <w:r>
              <w:rPr>
                <w:rFonts w:hint="eastAsia" w:eastAsia="仿宋_GB2312"/>
                <w:color w:val="auto"/>
                <w:sz w:val="32"/>
                <w:szCs w:val="32"/>
                <w:highlight w:val="none"/>
                <w:lang w:val="en-US" w:eastAsia="zh-CN"/>
              </w:rPr>
              <w:t>详见《采购文件》</w:t>
            </w:r>
          </w:p>
        </w:tc>
      </w:tr>
      <w:tr w14:paraId="55228F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8BF2403">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6</w:t>
            </w:r>
          </w:p>
        </w:tc>
        <w:tc>
          <w:tcPr>
            <w:tcW w:w="2275" w:type="dxa"/>
            <w:vAlign w:val="center"/>
          </w:tcPr>
          <w:p w14:paraId="0A09B29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工期要求</w:t>
            </w:r>
          </w:p>
        </w:tc>
        <w:tc>
          <w:tcPr>
            <w:tcW w:w="5942" w:type="dxa"/>
            <w:vAlign w:val="center"/>
          </w:tcPr>
          <w:p w14:paraId="5FF0D51C">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详见《采购文件》</w:t>
            </w:r>
          </w:p>
        </w:tc>
      </w:tr>
      <w:tr w14:paraId="418D57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FCAC668">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7</w:t>
            </w:r>
          </w:p>
        </w:tc>
        <w:tc>
          <w:tcPr>
            <w:tcW w:w="2275" w:type="dxa"/>
            <w:vAlign w:val="center"/>
          </w:tcPr>
          <w:p w14:paraId="2EE0FF69">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单位资质要求</w:t>
            </w:r>
          </w:p>
        </w:tc>
        <w:tc>
          <w:tcPr>
            <w:tcW w:w="5942" w:type="dxa"/>
            <w:vAlign w:val="center"/>
          </w:tcPr>
          <w:p w14:paraId="6E9BEF1C">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详见《采购文件》</w:t>
            </w:r>
          </w:p>
        </w:tc>
      </w:tr>
      <w:tr w14:paraId="782E2B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2555F37">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8</w:t>
            </w:r>
          </w:p>
        </w:tc>
        <w:tc>
          <w:tcPr>
            <w:tcW w:w="2275" w:type="dxa"/>
          </w:tcPr>
          <w:p w14:paraId="435F99B4">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询价保证金金额及缴纳方式</w:t>
            </w:r>
          </w:p>
        </w:tc>
        <w:tc>
          <w:tcPr>
            <w:tcW w:w="5942" w:type="dxa"/>
            <w:vAlign w:val="center"/>
          </w:tcPr>
          <w:p w14:paraId="42A476C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无。</w:t>
            </w:r>
          </w:p>
        </w:tc>
      </w:tr>
      <w:tr w14:paraId="1C703A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6B8ABE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9</w:t>
            </w:r>
          </w:p>
        </w:tc>
        <w:tc>
          <w:tcPr>
            <w:tcW w:w="2275" w:type="dxa"/>
          </w:tcPr>
          <w:p w14:paraId="69DE2071">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询价有效期</w:t>
            </w:r>
          </w:p>
        </w:tc>
        <w:tc>
          <w:tcPr>
            <w:tcW w:w="5942" w:type="dxa"/>
            <w:vAlign w:val="center"/>
          </w:tcPr>
          <w:p w14:paraId="36D3FDC8">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14:paraId="2EEA2D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0C9232B">
            <w:pPr>
              <w:keepNext w:val="0"/>
              <w:keepLines w:val="0"/>
              <w:pageBreakBefore w:val="0"/>
              <w:kinsoku/>
              <w:wordWrap/>
              <w:overflowPunct/>
              <w:topLinePunct w:val="0"/>
              <w:autoSpaceDE/>
              <w:autoSpaceDN/>
              <w:bidi w:val="0"/>
              <w:spacing w:line="600" w:lineRule="exact"/>
              <w:jc w:val="center"/>
              <w:textAlignment w:val="auto"/>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10</w:t>
            </w:r>
          </w:p>
        </w:tc>
        <w:tc>
          <w:tcPr>
            <w:tcW w:w="2275" w:type="dxa"/>
            <w:vAlign w:val="center"/>
          </w:tcPr>
          <w:p w14:paraId="76A574A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5942" w:type="dxa"/>
            <w:vAlign w:val="center"/>
          </w:tcPr>
          <w:p w14:paraId="69F7C0C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14:paraId="5D353A71">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14:paraId="108B2BD5">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14:paraId="5D948F4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14:paraId="3DDB728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14:paraId="31C926A9">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14:paraId="342EDAF3">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14:paraId="3BFA975E">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）询价文件规定的其他情形：见询价公告或询价响应须知前附表。</w:t>
            </w:r>
          </w:p>
          <w:p w14:paraId="04B01FE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、响应人在询价活动中有下列行为之一的，应视情节轻重，暂停或取消其参与采购人及东实集团旗下采购项目的资格：</w:t>
            </w:r>
          </w:p>
          <w:p w14:paraId="34B7DCD7">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）响应人之间相互串通、或与采购人、代理机构、评审委员会成员串通询价，损害采购人或者其他响应人的合法权益的；</w:t>
            </w:r>
            <w:r>
              <w:rPr>
                <w:rFonts w:eastAsia="仿宋_GB2312"/>
                <w:color w:val="auto"/>
                <w:sz w:val="32"/>
                <w:szCs w:val="32"/>
                <w:highlight w:val="none"/>
              </w:rPr>
              <w:t xml:space="preserve"> </w:t>
            </w:r>
          </w:p>
          <w:p w14:paraId="516266B7">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）向采购人、代理机构、评审委会成员或其他相关工作人员行贿的；</w:t>
            </w:r>
            <w:r>
              <w:rPr>
                <w:rFonts w:eastAsia="仿宋_GB2312"/>
                <w:color w:val="auto"/>
                <w:sz w:val="32"/>
                <w:szCs w:val="32"/>
                <w:highlight w:val="none"/>
              </w:rPr>
              <w:t xml:space="preserve"> </w:t>
            </w:r>
          </w:p>
          <w:p w14:paraId="77F13417">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）以他人名义询价或以其他方式弄虚作假，骗取成交的；</w:t>
            </w:r>
            <w:r>
              <w:rPr>
                <w:rFonts w:eastAsia="仿宋_GB2312"/>
                <w:color w:val="auto"/>
                <w:sz w:val="32"/>
                <w:szCs w:val="32"/>
                <w:highlight w:val="none"/>
              </w:rPr>
              <w:t xml:space="preserve"> </w:t>
            </w:r>
          </w:p>
          <w:p w14:paraId="233D0C1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14:paraId="12AF5BA5">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）成交人无正当理由不与采购人订立合同，在签订合同时向采购人提出附加条件，或者不按照询价文件要求提交履约担保的；</w:t>
            </w:r>
          </w:p>
          <w:p w14:paraId="685F4735">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14:paraId="40C96F3A">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14:paraId="6838375B">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14:paraId="7301818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、有下列情形之一的，视为响应人串通询价，其响应无效：</w:t>
            </w:r>
          </w:p>
          <w:p w14:paraId="4DC0BC67">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14:paraId="3F8216A0">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14:paraId="5443B61A">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14:paraId="3AFF90B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14:paraId="72D443D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14:paraId="10210B1C">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14:paraId="09AE8193">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、使用通过受让或者租借等方式获取的资格、资质证书响应的，属于以他人名义询价，其响应无效：</w:t>
            </w:r>
          </w:p>
          <w:p w14:paraId="5C26AFCC">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14:paraId="4EEF1C8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14:paraId="39265FEB">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14:paraId="79E989A9">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14:paraId="0A46AADF">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14:paraId="2E964999">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14:paraId="2DA23624">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r>
              <w:rPr>
                <w:rFonts w:eastAsia="仿宋_GB2312"/>
                <w:color w:val="auto"/>
                <w:sz w:val="32"/>
                <w:szCs w:val="32"/>
                <w:highlight w:val="none"/>
              </w:rPr>
              <w:t xml:space="preserve"> </w:t>
            </w:r>
          </w:p>
          <w:p w14:paraId="04A1BBEE">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（一）是其主要负责人的近亲属的；</w:t>
            </w:r>
          </w:p>
          <w:p w14:paraId="654F645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（二）询价活动前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年内与其存在劳动关系，担任其董事、监事，是其控股股东或实际控制人，或存在其他经济利益关系，可能影响询价活动公平公正的；</w:t>
            </w:r>
          </w:p>
          <w:p w14:paraId="6345E699">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（三）其他可能影响询价活动公平、公正进行的关系。</w:t>
            </w:r>
          </w:p>
        </w:tc>
      </w:tr>
      <w:tr w14:paraId="0B7B76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D078A74">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p>
        </w:tc>
        <w:tc>
          <w:tcPr>
            <w:tcW w:w="2275" w:type="dxa"/>
            <w:vAlign w:val="center"/>
          </w:tcPr>
          <w:p w14:paraId="7E2D15D8">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w:t>
            </w:r>
          </w:p>
        </w:tc>
        <w:tc>
          <w:tcPr>
            <w:tcW w:w="5942" w:type="dxa"/>
            <w:vAlign w:val="center"/>
          </w:tcPr>
          <w:p w14:paraId="5238383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p>
        </w:tc>
      </w:tr>
    </w:tbl>
    <w:p w14:paraId="3019830A">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sectPr>
          <w:pgSz w:w="11907" w:h="16840"/>
          <w:pgMar w:top="1531" w:right="1588" w:bottom="1418" w:left="1418" w:header="851" w:footer="1191" w:gutter="0"/>
          <w:pgNumType w:fmt="decimal"/>
          <w:cols w:space="720" w:num="1"/>
          <w:docGrid w:type="linesAndChars" w:linePitch="332" w:charSpace="0"/>
        </w:sectPr>
      </w:pPr>
    </w:p>
    <w:p w14:paraId="137F0F45">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eastAsia" w:ascii="Times New Roman" w:hAnsi="Times New Roman" w:eastAsia="黑体" w:cs="Times New Roman"/>
          <w:color w:val="auto"/>
          <w:sz w:val="28"/>
          <w:szCs w:val="44"/>
          <w:highlight w:val="none"/>
          <w:lang w:val="en-US" w:eastAsia="zh-CN"/>
        </w:rPr>
      </w:pPr>
      <w:bookmarkStart w:id="1" w:name="_Hlk524442005"/>
      <w:r>
        <w:rPr>
          <w:rFonts w:hint="eastAsia" w:ascii="Times New Roman" w:hAnsi="Times New Roman" w:eastAsia="黑体" w:cs="Times New Roman"/>
          <w:color w:val="auto"/>
          <w:sz w:val="28"/>
          <w:szCs w:val="44"/>
          <w:highlight w:val="none"/>
          <w:lang w:val="en-US" w:eastAsia="zh-CN"/>
        </w:rPr>
        <w:t>附件二报价函</w:t>
      </w:r>
    </w:p>
    <w:p w14:paraId="4B5E4CD1">
      <w:pPr>
        <w:keepNext w:val="0"/>
        <w:keepLines w:val="0"/>
        <w:pageBreakBefore w:val="0"/>
        <w:kinsoku/>
        <w:wordWrap/>
        <w:overflowPunct/>
        <w:topLinePunct w:val="0"/>
        <w:autoSpaceDE/>
        <w:autoSpaceDN/>
        <w:bidi w:val="0"/>
        <w:spacing w:beforeLines="0" w:afterLines="0" w:line="600" w:lineRule="exact"/>
        <w:jc w:val="center"/>
        <w:textAlignment w:val="auto"/>
        <w:rPr>
          <w:rFonts w:hint="eastAsia"/>
          <w:color w:val="auto"/>
          <w:sz w:val="44"/>
          <w:szCs w:val="44"/>
          <w:highlight w:val="none"/>
        </w:rPr>
      </w:pPr>
      <w:r>
        <w:rPr>
          <w:rFonts w:hint="eastAsia" w:eastAsia="华文中宋"/>
          <w:color w:val="auto"/>
          <w:sz w:val="44"/>
          <w:szCs w:val="44"/>
          <w:highlight w:val="none"/>
        </w:rPr>
        <w:t>报价函</w:t>
      </w:r>
    </w:p>
    <w:p w14:paraId="05F1F7EF">
      <w:pPr>
        <w:keepNext w:val="0"/>
        <w:keepLines w:val="0"/>
        <w:pageBreakBefore w:val="0"/>
        <w:kinsoku/>
        <w:wordWrap/>
        <w:overflowPunct/>
        <w:topLinePunct w:val="0"/>
        <w:autoSpaceDE/>
        <w:autoSpaceDN/>
        <w:bidi w:val="0"/>
        <w:spacing w:beforeLines="0" w:afterLines="0" w:line="600" w:lineRule="exact"/>
        <w:ind w:firstLine="560"/>
        <w:jc w:val="center"/>
        <w:textAlignment w:val="auto"/>
        <w:rPr>
          <w:rFonts w:hint="eastAsia"/>
          <w:color w:val="auto"/>
          <w:sz w:val="32"/>
          <w:szCs w:val="32"/>
          <w:highlight w:val="none"/>
        </w:rPr>
      </w:pPr>
    </w:p>
    <w:p w14:paraId="677C2CCA">
      <w:pPr>
        <w:keepNext w:val="0"/>
        <w:keepLines w:val="0"/>
        <w:pageBreakBefore w:val="0"/>
        <w:kinsoku/>
        <w:wordWrap/>
        <w:overflowPunct/>
        <w:topLinePunct w:val="0"/>
        <w:autoSpaceDE/>
        <w:autoSpaceDN/>
        <w:bidi w:val="0"/>
        <w:spacing w:beforeLines="0" w:afterLines="0" w:line="600" w:lineRule="exact"/>
        <w:textAlignment w:val="auto"/>
        <w:rPr>
          <w:rFonts w:hint="eastAsia"/>
          <w:color w:val="auto"/>
          <w:sz w:val="32"/>
          <w:szCs w:val="32"/>
          <w:highlight w:val="none"/>
        </w:rPr>
      </w:pPr>
      <w:r>
        <w:rPr>
          <w:rFonts w:hint="eastAsia" w:eastAsia="仿宋_GB2312"/>
          <w:color w:val="auto"/>
          <w:sz w:val="32"/>
          <w:szCs w:val="32"/>
          <w:highlight w:val="none"/>
          <w:u w:val="single"/>
          <w:lang w:val="en-US" w:eastAsia="zh-CN"/>
        </w:rPr>
        <w:t>东莞市新有能源投资有限公司</w:t>
      </w:r>
      <w:r>
        <w:rPr>
          <w:rFonts w:hint="eastAsia" w:eastAsia="仿宋_GB2312"/>
          <w:color w:val="auto"/>
          <w:sz w:val="32"/>
          <w:szCs w:val="32"/>
          <w:highlight w:val="none"/>
        </w:rPr>
        <w:t>：</w:t>
      </w:r>
    </w:p>
    <w:p w14:paraId="28A029C2">
      <w:pPr>
        <w:keepNext w:val="0"/>
        <w:keepLines w:val="0"/>
        <w:pageBreakBefore w:val="0"/>
        <w:kinsoku/>
        <w:wordWrap/>
        <w:overflowPunct/>
        <w:topLinePunct w:val="0"/>
        <w:autoSpaceDE/>
        <w:autoSpaceDN/>
        <w:bidi w:val="0"/>
        <w:spacing w:beforeLines="0" w:afterLines="0" w:line="600" w:lineRule="exact"/>
        <w:ind w:firstLine="640" w:firstLineChars="200"/>
        <w:textAlignment w:val="auto"/>
        <w:rPr>
          <w:rFonts w:hint="eastAsia"/>
          <w:color w:val="auto"/>
          <w:sz w:val="32"/>
          <w:szCs w:val="32"/>
          <w:highlight w:val="none"/>
        </w:rPr>
      </w:pPr>
      <w:r>
        <w:rPr>
          <w:rFonts w:hint="eastAsia" w:eastAsia="仿宋_GB2312"/>
          <w:color w:val="auto"/>
          <w:sz w:val="32"/>
          <w:szCs w:val="32"/>
          <w:highlight w:val="none"/>
        </w:rPr>
        <w:t>针对贵司</w:t>
      </w:r>
      <w:r>
        <w:rPr>
          <w:rFonts w:hint="eastAsia"/>
          <w:color w:val="auto"/>
          <w:sz w:val="32"/>
          <w:szCs w:val="32"/>
          <w:highlight w:val="none"/>
          <w:u w:val="single"/>
        </w:rPr>
        <w:t xml:space="preserve">               </w:t>
      </w:r>
      <w:r>
        <w:rPr>
          <w:rFonts w:hint="eastAsia" w:eastAsia="仿宋_GB2312"/>
          <w:color w:val="auto"/>
          <w:sz w:val="32"/>
          <w:szCs w:val="32"/>
          <w:highlight w:val="none"/>
        </w:rPr>
        <w:t>项目，我司愿意</w:t>
      </w:r>
      <w:r>
        <w:rPr>
          <w:rFonts w:hint="eastAsia" w:eastAsia="仿宋_GB2312"/>
          <w:color w:val="auto"/>
          <w:sz w:val="32"/>
          <w:szCs w:val="32"/>
          <w:highlight w:val="none"/>
          <w:u w:val="none"/>
          <w:lang w:eastAsia="zh-CN"/>
        </w:rPr>
        <w:t>以含税</w:t>
      </w:r>
      <w:r>
        <w:rPr>
          <w:rFonts w:hint="eastAsia" w:eastAsia="仿宋_GB2312"/>
          <w:color w:val="auto"/>
          <w:sz w:val="32"/>
          <w:szCs w:val="32"/>
          <w:highlight w:val="none"/>
          <w:u w:val="none"/>
          <w:lang w:val="en-US" w:eastAsia="zh-CN"/>
        </w:rPr>
        <w:t>总</w:t>
      </w:r>
      <w:r>
        <w:rPr>
          <w:rFonts w:hint="eastAsia" w:eastAsia="仿宋_GB2312"/>
          <w:color w:val="auto"/>
          <w:sz w:val="32"/>
          <w:szCs w:val="32"/>
          <w:highlight w:val="none"/>
          <w:u w:val="none"/>
          <w:lang w:eastAsia="zh-CN"/>
        </w:rPr>
        <w:t>价人民币</w:t>
      </w:r>
      <w:r>
        <w:rPr>
          <w:rFonts w:hint="eastAsia"/>
          <w:color w:val="auto"/>
          <w:sz w:val="32"/>
          <w:szCs w:val="32"/>
          <w:highlight w:val="none"/>
          <w:u w:val="single"/>
        </w:rPr>
        <w:t>xxxx</w:t>
      </w:r>
      <w:r>
        <w:rPr>
          <w:rFonts w:hint="eastAsia" w:eastAsia="仿宋_GB2312"/>
          <w:color w:val="auto"/>
          <w:sz w:val="32"/>
          <w:szCs w:val="32"/>
          <w:highlight w:val="none"/>
          <w:u w:val="single"/>
        </w:rPr>
        <w:t>元（大写），</w:t>
      </w:r>
      <w:r>
        <w:rPr>
          <w:rFonts w:hint="eastAsia"/>
          <w:color w:val="auto"/>
          <w:sz w:val="32"/>
          <w:szCs w:val="32"/>
          <w:highlight w:val="none"/>
          <w:u w:val="single"/>
        </w:rPr>
        <w:t>¥xxx.00</w:t>
      </w:r>
      <w:r>
        <w:rPr>
          <w:rFonts w:hint="eastAsia" w:eastAsia="仿宋_GB2312"/>
          <w:color w:val="auto"/>
          <w:sz w:val="32"/>
          <w:szCs w:val="32"/>
          <w:highlight w:val="none"/>
          <w:u w:val="single"/>
        </w:rPr>
        <w:t>（小写）</w:t>
      </w:r>
      <w:r>
        <w:rPr>
          <w:rFonts w:hint="eastAsia" w:eastAsia="仿宋_GB2312"/>
          <w:color w:val="auto"/>
          <w:sz w:val="32"/>
          <w:szCs w:val="32"/>
          <w:highlight w:val="none"/>
        </w:rPr>
        <w:t>承接此项目。</w:t>
      </w:r>
    </w:p>
    <w:p w14:paraId="59E3C57F">
      <w:pPr>
        <w:keepNext w:val="0"/>
        <w:keepLines w:val="0"/>
        <w:pageBreakBefore w:val="0"/>
        <w:kinsoku/>
        <w:wordWrap/>
        <w:overflowPunct/>
        <w:topLinePunct w:val="0"/>
        <w:autoSpaceDE/>
        <w:autoSpaceDN/>
        <w:bidi w:val="0"/>
        <w:spacing w:beforeLines="0" w:afterLines="0" w:line="600" w:lineRule="exact"/>
        <w:textAlignment w:val="auto"/>
        <w:rPr>
          <w:rFonts w:hint="eastAsia"/>
          <w:color w:val="auto"/>
          <w:sz w:val="32"/>
          <w:szCs w:val="32"/>
          <w:highlight w:val="none"/>
        </w:rPr>
      </w:pPr>
    </w:p>
    <w:p w14:paraId="0AA1BE99">
      <w:pPr>
        <w:keepNext w:val="0"/>
        <w:keepLines w:val="0"/>
        <w:pageBreakBefore w:val="0"/>
        <w:kinsoku/>
        <w:wordWrap/>
        <w:overflowPunct/>
        <w:topLinePunct w:val="0"/>
        <w:autoSpaceDE/>
        <w:autoSpaceDN/>
        <w:bidi w:val="0"/>
        <w:spacing w:beforeLines="0" w:afterLines="0" w:line="600" w:lineRule="exact"/>
        <w:textAlignment w:val="auto"/>
        <w:rPr>
          <w:rFonts w:hint="eastAsia"/>
          <w:color w:val="auto"/>
          <w:sz w:val="32"/>
          <w:szCs w:val="32"/>
          <w:highlight w:val="none"/>
        </w:rPr>
      </w:pPr>
    </w:p>
    <w:p w14:paraId="5889B1D8">
      <w:pPr>
        <w:keepNext w:val="0"/>
        <w:keepLines w:val="0"/>
        <w:pageBreakBefore w:val="0"/>
        <w:kinsoku/>
        <w:wordWrap/>
        <w:overflowPunct/>
        <w:topLinePunct w:val="0"/>
        <w:autoSpaceDE/>
        <w:autoSpaceDN/>
        <w:bidi w:val="0"/>
        <w:spacing w:beforeLines="0" w:afterLines="0" w:line="600" w:lineRule="exact"/>
        <w:textAlignment w:val="auto"/>
        <w:rPr>
          <w:rFonts w:hint="eastAsia"/>
          <w:color w:val="auto"/>
          <w:sz w:val="32"/>
          <w:szCs w:val="32"/>
          <w:highlight w:val="none"/>
        </w:rPr>
      </w:pPr>
    </w:p>
    <w:p w14:paraId="5B41B16B">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响应人名称（加盖公章）：</w:t>
      </w:r>
    </w:p>
    <w:p w14:paraId="40F066C8">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法定代表人（签名或盖章）：</w:t>
      </w:r>
    </w:p>
    <w:p w14:paraId="08EACDD1">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联系人：</w:t>
      </w:r>
    </w:p>
    <w:p w14:paraId="5EF1208B">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联系电话：</w:t>
      </w:r>
    </w:p>
    <w:p w14:paraId="3BD097B2">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日期：</w:t>
      </w:r>
    </w:p>
    <w:p w14:paraId="15ED7A5C">
      <w:pPr>
        <w:keepNext w:val="0"/>
        <w:keepLines w:val="0"/>
        <w:pageBreakBefore w:val="0"/>
        <w:kinsoku/>
        <w:wordWrap/>
        <w:overflowPunct/>
        <w:topLinePunct w:val="0"/>
        <w:autoSpaceDE/>
        <w:autoSpaceDN/>
        <w:bidi w:val="0"/>
        <w:spacing w:beforeLines="0" w:afterLines="0" w:line="600" w:lineRule="exact"/>
        <w:jc w:val="center"/>
        <w:textAlignment w:val="auto"/>
        <w:rPr>
          <w:rFonts w:hint="eastAsia"/>
          <w:color w:val="auto"/>
          <w:sz w:val="32"/>
          <w:szCs w:val="32"/>
          <w:highlight w:val="none"/>
        </w:rPr>
      </w:pPr>
    </w:p>
    <w:p w14:paraId="646E453F">
      <w:pPr>
        <w:keepNext w:val="0"/>
        <w:keepLines w:val="0"/>
        <w:pageBreakBefore w:val="0"/>
        <w:kinsoku/>
        <w:wordWrap/>
        <w:overflowPunct/>
        <w:topLinePunct w:val="0"/>
        <w:autoSpaceDE/>
        <w:autoSpaceDN/>
        <w:bidi w:val="0"/>
        <w:spacing w:beforeLines="0" w:afterLines="0" w:line="600" w:lineRule="exact"/>
        <w:jc w:val="center"/>
        <w:textAlignment w:val="auto"/>
        <w:rPr>
          <w:rFonts w:hint="eastAsia"/>
          <w:color w:val="auto"/>
          <w:sz w:val="32"/>
          <w:szCs w:val="32"/>
          <w:highlight w:val="none"/>
        </w:rPr>
      </w:pPr>
    </w:p>
    <w:p w14:paraId="647BBB03">
      <w:pPr>
        <w:pStyle w:val="38"/>
        <w:keepNext w:val="0"/>
        <w:keepLines w:val="0"/>
        <w:pageBreakBefore w:val="0"/>
        <w:kinsoku/>
        <w:wordWrap/>
        <w:overflowPunct/>
        <w:topLinePunct w:val="0"/>
        <w:autoSpaceDE/>
        <w:autoSpaceDN/>
        <w:bidi w:val="0"/>
        <w:spacing w:line="600" w:lineRule="exact"/>
        <w:ind w:firstLine="0" w:firstLineChars="0"/>
        <w:jc w:val="center"/>
        <w:textAlignment w:val="auto"/>
        <w:outlineLvl w:val="1"/>
        <w:rPr>
          <w:rFonts w:hint="eastAsia" w:ascii="Times New Roman" w:hAnsi="Times New Roman" w:eastAsia="黑体" w:cs="Times New Roman"/>
          <w:color w:val="auto"/>
          <w:sz w:val="28"/>
          <w:szCs w:val="44"/>
          <w:highlight w:val="none"/>
          <w:lang w:val="en-US" w:eastAsia="zh-CN"/>
        </w:rPr>
        <w:sectPr>
          <w:pgSz w:w="11907" w:h="16840"/>
          <w:pgMar w:top="1531" w:right="1588" w:bottom="1418" w:left="1418" w:header="851" w:footer="1191" w:gutter="0"/>
          <w:pgNumType w:fmt="decimal"/>
          <w:cols w:space="720" w:num="1"/>
          <w:docGrid w:type="linesAndChars" w:linePitch="332" w:charSpace="0"/>
        </w:sectPr>
      </w:pPr>
    </w:p>
    <w:p w14:paraId="387E815C">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三</w:t>
      </w:r>
      <w:r>
        <w:rPr>
          <w:rFonts w:hint="eastAsia" w:eastAsia="黑体"/>
          <w:color w:val="auto"/>
          <w:sz w:val="28"/>
          <w:szCs w:val="44"/>
          <w:highlight w:val="none"/>
        </w:rPr>
        <w:t>法人证明</w:t>
      </w:r>
    </w:p>
    <w:p w14:paraId="4BC5AE1D">
      <w:pPr>
        <w:pStyle w:val="38"/>
        <w:keepNext w:val="0"/>
        <w:keepLines w:val="0"/>
        <w:pageBreakBefore w:val="0"/>
        <w:kinsoku/>
        <w:wordWrap/>
        <w:overflowPunct/>
        <w:topLinePunct w:val="0"/>
        <w:autoSpaceDE/>
        <w:autoSpaceDN/>
        <w:bidi w:val="0"/>
        <w:spacing w:line="600" w:lineRule="exact"/>
        <w:ind w:firstLine="0" w:firstLineChars="0"/>
        <w:jc w:val="left"/>
        <w:textAlignment w:val="auto"/>
        <w:rPr>
          <w:rFonts w:eastAsia="黑体"/>
          <w:color w:val="auto"/>
          <w:sz w:val="28"/>
          <w:szCs w:val="44"/>
          <w:highlight w:val="none"/>
        </w:rPr>
      </w:pPr>
    </w:p>
    <w:p w14:paraId="21B467CC">
      <w:pPr>
        <w:keepNext w:val="0"/>
        <w:keepLines w:val="0"/>
        <w:pageBreakBefore w:val="0"/>
        <w:kinsoku/>
        <w:wordWrap/>
        <w:overflowPunct/>
        <w:topLinePunct w:val="0"/>
        <w:autoSpaceDE/>
        <w:autoSpaceDN/>
        <w:bidi w:val="0"/>
        <w:spacing w:line="600" w:lineRule="exact"/>
        <w:jc w:val="center"/>
        <w:textAlignment w:val="auto"/>
        <w:rPr>
          <w:rFonts w:eastAsia="仿宋_GB2312"/>
          <w:b/>
          <w:bCs/>
          <w:color w:val="auto"/>
          <w:sz w:val="32"/>
          <w:szCs w:val="32"/>
          <w:highlight w:val="none"/>
        </w:rPr>
      </w:pPr>
      <w:r>
        <w:rPr>
          <w:rFonts w:hint="eastAsia" w:eastAsia="仿宋_GB2312"/>
          <w:b/>
          <w:bCs/>
          <w:color w:val="auto"/>
          <w:sz w:val="32"/>
          <w:szCs w:val="32"/>
          <w:highlight w:val="none"/>
        </w:rPr>
        <w:t>法定代表人身份证明书及法定代表人身份证复印件</w:t>
      </w:r>
    </w:p>
    <w:p w14:paraId="3967C0CE">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36095202">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东莞市新有能源投资有限公司</w:t>
      </w:r>
      <w:r>
        <w:rPr>
          <w:rFonts w:hint="eastAsia" w:eastAsia="仿宋_GB2312"/>
          <w:color w:val="auto"/>
          <w:sz w:val="32"/>
          <w:szCs w:val="32"/>
          <w:highlight w:val="none"/>
        </w:rPr>
        <w:t>：</w:t>
      </w:r>
    </w:p>
    <w:p w14:paraId="58EC2504">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0"/>
          <w:szCs w:val="30"/>
          <w:highlight w:val="none"/>
        </w:rPr>
      </w:pPr>
      <w:r>
        <w:rPr>
          <w:rFonts w:hint="eastAsia" w:ascii="Times New Roman" w:hAnsi="Times New Roman"/>
          <w:color w:val="auto"/>
          <w:sz w:val="30"/>
          <w:szCs w:val="30"/>
          <w:highlight w:val="none"/>
        </w:rPr>
        <w:t>本证明书声明：注册于（国家名称）的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（响应人名称）在下面签字的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（法定代表人姓名、职务）为本公司的合法代表人（</w:t>
      </w:r>
      <w:r>
        <w:rPr>
          <w:rFonts w:hint="eastAsia" w:ascii="Times New Roman" w:hAnsi="Times New Roman"/>
          <w:b/>
          <w:bCs/>
          <w:color w:val="auto"/>
          <w:sz w:val="30"/>
          <w:szCs w:val="30"/>
          <w:highlight w:val="none"/>
        </w:rPr>
        <w:t>须附法定代表人身份证复印件</w:t>
      </w:r>
      <w:r>
        <w:rPr>
          <w:rFonts w:hint="eastAsia" w:ascii="Times New Roman" w:hAnsi="Times New Roman"/>
          <w:color w:val="auto"/>
          <w:sz w:val="30"/>
          <w:szCs w:val="30"/>
          <w:highlight w:val="none"/>
        </w:rPr>
        <w:t>）。</w:t>
      </w:r>
    </w:p>
    <w:p w14:paraId="777BF844">
      <w:pPr>
        <w:keepNext w:val="0"/>
        <w:keepLines w:val="0"/>
        <w:pageBreakBefore w:val="0"/>
        <w:kinsoku/>
        <w:wordWrap/>
        <w:overflowPunct/>
        <w:topLinePunct w:val="0"/>
        <w:autoSpaceDE/>
        <w:autoSpaceDN/>
        <w:bidi w:val="0"/>
        <w:spacing w:line="600" w:lineRule="exact"/>
        <w:ind w:firstLine="450" w:firstLineChars="150"/>
        <w:textAlignment w:val="auto"/>
        <w:rPr>
          <w:rFonts w:eastAsia="仿宋_GB2312"/>
          <w:color w:val="auto"/>
          <w:sz w:val="30"/>
          <w:szCs w:val="30"/>
          <w:highlight w:val="none"/>
        </w:rPr>
      </w:pPr>
      <w:r>
        <w:rPr>
          <w:rFonts w:hint="eastAsia" w:eastAsia="仿宋_GB2312"/>
          <w:color w:val="auto"/>
          <w:sz w:val="30"/>
          <w:szCs w:val="30"/>
          <w:highlight w:val="none"/>
        </w:rPr>
        <w:t>特此证明</w:t>
      </w:r>
    </w:p>
    <w:p w14:paraId="2D6AEEAA">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38EAA64A">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56C4F7BB">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56AD1629">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rPr>
        <w:t>响应人名称（加盖公章）：</w:t>
      </w:r>
    </w:p>
    <w:p w14:paraId="2DD251E3">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rPr>
        <w:t>响应人地址：</w:t>
      </w:r>
    </w:p>
    <w:p w14:paraId="59D30BF0">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rPr>
        <w:t>法定代表人（签名或盖私章）：</w:t>
      </w:r>
    </w:p>
    <w:p w14:paraId="67024723">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rPr>
        <w:t>职务：</w:t>
      </w:r>
    </w:p>
    <w:p w14:paraId="0FF52A7F">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4709D3F8">
      <w:pPr>
        <w:keepNext w:val="0"/>
        <w:keepLines w:val="0"/>
        <w:pageBreakBefore w:val="0"/>
        <w:widowControl/>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br w:type="page"/>
      </w:r>
      <w:bookmarkStart w:id="2" w:name="_Toc384752807"/>
    </w:p>
    <w:p w14:paraId="686855BD">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eastAsia="黑体"/>
          <w:color w:val="auto"/>
          <w:sz w:val="28"/>
          <w:szCs w:val="44"/>
          <w:highlight w:val="none"/>
        </w:rPr>
      </w:pPr>
      <w:bookmarkStart w:id="3" w:name="_Hlk40704362"/>
      <w:r>
        <w:rPr>
          <w:rFonts w:hint="eastAsia" w:eastAsia="黑体"/>
          <w:color w:val="auto"/>
          <w:sz w:val="28"/>
          <w:szCs w:val="44"/>
          <w:highlight w:val="none"/>
        </w:rPr>
        <w:t>附件</w:t>
      </w:r>
      <w:r>
        <w:rPr>
          <w:rFonts w:hint="eastAsia" w:eastAsia="黑体"/>
          <w:color w:val="auto"/>
          <w:sz w:val="28"/>
          <w:szCs w:val="44"/>
          <w:highlight w:val="none"/>
          <w:lang w:val="en-US" w:eastAsia="zh-CN"/>
        </w:rPr>
        <w:t>四</w:t>
      </w:r>
      <w:r>
        <w:rPr>
          <w:rFonts w:hint="eastAsia" w:eastAsia="黑体"/>
          <w:color w:val="auto"/>
          <w:sz w:val="28"/>
          <w:szCs w:val="44"/>
          <w:highlight w:val="none"/>
        </w:rPr>
        <w:t>法人授权书</w:t>
      </w:r>
    </w:p>
    <w:p w14:paraId="47DF87E5">
      <w:pPr>
        <w:keepNext w:val="0"/>
        <w:keepLines w:val="0"/>
        <w:pageBreakBefore w:val="0"/>
        <w:widowControl/>
        <w:kinsoku/>
        <w:wordWrap/>
        <w:overflowPunct/>
        <w:topLinePunct w:val="0"/>
        <w:autoSpaceDE/>
        <w:autoSpaceDN/>
        <w:bidi w:val="0"/>
        <w:spacing w:line="600" w:lineRule="exact"/>
        <w:jc w:val="center"/>
        <w:textAlignment w:val="auto"/>
        <w:rPr>
          <w:rFonts w:eastAsia="仿宋_GB2312"/>
          <w:b/>
          <w:color w:val="auto"/>
          <w:sz w:val="32"/>
          <w:szCs w:val="32"/>
          <w:highlight w:val="none"/>
        </w:rPr>
      </w:pPr>
    </w:p>
    <w:p w14:paraId="77FBF0AE">
      <w:pPr>
        <w:keepNext w:val="0"/>
        <w:keepLines w:val="0"/>
        <w:pageBreakBefore w:val="0"/>
        <w:widowControl/>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b/>
          <w:color w:val="auto"/>
          <w:sz w:val="32"/>
          <w:szCs w:val="32"/>
          <w:highlight w:val="none"/>
        </w:rPr>
        <w:t>授权委托书</w:t>
      </w:r>
      <w:bookmarkEnd w:id="2"/>
    </w:p>
    <w:p w14:paraId="5207E06E">
      <w:pPr>
        <w:pStyle w:val="37"/>
        <w:keepNext w:val="0"/>
        <w:keepLines w:val="0"/>
        <w:pageBreakBefore w:val="0"/>
        <w:kinsoku/>
        <w:wordWrap/>
        <w:overflowPunct/>
        <w:topLinePunct w:val="0"/>
        <w:autoSpaceDE/>
        <w:autoSpaceDN/>
        <w:bidi w:val="0"/>
        <w:spacing w:line="600" w:lineRule="exact"/>
        <w:ind w:firstLine="0" w:firstLineChars="0"/>
        <w:textAlignment w:val="auto"/>
        <w:rPr>
          <w:rFonts w:ascii="Times New Roman" w:hAnsi="Times New Roman"/>
          <w:color w:val="auto"/>
          <w:sz w:val="32"/>
          <w:szCs w:val="32"/>
          <w:highlight w:val="none"/>
        </w:rPr>
      </w:pPr>
    </w:p>
    <w:p w14:paraId="25EA29E6">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u w:val="single"/>
        </w:rPr>
        <w:t>东莞市新有能源投资有限公司（采购人）</w:t>
      </w:r>
      <w:r>
        <w:rPr>
          <w:rFonts w:hint="eastAsia" w:eastAsia="仿宋_GB2312"/>
          <w:color w:val="auto"/>
          <w:sz w:val="32"/>
          <w:szCs w:val="32"/>
          <w:highlight w:val="none"/>
        </w:rPr>
        <w:t>：</w:t>
      </w:r>
    </w:p>
    <w:p w14:paraId="224D5368">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本委托书声明：在下面签字的</w:t>
      </w:r>
      <w:r>
        <w:rPr>
          <w:rFonts w:hint="eastAsia" w:ascii="Times New Roman" w:hAnsi="Times New Roman"/>
          <w:color w:val="auto"/>
          <w:sz w:val="32"/>
          <w:szCs w:val="32"/>
          <w:highlight w:val="none"/>
          <w:u w:val="single"/>
        </w:rPr>
        <w:t>（填写法定代表人姓名、职务）</w:t>
      </w:r>
      <w:r>
        <w:rPr>
          <w:rFonts w:hint="eastAsia" w:ascii="Times New Roman" w:hAnsi="Times New Roman"/>
          <w:color w:val="auto"/>
          <w:sz w:val="32"/>
          <w:szCs w:val="32"/>
          <w:highlight w:val="none"/>
        </w:rPr>
        <w:t>代表</w:t>
      </w:r>
      <w:r>
        <w:rPr>
          <w:rFonts w:hint="eastAsia" w:ascii="Times New Roman" w:hAnsi="Times New Roman"/>
          <w:color w:val="auto"/>
          <w:sz w:val="32"/>
          <w:szCs w:val="32"/>
          <w:highlight w:val="none"/>
          <w:u w:val="single"/>
        </w:rPr>
        <w:t>（填写响应人名称）</w:t>
      </w:r>
      <w:r>
        <w:rPr>
          <w:rFonts w:hint="eastAsia" w:ascii="Times New Roman" w:hAnsi="Times New Roman"/>
          <w:color w:val="auto"/>
          <w:sz w:val="32"/>
          <w:szCs w:val="32"/>
          <w:highlight w:val="none"/>
        </w:rPr>
        <w:t>委托在下面签字的</w:t>
      </w:r>
      <w:r>
        <w:rPr>
          <w:rFonts w:hint="eastAsia" w:ascii="Times New Roman" w:hAnsi="Times New Roman"/>
          <w:color w:val="auto"/>
          <w:sz w:val="32"/>
          <w:szCs w:val="32"/>
          <w:highlight w:val="none"/>
          <w:u w:val="single"/>
        </w:rPr>
        <w:t>（填写受委托人的姓名、职务）</w:t>
      </w:r>
      <w:r>
        <w:rPr>
          <w:rFonts w:hint="eastAsia" w:ascii="Times New Roman" w:hAnsi="Times New Roman"/>
          <w:color w:val="auto"/>
          <w:sz w:val="32"/>
          <w:szCs w:val="32"/>
          <w:highlight w:val="none"/>
        </w:rPr>
        <w:t>为本公司的合法代表人，就</w:t>
      </w:r>
      <w:r>
        <w:rPr>
          <w:rFonts w:hint="eastAsia"/>
          <w:color w:val="auto"/>
          <w:sz w:val="32"/>
          <w:szCs w:val="32"/>
          <w:highlight w:val="none"/>
          <w:u w:val="single"/>
        </w:rPr>
        <w:t>（填写项目名称）</w:t>
      </w:r>
      <w:r>
        <w:rPr>
          <w:rFonts w:hint="eastAsia"/>
          <w:color w:val="auto"/>
          <w:sz w:val="32"/>
          <w:szCs w:val="32"/>
          <w:highlight w:val="none"/>
        </w:rPr>
        <w:t>项目</w:t>
      </w:r>
      <w:r>
        <w:rPr>
          <w:rFonts w:hint="eastAsia" w:ascii="Times New Roman" w:hAnsi="Times New Roman"/>
          <w:color w:val="auto"/>
          <w:sz w:val="32"/>
          <w:szCs w:val="32"/>
          <w:highlight w:val="none"/>
        </w:rPr>
        <w:t>等相关服务的谈判和合同的执行，以我方的名义处理一切与之有关的事宜（相关身份证复印件须附后）。</w:t>
      </w:r>
    </w:p>
    <w:p w14:paraId="3CDE7703">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p>
    <w:p w14:paraId="5842192A">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本委托书于签字</w:t>
      </w:r>
      <w:r>
        <w:rPr>
          <w:rFonts w:hint="eastAsia" w:ascii="Times New Roman" w:hAnsi="Times New Roman"/>
          <w:color w:val="auto"/>
          <w:sz w:val="32"/>
          <w:szCs w:val="32"/>
          <w:highlight w:val="none"/>
          <w:lang w:val="en-US" w:eastAsia="zh-CN"/>
        </w:rPr>
        <w:t>之日起</w:t>
      </w:r>
      <w:r>
        <w:rPr>
          <w:rFonts w:hint="eastAsia" w:ascii="Times New Roman" w:hAnsi="Times New Roman"/>
          <w:color w:val="auto"/>
          <w:sz w:val="32"/>
          <w:szCs w:val="32"/>
          <w:highlight w:val="none"/>
        </w:rPr>
        <w:t>生效，有效期与询价有效期一致，特此声明。</w:t>
      </w:r>
    </w:p>
    <w:p w14:paraId="311D91E4">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p>
    <w:p w14:paraId="5C232C76">
      <w:pPr>
        <w:pStyle w:val="37"/>
        <w:keepNext w:val="0"/>
        <w:keepLines w:val="0"/>
        <w:pageBreakBefore w:val="0"/>
        <w:kinsoku/>
        <w:wordWrap/>
        <w:overflowPunct/>
        <w:topLinePunct w:val="0"/>
        <w:autoSpaceDE/>
        <w:autoSpaceDN/>
        <w:bidi w:val="0"/>
        <w:spacing w:line="600" w:lineRule="exact"/>
        <w:ind w:right="160"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7138C84">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1A0EF3BD">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D47B5B1">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67F55602">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14:paraId="35F8C5C4">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7E3B221">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bookmarkEnd w:id="3"/>
    <w:p w14:paraId="25B16EA3">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eastAsia="黑体"/>
          <w:color w:val="auto"/>
          <w:sz w:val="28"/>
          <w:szCs w:val="44"/>
          <w:highlight w:val="none"/>
        </w:rPr>
      </w:pPr>
      <w:r>
        <w:rPr>
          <w:color w:val="auto"/>
          <w:sz w:val="32"/>
          <w:szCs w:val="32"/>
          <w:highlight w:val="none"/>
        </w:rPr>
        <w:br w:type="page"/>
      </w:r>
      <w:r>
        <w:rPr>
          <w:rFonts w:hint="eastAsia" w:eastAsia="黑体"/>
          <w:color w:val="auto"/>
          <w:sz w:val="28"/>
          <w:szCs w:val="44"/>
          <w:highlight w:val="none"/>
        </w:rPr>
        <w:t>附件</w:t>
      </w:r>
      <w:r>
        <w:rPr>
          <w:rFonts w:hint="eastAsia" w:eastAsia="黑体"/>
          <w:color w:val="auto"/>
          <w:sz w:val="28"/>
          <w:szCs w:val="44"/>
          <w:highlight w:val="none"/>
          <w:lang w:val="en-US" w:eastAsia="zh-CN"/>
        </w:rPr>
        <w:t>五</w:t>
      </w:r>
      <w:r>
        <w:rPr>
          <w:rFonts w:hint="eastAsia" w:eastAsia="黑体"/>
          <w:color w:val="auto"/>
          <w:sz w:val="28"/>
          <w:szCs w:val="44"/>
          <w:highlight w:val="none"/>
        </w:rPr>
        <w:t>承诺函</w:t>
      </w:r>
    </w:p>
    <w:p w14:paraId="421A967C">
      <w:pPr>
        <w:pStyle w:val="38"/>
        <w:keepNext w:val="0"/>
        <w:keepLines w:val="0"/>
        <w:pageBreakBefore w:val="0"/>
        <w:kinsoku/>
        <w:wordWrap/>
        <w:overflowPunct/>
        <w:topLinePunct w:val="0"/>
        <w:autoSpaceDE/>
        <w:autoSpaceDN/>
        <w:bidi w:val="0"/>
        <w:spacing w:line="600" w:lineRule="exact"/>
        <w:ind w:firstLine="0" w:firstLineChars="0"/>
        <w:jc w:val="center"/>
        <w:textAlignment w:val="auto"/>
        <w:rPr>
          <w:rFonts w:eastAsia="仿宋_GB2312"/>
          <w:b/>
          <w:color w:val="auto"/>
          <w:sz w:val="32"/>
          <w:szCs w:val="32"/>
          <w:highlight w:val="none"/>
        </w:rPr>
      </w:pPr>
      <w:r>
        <w:rPr>
          <w:rFonts w:hint="eastAsia" w:eastAsia="仿宋_GB2312"/>
          <w:b/>
          <w:color w:val="auto"/>
          <w:sz w:val="32"/>
          <w:szCs w:val="32"/>
          <w:highlight w:val="none"/>
        </w:rPr>
        <w:t>承诺函</w:t>
      </w:r>
    </w:p>
    <w:p w14:paraId="07D89B12">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u w:val="single"/>
        </w:rPr>
        <w:t>东莞市新有能源投资有限公司（采购人）</w:t>
      </w:r>
      <w:r>
        <w:rPr>
          <w:rFonts w:hint="eastAsia" w:eastAsia="仿宋_GB2312"/>
          <w:color w:val="auto"/>
          <w:sz w:val="32"/>
          <w:szCs w:val="32"/>
          <w:highlight w:val="none"/>
        </w:rPr>
        <w:t>：</w:t>
      </w:r>
    </w:p>
    <w:p w14:paraId="069B991C">
      <w:pPr>
        <w:pStyle w:val="37"/>
        <w:keepNext w:val="0"/>
        <w:keepLines w:val="0"/>
        <w:pageBreakBefore w:val="0"/>
        <w:kinsoku/>
        <w:wordWrap/>
        <w:overflowPunct/>
        <w:topLinePunct w:val="0"/>
        <w:autoSpaceDE/>
        <w:autoSpaceDN/>
        <w:bidi w:val="0"/>
        <w:spacing w:line="600" w:lineRule="exact"/>
        <w:ind w:firstLine="640" w:firstLineChars="0"/>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我司就参加</w:t>
      </w:r>
      <w:r>
        <w:rPr>
          <w:color w:val="auto"/>
          <w:sz w:val="32"/>
          <w:szCs w:val="32"/>
          <w:highlight w:val="none"/>
          <w:u w:val="single"/>
        </w:rPr>
        <w:t xml:space="preserve">         </w:t>
      </w:r>
      <w:r>
        <w:rPr>
          <w:rFonts w:hint="eastAsia"/>
          <w:color w:val="auto"/>
          <w:sz w:val="32"/>
          <w:szCs w:val="32"/>
          <w:highlight w:val="none"/>
          <w:u w:val="single"/>
        </w:rPr>
        <w:t>（项目名称）</w:t>
      </w:r>
      <w:r>
        <w:rPr>
          <w:rFonts w:hint="eastAsia"/>
          <w:color w:val="auto"/>
          <w:sz w:val="32"/>
          <w:szCs w:val="32"/>
          <w:highlight w:val="none"/>
        </w:rPr>
        <w:t>项目</w:t>
      </w:r>
      <w:r>
        <w:rPr>
          <w:rFonts w:hint="eastAsia" w:ascii="Times New Roman" w:hAnsi="Times New Roman"/>
          <w:color w:val="auto"/>
          <w:sz w:val="32"/>
          <w:szCs w:val="32"/>
          <w:highlight w:val="none"/>
        </w:rPr>
        <w:t>投标工作，作出以下承诺：</w:t>
      </w:r>
    </w:p>
    <w:p w14:paraId="16ADCF90">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我公司已充分了解采购项目情况，本次报价完全响应询价文件的要求，我公司所提供的</w:t>
      </w:r>
      <w:r>
        <w:rPr>
          <w:color w:val="auto"/>
          <w:sz w:val="32"/>
          <w:szCs w:val="32"/>
          <w:highlight w:val="none"/>
          <w:u w:val="single"/>
        </w:rPr>
        <w:t xml:space="preserve">      </w:t>
      </w:r>
      <w:r>
        <w:rPr>
          <w:rFonts w:hint="eastAsia"/>
          <w:color w:val="auto"/>
          <w:sz w:val="32"/>
          <w:szCs w:val="32"/>
          <w:highlight w:val="none"/>
          <w:u w:val="single"/>
        </w:rPr>
        <w:t>（服务内容）</w:t>
      </w:r>
      <w:r>
        <w:rPr>
          <w:rFonts w:hint="eastAsia" w:ascii="Times New Roman" w:hAnsi="Times New Roman"/>
          <w:color w:val="auto"/>
          <w:sz w:val="32"/>
          <w:szCs w:val="32"/>
          <w:highlight w:val="none"/>
        </w:rPr>
        <w:t>等于或优于采购人需求，并承诺如不满足采购人需求，采购人有权取消合同并进行违约处罚。</w:t>
      </w:r>
    </w:p>
    <w:p w14:paraId="563849C0">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p>
    <w:p w14:paraId="6CE7E7BB">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p>
    <w:p w14:paraId="3FCBBD06">
      <w:pPr>
        <w:keepNext w:val="0"/>
        <w:keepLines w:val="0"/>
        <w:pageBreakBefore w:val="0"/>
        <w:kinsoku/>
        <w:wordWrap/>
        <w:overflowPunct/>
        <w:topLinePunct w:val="0"/>
        <w:autoSpaceDE/>
        <w:autoSpaceDN/>
        <w:bidi w:val="0"/>
        <w:spacing w:line="600" w:lineRule="exact"/>
        <w:jc w:val="left"/>
        <w:textAlignment w:val="auto"/>
        <w:rPr>
          <w:rFonts w:eastAsia="仿宋"/>
          <w:color w:val="auto"/>
          <w:sz w:val="32"/>
          <w:szCs w:val="32"/>
          <w:highlight w:val="none"/>
        </w:rPr>
      </w:pPr>
    </w:p>
    <w:p w14:paraId="25239E35">
      <w:pPr>
        <w:keepNext w:val="0"/>
        <w:keepLines w:val="0"/>
        <w:pageBreakBefore w:val="0"/>
        <w:kinsoku/>
        <w:wordWrap/>
        <w:overflowPunct/>
        <w:topLinePunct w:val="0"/>
        <w:autoSpaceDE/>
        <w:autoSpaceDN/>
        <w:bidi w:val="0"/>
        <w:spacing w:line="600" w:lineRule="exact"/>
        <w:jc w:val="left"/>
        <w:textAlignment w:val="auto"/>
        <w:rPr>
          <w:rFonts w:eastAsia="仿宋"/>
          <w:color w:val="auto"/>
          <w:sz w:val="32"/>
          <w:szCs w:val="32"/>
          <w:highlight w:val="none"/>
        </w:rPr>
      </w:pPr>
    </w:p>
    <w:p w14:paraId="6660CD07">
      <w:pPr>
        <w:keepNext w:val="0"/>
        <w:keepLines w:val="0"/>
        <w:pageBreakBefore w:val="0"/>
        <w:kinsoku/>
        <w:wordWrap/>
        <w:overflowPunct/>
        <w:topLinePunct w:val="0"/>
        <w:autoSpaceDE/>
        <w:autoSpaceDN/>
        <w:bidi w:val="0"/>
        <w:spacing w:line="600" w:lineRule="exact"/>
        <w:jc w:val="left"/>
        <w:textAlignment w:val="auto"/>
        <w:rPr>
          <w:rFonts w:eastAsia="仿宋"/>
          <w:color w:val="auto"/>
          <w:sz w:val="32"/>
          <w:szCs w:val="32"/>
          <w:highlight w:val="none"/>
        </w:rPr>
      </w:pPr>
    </w:p>
    <w:p w14:paraId="2DBF37DE">
      <w:pPr>
        <w:pStyle w:val="37"/>
        <w:keepNext w:val="0"/>
        <w:keepLines w:val="0"/>
        <w:pageBreakBefore w:val="0"/>
        <w:kinsoku/>
        <w:wordWrap/>
        <w:overflowPunct/>
        <w:topLinePunct w:val="0"/>
        <w:autoSpaceDE/>
        <w:autoSpaceDN/>
        <w:bidi w:val="0"/>
        <w:spacing w:line="600" w:lineRule="exact"/>
        <w:ind w:right="160"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CA83D75">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74D3646A">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4A4EED8">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22113E1">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p w14:paraId="18044C43">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p>
    <w:p w14:paraId="7B764E6C">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p>
    <w:bookmarkEnd w:id="1"/>
    <w:p w14:paraId="5A6BA15B">
      <w:pPr>
        <w:keepNext w:val="0"/>
        <w:keepLines w:val="0"/>
        <w:pageBreakBefore w:val="0"/>
        <w:widowControl/>
        <w:kinsoku/>
        <w:wordWrap/>
        <w:overflowPunct/>
        <w:topLinePunct w:val="0"/>
        <w:autoSpaceDE/>
        <w:autoSpaceDN/>
        <w:bidi w:val="0"/>
        <w:spacing w:line="600" w:lineRule="exact"/>
        <w:jc w:val="left"/>
        <w:textAlignment w:val="auto"/>
        <w:rPr>
          <w:rFonts w:hint="eastAsia" w:eastAsia="黑体"/>
          <w:color w:val="auto"/>
          <w:sz w:val="28"/>
          <w:szCs w:val="44"/>
          <w:highlight w:val="none"/>
        </w:rPr>
      </w:pPr>
    </w:p>
    <w:sectPr>
      <w:pgSz w:w="11907" w:h="16840"/>
      <w:pgMar w:top="1531" w:right="1588" w:bottom="1418" w:left="1418" w:header="851"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6B090">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B4AD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EB4AD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FB0B4">
    <w:pPr>
      <w:pStyle w:val="14"/>
      <w:pBdr>
        <w:bottom w:val="single" w:color="auto" w:sz="6" w:space="0"/>
      </w:pBdr>
      <w:tabs>
        <w:tab w:val="center" w:pos="0"/>
        <w:tab w:val="right" w:pos="8080"/>
        <w:tab w:val="clear" w:pos="4153"/>
        <w:tab w:val="clear" w:pos="8306"/>
      </w:tabs>
      <w:jc w:val="left"/>
      <w:rPr>
        <w:rFonts w:hint="eastAsia"/>
        <w:sz w:val="21"/>
        <w:szCs w:val="21"/>
      </w:rPr>
    </w:pPr>
    <w:r>
      <w:rPr>
        <w:sz w:val="21"/>
        <w:szCs w:val="21"/>
      </w:rPr>
      <w:drawing>
        <wp:inline distT="0" distB="0" distL="114300" distR="114300">
          <wp:extent cx="1370965" cy="546100"/>
          <wp:effectExtent l="0" t="0" r="635" b="6350"/>
          <wp:docPr id="3" name="图片 3"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
                  <pic:cNvPicPr>
                    <a:picLocks noChangeAspect="1"/>
                  </pic:cNvPicPr>
                </pic:nvPicPr>
                <pic:blipFill>
                  <a:blip r:embed="rId1"/>
                  <a:stretch>
                    <a:fillRect/>
                  </a:stretch>
                </pic:blipFill>
                <pic:spPr>
                  <a:xfrm>
                    <a:off x="0" y="0"/>
                    <a:ext cx="1370965" cy="546100"/>
                  </a:xfrm>
                  <a:prstGeom prst="rect">
                    <a:avLst/>
                  </a:prstGeom>
                </pic:spPr>
              </pic:pic>
            </a:graphicData>
          </a:graphic>
        </wp:inline>
      </w:drawing>
    </w:r>
    <w:r>
      <w:rPr>
        <w:sz w:val="21"/>
        <w:szCs w:val="21"/>
      </w:rPr>
      <w:t xml:space="preserve">  </w:t>
    </w:r>
    <w:r>
      <w:t xml:space="preserve">                 </w:t>
    </w:r>
    <w:r>
      <w:rPr>
        <w:rFonts w:hint="eastAsia"/>
        <w:lang w:val="en-US" w:eastAsia="zh-CN"/>
      </w:rPr>
      <w:t xml:space="preserve">   </w:t>
    </w:r>
    <w:r>
      <w:t xml:space="preserve">                </w:t>
    </w:r>
    <w:r>
      <w:rPr>
        <w:rFonts w:hint="eastAsia"/>
        <w:lang w:val="en-US" w:eastAsia="zh-CN"/>
      </w:rPr>
      <w:t xml:space="preserve"> </w:t>
    </w:r>
    <w:r>
      <w:rPr>
        <w:rFonts w:hint="eastAsia"/>
        <w:sz w:val="21"/>
        <w:szCs w:val="21"/>
        <w:lang w:val="en-US" w:eastAsia="zh-CN"/>
      </w:rPr>
      <w:t>东莞市新有能源投资有限公司</w:t>
    </w:r>
  </w:p>
  <w:p w14:paraId="73F6E95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55"/>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8B40337"/>
    <w:multiLevelType w:val="multilevel"/>
    <w:tmpl w:val="68B40337"/>
    <w:lvl w:ilvl="0" w:tentative="0">
      <w:start w:val="1"/>
      <w:numFmt w:val="japaneseCounting"/>
      <w:pStyle w:val="46"/>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ZmE1ZTg2YWQyZjkyNDFjNDRlY2FmM2Y3Yzg0ZDMifQ=="/>
  </w:docVars>
  <w:rsids>
    <w:rsidRoot w:val="00172A27"/>
    <w:rsid w:val="00005B73"/>
    <w:rsid w:val="00012BFA"/>
    <w:rsid w:val="00045122"/>
    <w:rsid w:val="000503CE"/>
    <w:rsid w:val="000535B8"/>
    <w:rsid w:val="00055419"/>
    <w:rsid w:val="000616CD"/>
    <w:rsid w:val="00063F50"/>
    <w:rsid w:val="0007421E"/>
    <w:rsid w:val="000742A1"/>
    <w:rsid w:val="00074383"/>
    <w:rsid w:val="00077653"/>
    <w:rsid w:val="000930FE"/>
    <w:rsid w:val="000941B8"/>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635"/>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041FD"/>
    <w:rsid w:val="00E21013"/>
    <w:rsid w:val="00E21941"/>
    <w:rsid w:val="00E30D18"/>
    <w:rsid w:val="00E37D03"/>
    <w:rsid w:val="00E444B2"/>
    <w:rsid w:val="00E50267"/>
    <w:rsid w:val="00E55C56"/>
    <w:rsid w:val="00E570B0"/>
    <w:rsid w:val="00E604F7"/>
    <w:rsid w:val="00E6312A"/>
    <w:rsid w:val="00E65448"/>
    <w:rsid w:val="00E678F0"/>
    <w:rsid w:val="00E719B3"/>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12E5132"/>
    <w:rsid w:val="015679D0"/>
    <w:rsid w:val="01EF572E"/>
    <w:rsid w:val="028F0228"/>
    <w:rsid w:val="035D4211"/>
    <w:rsid w:val="037D5EE3"/>
    <w:rsid w:val="03977E2B"/>
    <w:rsid w:val="043B603D"/>
    <w:rsid w:val="0466617C"/>
    <w:rsid w:val="04CF6E29"/>
    <w:rsid w:val="04DB7DC5"/>
    <w:rsid w:val="04EE1C28"/>
    <w:rsid w:val="05111DAD"/>
    <w:rsid w:val="05251C90"/>
    <w:rsid w:val="05706B86"/>
    <w:rsid w:val="059366CF"/>
    <w:rsid w:val="05A75769"/>
    <w:rsid w:val="05D00163"/>
    <w:rsid w:val="062160BC"/>
    <w:rsid w:val="06F15928"/>
    <w:rsid w:val="07141032"/>
    <w:rsid w:val="076D3A81"/>
    <w:rsid w:val="077C34B8"/>
    <w:rsid w:val="07A209C4"/>
    <w:rsid w:val="080D26DA"/>
    <w:rsid w:val="08284245"/>
    <w:rsid w:val="086F1260"/>
    <w:rsid w:val="0880226D"/>
    <w:rsid w:val="089F2BDE"/>
    <w:rsid w:val="08A736AA"/>
    <w:rsid w:val="08BB2505"/>
    <w:rsid w:val="09087CB8"/>
    <w:rsid w:val="09576473"/>
    <w:rsid w:val="099A07E1"/>
    <w:rsid w:val="0A2C39C3"/>
    <w:rsid w:val="0A4E4C10"/>
    <w:rsid w:val="0A6B14BA"/>
    <w:rsid w:val="0A9B4FED"/>
    <w:rsid w:val="0AA139A3"/>
    <w:rsid w:val="0AE45F21"/>
    <w:rsid w:val="0B0C0A79"/>
    <w:rsid w:val="0B451F6A"/>
    <w:rsid w:val="0BA14D3A"/>
    <w:rsid w:val="0BD754C5"/>
    <w:rsid w:val="0C03179B"/>
    <w:rsid w:val="0C6F4C8D"/>
    <w:rsid w:val="0CC10939"/>
    <w:rsid w:val="0D0E0EB6"/>
    <w:rsid w:val="0DE142CB"/>
    <w:rsid w:val="0DE831C0"/>
    <w:rsid w:val="0FDC1CDC"/>
    <w:rsid w:val="10223C48"/>
    <w:rsid w:val="102E15E5"/>
    <w:rsid w:val="10B375A7"/>
    <w:rsid w:val="111369CA"/>
    <w:rsid w:val="12041B90"/>
    <w:rsid w:val="12475EA9"/>
    <w:rsid w:val="125B758A"/>
    <w:rsid w:val="133360BD"/>
    <w:rsid w:val="137F7471"/>
    <w:rsid w:val="146E4633"/>
    <w:rsid w:val="150412EA"/>
    <w:rsid w:val="16F10B41"/>
    <w:rsid w:val="171438BA"/>
    <w:rsid w:val="17230955"/>
    <w:rsid w:val="17E01706"/>
    <w:rsid w:val="180F5427"/>
    <w:rsid w:val="181B25FB"/>
    <w:rsid w:val="182770BA"/>
    <w:rsid w:val="18863017"/>
    <w:rsid w:val="18AC6D73"/>
    <w:rsid w:val="1934019F"/>
    <w:rsid w:val="1B4716B4"/>
    <w:rsid w:val="1BEE7E74"/>
    <w:rsid w:val="1C08419D"/>
    <w:rsid w:val="1C37313F"/>
    <w:rsid w:val="1C3861FC"/>
    <w:rsid w:val="1C9D3870"/>
    <w:rsid w:val="1D054FE4"/>
    <w:rsid w:val="1D383404"/>
    <w:rsid w:val="1D4D5FFD"/>
    <w:rsid w:val="1D4E5780"/>
    <w:rsid w:val="1D50131F"/>
    <w:rsid w:val="1DC45C85"/>
    <w:rsid w:val="1E4051F4"/>
    <w:rsid w:val="1E5258C9"/>
    <w:rsid w:val="1EB43554"/>
    <w:rsid w:val="1F7A0970"/>
    <w:rsid w:val="1FD95828"/>
    <w:rsid w:val="202C09AE"/>
    <w:rsid w:val="202C63A1"/>
    <w:rsid w:val="209E2C67"/>
    <w:rsid w:val="20CA4F16"/>
    <w:rsid w:val="20F57CB3"/>
    <w:rsid w:val="21581D11"/>
    <w:rsid w:val="216F32CA"/>
    <w:rsid w:val="22124112"/>
    <w:rsid w:val="22596EC8"/>
    <w:rsid w:val="225C19C8"/>
    <w:rsid w:val="23F57352"/>
    <w:rsid w:val="248875F1"/>
    <w:rsid w:val="249A7996"/>
    <w:rsid w:val="25621970"/>
    <w:rsid w:val="256C0CC0"/>
    <w:rsid w:val="257E4F2C"/>
    <w:rsid w:val="261C543B"/>
    <w:rsid w:val="267E2359"/>
    <w:rsid w:val="26BC7CBC"/>
    <w:rsid w:val="26CB475A"/>
    <w:rsid w:val="27280C17"/>
    <w:rsid w:val="274350D6"/>
    <w:rsid w:val="27447ED5"/>
    <w:rsid w:val="275F3A77"/>
    <w:rsid w:val="27B81A2E"/>
    <w:rsid w:val="283C06AA"/>
    <w:rsid w:val="284F0253"/>
    <w:rsid w:val="28644870"/>
    <w:rsid w:val="28E14F1E"/>
    <w:rsid w:val="29227032"/>
    <w:rsid w:val="299B73FF"/>
    <w:rsid w:val="299E6CB2"/>
    <w:rsid w:val="2A5E6D82"/>
    <w:rsid w:val="2AC5216B"/>
    <w:rsid w:val="2AE949DF"/>
    <w:rsid w:val="2AF92FF6"/>
    <w:rsid w:val="2B2C3F7A"/>
    <w:rsid w:val="2B3B474B"/>
    <w:rsid w:val="2B8D044E"/>
    <w:rsid w:val="2B8E43CA"/>
    <w:rsid w:val="2BA907F5"/>
    <w:rsid w:val="2BB72A6D"/>
    <w:rsid w:val="2C016BB8"/>
    <w:rsid w:val="2D77461B"/>
    <w:rsid w:val="2E015014"/>
    <w:rsid w:val="2E082871"/>
    <w:rsid w:val="2E1755C1"/>
    <w:rsid w:val="2E400C5F"/>
    <w:rsid w:val="2E5209E3"/>
    <w:rsid w:val="2EB01AFE"/>
    <w:rsid w:val="2F02606D"/>
    <w:rsid w:val="2F2F49CA"/>
    <w:rsid w:val="30270A26"/>
    <w:rsid w:val="30592C7B"/>
    <w:rsid w:val="30D1119A"/>
    <w:rsid w:val="30F12F4C"/>
    <w:rsid w:val="3112402E"/>
    <w:rsid w:val="311D3475"/>
    <w:rsid w:val="313D3E38"/>
    <w:rsid w:val="31A83080"/>
    <w:rsid w:val="32377826"/>
    <w:rsid w:val="32611BF0"/>
    <w:rsid w:val="330130BE"/>
    <w:rsid w:val="3304376F"/>
    <w:rsid w:val="33A83294"/>
    <w:rsid w:val="34011E26"/>
    <w:rsid w:val="341B4D23"/>
    <w:rsid w:val="345C5D91"/>
    <w:rsid w:val="353631BC"/>
    <w:rsid w:val="35613714"/>
    <w:rsid w:val="358C4411"/>
    <w:rsid w:val="369C54A6"/>
    <w:rsid w:val="36A81FB2"/>
    <w:rsid w:val="3722158D"/>
    <w:rsid w:val="375E09FC"/>
    <w:rsid w:val="38525FA9"/>
    <w:rsid w:val="39003F1D"/>
    <w:rsid w:val="39276876"/>
    <w:rsid w:val="392B2930"/>
    <w:rsid w:val="39631058"/>
    <w:rsid w:val="3AB56764"/>
    <w:rsid w:val="3AC853CC"/>
    <w:rsid w:val="3B66136D"/>
    <w:rsid w:val="3BC86DA9"/>
    <w:rsid w:val="3C0F50AF"/>
    <w:rsid w:val="3C573A8F"/>
    <w:rsid w:val="3C582CD8"/>
    <w:rsid w:val="3CED228F"/>
    <w:rsid w:val="3E094E14"/>
    <w:rsid w:val="3E2546CD"/>
    <w:rsid w:val="3E5874B7"/>
    <w:rsid w:val="3ECD74FA"/>
    <w:rsid w:val="3ECE5031"/>
    <w:rsid w:val="3FF974DA"/>
    <w:rsid w:val="40531C58"/>
    <w:rsid w:val="41192D98"/>
    <w:rsid w:val="413B5CBF"/>
    <w:rsid w:val="413E5CD9"/>
    <w:rsid w:val="419C2FB9"/>
    <w:rsid w:val="41D56552"/>
    <w:rsid w:val="41E33C60"/>
    <w:rsid w:val="41FB02D5"/>
    <w:rsid w:val="43395CEF"/>
    <w:rsid w:val="43425F9D"/>
    <w:rsid w:val="43AA444C"/>
    <w:rsid w:val="43CB064B"/>
    <w:rsid w:val="43F465D0"/>
    <w:rsid w:val="442A053D"/>
    <w:rsid w:val="44440739"/>
    <w:rsid w:val="446F65B8"/>
    <w:rsid w:val="448203B1"/>
    <w:rsid w:val="44AA717A"/>
    <w:rsid w:val="44D0671E"/>
    <w:rsid w:val="44F057A6"/>
    <w:rsid w:val="45570F85"/>
    <w:rsid w:val="45A95346"/>
    <w:rsid w:val="45B87643"/>
    <w:rsid w:val="45C604CB"/>
    <w:rsid w:val="46416F41"/>
    <w:rsid w:val="467D6748"/>
    <w:rsid w:val="46C4203A"/>
    <w:rsid w:val="470E29AE"/>
    <w:rsid w:val="47997333"/>
    <w:rsid w:val="49CB0CCD"/>
    <w:rsid w:val="4A9A1CA8"/>
    <w:rsid w:val="4A9A6ECC"/>
    <w:rsid w:val="4AA610D6"/>
    <w:rsid w:val="4AD618B2"/>
    <w:rsid w:val="4B0C055A"/>
    <w:rsid w:val="4C1B7A56"/>
    <w:rsid w:val="4C610D2E"/>
    <w:rsid w:val="4C7916DF"/>
    <w:rsid w:val="4C8B4A7C"/>
    <w:rsid w:val="4CCD4E46"/>
    <w:rsid w:val="4CFC368B"/>
    <w:rsid w:val="4D583754"/>
    <w:rsid w:val="4E7D412D"/>
    <w:rsid w:val="4EBE4481"/>
    <w:rsid w:val="4F086AAF"/>
    <w:rsid w:val="4FC93872"/>
    <w:rsid w:val="502F619C"/>
    <w:rsid w:val="5069668A"/>
    <w:rsid w:val="50A83CB2"/>
    <w:rsid w:val="512B42F2"/>
    <w:rsid w:val="516F625B"/>
    <w:rsid w:val="5247520B"/>
    <w:rsid w:val="538E5DEC"/>
    <w:rsid w:val="54A578D4"/>
    <w:rsid w:val="54E96994"/>
    <w:rsid w:val="56220B15"/>
    <w:rsid w:val="56510C78"/>
    <w:rsid w:val="568C27D7"/>
    <w:rsid w:val="56D076DF"/>
    <w:rsid w:val="56E34736"/>
    <w:rsid w:val="56FB15A3"/>
    <w:rsid w:val="572C3C94"/>
    <w:rsid w:val="5753055C"/>
    <w:rsid w:val="57806BBC"/>
    <w:rsid w:val="583B6BC9"/>
    <w:rsid w:val="58963DA7"/>
    <w:rsid w:val="58D97E3F"/>
    <w:rsid w:val="592C3305"/>
    <w:rsid w:val="594B52C1"/>
    <w:rsid w:val="595D6BCF"/>
    <w:rsid w:val="5A2C7551"/>
    <w:rsid w:val="5A400720"/>
    <w:rsid w:val="5B1F1D55"/>
    <w:rsid w:val="5B33669F"/>
    <w:rsid w:val="5BDB0702"/>
    <w:rsid w:val="5C072B21"/>
    <w:rsid w:val="5CF4139A"/>
    <w:rsid w:val="5D43174E"/>
    <w:rsid w:val="5D693C9C"/>
    <w:rsid w:val="5D9D7735"/>
    <w:rsid w:val="5DE973D6"/>
    <w:rsid w:val="5E134EEA"/>
    <w:rsid w:val="5E6D09C7"/>
    <w:rsid w:val="5E8D2D21"/>
    <w:rsid w:val="5EBD1212"/>
    <w:rsid w:val="5F066D78"/>
    <w:rsid w:val="5F1D6CF6"/>
    <w:rsid w:val="5FAD0DCB"/>
    <w:rsid w:val="5FBF5074"/>
    <w:rsid w:val="603B1E5D"/>
    <w:rsid w:val="60C82A21"/>
    <w:rsid w:val="61234C4F"/>
    <w:rsid w:val="6178780E"/>
    <w:rsid w:val="618B3CB6"/>
    <w:rsid w:val="62261329"/>
    <w:rsid w:val="623F329A"/>
    <w:rsid w:val="62695E27"/>
    <w:rsid w:val="628242DE"/>
    <w:rsid w:val="62BE7007"/>
    <w:rsid w:val="636127C3"/>
    <w:rsid w:val="6381342F"/>
    <w:rsid w:val="6482225B"/>
    <w:rsid w:val="64AB7EF0"/>
    <w:rsid w:val="650B601A"/>
    <w:rsid w:val="6541100E"/>
    <w:rsid w:val="654C0BA8"/>
    <w:rsid w:val="664352EB"/>
    <w:rsid w:val="66BB6422"/>
    <w:rsid w:val="672079BD"/>
    <w:rsid w:val="683E7EE4"/>
    <w:rsid w:val="696610E4"/>
    <w:rsid w:val="6982596B"/>
    <w:rsid w:val="69A74ED5"/>
    <w:rsid w:val="6A83721D"/>
    <w:rsid w:val="6AC65D4A"/>
    <w:rsid w:val="6AE21101"/>
    <w:rsid w:val="6B0160FB"/>
    <w:rsid w:val="6B46058E"/>
    <w:rsid w:val="6B4F3B9E"/>
    <w:rsid w:val="6B59484F"/>
    <w:rsid w:val="6BD63153"/>
    <w:rsid w:val="6BFE0B4D"/>
    <w:rsid w:val="6C1642BB"/>
    <w:rsid w:val="6C5B55DC"/>
    <w:rsid w:val="6CA41A55"/>
    <w:rsid w:val="6CAE03DD"/>
    <w:rsid w:val="6CE56E6B"/>
    <w:rsid w:val="6CF7458B"/>
    <w:rsid w:val="6D032DAA"/>
    <w:rsid w:val="6E005A26"/>
    <w:rsid w:val="6E6329C5"/>
    <w:rsid w:val="6EFF345A"/>
    <w:rsid w:val="6F0E41D6"/>
    <w:rsid w:val="6F165AEC"/>
    <w:rsid w:val="6F4D336D"/>
    <w:rsid w:val="6F4F7C8F"/>
    <w:rsid w:val="6FB4540B"/>
    <w:rsid w:val="70204137"/>
    <w:rsid w:val="7074099B"/>
    <w:rsid w:val="70C73255"/>
    <w:rsid w:val="70D71798"/>
    <w:rsid w:val="71126C39"/>
    <w:rsid w:val="711C081E"/>
    <w:rsid w:val="713954C7"/>
    <w:rsid w:val="715F328E"/>
    <w:rsid w:val="71610FBE"/>
    <w:rsid w:val="717908A8"/>
    <w:rsid w:val="71AC1D09"/>
    <w:rsid w:val="725008FF"/>
    <w:rsid w:val="72502075"/>
    <w:rsid w:val="72760778"/>
    <w:rsid w:val="73CC2623"/>
    <w:rsid w:val="73D51AD9"/>
    <w:rsid w:val="743104E3"/>
    <w:rsid w:val="74320C3C"/>
    <w:rsid w:val="74513162"/>
    <w:rsid w:val="75431AF8"/>
    <w:rsid w:val="757B75BC"/>
    <w:rsid w:val="76065B94"/>
    <w:rsid w:val="76505047"/>
    <w:rsid w:val="76A665D3"/>
    <w:rsid w:val="78BD1F9D"/>
    <w:rsid w:val="79201CE1"/>
    <w:rsid w:val="79B14724"/>
    <w:rsid w:val="7A7E6BD1"/>
    <w:rsid w:val="7A980D74"/>
    <w:rsid w:val="7AB934E2"/>
    <w:rsid w:val="7ADD6400"/>
    <w:rsid w:val="7B3E0A41"/>
    <w:rsid w:val="7C323980"/>
    <w:rsid w:val="7D547913"/>
    <w:rsid w:val="7DD71B25"/>
    <w:rsid w:val="7DF90CC8"/>
    <w:rsid w:val="7E615745"/>
    <w:rsid w:val="7EDB48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2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28"/>
    <w:qFormat/>
    <w:uiPriority w:val="99"/>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autoRedefine/>
    <w:qFormat/>
    <w:uiPriority w:val="0"/>
    <w:pPr>
      <w:spacing w:line="360" w:lineRule="auto"/>
    </w:pPr>
    <w:rPr>
      <w:rFonts w:cs="Arial"/>
      <w:bCs/>
    </w:rPr>
  </w:style>
  <w:style w:type="paragraph" w:styleId="7">
    <w:name w:val="Normal Indent"/>
    <w:basedOn w:val="1"/>
    <w:link w:val="45"/>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Document Map"/>
    <w:basedOn w:val="1"/>
    <w:link w:val="29"/>
    <w:qFormat/>
    <w:uiPriority w:val="99"/>
    <w:rPr>
      <w:rFonts w:ascii="宋体"/>
      <w:sz w:val="18"/>
      <w:szCs w:val="18"/>
    </w:rPr>
  </w:style>
  <w:style w:type="paragraph" w:styleId="9">
    <w:name w:val="annotation text"/>
    <w:basedOn w:val="1"/>
    <w:link w:val="30"/>
    <w:qFormat/>
    <w:uiPriority w:val="99"/>
    <w:pPr>
      <w:jc w:val="left"/>
    </w:pPr>
  </w:style>
  <w:style w:type="paragraph" w:styleId="10">
    <w:name w:val="Body Text"/>
    <w:basedOn w:val="1"/>
    <w:next w:val="1"/>
    <w:link w:val="31"/>
    <w:qFormat/>
    <w:uiPriority w:val="99"/>
    <w:pPr>
      <w:spacing w:after="120"/>
    </w:pPr>
  </w:style>
  <w:style w:type="paragraph" w:styleId="11">
    <w:name w:val="Plain Text"/>
    <w:basedOn w:val="1"/>
    <w:link w:val="47"/>
    <w:qFormat/>
    <w:uiPriority w:val="99"/>
    <w:pPr>
      <w:tabs>
        <w:tab w:val="left" w:pos="-105"/>
      </w:tabs>
      <w:spacing w:line="440" w:lineRule="exact"/>
      <w:ind w:right="-147" w:rightChars="-70"/>
      <w:outlineLvl w:val="2"/>
    </w:pPr>
    <w:rPr>
      <w:rFonts w:ascii="宋体" w:hAnsi="Courier New"/>
      <w:sz w:val="24"/>
      <w:szCs w:val="21"/>
    </w:rPr>
  </w:style>
  <w:style w:type="paragraph" w:styleId="12">
    <w:name w:val="Balloon Text"/>
    <w:basedOn w:val="1"/>
    <w:link w:val="32"/>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sz w:val="18"/>
      <w:szCs w:val="18"/>
    </w:rPr>
  </w:style>
  <w:style w:type="paragraph" w:styleId="1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7">
    <w:name w:val="annotation subject"/>
    <w:basedOn w:val="9"/>
    <w:next w:val="9"/>
    <w:link w:val="52"/>
    <w:semiHidden/>
    <w:qFormat/>
    <w:uiPriority w:val="99"/>
    <w:rPr>
      <w:b/>
      <w:bCs/>
    </w:rPr>
  </w:style>
  <w:style w:type="paragraph" w:styleId="18">
    <w:name w:val="Body Text First Indent"/>
    <w:basedOn w:val="10"/>
    <w:link w:val="35"/>
    <w:qFormat/>
    <w:uiPriority w:val="99"/>
    <w:pPr>
      <w:widowControl/>
      <w:ind w:firstLine="420" w:firstLineChars="100"/>
    </w:pPr>
    <w:rPr>
      <w:rFonts w:ascii="Calibri" w:hAnsi="Calibri" w:cs="宋体"/>
      <w:szCs w:val="22"/>
    </w:rPr>
  </w:style>
  <w:style w:type="table" w:styleId="20">
    <w:name w:val="Table Grid"/>
    <w:basedOn w:val="19"/>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99"/>
    <w:rPr>
      <w:rFonts w:cs="Times New Roman"/>
      <w:color w:val="0000FF"/>
      <w:u w:val="single"/>
    </w:rPr>
  </w:style>
  <w:style w:type="character" w:styleId="23">
    <w:name w:val="annotation reference"/>
    <w:basedOn w:val="21"/>
    <w:qFormat/>
    <w:uiPriority w:val="99"/>
    <w:rPr>
      <w:rFonts w:cs="Times New Roman"/>
      <w:sz w:val="21"/>
      <w:szCs w:val="21"/>
    </w:rPr>
  </w:style>
  <w:style w:type="paragraph" w:customStyle="1" w:styleId="24">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25">
    <w:name w:val="标题 1 Char"/>
    <w:basedOn w:val="21"/>
    <w:link w:val="3"/>
    <w:qFormat/>
    <w:locked/>
    <w:uiPriority w:val="99"/>
    <w:rPr>
      <w:rFonts w:ascii="Times New Roman" w:hAnsi="Times New Roman" w:eastAsia="宋体" w:cs="Times New Roman"/>
      <w:b/>
      <w:bCs/>
      <w:kern w:val="44"/>
      <w:sz w:val="44"/>
      <w:szCs w:val="44"/>
    </w:rPr>
  </w:style>
  <w:style w:type="character" w:customStyle="1" w:styleId="26">
    <w:name w:val="标题 2 Char"/>
    <w:basedOn w:val="21"/>
    <w:link w:val="4"/>
    <w:qFormat/>
    <w:locked/>
    <w:uiPriority w:val="99"/>
    <w:rPr>
      <w:rFonts w:ascii="Cambria" w:hAnsi="Cambria" w:eastAsia="宋体" w:cs="Times New Roman"/>
      <w:b/>
      <w:bCs/>
      <w:kern w:val="2"/>
      <w:sz w:val="32"/>
      <w:szCs w:val="32"/>
    </w:rPr>
  </w:style>
  <w:style w:type="character" w:customStyle="1" w:styleId="27">
    <w:name w:val="标题 3 Char"/>
    <w:basedOn w:val="21"/>
    <w:link w:val="5"/>
    <w:qFormat/>
    <w:locked/>
    <w:uiPriority w:val="99"/>
    <w:rPr>
      <w:rFonts w:eastAsia="宋体" w:cs="Times New Roman"/>
      <w:b/>
      <w:sz w:val="32"/>
    </w:rPr>
  </w:style>
  <w:style w:type="character" w:customStyle="1" w:styleId="28">
    <w:name w:val="标题 4 Char"/>
    <w:basedOn w:val="21"/>
    <w:link w:val="6"/>
    <w:qFormat/>
    <w:locked/>
    <w:uiPriority w:val="99"/>
    <w:rPr>
      <w:rFonts w:ascii="Arial" w:hAnsi="Arial" w:eastAsia="黑体" w:cs="Times New Roman"/>
      <w:b/>
      <w:bCs/>
      <w:kern w:val="2"/>
      <w:sz w:val="28"/>
      <w:szCs w:val="28"/>
    </w:rPr>
  </w:style>
  <w:style w:type="character" w:customStyle="1" w:styleId="29">
    <w:name w:val="文档结构图 Char"/>
    <w:basedOn w:val="21"/>
    <w:link w:val="8"/>
    <w:qFormat/>
    <w:locked/>
    <w:uiPriority w:val="99"/>
    <w:rPr>
      <w:rFonts w:ascii="宋体" w:hAnsi="Times New Roman" w:eastAsia="宋体" w:cs="Times New Roman"/>
      <w:kern w:val="2"/>
      <w:sz w:val="18"/>
      <w:szCs w:val="18"/>
    </w:rPr>
  </w:style>
  <w:style w:type="character" w:customStyle="1" w:styleId="30">
    <w:name w:val="批注文字 Char"/>
    <w:basedOn w:val="21"/>
    <w:link w:val="9"/>
    <w:qFormat/>
    <w:locked/>
    <w:uiPriority w:val="99"/>
    <w:rPr>
      <w:rFonts w:ascii="Times New Roman" w:hAnsi="Times New Roman" w:cs="Times New Roman"/>
      <w:kern w:val="2"/>
      <w:sz w:val="21"/>
    </w:rPr>
  </w:style>
  <w:style w:type="character" w:customStyle="1" w:styleId="31">
    <w:name w:val="正文文本 Char"/>
    <w:basedOn w:val="21"/>
    <w:link w:val="10"/>
    <w:qFormat/>
    <w:locked/>
    <w:uiPriority w:val="99"/>
    <w:rPr>
      <w:rFonts w:ascii="Times New Roman" w:hAnsi="Times New Roman" w:eastAsia="宋体" w:cs="Times New Roman"/>
      <w:sz w:val="20"/>
      <w:szCs w:val="20"/>
    </w:rPr>
  </w:style>
  <w:style w:type="character" w:customStyle="1" w:styleId="32">
    <w:name w:val="批注框文本 Char"/>
    <w:basedOn w:val="21"/>
    <w:link w:val="12"/>
    <w:qFormat/>
    <w:locked/>
    <w:uiPriority w:val="99"/>
    <w:rPr>
      <w:rFonts w:ascii="Times New Roman" w:hAnsi="Times New Roman" w:eastAsia="宋体" w:cs="Times New Roman"/>
      <w:kern w:val="2"/>
      <w:sz w:val="18"/>
      <w:szCs w:val="18"/>
    </w:rPr>
  </w:style>
  <w:style w:type="character" w:customStyle="1" w:styleId="33">
    <w:name w:val="页脚 Char"/>
    <w:basedOn w:val="21"/>
    <w:link w:val="13"/>
    <w:qFormat/>
    <w:locked/>
    <w:uiPriority w:val="99"/>
    <w:rPr>
      <w:rFonts w:ascii="Times New Roman" w:hAnsi="Times New Roman" w:eastAsia="宋体" w:cs="Times New Roman"/>
      <w:sz w:val="18"/>
      <w:szCs w:val="18"/>
    </w:rPr>
  </w:style>
  <w:style w:type="character" w:customStyle="1" w:styleId="34">
    <w:name w:val="页眉 Char"/>
    <w:basedOn w:val="21"/>
    <w:link w:val="14"/>
    <w:qFormat/>
    <w:locked/>
    <w:uiPriority w:val="99"/>
    <w:rPr>
      <w:rFonts w:ascii="Times New Roman" w:hAnsi="Times New Roman" w:eastAsia="宋体" w:cs="Times New Roman"/>
      <w:sz w:val="18"/>
      <w:szCs w:val="18"/>
    </w:rPr>
  </w:style>
  <w:style w:type="character" w:customStyle="1" w:styleId="35">
    <w:name w:val="正文首行缩进 Char"/>
    <w:basedOn w:val="31"/>
    <w:link w:val="18"/>
    <w:qFormat/>
    <w:locked/>
    <w:uiPriority w:val="99"/>
    <w:rPr>
      <w:rFonts w:ascii="Times New Roman" w:hAnsi="Times New Roman" w:eastAsia="宋体" w:cs="Times New Roman"/>
      <w:sz w:val="20"/>
      <w:szCs w:val="20"/>
    </w:rPr>
  </w:style>
  <w:style w:type="character" w:customStyle="1" w:styleId="36">
    <w:name w:val="正文缩进2格 Char"/>
    <w:link w:val="37"/>
    <w:qFormat/>
    <w:locked/>
    <w:uiPriority w:val="99"/>
    <w:rPr>
      <w:rFonts w:ascii="仿宋_GB2312" w:hAnsi="宋体" w:eastAsia="仿宋_GB2312"/>
      <w:sz w:val="31"/>
    </w:rPr>
  </w:style>
  <w:style w:type="paragraph" w:customStyle="1" w:styleId="37">
    <w:name w:val="正文缩进2格"/>
    <w:basedOn w:val="1"/>
    <w:link w:val="36"/>
    <w:qFormat/>
    <w:uiPriority w:val="99"/>
    <w:pPr>
      <w:spacing w:line="600" w:lineRule="exact"/>
      <w:ind w:firstLine="639" w:firstLineChars="206"/>
    </w:pPr>
    <w:rPr>
      <w:rFonts w:ascii="仿宋_GB2312" w:hAnsi="宋体" w:eastAsia="仿宋_GB2312"/>
      <w:kern w:val="0"/>
      <w:sz w:val="31"/>
      <w:szCs w:val="31"/>
    </w:rPr>
  </w:style>
  <w:style w:type="paragraph" w:customStyle="1" w:styleId="38">
    <w:name w:val="列出段落1"/>
    <w:basedOn w:val="1"/>
    <w:qFormat/>
    <w:uiPriority w:val="99"/>
    <w:pPr>
      <w:ind w:firstLine="420" w:firstLineChars="200"/>
    </w:pPr>
  </w:style>
  <w:style w:type="paragraph" w:customStyle="1" w:styleId="39">
    <w:name w:val="列出段落2"/>
    <w:basedOn w:val="1"/>
    <w:qFormat/>
    <w:uiPriority w:val="99"/>
    <w:pPr>
      <w:ind w:firstLine="420" w:firstLineChars="200"/>
    </w:pPr>
  </w:style>
  <w:style w:type="paragraph" w:styleId="40">
    <w:name w:val="List Paragraph"/>
    <w:basedOn w:val="1"/>
    <w:qFormat/>
    <w:uiPriority w:val="99"/>
    <w:pPr>
      <w:ind w:firstLine="420" w:firstLineChars="200"/>
    </w:pPr>
  </w:style>
  <w:style w:type="character" w:customStyle="1" w:styleId="41">
    <w:name w:val="fontstyle01"/>
    <w:basedOn w:val="21"/>
    <w:qFormat/>
    <w:uiPriority w:val="99"/>
    <w:rPr>
      <w:rFonts w:ascii="仿宋" w:hAnsi="仿宋" w:eastAsia="仿宋" w:cs="Times New Roman"/>
      <w:color w:val="000000"/>
      <w:sz w:val="28"/>
      <w:szCs w:val="28"/>
    </w:rPr>
  </w:style>
  <w:style w:type="character" w:customStyle="1" w:styleId="42">
    <w:name w:val="！正文 Char"/>
    <w:link w:val="43"/>
    <w:qFormat/>
    <w:locked/>
    <w:uiPriority w:val="99"/>
    <w:rPr>
      <w:rFonts w:ascii="Arial" w:hAnsi="Arial"/>
      <w:sz w:val="24"/>
    </w:rPr>
  </w:style>
  <w:style w:type="paragraph" w:customStyle="1" w:styleId="43">
    <w:name w:val="！正文"/>
    <w:basedOn w:val="1"/>
    <w:link w:val="42"/>
    <w:qFormat/>
    <w:uiPriority w:val="99"/>
    <w:pPr>
      <w:spacing w:line="360" w:lineRule="auto"/>
      <w:ind w:firstLine="200" w:firstLineChars="200"/>
    </w:pPr>
    <w:rPr>
      <w:rFonts w:ascii="Arial" w:hAnsi="Arial" w:eastAsia="等线"/>
      <w:kern w:val="0"/>
      <w:sz w:val="24"/>
      <w:szCs w:val="24"/>
    </w:rPr>
  </w:style>
  <w:style w:type="paragraph" w:customStyle="1" w:styleId="44">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5">
    <w:name w:val="正文缩进 Char"/>
    <w:link w:val="7"/>
    <w:qFormat/>
    <w:locked/>
    <w:uiPriority w:val="99"/>
    <w:rPr>
      <w:sz w:val="24"/>
    </w:rPr>
  </w:style>
  <w:style w:type="paragraph" w:customStyle="1" w:styleId="46">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47">
    <w:name w:val="纯文本 Char"/>
    <w:basedOn w:val="21"/>
    <w:link w:val="11"/>
    <w:qFormat/>
    <w:locked/>
    <w:uiPriority w:val="99"/>
    <w:rPr>
      <w:rFonts w:ascii="宋体" w:hAnsi="Courier New" w:eastAsia="宋体" w:cs="Times New Roman"/>
      <w:kern w:val="2"/>
      <w:sz w:val="21"/>
      <w:szCs w:val="21"/>
    </w:rPr>
  </w:style>
  <w:style w:type="character" w:customStyle="1" w:styleId="48">
    <w:name w:val="未处理的提及1"/>
    <w:basedOn w:val="21"/>
    <w:semiHidden/>
    <w:qFormat/>
    <w:uiPriority w:val="99"/>
    <w:rPr>
      <w:rFonts w:cs="Times New Roman"/>
      <w:color w:val="605E5C"/>
      <w:shd w:val="clear" w:color="auto" w:fill="E1DFDD"/>
    </w:rPr>
  </w:style>
  <w:style w:type="paragraph" w:customStyle="1" w:styleId="49">
    <w:name w:val="样式"/>
    <w:basedOn w:val="1"/>
    <w:next w:val="40"/>
    <w:qFormat/>
    <w:uiPriority w:val="99"/>
    <w:pPr>
      <w:ind w:firstLine="420" w:firstLineChars="200"/>
    </w:pPr>
    <w:rPr>
      <w:rFonts w:ascii="Calibri" w:hAnsi="Calibri"/>
      <w:szCs w:val="22"/>
    </w:rPr>
  </w:style>
  <w:style w:type="character" w:customStyle="1" w:styleId="50">
    <w:name w:val="Body Text Indent 2 Char Char"/>
    <w:link w:val="51"/>
    <w:qFormat/>
    <w:locked/>
    <w:uiPriority w:val="99"/>
  </w:style>
  <w:style w:type="paragraph" w:customStyle="1" w:styleId="51">
    <w:name w:val="正文文本缩进 21"/>
    <w:basedOn w:val="1"/>
    <w:link w:val="50"/>
    <w:qFormat/>
    <w:uiPriority w:val="99"/>
    <w:pPr>
      <w:adjustRightInd w:val="0"/>
      <w:spacing w:line="480" w:lineRule="auto"/>
      <w:ind w:firstLine="540"/>
    </w:pPr>
    <w:rPr>
      <w:rFonts w:ascii="Calibri" w:hAnsi="Calibri" w:eastAsia="等线"/>
      <w:kern w:val="0"/>
      <w:sz w:val="20"/>
    </w:rPr>
  </w:style>
  <w:style w:type="character" w:customStyle="1" w:styleId="52">
    <w:name w:val="批注主题 Char"/>
    <w:basedOn w:val="30"/>
    <w:link w:val="17"/>
    <w:semiHidden/>
    <w:qFormat/>
    <w:locked/>
    <w:uiPriority w:val="99"/>
    <w:rPr>
      <w:rFonts w:ascii="Times New Roman" w:hAnsi="Times New Roman" w:eastAsia="宋体" w:cs="Times New Roman"/>
      <w:b/>
      <w:bCs/>
      <w:kern w:val="2"/>
      <w:sz w:val="21"/>
    </w:rPr>
  </w:style>
  <w:style w:type="character" w:customStyle="1" w:styleId="53">
    <w:name w:val="标题 4 字符"/>
    <w:basedOn w:val="21"/>
    <w:semiHidden/>
    <w:qFormat/>
    <w:uiPriority w:val="99"/>
    <w:rPr>
      <w:rFonts w:ascii="Cambria" w:hAnsi="Cambria" w:eastAsia="宋体" w:cs="Times New Roman"/>
      <w:b/>
      <w:bCs/>
      <w:kern w:val="2"/>
      <w:sz w:val="28"/>
      <w:szCs w:val="28"/>
    </w:rPr>
  </w:style>
  <w:style w:type="paragraph" w:customStyle="1" w:styleId="54">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5">
    <w:name w:val="致远要点"/>
    <w:basedOn w:val="40"/>
    <w:link w:val="56"/>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6">
    <w:name w:val="致远要点 字符"/>
    <w:basedOn w:val="21"/>
    <w:link w:val="55"/>
    <w:qFormat/>
    <w:locked/>
    <w:uiPriority w:val="99"/>
    <w:rPr>
      <w:rFonts w:ascii="黑体" w:hAnsi="黑体" w:eastAsia="黑体" w:cs="宋体"/>
      <w:kern w:val="2"/>
      <w:sz w:val="22"/>
      <w:szCs w:val="22"/>
    </w:rPr>
  </w:style>
  <w:style w:type="paragraph" w:customStyle="1" w:styleId="57">
    <w:name w:val="SANGFOR_6_正文"/>
    <w:basedOn w:val="1"/>
    <w:qFormat/>
    <w:uiPriority w:val="99"/>
    <w:pPr>
      <w:spacing w:line="360" w:lineRule="auto"/>
    </w:pPr>
    <w:rPr>
      <w:szCs w:val="24"/>
    </w:rPr>
  </w:style>
  <w:style w:type="table" w:customStyle="1" w:styleId="58">
    <w:name w:val="Table Normal"/>
    <w:autoRedefine/>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6115</Words>
  <Characters>6315</Characters>
  <Lines>4</Lines>
  <Paragraphs>7</Paragraphs>
  <TotalTime>0</TotalTime>
  <ScaleCrop>false</ScaleCrop>
  <LinksUpToDate>false</LinksUpToDate>
  <CharactersWithSpaces>6599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2020-08-17T04:07:00Z</dcterms:created>
  <dc:creator>79466</dc:creator>
  <cp:lastModifiedBy>Wolverine</cp:lastModifiedBy>
  <cp:lastPrinted>2025-07-02T09:17:00Z</cp:lastPrinted>
  <dcterms:modified xsi:type="dcterms:W3CDTF">2026-09-07T09:56:47Z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2188A87A5C9049DEA2107D16F1070BED_13</vt:lpwstr>
  </property>
  <property fmtid="{D5CDD505-2E9C-101B-9397-08002B2CF9AE}" pid="4" name="KSOTemplateDocerSaveRecord">
    <vt:lpwstr>eyJoZGlkIjoiOWQ2ZWExMDIwMTAyNTlkY2I3MDQ0MGE2NzkwYzQ5NGQiLCJ1c2VySWQiOiIyMzk4MjY1NTIifQ==</vt:lpwstr>
  </property>
</Properties>
</file>