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5D1A70">
      <w:pPr>
        <w:jc w:val="right"/>
        <w:rPr>
          <w:rFonts w:hint="eastAsia" w:ascii="宋体" w:hAnsi="宋体" w:eastAsia="宋体" w:cs="宋体"/>
          <w:color w:val="auto"/>
          <w:szCs w:val="21"/>
        </w:rPr>
      </w:pPr>
    </w:p>
    <w:p w14:paraId="66CBFFB2">
      <w:pPr>
        <w:pStyle w:val="45"/>
        <w:ind w:firstLine="400"/>
        <w:rPr>
          <w:rFonts w:hint="eastAsia" w:ascii="宋体" w:hAnsi="宋体" w:eastAsia="宋体" w:cs="宋体"/>
          <w:color w:val="auto"/>
        </w:rPr>
      </w:pPr>
    </w:p>
    <w:p w14:paraId="3B1D430E">
      <w:pPr>
        <w:rPr>
          <w:rFonts w:hint="eastAsia" w:ascii="宋体" w:hAnsi="宋体" w:eastAsia="宋体" w:cs="宋体"/>
          <w:color w:val="auto"/>
        </w:rPr>
      </w:pPr>
    </w:p>
    <w:p w14:paraId="6CA23F6F">
      <w:pPr>
        <w:rPr>
          <w:rFonts w:hint="eastAsia" w:ascii="宋体" w:hAnsi="宋体" w:eastAsia="宋体" w:cs="宋体"/>
          <w:color w:val="auto"/>
        </w:rPr>
      </w:pPr>
    </w:p>
    <w:p w14:paraId="27686CE1">
      <w:pPr>
        <w:rPr>
          <w:rFonts w:hint="eastAsia" w:ascii="宋体" w:hAnsi="宋体" w:eastAsia="宋体" w:cs="宋体"/>
          <w:color w:val="auto"/>
        </w:rPr>
      </w:pPr>
    </w:p>
    <w:p w14:paraId="6C25A869">
      <w:pPr>
        <w:ind w:right="-28"/>
        <w:jc w:val="center"/>
        <w:textAlignment w:val="bottom"/>
        <w:rPr>
          <w:rFonts w:hint="eastAsia" w:ascii="宋体" w:hAnsi="宋体" w:eastAsia="宋体" w:cs="宋体"/>
          <w:bCs/>
          <w:color w:val="auto"/>
          <w:spacing w:val="57"/>
          <w:sz w:val="96"/>
          <w:szCs w:val="96"/>
        </w:rPr>
      </w:pPr>
      <w:r>
        <w:rPr>
          <w:rFonts w:hint="eastAsia" w:ascii="宋体" w:hAnsi="宋体" w:eastAsia="宋体" w:cs="宋体"/>
          <w:bCs/>
          <w:color w:val="auto"/>
          <w:spacing w:val="57"/>
          <w:sz w:val="96"/>
          <w:szCs w:val="96"/>
        </w:rPr>
        <w:t>公开采购文件</w:t>
      </w:r>
    </w:p>
    <w:p w14:paraId="7BBAB894">
      <w:pPr>
        <w:rPr>
          <w:rFonts w:hint="eastAsia" w:ascii="宋体" w:hAnsi="宋体" w:eastAsia="宋体" w:cs="宋体"/>
          <w:color w:val="auto"/>
        </w:rPr>
      </w:pPr>
    </w:p>
    <w:p w14:paraId="45481075">
      <w:pPr>
        <w:pStyle w:val="11"/>
        <w:rPr>
          <w:rFonts w:hint="eastAsia" w:ascii="宋体" w:hAnsi="宋体" w:eastAsia="宋体" w:cs="宋体"/>
          <w:color w:val="auto"/>
        </w:rPr>
      </w:pPr>
    </w:p>
    <w:tbl>
      <w:tblPr>
        <w:tblStyle w:val="35"/>
        <w:tblW w:w="0" w:type="auto"/>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13"/>
        <w:gridCol w:w="6203"/>
      </w:tblGrid>
      <w:tr w14:paraId="3CA95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67" w:hRule="atLeast"/>
        </w:trPr>
        <w:tc>
          <w:tcPr>
            <w:tcW w:w="2613" w:type="dxa"/>
            <w:noWrap/>
            <w:vAlign w:val="center"/>
          </w:tcPr>
          <w:p w14:paraId="78AC3ABB">
            <w:pPr>
              <w:spacing w:before="200"/>
              <w:jc w:val="both"/>
              <w:rPr>
                <w:rFonts w:hint="eastAsia" w:ascii="宋体" w:hAnsi="宋体" w:eastAsia="宋体" w:cs="宋体"/>
                <w:bCs/>
                <w:color w:val="auto"/>
                <w:sz w:val="32"/>
                <w:szCs w:val="24"/>
              </w:rPr>
            </w:pPr>
            <w:r>
              <w:rPr>
                <w:rFonts w:hint="eastAsia" w:ascii="宋体" w:hAnsi="宋体" w:eastAsia="宋体" w:cs="宋体"/>
                <w:bCs/>
                <w:color w:val="auto"/>
                <w:sz w:val="32"/>
                <w:szCs w:val="24"/>
              </w:rPr>
              <w:t>项目名称：</w:t>
            </w:r>
          </w:p>
        </w:tc>
        <w:tc>
          <w:tcPr>
            <w:tcW w:w="6203" w:type="dxa"/>
            <w:noWrap/>
            <w:vAlign w:val="center"/>
          </w:tcPr>
          <w:p w14:paraId="02561D29">
            <w:pPr>
              <w:spacing w:before="200"/>
              <w:jc w:val="both"/>
              <w:rPr>
                <w:rFonts w:hint="eastAsia" w:ascii="宋体" w:hAnsi="宋体" w:eastAsia="宋体" w:cs="宋体"/>
                <w:bCs/>
                <w:color w:val="auto"/>
                <w:sz w:val="32"/>
                <w:szCs w:val="24"/>
                <w:lang w:eastAsia="zh-CN"/>
              </w:rPr>
            </w:pPr>
            <w:r>
              <w:rPr>
                <w:rFonts w:hint="eastAsia" w:ascii="宋体" w:hAnsi="宋体" w:eastAsia="宋体" w:cs="宋体"/>
                <w:bCs/>
                <w:color w:val="auto"/>
                <w:sz w:val="32"/>
                <w:szCs w:val="24"/>
                <w:u w:val="single"/>
                <w:lang w:eastAsia="zh-CN"/>
              </w:rPr>
              <w:t>2026年东莞市安居建设投资有限公司莞寓2.0系统功能开发项目</w:t>
            </w:r>
          </w:p>
        </w:tc>
      </w:tr>
      <w:tr w14:paraId="50578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2613" w:type="dxa"/>
            <w:noWrap/>
            <w:vAlign w:val="center"/>
          </w:tcPr>
          <w:p w14:paraId="48CFCDC6">
            <w:pPr>
              <w:spacing w:before="200"/>
              <w:jc w:val="both"/>
              <w:rPr>
                <w:rFonts w:hint="eastAsia" w:ascii="宋体" w:hAnsi="宋体" w:eastAsia="宋体" w:cs="宋体"/>
                <w:bCs/>
                <w:color w:val="auto"/>
                <w:sz w:val="32"/>
                <w:szCs w:val="24"/>
              </w:rPr>
            </w:pPr>
            <w:r>
              <w:rPr>
                <w:rFonts w:hint="eastAsia" w:ascii="宋体" w:hAnsi="宋体" w:eastAsia="宋体" w:cs="宋体"/>
                <w:bCs/>
                <w:color w:val="auto"/>
                <w:sz w:val="32"/>
                <w:szCs w:val="24"/>
              </w:rPr>
              <w:t>项目采购编号：</w:t>
            </w:r>
          </w:p>
        </w:tc>
        <w:tc>
          <w:tcPr>
            <w:tcW w:w="6203" w:type="dxa"/>
            <w:noWrap/>
            <w:vAlign w:val="center"/>
          </w:tcPr>
          <w:p w14:paraId="6715F4A7">
            <w:pPr>
              <w:spacing w:before="200"/>
              <w:jc w:val="both"/>
              <w:rPr>
                <w:rFonts w:hint="eastAsia" w:ascii="宋体" w:hAnsi="宋体" w:eastAsia="宋体" w:cs="宋体"/>
                <w:bCs/>
                <w:color w:val="auto"/>
                <w:sz w:val="32"/>
                <w:szCs w:val="24"/>
                <w:u w:val="single"/>
                <w:lang w:eastAsia="zh-CN"/>
              </w:rPr>
            </w:pPr>
            <w:r>
              <w:rPr>
                <w:rFonts w:hint="eastAsia" w:ascii="宋体" w:hAnsi="宋体" w:eastAsia="宋体" w:cs="宋体"/>
                <w:bCs/>
                <w:color w:val="auto"/>
                <w:sz w:val="32"/>
                <w:szCs w:val="24"/>
                <w:u w:val="single"/>
                <w:lang w:eastAsia="zh-CN"/>
              </w:rPr>
              <w:t>AJJS-KF-05-01-18(2026)</w:t>
            </w:r>
          </w:p>
        </w:tc>
      </w:tr>
      <w:tr w14:paraId="5718F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9" w:hRule="atLeast"/>
        </w:trPr>
        <w:tc>
          <w:tcPr>
            <w:tcW w:w="2613" w:type="dxa"/>
            <w:noWrap/>
            <w:vAlign w:val="center"/>
          </w:tcPr>
          <w:p w14:paraId="4A0A2F4F">
            <w:pPr>
              <w:spacing w:before="200"/>
              <w:jc w:val="both"/>
              <w:rPr>
                <w:rFonts w:hint="eastAsia" w:ascii="宋体" w:hAnsi="宋体" w:eastAsia="宋体" w:cs="宋体"/>
                <w:bCs/>
                <w:color w:val="auto"/>
                <w:sz w:val="32"/>
                <w:szCs w:val="24"/>
              </w:rPr>
            </w:pPr>
            <w:r>
              <w:rPr>
                <w:rFonts w:hint="eastAsia" w:ascii="宋体" w:hAnsi="宋体" w:eastAsia="宋体" w:cs="宋体"/>
                <w:bCs/>
                <w:color w:val="auto"/>
                <w:sz w:val="32"/>
                <w:szCs w:val="24"/>
              </w:rPr>
              <w:t>采购人：</w:t>
            </w:r>
          </w:p>
        </w:tc>
        <w:tc>
          <w:tcPr>
            <w:tcW w:w="6203" w:type="dxa"/>
            <w:noWrap/>
            <w:vAlign w:val="center"/>
          </w:tcPr>
          <w:p w14:paraId="03C5D214">
            <w:pPr>
              <w:spacing w:before="200"/>
              <w:jc w:val="both"/>
              <w:rPr>
                <w:rFonts w:hint="eastAsia" w:ascii="宋体" w:hAnsi="宋体" w:eastAsia="宋体" w:cs="宋体"/>
                <w:bCs/>
                <w:color w:val="auto"/>
                <w:sz w:val="32"/>
                <w:szCs w:val="24"/>
              </w:rPr>
            </w:pPr>
            <w:r>
              <w:rPr>
                <w:rFonts w:hint="eastAsia" w:ascii="宋体" w:hAnsi="宋体" w:eastAsia="宋体" w:cs="宋体"/>
                <w:bCs/>
                <w:color w:val="auto"/>
                <w:sz w:val="32"/>
                <w:szCs w:val="24"/>
                <w:u w:val="single"/>
              </w:rPr>
              <w:t>东莞市安居建设投资有限公司</w:t>
            </w:r>
          </w:p>
        </w:tc>
      </w:tr>
      <w:tr w14:paraId="7298A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9" w:hRule="atLeast"/>
        </w:trPr>
        <w:tc>
          <w:tcPr>
            <w:tcW w:w="2613" w:type="dxa"/>
            <w:noWrap/>
            <w:vAlign w:val="center"/>
          </w:tcPr>
          <w:p w14:paraId="74CA3503">
            <w:pPr>
              <w:spacing w:before="200"/>
              <w:jc w:val="both"/>
              <w:rPr>
                <w:rFonts w:hint="eastAsia" w:ascii="宋体" w:hAnsi="宋体" w:eastAsia="宋体" w:cs="宋体"/>
                <w:bCs/>
                <w:color w:val="auto"/>
                <w:sz w:val="32"/>
                <w:szCs w:val="24"/>
              </w:rPr>
            </w:pPr>
            <w:r>
              <w:rPr>
                <w:rFonts w:hint="eastAsia" w:ascii="宋体" w:hAnsi="宋体" w:eastAsia="宋体" w:cs="宋体"/>
                <w:bCs/>
                <w:color w:val="auto"/>
                <w:sz w:val="32"/>
                <w:szCs w:val="24"/>
              </w:rPr>
              <w:t>采购代理：</w:t>
            </w:r>
          </w:p>
        </w:tc>
        <w:tc>
          <w:tcPr>
            <w:tcW w:w="6203" w:type="dxa"/>
            <w:noWrap/>
            <w:vAlign w:val="center"/>
          </w:tcPr>
          <w:p w14:paraId="0C60A4A3">
            <w:pPr>
              <w:spacing w:before="200"/>
              <w:jc w:val="both"/>
              <w:rPr>
                <w:rFonts w:hint="eastAsia" w:ascii="宋体" w:hAnsi="宋体" w:eastAsia="宋体" w:cs="宋体"/>
                <w:bCs/>
                <w:color w:val="auto"/>
                <w:sz w:val="32"/>
                <w:szCs w:val="24"/>
              </w:rPr>
            </w:pPr>
            <w:r>
              <w:rPr>
                <w:rFonts w:hint="eastAsia" w:ascii="宋体" w:hAnsi="宋体" w:eastAsia="宋体" w:cs="宋体"/>
                <w:bCs/>
                <w:color w:val="auto"/>
                <w:sz w:val="32"/>
                <w:szCs w:val="24"/>
                <w:u w:val="single"/>
              </w:rPr>
              <w:t>广东中科招标有限公司</w:t>
            </w:r>
          </w:p>
        </w:tc>
      </w:tr>
    </w:tbl>
    <w:p w14:paraId="665BC75A">
      <w:pPr>
        <w:jc w:val="center"/>
        <w:rPr>
          <w:rFonts w:hint="eastAsia" w:ascii="宋体" w:hAnsi="宋体" w:eastAsia="宋体" w:cs="宋体"/>
          <w:color w:val="auto"/>
          <w:szCs w:val="21"/>
        </w:rPr>
      </w:pPr>
    </w:p>
    <w:p w14:paraId="69FBB29E">
      <w:pPr>
        <w:jc w:val="center"/>
        <w:rPr>
          <w:rFonts w:hint="eastAsia" w:ascii="宋体" w:hAnsi="宋体" w:eastAsia="宋体" w:cs="宋体"/>
          <w:color w:val="auto"/>
          <w:szCs w:val="21"/>
        </w:rPr>
      </w:pPr>
    </w:p>
    <w:p w14:paraId="780038F4">
      <w:pPr>
        <w:jc w:val="center"/>
        <w:rPr>
          <w:rFonts w:hint="eastAsia" w:ascii="宋体" w:hAnsi="宋体" w:eastAsia="宋体" w:cs="宋体"/>
          <w:color w:val="auto"/>
          <w:szCs w:val="21"/>
        </w:rPr>
      </w:pPr>
    </w:p>
    <w:p w14:paraId="3B95D583">
      <w:pPr>
        <w:pStyle w:val="45"/>
        <w:ind w:firstLine="400"/>
        <w:rPr>
          <w:rFonts w:hint="eastAsia" w:ascii="宋体" w:hAnsi="宋体" w:eastAsia="宋体" w:cs="宋体"/>
          <w:color w:val="auto"/>
        </w:rPr>
      </w:pPr>
    </w:p>
    <w:p w14:paraId="7E2CD994">
      <w:pPr>
        <w:jc w:val="center"/>
        <w:rPr>
          <w:rFonts w:hint="eastAsia" w:ascii="宋体" w:hAnsi="宋体" w:eastAsia="宋体" w:cs="宋体"/>
          <w:color w:val="auto"/>
          <w:szCs w:val="21"/>
        </w:rPr>
      </w:pPr>
    </w:p>
    <w:p w14:paraId="19A3FE8D">
      <w:pPr>
        <w:jc w:val="center"/>
        <w:rPr>
          <w:rFonts w:hint="eastAsia" w:ascii="宋体" w:hAnsi="宋体" w:eastAsia="宋体" w:cs="宋体"/>
          <w:color w:val="auto"/>
          <w:szCs w:val="21"/>
        </w:rPr>
      </w:pPr>
    </w:p>
    <w:p w14:paraId="43691D65">
      <w:pPr>
        <w:spacing w:before="200"/>
        <w:jc w:val="both"/>
        <w:rPr>
          <w:rFonts w:hint="eastAsia" w:ascii="宋体" w:hAnsi="宋体" w:eastAsia="宋体" w:cs="宋体"/>
          <w:bCs/>
          <w:color w:val="auto"/>
          <w:sz w:val="32"/>
          <w:szCs w:val="24"/>
        </w:rPr>
      </w:pPr>
    </w:p>
    <w:p w14:paraId="3299920B">
      <w:pPr>
        <w:spacing w:before="200"/>
        <w:jc w:val="center"/>
        <w:rPr>
          <w:rFonts w:hint="eastAsia" w:ascii="宋体" w:hAnsi="宋体" w:eastAsia="宋体" w:cs="宋体"/>
          <w:bCs/>
          <w:color w:val="auto"/>
          <w:sz w:val="32"/>
          <w:szCs w:val="24"/>
        </w:rPr>
      </w:pPr>
      <w:r>
        <w:rPr>
          <w:rFonts w:hint="eastAsia" w:ascii="宋体" w:hAnsi="宋体" w:eastAsia="宋体" w:cs="宋体"/>
          <w:bCs/>
          <w:color w:val="auto"/>
          <w:sz w:val="32"/>
          <w:szCs w:val="24"/>
        </w:rPr>
        <w:t>2026年</w:t>
      </w:r>
      <w:r>
        <w:rPr>
          <w:rFonts w:hint="eastAsia" w:ascii="宋体" w:hAnsi="宋体" w:eastAsia="宋体" w:cs="宋体"/>
          <w:bCs/>
          <w:color w:val="auto"/>
          <w:sz w:val="32"/>
          <w:szCs w:val="24"/>
          <w:lang w:val="en-US" w:eastAsia="zh-CN"/>
        </w:rPr>
        <w:t>9</w:t>
      </w:r>
      <w:r>
        <w:rPr>
          <w:rFonts w:hint="eastAsia" w:ascii="宋体" w:hAnsi="宋体" w:eastAsia="宋体" w:cs="宋体"/>
          <w:bCs/>
          <w:color w:val="auto"/>
          <w:sz w:val="32"/>
          <w:szCs w:val="24"/>
        </w:rPr>
        <w:t>月</w:t>
      </w:r>
    </w:p>
    <w:p w14:paraId="48848E7B">
      <w:pPr>
        <w:rPr>
          <w:rFonts w:hint="eastAsia" w:ascii="宋体" w:hAnsi="宋体" w:eastAsia="宋体" w:cs="宋体"/>
          <w:color w:val="auto"/>
        </w:rPr>
        <w:sectPr>
          <w:footerReference r:id="rId8" w:type="first"/>
          <w:footerReference r:id="rId6" w:type="default"/>
          <w:headerReference r:id="rId5" w:type="even"/>
          <w:footerReference r:id="rId7" w:type="even"/>
          <w:pgSz w:w="11906" w:h="16838"/>
          <w:pgMar w:top="1440" w:right="1800" w:bottom="1440" w:left="1800" w:header="708" w:footer="708" w:gutter="0"/>
          <w:pgNumType w:start="1"/>
          <w:cols w:space="708" w:num="1"/>
          <w:titlePg/>
          <w:docGrid w:type="lines" w:linePitch="360" w:charSpace="0"/>
        </w:sectPr>
      </w:pPr>
    </w:p>
    <w:p w14:paraId="205AE066">
      <w:pPr>
        <w:pStyle w:val="27"/>
        <w:ind w:left="0" w:leftChars="0"/>
        <w:rPr>
          <w:rFonts w:hint="eastAsia" w:ascii="宋体" w:hAnsi="宋体" w:eastAsia="宋体" w:cs="宋体"/>
          <w:color w:val="auto"/>
          <w:sz w:val="40"/>
          <w:szCs w:val="40"/>
        </w:rPr>
      </w:pPr>
      <w:r>
        <w:rPr>
          <w:rFonts w:hint="eastAsia" w:ascii="宋体" w:hAnsi="宋体" w:eastAsia="宋体" w:cs="宋体"/>
          <w:color w:val="auto"/>
          <w:sz w:val="40"/>
          <w:szCs w:val="40"/>
        </w:rPr>
        <w:t>目录</w:t>
      </w:r>
    </w:p>
    <w:p w14:paraId="7F5B1D09">
      <w:pPr>
        <w:pStyle w:val="27"/>
        <w:keepNext w:val="0"/>
        <w:keepLines w:val="0"/>
        <w:pageBreakBefore w:val="0"/>
        <w:widowControl/>
        <w:tabs>
          <w:tab w:val="right" w:leader="dot" w:pos="8312"/>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TOC \o "1-4" \h \z \u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_Toc18176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第一部分投标邀请</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_Toc18176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72C72D61">
      <w:pPr>
        <w:pStyle w:val="16"/>
        <w:keepNext w:val="0"/>
        <w:keepLines w:val="0"/>
        <w:pageBreakBefore w:val="0"/>
        <w:widowControl/>
        <w:tabs>
          <w:tab w:val="right" w:leader="dot" w:pos="8312"/>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_Toc31908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投标邀请书</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_Toc31908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4ED73E57">
      <w:pPr>
        <w:pStyle w:val="27"/>
        <w:keepNext w:val="0"/>
        <w:keepLines w:val="0"/>
        <w:pageBreakBefore w:val="0"/>
        <w:widowControl/>
        <w:tabs>
          <w:tab w:val="right" w:leader="dot" w:pos="8312"/>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_Toc15371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第二部分相关资料表格</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_Toc15371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20507ECF">
      <w:pPr>
        <w:pStyle w:val="16"/>
        <w:keepNext w:val="0"/>
        <w:keepLines w:val="0"/>
        <w:pageBreakBefore w:val="0"/>
        <w:widowControl/>
        <w:tabs>
          <w:tab w:val="right" w:leader="dot" w:pos="8312"/>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_Toc10127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附表一：投标资料表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_Toc10127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34259A7D">
      <w:pPr>
        <w:pStyle w:val="16"/>
        <w:keepNext w:val="0"/>
        <w:keepLines w:val="0"/>
        <w:pageBreakBefore w:val="0"/>
        <w:widowControl/>
        <w:tabs>
          <w:tab w:val="right" w:leader="dot" w:pos="8312"/>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_Toc18380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附表二：商务技术价格及评分权重表（满分100分）</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_Toc18380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12</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0E99ABBC">
      <w:pPr>
        <w:pStyle w:val="27"/>
        <w:keepNext w:val="0"/>
        <w:keepLines w:val="0"/>
        <w:pageBreakBefore w:val="0"/>
        <w:widowControl/>
        <w:tabs>
          <w:tab w:val="right" w:leader="dot" w:pos="8312"/>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_Toc24296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第三部分 用户需求书</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_Toc24296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16</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523C52BC">
      <w:pPr>
        <w:pStyle w:val="16"/>
        <w:keepNext w:val="0"/>
        <w:keepLines w:val="0"/>
        <w:pageBreakBefore w:val="0"/>
        <w:widowControl/>
        <w:tabs>
          <w:tab w:val="right" w:leader="dot" w:pos="8312"/>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_Toc4495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第一章 商务需求书</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_Toc4495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16</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1D64362C">
      <w:pPr>
        <w:pStyle w:val="16"/>
        <w:keepNext w:val="0"/>
        <w:keepLines w:val="0"/>
        <w:pageBreakBefore w:val="0"/>
        <w:widowControl/>
        <w:tabs>
          <w:tab w:val="right" w:leader="dot" w:pos="8312"/>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_Toc13141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第二章 技术需求书</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_Toc13141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4E389432">
      <w:pPr>
        <w:pStyle w:val="27"/>
        <w:keepNext w:val="0"/>
        <w:keepLines w:val="0"/>
        <w:pageBreakBefore w:val="0"/>
        <w:widowControl/>
        <w:tabs>
          <w:tab w:val="right" w:leader="dot" w:pos="8312"/>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_Toc31686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第四部分投标人须知</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_Toc31686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31</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3D51D81C">
      <w:pPr>
        <w:pStyle w:val="16"/>
        <w:keepNext w:val="0"/>
        <w:keepLines w:val="0"/>
        <w:pageBreakBefore w:val="0"/>
        <w:widowControl/>
        <w:tabs>
          <w:tab w:val="right" w:leader="dot" w:pos="8312"/>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_Toc18524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一、 说明</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_Toc18524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31</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56637028">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_Toc9037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 适用范围</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_Toc9037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31</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593B9F23">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_Toc30994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 定义</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_Toc30994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31</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7D56B6A1">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_Toc2535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 货物和服务</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_Toc2535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31</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5FF0D4FF">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_Toc3881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 投标费用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_Toc3881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31</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4CD3FDE8">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_Toc19863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 知识产权</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_Toc19863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32</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0C155BB8">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_Toc1886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6. 关于联合体投标</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_Toc1886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32</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5A391391">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_Toc7103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7. 关于分支机构投标</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_Toc7103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33</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067091B3">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_Toc30380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8. 踏勘现场</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_Toc30380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33</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352EA968">
      <w:pPr>
        <w:pStyle w:val="16"/>
        <w:keepNext w:val="0"/>
        <w:keepLines w:val="0"/>
        <w:pageBreakBefore w:val="0"/>
        <w:widowControl/>
        <w:tabs>
          <w:tab w:val="right" w:leader="dot" w:pos="8312"/>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_Toc17958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二、 采购文件</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_Toc17958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33</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574C62A7">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_Toc32163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9. 采购文件的组成</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_Toc32163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33</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5B7CAB1F">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_Toc20829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10. 采购文件的澄清或修改</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_Toc20829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33</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764604B7">
      <w:pPr>
        <w:pStyle w:val="16"/>
        <w:keepNext w:val="0"/>
        <w:keepLines w:val="0"/>
        <w:pageBreakBefore w:val="0"/>
        <w:widowControl/>
        <w:tabs>
          <w:tab w:val="right" w:leader="dot" w:pos="8312"/>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_Toc25549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三、 投标文件的编制</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_Toc25549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34</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4995CBD1">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_Toc20247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11. 投标文件的语言及度量衡单位</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_Toc20247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34</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4933DDAE">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_Toc791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12. 投标文件的组成</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_Toc791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34</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57CD6459">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_Toc11375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13. 投标文件编制</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_Toc11375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34</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69385F03">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_Toc11149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14. 投标报价说明</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_Toc11149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32A6EAB0">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_Toc6963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15. 投标人所提供的服务或货物的证明文件</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_Toc6963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33B52C8E">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_Toc10734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16. 投标有效期</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_Toc10734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5C49C7BE">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_Toc13994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17. 投标保证金</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_Toc13994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36</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7166D9E0">
      <w:pPr>
        <w:pStyle w:val="16"/>
        <w:keepNext w:val="0"/>
        <w:keepLines w:val="0"/>
        <w:pageBreakBefore w:val="0"/>
        <w:widowControl/>
        <w:tabs>
          <w:tab w:val="right" w:leader="dot" w:pos="8312"/>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_Toc12255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四、 投标文件的递交</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_Toc12255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36</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6CCADC49">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_Toc18291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18. 投标文件的装订，签署，密封和标记</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_Toc18291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36</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0B07E504">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_Toc4813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19. 迟交的投标文件</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_Toc4813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219A4D6D">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_Toc26476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20. 投标样品（如需提交）</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_Toc26476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399DDECA">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_Toc16057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21. 投标截止期</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_Toc16057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106D3427">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_Toc3523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22. 投标文件的补充、修改与撤回</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_Toc3523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5237E4C2">
      <w:pPr>
        <w:pStyle w:val="16"/>
        <w:keepNext w:val="0"/>
        <w:keepLines w:val="0"/>
        <w:pageBreakBefore w:val="0"/>
        <w:widowControl/>
        <w:tabs>
          <w:tab w:val="right" w:leader="dot" w:pos="8312"/>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_Toc25729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五、 开标与评标</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_Toc25729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39</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5CE67656">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_Toc3232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23. 开标</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_Toc3232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39</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3566BBE2">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_Toc26474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24. 评标委员会及评标方法</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_Toc26474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39</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669479F6">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_Toc5383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25. 评审原则及评标过程的保密</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_Toc5383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40</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5C6D2582">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_Toc27633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26. 评标程序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_Toc27633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40</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25A183C7">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_Toc15075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27. 商务、技术、价格评审（具体评审项目详见投标资料表）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_Toc15075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42</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305DC81A">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_Toc14894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28. 纪律和保密事项</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_Toc14894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42</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4C7AAB27">
      <w:pPr>
        <w:pStyle w:val="16"/>
        <w:keepNext w:val="0"/>
        <w:keepLines w:val="0"/>
        <w:pageBreakBefore w:val="0"/>
        <w:widowControl/>
        <w:tabs>
          <w:tab w:val="right" w:leader="dot" w:pos="8312"/>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_Toc604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六、 授予合同</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_Toc604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42</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4BBB85B1">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_Toc30801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29. 合同授予标准</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_Toc30801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42</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7052F05B">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_Toc2276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30. 发布中标结果</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_Toc2276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43</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20E1E782">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_Toc9728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31. 资格后审</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_Toc9728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43</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79B6731A">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_Toc12192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32. 合同的签订与履行</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_Toc12192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43</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5A0BC1B5">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_Toc18329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33. 履约担保</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_Toc18329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44</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13367E90">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_Toc6673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34. 预付款保函（适用于预付款支付）</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_Toc6673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22C8BEE3">
      <w:pPr>
        <w:pStyle w:val="16"/>
        <w:keepNext w:val="0"/>
        <w:keepLines w:val="0"/>
        <w:pageBreakBefore w:val="0"/>
        <w:widowControl/>
        <w:tabs>
          <w:tab w:val="right" w:leader="dot" w:pos="8312"/>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_Toc26799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七、 异议</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_Toc26799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6BA201ED">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_Toc11060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35. 异议</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_Toc11060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09C316A6">
      <w:pPr>
        <w:pStyle w:val="16"/>
        <w:keepNext w:val="0"/>
        <w:keepLines w:val="0"/>
        <w:pageBreakBefore w:val="0"/>
        <w:widowControl/>
        <w:tabs>
          <w:tab w:val="right" w:leader="dot" w:pos="8312"/>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_Toc5942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八、 其他</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_Toc5942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46</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206B20BC">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_Toc15472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36. 采购文件的解释权</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_Toc15472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46</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73F1BEE2">
      <w:pPr>
        <w:pStyle w:val="27"/>
        <w:keepNext w:val="0"/>
        <w:keepLines w:val="0"/>
        <w:pageBreakBefore w:val="0"/>
        <w:widowControl/>
        <w:tabs>
          <w:tab w:val="right" w:leader="dot" w:pos="8312"/>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_Toc17716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第五部分  合同条款格式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_Toc17716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47</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4E4D12D3">
      <w:pPr>
        <w:pStyle w:val="27"/>
        <w:keepNext w:val="0"/>
        <w:keepLines w:val="0"/>
        <w:pageBreakBefore w:val="0"/>
        <w:widowControl/>
        <w:tabs>
          <w:tab w:val="right" w:leader="dot" w:pos="8312"/>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_Toc25856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第六部分附件－投标文件格式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_Toc25856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57</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240B4AC4">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_Toc11519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投标文件目录</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_Toc11519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57</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47B22AC7">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_Toc7626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附件1.评分标准索引表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_Toc7626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551C7003">
      <w:pPr>
        <w:pStyle w:val="27"/>
        <w:keepNext w:val="0"/>
        <w:keepLines w:val="0"/>
        <w:pageBreakBefore w:val="0"/>
        <w:widowControl/>
        <w:tabs>
          <w:tab w:val="right" w:leader="dot" w:pos="8312"/>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_Toc29763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价格文件</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_Toc29763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59</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2880A374">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_Toc11448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附件2.开标一览表格式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_Toc11448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60</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2963DED7">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_Toc27754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分项报价表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_Toc27754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61</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1AECEA46">
      <w:pPr>
        <w:pStyle w:val="27"/>
        <w:keepNext w:val="0"/>
        <w:keepLines w:val="0"/>
        <w:pageBreakBefore w:val="0"/>
        <w:widowControl/>
        <w:tabs>
          <w:tab w:val="right" w:leader="dot" w:pos="8312"/>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_Toc23567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商务文件</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_Toc23567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62</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68905734">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_Toc800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附件4.投标书格式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_Toc800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63</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5F06AB6B">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_Toc25950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附件5.法定代表人证明书格式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_Toc25950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64</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2D3E13EE">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_Toc19456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附件6.法定代表人授权书格式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_Toc19456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65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54704342">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_Toc29942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附件7.资格申明</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_Toc29942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66</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7E53D15D">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_Toc5300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附件8.营业执照</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_Toc5300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67</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1D9EBB19">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_Toc4617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附件9.相关资质证明文件</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_Toc4617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68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756B1A66">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_Toc16142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附件10.在经营活动中没有重大违法记录的书面声明格式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_Toc16142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69</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12B0D08B">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_Toc22756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附件11.承诺书格式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_Toc22756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70</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683BAF38">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_Toc14560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附件12.商务需求条款偏离表格式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_Toc14560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71</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133A5003">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_Toc8164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附件13.业绩表</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_Toc8164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72</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0211DE2D">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_Toc26526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附件14.联合体协议书（如有）</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_Toc26526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73</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614FA3DB">
      <w:pPr>
        <w:pStyle w:val="27"/>
        <w:keepNext w:val="0"/>
        <w:keepLines w:val="0"/>
        <w:pageBreakBefore w:val="0"/>
        <w:widowControl/>
        <w:tabs>
          <w:tab w:val="right" w:leader="dot" w:pos="8312"/>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_Toc9487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技术文件</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_Toc9487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75</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6646DCBE">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_Toc19985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附件15. 技术规格偏离表格式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_Toc19985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76</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40325BF7">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_Toc4473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附件16.项目实施方案格式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_Toc4473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77</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1FC8694B">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_Toc9381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附件17.实施本项目的有关人员资料表格式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_Toc9381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78</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67C2573E">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_Toc18659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附件18.投标保证金汇入情况说明格式</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_Toc18659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79</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0EB256E0">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_Toc8469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附件19.不可撤销履约保函</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_Toc8469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81</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02C0970F">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_Toc28464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附件20.预付款保函（适用于预付款支付）</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_Toc28464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82</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45D3C73E">
      <w:pPr>
        <w:pStyle w:val="27"/>
        <w:keepNext w:val="0"/>
        <w:keepLines w:val="0"/>
        <w:pageBreakBefore w:val="0"/>
        <w:widowControl/>
        <w:tabs>
          <w:tab w:val="right" w:leader="dot" w:pos="8312"/>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_Toc20606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唱标信封</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_Toc20606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83</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0876F51A">
      <w:pPr>
        <w:pStyle w:val="23"/>
        <w:keepNext w:val="0"/>
        <w:keepLines w:val="0"/>
        <w:pageBreakBefore w:val="0"/>
        <w:widowControl/>
        <w:tabs>
          <w:tab w:val="right" w:leader="dot" w:pos="8312"/>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rPr>
      </w:pP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\l _Toc6821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附件21.唱标信封内装（内容务必与投标文件正本一致）</w:t>
      </w:r>
      <w:r>
        <w:rPr>
          <w:rFonts w:hint="eastAsia" w:ascii="宋体" w:hAnsi="宋体" w:eastAsia="宋体" w:cs="宋体"/>
          <w:color w:val="auto"/>
          <w:sz w:val="21"/>
          <w:szCs w:val="21"/>
        </w:rPr>
        <w:tab/>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PAGEREF _Toc6821 \h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84</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fldChar w:fldCharType="end"/>
      </w:r>
    </w:p>
    <w:p w14:paraId="6CFECFF9">
      <w:pPr>
        <w:pStyle w:val="27"/>
        <w:tabs>
          <w:tab w:val="right" w:leader="dot" w:pos="8306"/>
          <w:tab w:val="clear" w:pos="8296"/>
        </w:tabs>
        <w:ind w:left="0" w:leftChars="0"/>
        <w:rPr>
          <w:rFonts w:hint="eastAsia" w:ascii="宋体" w:hAnsi="宋体" w:eastAsia="宋体" w:cs="宋体"/>
          <w:color w:val="auto"/>
          <w:sz w:val="21"/>
          <w:szCs w:val="21"/>
        </w:rPr>
      </w:pPr>
      <w:r>
        <w:rPr>
          <w:rFonts w:hint="eastAsia" w:ascii="宋体" w:hAnsi="宋体" w:eastAsia="宋体" w:cs="宋体"/>
          <w:color w:val="auto"/>
          <w:szCs w:val="21"/>
        </w:rPr>
        <w:fldChar w:fldCharType="end"/>
      </w:r>
    </w:p>
    <w:p w14:paraId="067D7893">
      <w:pPr>
        <w:rPr>
          <w:rFonts w:hint="eastAsia" w:ascii="宋体" w:hAnsi="宋体" w:eastAsia="宋体" w:cs="宋体"/>
          <w:color w:val="auto"/>
          <w:szCs w:val="21"/>
        </w:rPr>
      </w:pPr>
      <w:r>
        <w:rPr>
          <w:rFonts w:hint="eastAsia" w:ascii="宋体" w:hAnsi="宋体" w:eastAsia="宋体" w:cs="宋体"/>
          <w:color w:val="auto"/>
          <w:szCs w:val="21"/>
        </w:rPr>
        <w:br w:type="page"/>
      </w:r>
    </w:p>
    <w:p w14:paraId="16874F49">
      <w:pPr>
        <w:pStyle w:val="3"/>
        <w:spacing w:before="0" w:after="0" w:line="240" w:lineRule="auto"/>
        <w:rPr>
          <w:rFonts w:hint="eastAsia" w:ascii="宋体" w:hAnsi="宋体" w:eastAsia="宋体" w:cs="宋体"/>
          <w:color w:val="auto"/>
          <w:sz w:val="28"/>
          <w:szCs w:val="28"/>
        </w:rPr>
      </w:pPr>
      <w:bookmarkStart w:id="0" w:name="_Toc18176"/>
      <w:r>
        <w:rPr>
          <w:rFonts w:hint="eastAsia" w:ascii="宋体" w:hAnsi="宋体" w:eastAsia="宋体" w:cs="宋体"/>
          <w:color w:val="auto"/>
          <w:sz w:val="28"/>
          <w:szCs w:val="28"/>
        </w:rPr>
        <w:t>第一部分投标邀请</w:t>
      </w:r>
      <w:bookmarkEnd w:id="0"/>
    </w:p>
    <w:p w14:paraId="5FF9599E">
      <w:pPr>
        <w:pStyle w:val="4"/>
        <w:spacing w:line="360" w:lineRule="auto"/>
        <w:jc w:val="center"/>
        <w:rPr>
          <w:rFonts w:hint="eastAsia" w:ascii="宋体" w:hAnsi="宋体" w:eastAsia="宋体" w:cs="宋体"/>
          <w:color w:val="auto"/>
        </w:rPr>
      </w:pPr>
      <w:bookmarkStart w:id="1" w:name="_Toc31908"/>
      <w:r>
        <w:rPr>
          <w:rFonts w:hint="eastAsia" w:ascii="宋体" w:hAnsi="宋体" w:eastAsia="宋体" w:cs="宋体"/>
          <w:color w:val="auto"/>
        </w:rPr>
        <w:t>投标邀请书</w:t>
      </w:r>
      <w:bookmarkEnd w:id="1"/>
    </w:p>
    <w:p w14:paraId="7BEFE1C7">
      <w:pPr>
        <w:ind w:firstLine="420" w:firstLineChars="200"/>
        <w:jc w:val="both"/>
        <w:rPr>
          <w:rFonts w:hint="eastAsia" w:ascii="宋体" w:hAnsi="宋体" w:eastAsia="宋体" w:cs="宋体"/>
          <w:color w:val="auto"/>
          <w:szCs w:val="21"/>
        </w:rPr>
      </w:pPr>
      <w:r>
        <w:rPr>
          <w:rFonts w:hint="eastAsia" w:ascii="宋体" w:hAnsi="宋体" w:eastAsia="宋体" w:cs="宋体"/>
          <w:b/>
          <w:color w:val="auto"/>
          <w:szCs w:val="21"/>
          <w:u w:val="single"/>
        </w:rPr>
        <w:t>广东中科招标有限公司</w:t>
      </w:r>
      <w:r>
        <w:rPr>
          <w:rFonts w:hint="eastAsia" w:ascii="宋体" w:hAnsi="宋体" w:eastAsia="宋体" w:cs="宋体"/>
          <w:color w:val="auto"/>
          <w:szCs w:val="21"/>
        </w:rPr>
        <w:t>（以下简称“采购代理机构”）受</w:t>
      </w:r>
      <w:r>
        <w:rPr>
          <w:rFonts w:hint="eastAsia" w:ascii="宋体" w:hAnsi="宋体" w:eastAsia="宋体" w:cs="宋体"/>
          <w:b/>
          <w:color w:val="auto"/>
          <w:szCs w:val="21"/>
          <w:u w:val="single"/>
        </w:rPr>
        <w:t>东莞市安居建设投资有限公司</w:t>
      </w:r>
      <w:r>
        <w:rPr>
          <w:rFonts w:hint="eastAsia" w:ascii="宋体" w:hAnsi="宋体" w:eastAsia="宋体" w:cs="宋体"/>
          <w:color w:val="auto"/>
          <w:szCs w:val="21"/>
        </w:rPr>
        <w:t>（以下简称“采购人”）委托，现就</w:t>
      </w:r>
      <w:r>
        <w:rPr>
          <w:rFonts w:hint="eastAsia" w:ascii="宋体" w:hAnsi="宋体" w:eastAsia="宋体" w:cs="宋体"/>
          <w:bCs/>
          <w:color w:val="auto"/>
          <w:szCs w:val="21"/>
          <w:u w:val="single"/>
          <w:lang w:eastAsia="zh-CN"/>
        </w:rPr>
        <w:t>2026年东莞市安居建设投资有限公司莞寓2.0系统功能开发项目</w:t>
      </w:r>
      <w:r>
        <w:rPr>
          <w:rFonts w:hint="eastAsia" w:ascii="宋体" w:hAnsi="宋体" w:eastAsia="宋体" w:cs="宋体"/>
          <w:color w:val="auto"/>
          <w:szCs w:val="21"/>
        </w:rPr>
        <w:t>（项目编号：</w:t>
      </w:r>
      <w:r>
        <w:rPr>
          <w:rFonts w:hint="eastAsia" w:ascii="宋体" w:hAnsi="宋体" w:eastAsia="宋体" w:cs="宋体"/>
          <w:b/>
          <w:color w:val="auto"/>
          <w:szCs w:val="21"/>
          <w:u w:val="single"/>
          <w:lang w:eastAsia="zh-CN"/>
        </w:rPr>
        <w:t>AJJS-KF-05-01-18(2026)</w:t>
      </w:r>
      <w:r>
        <w:rPr>
          <w:rFonts w:hint="eastAsia" w:ascii="宋体" w:hAnsi="宋体" w:eastAsia="宋体" w:cs="宋体"/>
          <w:color w:val="auto"/>
          <w:szCs w:val="21"/>
        </w:rPr>
        <w:t>）进行国内公开采购，欢迎符合采购文件要求的国内投标人参加投标。有关事项如下：</w:t>
      </w:r>
    </w:p>
    <w:p w14:paraId="3CB59843">
      <w:pPr>
        <w:ind w:firstLine="411" w:firstLineChars="196"/>
        <w:jc w:val="both"/>
        <w:rPr>
          <w:rFonts w:hint="eastAsia" w:ascii="宋体" w:hAnsi="宋体" w:eastAsia="宋体" w:cs="宋体"/>
          <w:b/>
          <w:color w:val="auto"/>
          <w:szCs w:val="21"/>
        </w:rPr>
      </w:pPr>
    </w:p>
    <w:p w14:paraId="1D9F1DAE">
      <w:pPr>
        <w:ind w:firstLine="413"/>
        <w:jc w:val="both"/>
        <w:rPr>
          <w:rFonts w:hint="eastAsia" w:ascii="宋体" w:hAnsi="宋体" w:eastAsia="宋体" w:cs="宋体"/>
          <w:b/>
          <w:color w:val="auto"/>
          <w:szCs w:val="21"/>
        </w:rPr>
      </w:pPr>
      <w:r>
        <w:rPr>
          <w:rFonts w:hint="eastAsia" w:ascii="宋体" w:hAnsi="宋体" w:eastAsia="宋体" w:cs="宋体"/>
          <w:b/>
          <w:color w:val="auto"/>
          <w:szCs w:val="21"/>
        </w:rPr>
        <w:t>一、采购项目概况</w:t>
      </w:r>
    </w:p>
    <w:p w14:paraId="7C425FCB">
      <w:pPr>
        <w:ind w:firstLine="420" w:firstLineChars="200"/>
        <w:jc w:val="both"/>
        <w:rPr>
          <w:rFonts w:hint="eastAsia" w:ascii="宋体" w:hAnsi="宋体" w:eastAsia="宋体" w:cs="宋体"/>
          <w:color w:val="auto"/>
          <w:szCs w:val="21"/>
          <w:lang w:eastAsia="zh-CN"/>
        </w:rPr>
      </w:pPr>
      <w:r>
        <w:rPr>
          <w:rFonts w:hint="eastAsia" w:ascii="宋体" w:hAnsi="宋体" w:eastAsia="宋体" w:cs="宋体"/>
          <w:color w:val="auto"/>
          <w:szCs w:val="21"/>
        </w:rPr>
        <w:t>1、采购项目名称：</w:t>
      </w:r>
      <w:r>
        <w:rPr>
          <w:rFonts w:hint="eastAsia" w:ascii="宋体" w:hAnsi="宋体" w:eastAsia="宋体" w:cs="宋体"/>
          <w:bCs/>
          <w:color w:val="auto"/>
          <w:szCs w:val="21"/>
          <w:u w:val="single"/>
          <w:lang w:eastAsia="zh-CN"/>
        </w:rPr>
        <w:t>2026年东莞市安居建设投资有限公司莞寓2.0系统功能开发项目</w:t>
      </w:r>
    </w:p>
    <w:p w14:paraId="1961E8CF">
      <w:pPr>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2、预算金额（含税）（元）：¥</w:t>
      </w:r>
      <w:r>
        <w:rPr>
          <w:rFonts w:hint="eastAsia" w:ascii="宋体" w:hAnsi="宋体" w:eastAsia="宋体" w:cs="宋体"/>
          <w:color w:val="auto"/>
          <w:szCs w:val="21"/>
          <w:lang w:eastAsia="zh-CN"/>
        </w:rPr>
        <w:t>572,400.00</w:t>
      </w:r>
      <w:r>
        <w:rPr>
          <w:rFonts w:hint="eastAsia" w:ascii="宋体" w:hAnsi="宋体" w:eastAsia="宋体" w:cs="宋体"/>
          <w:color w:val="auto"/>
          <w:szCs w:val="21"/>
        </w:rPr>
        <w:t>元</w:t>
      </w:r>
    </w:p>
    <w:p w14:paraId="5C2CFCA1">
      <w:pPr>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3、项目内容：</w:t>
      </w:r>
    </w:p>
    <w:tbl>
      <w:tblPr>
        <w:tblStyle w:val="34"/>
        <w:tblW w:w="43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03"/>
        <w:gridCol w:w="1575"/>
      </w:tblGrid>
      <w:tr w14:paraId="5C88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3932" w:type="pct"/>
            <w:vAlign w:val="center"/>
          </w:tcPr>
          <w:p w14:paraId="0DE2779D">
            <w:pPr>
              <w:jc w:val="center"/>
              <w:rPr>
                <w:rFonts w:hint="eastAsia" w:ascii="宋体" w:hAnsi="宋体" w:eastAsia="宋体" w:cs="宋体"/>
                <w:color w:val="auto"/>
                <w:kern w:val="28"/>
                <w:szCs w:val="21"/>
              </w:rPr>
            </w:pPr>
            <w:r>
              <w:rPr>
                <w:rFonts w:hint="eastAsia" w:ascii="宋体" w:hAnsi="宋体" w:eastAsia="宋体" w:cs="宋体"/>
                <w:color w:val="auto"/>
                <w:kern w:val="28"/>
                <w:szCs w:val="21"/>
              </w:rPr>
              <w:t>项目内容</w:t>
            </w:r>
          </w:p>
        </w:tc>
        <w:tc>
          <w:tcPr>
            <w:tcW w:w="1067" w:type="pct"/>
            <w:vAlign w:val="center"/>
          </w:tcPr>
          <w:p w14:paraId="44137C08">
            <w:pPr>
              <w:jc w:val="center"/>
              <w:rPr>
                <w:rFonts w:hint="eastAsia" w:ascii="宋体" w:hAnsi="宋体" w:eastAsia="宋体" w:cs="宋体"/>
                <w:color w:val="auto"/>
                <w:kern w:val="28"/>
                <w:szCs w:val="21"/>
              </w:rPr>
            </w:pPr>
            <w:r>
              <w:rPr>
                <w:rFonts w:hint="eastAsia" w:ascii="宋体" w:hAnsi="宋体" w:eastAsia="宋体" w:cs="宋体"/>
                <w:color w:val="auto"/>
                <w:kern w:val="28"/>
                <w:szCs w:val="21"/>
              </w:rPr>
              <w:t>采购单位数量</w:t>
            </w:r>
          </w:p>
        </w:tc>
      </w:tr>
      <w:tr w14:paraId="0C2CE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3932" w:type="pct"/>
            <w:vAlign w:val="center"/>
          </w:tcPr>
          <w:p w14:paraId="030824C1">
            <w:pPr>
              <w:jc w:val="center"/>
              <w:rPr>
                <w:rFonts w:hint="eastAsia" w:ascii="宋体" w:hAnsi="宋体" w:eastAsia="宋体" w:cs="宋体"/>
                <w:bCs/>
                <w:color w:val="auto"/>
                <w:szCs w:val="21"/>
                <w:lang w:eastAsia="zh-CN"/>
              </w:rPr>
            </w:pPr>
            <w:r>
              <w:rPr>
                <w:rFonts w:hint="eastAsia" w:ascii="宋体" w:hAnsi="宋体" w:eastAsia="宋体" w:cs="宋体"/>
                <w:bCs/>
                <w:color w:val="auto"/>
                <w:szCs w:val="21"/>
                <w:lang w:eastAsia="zh-CN"/>
              </w:rPr>
              <w:t>2026年东莞市安居建设投资有限公司莞寓2.0系统功能开发项目</w:t>
            </w:r>
          </w:p>
        </w:tc>
        <w:tc>
          <w:tcPr>
            <w:tcW w:w="1067" w:type="pct"/>
            <w:vAlign w:val="center"/>
          </w:tcPr>
          <w:p w14:paraId="6A76B04A">
            <w:pPr>
              <w:jc w:val="center"/>
              <w:rPr>
                <w:rFonts w:hint="eastAsia" w:ascii="宋体" w:hAnsi="宋体" w:eastAsia="宋体" w:cs="宋体"/>
                <w:color w:val="auto"/>
                <w:szCs w:val="21"/>
              </w:rPr>
            </w:pPr>
            <w:r>
              <w:rPr>
                <w:rFonts w:hint="eastAsia" w:ascii="宋体" w:hAnsi="宋体" w:eastAsia="宋体" w:cs="宋体"/>
                <w:color w:val="auto"/>
                <w:szCs w:val="21"/>
              </w:rPr>
              <w:t>1</w:t>
            </w:r>
          </w:p>
        </w:tc>
      </w:tr>
    </w:tbl>
    <w:p w14:paraId="2CA30EC8">
      <w:pPr>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4、项目需求：</w:t>
      </w:r>
    </w:p>
    <w:p w14:paraId="067AC7C1">
      <w:pPr>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详细内容请参阅采购文件第三部分《用户需求书》。</w:t>
      </w:r>
    </w:p>
    <w:p w14:paraId="5D89195E">
      <w:pPr>
        <w:ind w:firstLine="411" w:firstLineChars="196"/>
        <w:jc w:val="both"/>
        <w:rPr>
          <w:rFonts w:hint="eastAsia" w:ascii="宋体" w:hAnsi="宋体" w:eastAsia="宋体" w:cs="宋体"/>
          <w:b/>
          <w:color w:val="auto"/>
          <w:szCs w:val="21"/>
        </w:rPr>
      </w:pPr>
    </w:p>
    <w:p w14:paraId="6F9F1578">
      <w:pPr>
        <w:ind w:firstLine="411" w:firstLineChars="196"/>
        <w:jc w:val="both"/>
        <w:rPr>
          <w:rFonts w:hint="eastAsia" w:ascii="宋体" w:hAnsi="宋体" w:eastAsia="宋体" w:cs="宋体"/>
          <w:b/>
          <w:color w:val="auto"/>
          <w:szCs w:val="21"/>
        </w:rPr>
      </w:pPr>
      <w:r>
        <w:rPr>
          <w:rFonts w:hint="eastAsia" w:ascii="宋体" w:hAnsi="宋体" w:eastAsia="宋体" w:cs="宋体"/>
          <w:b/>
          <w:color w:val="auto"/>
          <w:szCs w:val="21"/>
        </w:rPr>
        <w:t>二、投标人资格要求</w:t>
      </w:r>
    </w:p>
    <w:p w14:paraId="45079321">
      <w:pPr>
        <w:ind w:firstLine="411" w:firstLineChars="196"/>
        <w:jc w:val="both"/>
        <w:rPr>
          <w:rFonts w:hint="eastAsia" w:ascii="宋体" w:hAnsi="宋体" w:eastAsia="宋体" w:cs="宋体"/>
          <w:color w:val="auto"/>
          <w:szCs w:val="21"/>
        </w:rPr>
      </w:pPr>
      <w:r>
        <w:rPr>
          <w:rFonts w:hint="eastAsia" w:ascii="宋体" w:hAnsi="宋体" w:eastAsia="宋体" w:cs="宋体"/>
          <w:color w:val="auto"/>
          <w:szCs w:val="21"/>
        </w:rPr>
        <w:t>1、一般要求：</w:t>
      </w:r>
    </w:p>
    <w:p w14:paraId="4EA4409D">
      <w:pPr>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1）投标人须为在中华人民共和国境内登记注册的具有独立承担民事责任能力的法人或其他组织【提供《营业执照》复印件（加盖公章）或《事业单位法人证书》复印件（加盖公章）或其他主体证书复印件（加盖公章）】。</w:t>
      </w:r>
    </w:p>
    <w:p w14:paraId="0E4FA8E5">
      <w:pPr>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2）参加采购活动前三年内，在经营活动中没有重大违法记录（须提供书面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如有最新发文通知，按最新文件执行）。</w:t>
      </w:r>
    </w:p>
    <w:p w14:paraId="210F1536">
      <w:pPr>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（3）投标人的单位负责人为同一人或者存在直接控股、管理关系的不同投标人，不得参加同一合同项下的采购活动。</w:t>
      </w:r>
    </w:p>
    <w:p w14:paraId="5AAD7F0C">
      <w:pPr>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（4）未被列入“信用中国”网站(www.creditchina.gov.cn )“记录失信被执行人或</w:t>
      </w:r>
      <w:r>
        <w:rPr>
          <w:rFonts w:hint="eastAsia" w:ascii="宋体" w:hAnsi="宋体" w:eastAsia="宋体" w:cs="宋体"/>
          <w:color w:val="auto"/>
        </w:rPr>
        <w:t>重大税收违法失信主体</w:t>
      </w:r>
      <w:r>
        <w:rPr>
          <w:rFonts w:hint="eastAsia" w:ascii="宋体" w:hAnsi="宋体" w:eastAsia="宋体" w:cs="宋体"/>
          <w:color w:val="auto"/>
          <w:szCs w:val="21"/>
        </w:rPr>
        <w:t>或政府采购严重违法失信行为”记录名单。以代理机构于投标截止日当天在“信用中国”网站查询结果为准，如相关失信记录已失效，投标人需提供相关证明资料。</w:t>
      </w:r>
    </w:p>
    <w:p w14:paraId="4CEFE5AC">
      <w:pPr>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5）未被列入东实集团及下属企业相关领域黑名单。【以东莞实业投资控股集团有限公司发文（东实通〔2021〕44号）、（东实通〔2021〕98号）、（东实通〔2022〕75号）、（东实通〔2023〕37号）、（东实通〔2024〕163号）、（东实通〔2024〕195号）、（东实通〔2025〕157号）为准，如有最新发文通知，按最新文件执行。】</w:t>
      </w:r>
    </w:p>
    <w:p w14:paraId="2A4ACA0F">
      <w:pPr>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2、其他要求：</w:t>
      </w:r>
    </w:p>
    <w:p w14:paraId="5278694C">
      <w:pPr>
        <w:pStyle w:val="33"/>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（1）本项目不接受分公司投标。</w:t>
      </w:r>
    </w:p>
    <w:p w14:paraId="718EB4BD">
      <w:pPr>
        <w:pStyle w:val="33"/>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（2）本项目不接受联合体投标。</w:t>
      </w:r>
    </w:p>
    <w:p w14:paraId="12365B5F">
      <w:pPr>
        <w:ind w:firstLine="411" w:firstLineChars="196"/>
        <w:jc w:val="both"/>
        <w:rPr>
          <w:rFonts w:hint="eastAsia" w:ascii="宋体" w:hAnsi="宋体" w:eastAsia="宋体" w:cs="宋体"/>
          <w:b/>
          <w:color w:val="auto"/>
          <w:szCs w:val="21"/>
        </w:rPr>
      </w:pPr>
      <w:r>
        <w:rPr>
          <w:rFonts w:hint="eastAsia" w:ascii="宋体" w:hAnsi="宋体" w:eastAsia="宋体" w:cs="宋体"/>
          <w:b/>
          <w:color w:val="auto"/>
          <w:szCs w:val="21"/>
        </w:rPr>
        <w:t>三、获取采购文件方式及要求：</w:t>
      </w:r>
    </w:p>
    <w:p w14:paraId="4A5C0EA6">
      <w:pPr>
        <w:wordWrap w:val="0"/>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本项目不进行实名登记报名，拟参加投标的投标人可于投标截止时间前自行网上下载采购文件。采购文件下载地址</w:t>
      </w:r>
      <w:r>
        <w:rPr>
          <w:rFonts w:hint="eastAsia" w:ascii="宋体" w:hAnsi="宋体" w:eastAsia="宋体" w:cs="宋体"/>
          <w:color w:val="auto"/>
          <w:szCs w:val="21"/>
          <w:u w:val="single"/>
        </w:rPr>
        <w:t>中国招标投标公共服务平台（http://www.cebpubservice.com/）、东莞实业投资控股集团有限公司-招标采购栏目（http://www.dgsy.com.cn/）、东莞市安居建设投资有限公司网站（https://www.0769anju.com/）、广东中科招标有限公司官网（http://www.zkzbgd.com/）。</w:t>
      </w:r>
    </w:p>
    <w:p w14:paraId="48AAC68D">
      <w:pPr>
        <w:ind w:firstLine="411" w:firstLineChars="196"/>
        <w:jc w:val="both"/>
        <w:rPr>
          <w:rFonts w:hint="eastAsia" w:ascii="宋体" w:hAnsi="宋体" w:eastAsia="宋体" w:cs="宋体"/>
          <w:b/>
          <w:color w:val="auto"/>
          <w:szCs w:val="21"/>
        </w:rPr>
      </w:pPr>
      <w:r>
        <w:rPr>
          <w:rFonts w:hint="eastAsia" w:ascii="宋体" w:hAnsi="宋体" w:eastAsia="宋体" w:cs="宋体"/>
          <w:b/>
          <w:color w:val="auto"/>
          <w:szCs w:val="21"/>
        </w:rPr>
        <w:t>四、投标文件的递交</w:t>
      </w:r>
    </w:p>
    <w:p w14:paraId="5A8FFDAA">
      <w:pPr>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1、递交投标文件时间：2026年</w:t>
      </w:r>
      <w:r>
        <w:rPr>
          <w:rFonts w:hint="eastAsia" w:ascii="宋体" w:hAnsi="宋体" w:cs="宋体"/>
          <w:color w:val="auto"/>
          <w:szCs w:val="21"/>
          <w:u w:val="single"/>
          <w:lang w:val="en-US" w:eastAsia="zh-CN"/>
        </w:rPr>
        <w:t>9</w:t>
      </w:r>
      <w:r>
        <w:rPr>
          <w:rFonts w:hint="eastAsia" w:ascii="宋体" w:hAnsi="宋体" w:eastAsia="宋体" w:cs="宋体"/>
          <w:color w:val="auto"/>
          <w:szCs w:val="21"/>
        </w:rPr>
        <w:t>月</w:t>
      </w:r>
      <w:r>
        <w:rPr>
          <w:rFonts w:hint="eastAsia" w:ascii="宋体" w:hAnsi="宋体" w:cs="宋体"/>
          <w:color w:val="auto"/>
          <w:szCs w:val="21"/>
          <w:u w:val="single"/>
          <w:lang w:val="en-US" w:eastAsia="zh-CN"/>
        </w:rPr>
        <w:t>28</w:t>
      </w:r>
      <w:r>
        <w:rPr>
          <w:rFonts w:hint="eastAsia" w:ascii="宋体" w:hAnsi="宋体" w:eastAsia="宋体" w:cs="宋体"/>
          <w:color w:val="auto"/>
          <w:szCs w:val="21"/>
        </w:rPr>
        <w:t>日（北京时间）</w:t>
      </w:r>
      <w:r>
        <w:rPr>
          <w:rFonts w:hint="eastAsia" w:ascii="宋体" w:hAnsi="宋体" w:eastAsia="宋体" w:cs="宋体"/>
          <w:color w:val="auto"/>
          <w:szCs w:val="21"/>
          <w:u w:val="single"/>
        </w:rPr>
        <w:t>14</w:t>
      </w:r>
      <w:r>
        <w:rPr>
          <w:rFonts w:hint="eastAsia" w:ascii="宋体" w:hAnsi="宋体" w:eastAsia="宋体" w:cs="宋体"/>
          <w:color w:val="auto"/>
          <w:szCs w:val="21"/>
        </w:rPr>
        <w:t>:</w:t>
      </w:r>
      <w:r>
        <w:rPr>
          <w:rFonts w:hint="eastAsia" w:ascii="宋体" w:hAnsi="宋体" w:eastAsia="宋体" w:cs="宋体"/>
          <w:color w:val="auto"/>
          <w:szCs w:val="21"/>
          <w:u w:val="single"/>
        </w:rPr>
        <w:t>00</w:t>
      </w:r>
      <w:r>
        <w:rPr>
          <w:rFonts w:hint="eastAsia" w:ascii="宋体" w:hAnsi="宋体" w:eastAsia="宋体" w:cs="宋体"/>
          <w:color w:val="auto"/>
          <w:szCs w:val="21"/>
        </w:rPr>
        <w:t>-</w:t>
      </w:r>
      <w:r>
        <w:rPr>
          <w:rFonts w:hint="eastAsia" w:ascii="宋体" w:hAnsi="宋体" w:eastAsia="宋体" w:cs="宋体"/>
          <w:color w:val="auto"/>
          <w:szCs w:val="21"/>
          <w:u w:val="single"/>
        </w:rPr>
        <w:t>14</w:t>
      </w:r>
      <w:r>
        <w:rPr>
          <w:rFonts w:hint="eastAsia" w:ascii="宋体" w:hAnsi="宋体" w:eastAsia="宋体" w:cs="宋体"/>
          <w:color w:val="auto"/>
          <w:szCs w:val="21"/>
        </w:rPr>
        <w:t>:</w:t>
      </w:r>
      <w:r>
        <w:rPr>
          <w:rFonts w:hint="eastAsia" w:ascii="宋体" w:hAnsi="宋体" w:eastAsia="宋体" w:cs="宋体"/>
          <w:color w:val="auto"/>
          <w:szCs w:val="21"/>
          <w:u w:val="single"/>
        </w:rPr>
        <w:t>30</w:t>
      </w:r>
      <w:r>
        <w:rPr>
          <w:rFonts w:hint="eastAsia" w:ascii="宋体" w:hAnsi="宋体" w:eastAsia="宋体" w:cs="宋体"/>
          <w:color w:val="auto"/>
          <w:szCs w:val="21"/>
        </w:rPr>
        <w:t>。</w:t>
      </w:r>
    </w:p>
    <w:p w14:paraId="610358EB">
      <w:pPr>
        <w:ind w:firstLine="420" w:firstLineChars="200"/>
        <w:jc w:val="both"/>
        <w:rPr>
          <w:rFonts w:hint="eastAsia" w:ascii="宋体" w:hAnsi="宋体" w:eastAsia="宋体" w:cs="宋体"/>
          <w:b/>
          <w:color w:val="auto"/>
          <w:szCs w:val="21"/>
        </w:rPr>
      </w:pPr>
      <w:r>
        <w:rPr>
          <w:rFonts w:hint="eastAsia" w:ascii="宋体" w:hAnsi="宋体" w:eastAsia="宋体" w:cs="宋体"/>
          <w:color w:val="auto"/>
          <w:szCs w:val="21"/>
        </w:rPr>
        <w:t>2、递交投标文件截止及开标时间：2026年</w:t>
      </w:r>
      <w:r>
        <w:rPr>
          <w:rFonts w:hint="eastAsia" w:ascii="宋体" w:hAnsi="宋体" w:cs="宋体"/>
          <w:color w:val="auto"/>
          <w:szCs w:val="21"/>
          <w:u w:val="single"/>
          <w:lang w:val="en-US" w:eastAsia="zh-CN"/>
        </w:rPr>
        <w:t>9</w:t>
      </w:r>
      <w:r>
        <w:rPr>
          <w:rFonts w:hint="eastAsia" w:ascii="宋体" w:hAnsi="宋体" w:eastAsia="宋体" w:cs="宋体"/>
          <w:color w:val="auto"/>
          <w:szCs w:val="21"/>
        </w:rPr>
        <w:t>月</w:t>
      </w:r>
      <w:r>
        <w:rPr>
          <w:rFonts w:hint="eastAsia" w:ascii="宋体" w:hAnsi="宋体" w:cs="宋体"/>
          <w:color w:val="auto"/>
          <w:szCs w:val="21"/>
          <w:u w:val="single"/>
          <w:lang w:val="en-US" w:eastAsia="zh-CN"/>
        </w:rPr>
        <w:t>28</w:t>
      </w:r>
      <w:r>
        <w:rPr>
          <w:rFonts w:hint="eastAsia" w:ascii="宋体" w:hAnsi="宋体" w:eastAsia="宋体" w:cs="宋体"/>
          <w:color w:val="auto"/>
          <w:szCs w:val="21"/>
        </w:rPr>
        <w:t>日</w:t>
      </w:r>
      <w:r>
        <w:rPr>
          <w:rFonts w:hint="eastAsia" w:ascii="宋体" w:hAnsi="宋体" w:eastAsia="宋体" w:cs="宋体"/>
          <w:color w:val="auto"/>
          <w:szCs w:val="21"/>
          <w:u w:val="single"/>
        </w:rPr>
        <w:t>14</w:t>
      </w:r>
      <w:r>
        <w:rPr>
          <w:rFonts w:hint="eastAsia" w:ascii="宋体" w:hAnsi="宋体" w:eastAsia="宋体" w:cs="宋体"/>
          <w:color w:val="auto"/>
          <w:szCs w:val="21"/>
        </w:rPr>
        <w:t>:</w:t>
      </w:r>
      <w:r>
        <w:rPr>
          <w:rFonts w:hint="eastAsia" w:ascii="宋体" w:hAnsi="宋体" w:eastAsia="宋体" w:cs="宋体"/>
          <w:color w:val="auto"/>
          <w:szCs w:val="21"/>
          <w:u w:val="single"/>
        </w:rPr>
        <w:t>30</w:t>
      </w:r>
      <w:r>
        <w:rPr>
          <w:rFonts w:hint="eastAsia" w:ascii="宋体" w:hAnsi="宋体" w:eastAsia="宋体" w:cs="宋体"/>
          <w:color w:val="auto"/>
          <w:szCs w:val="21"/>
        </w:rPr>
        <w:t>（北京时间），所有投标文件应于截止时间之前递交，迟交或以电报、传真形式的投标文件将拒绝接收。</w:t>
      </w:r>
    </w:p>
    <w:p w14:paraId="58771A5E">
      <w:pPr>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3、开标地点：东莞市南城街道体育路南城段26号盈锋商务中心2栋708室（西区708室）。</w:t>
      </w:r>
    </w:p>
    <w:p w14:paraId="6C3B70AC">
      <w:pPr>
        <w:ind w:firstLine="411" w:firstLineChars="196"/>
        <w:jc w:val="both"/>
        <w:rPr>
          <w:rFonts w:hint="eastAsia" w:ascii="宋体" w:hAnsi="宋体" w:eastAsia="宋体" w:cs="宋体"/>
          <w:bCs/>
          <w:color w:val="auto"/>
          <w:szCs w:val="21"/>
        </w:rPr>
      </w:pPr>
      <w:r>
        <w:rPr>
          <w:rFonts w:hint="eastAsia" w:ascii="宋体" w:hAnsi="宋体" w:eastAsia="宋体" w:cs="宋体"/>
          <w:bCs/>
          <w:color w:val="auto"/>
          <w:szCs w:val="21"/>
        </w:rPr>
        <w:t>4、开标事宜：</w:t>
      </w:r>
      <w:r>
        <w:rPr>
          <w:rFonts w:hint="eastAsia" w:ascii="宋体" w:hAnsi="宋体" w:eastAsia="宋体" w:cs="宋体"/>
          <w:b/>
          <w:bCs/>
          <w:color w:val="auto"/>
          <w:szCs w:val="21"/>
        </w:rPr>
        <w:t>届时请投标人的法定代表人或其授权代表务必携带有效身份证明出席开标会</w:t>
      </w:r>
      <w:r>
        <w:rPr>
          <w:rFonts w:hint="eastAsia" w:ascii="宋体" w:hAnsi="宋体" w:eastAsia="宋体" w:cs="宋体"/>
          <w:bCs/>
          <w:color w:val="auto"/>
          <w:szCs w:val="21"/>
        </w:rPr>
        <w:t>。</w:t>
      </w:r>
    </w:p>
    <w:p w14:paraId="3F5E5F3C">
      <w:pPr>
        <w:pStyle w:val="4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5、出现以下情形时，采购代理机构不予接收投标（响应）文件：</w:t>
      </w:r>
    </w:p>
    <w:p w14:paraId="2278583E">
      <w:pPr>
        <w:pStyle w:val="4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ab/>
      </w:r>
      <w:r>
        <w:rPr>
          <w:rFonts w:hint="eastAsia" w:ascii="宋体" w:hAnsi="宋体" w:eastAsia="宋体" w:cs="宋体"/>
          <w:color w:val="auto"/>
          <w:sz w:val="21"/>
          <w:szCs w:val="21"/>
        </w:rPr>
        <w:t>（1）逾期送达或者未送达指定地点的；</w:t>
      </w:r>
    </w:p>
    <w:p w14:paraId="7DDDF506">
      <w:pPr>
        <w:pStyle w:val="4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ab/>
      </w:r>
      <w:r>
        <w:rPr>
          <w:rFonts w:hint="eastAsia" w:ascii="宋体" w:hAnsi="宋体" w:eastAsia="宋体" w:cs="宋体"/>
          <w:color w:val="auto"/>
          <w:sz w:val="21"/>
          <w:szCs w:val="21"/>
        </w:rPr>
        <w:t>（2）未按采购文件要求密封的。</w:t>
      </w:r>
    </w:p>
    <w:p w14:paraId="470DD15A">
      <w:pPr>
        <w:pStyle w:val="45"/>
        <w:ind w:firstLine="422"/>
        <w:rPr>
          <w:rFonts w:hint="eastAsia" w:ascii="宋体" w:hAnsi="宋体" w:eastAsia="宋体" w:cs="宋体"/>
          <w:b/>
          <w:color w:val="auto"/>
          <w:sz w:val="21"/>
          <w:szCs w:val="21"/>
        </w:rPr>
      </w:pPr>
      <w:r>
        <w:rPr>
          <w:rFonts w:hint="eastAsia" w:ascii="宋体" w:hAnsi="宋体" w:eastAsia="宋体" w:cs="宋体"/>
          <w:b/>
          <w:color w:val="auto"/>
          <w:sz w:val="21"/>
          <w:szCs w:val="21"/>
        </w:rPr>
        <w:t>五、发布公告的媒介</w:t>
      </w:r>
    </w:p>
    <w:p w14:paraId="7825525E">
      <w:pPr>
        <w:pStyle w:val="4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1、采购公告发布媒介：</w:t>
      </w:r>
    </w:p>
    <w:p w14:paraId="4AD5D6D6">
      <w:pPr>
        <w:pStyle w:val="4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中国招标投标公共服务平台（http://www.cebpubservice.com/）、东莞实业投资控股集团有限公司-招标采购栏目（http://www.dgsy.com.cn/）、东莞市安居建设投资有限公司网站（http://www.0769anju.com/）、广东中科招标有限公司官网（http://www.zkzbgd.com/）。</w:t>
      </w:r>
    </w:p>
    <w:p w14:paraId="089F9ECC">
      <w:pPr>
        <w:pStyle w:val="4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2、结果公告发布媒介：</w:t>
      </w:r>
    </w:p>
    <w:p w14:paraId="6E9B9D6C">
      <w:pPr>
        <w:pStyle w:val="45"/>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东莞实业投资控股集团有限公司-招标采购栏目（http://www.dgsy.com.cn/）。</w:t>
      </w:r>
    </w:p>
    <w:p w14:paraId="62F3239B">
      <w:pPr>
        <w:ind w:firstLine="411" w:firstLineChars="196"/>
        <w:jc w:val="both"/>
        <w:rPr>
          <w:rFonts w:hint="eastAsia" w:ascii="宋体" w:hAnsi="宋体" w:eastAsia="宋体" w:cs="宋体"/>
          <w:bCs/>
          <w:color w:val="auto"/>
          <w:szCs w:val="21"/>
        </w:rPr>
      </w:pPr>
      <w:r>
        <w:rPr>
          <w:rFonts w:hint="eastAsia" w:ascii="宋体" w:hAnsi="宋体" w:eastAsia="宋体" w:cs="宋体"/>
          <w:b/>
          <w:color w:val="auto"/>
          <w:szCs w:val="21"/>
        </w:rPr>
        <w:t>六、采购人及采购代理机构的名称、地址和联系方法：</w:t>
      </w:r>
    </w:p>
    <w:p w14:paraId="24A9D664">
      <w:pPr>
        <w:ind w:firstLine="420" w:firstLineChars="200"/>
        <w:jc w:val="both"/>
        <w:rPr>
          <w:rFonts w:hint="eastAsia" w:ascii="宋体" w:hAnsi="宋体" w:eastAsia="宋体" w:cs="宋体"/>
          <w:bCs/>
          <w:color w:val="auto"/>
          <w:szCs w:val="21"/>
        </w:rPr>
      </w:pPr>
      <w:r>
        <w:rPr>
          <w:rFonts w:hint="eastAsia" w:ascii="宋体" w:hAnsi="宋体" w:eastAsia="宋体" w:cs="宋体"/>
          <w:bCs/>
          <w:color w:val="auto"/>
          <w:szCs w:val="21"/>
        </w:rPr>
        <w:t>采购人名称：</w:t>
      </w:r>
      <w:r>
        <w:rPr>
          <w:rFonts w:hint="eastAsia" w:ascii="宋体" w:hAnsi="宋体" w:eastAsia="宋体" w:cs="宋体"/>
          <w:color w:val="auto"/>
          <w:szCs w:val="21"/>
        </w:rPr>
        <w:t>东莞市安居建设投资有限公司</w:t>
      </w:r>
    </w:p>
    <w:p w14:paraId="22926F14">
      <w:pPr>
        <w:ind w:firstLine="420" w:firstLineChars="200"/>
        <w:jc w:val="both"/>
        <w:rPr>
          <w:rFonts w:hint="eastAsia" w:ascii="宋体" w:hAnsi="宋体" w:eastAsia="宋体" w:cs="宋体"/>
          <w:bCs/>
          <w:color w:val="auto"/>
          <w:szCs w:val="21"/>
        </w:rPr>
      </w:pPr>
      <w:r>
        <w:rPr>
          <w:rFonts w:hint="eastAsia" w:ascii="宋体" w:hAnsi="宋体" w:eastAsia="宋体" w:cs="宋体"/>
          <w:bCs/>
          <w:color w:val="auto"/>
          <w:szCs w:val="21"/>
        </w:rPr>
        <w:t>采购人联系人：江工</w:t>
      </w:r>
    </w:p>
    <w:p w14:paraId="66BC274F">
      <w:pPr>
        <w:ind w:firstLine="420" w:firstLineChars="200"/>
        <w:jc w:val="both"/>
        <w:rPr>
          <w:rFonts w:hint="eastAsia" w:ascii="宋体" w:hAnsi="宋体" w:eastAsia="宋体" w:cs="宋体"/>
          <w:bCs/>
          <w:color w:val="auto"/>
          <w:szCs w:val="21"/>
        </w:rPr>
      </w:pPr>
      <w:r>
        <w:rPr>
          <w:rFonts w:hint="eastAsia" w:ascii="宋体" w:hAnsi="宋体" w:eastAsia="宋体" w:cs="宋体"/>
          <w:bCs/>
          <w:color w:val="auto"/>
          <w:szCs w:val="21"/>
        </w:rPr>
        <w:t>采购人地址：</w:t>
      </w:r>
      <w:r>
        <w:rPr>
          <w:rFonts w:hint="eastAsia" w:ascii="宋体" w:hAnsi="宋体" w:eastAsia="宋体" w:cs="宋体"/>
          <w:color w:val="auto"/>
          <w:szCs w:val="21"/>
        </w:rPr>
        <w:t>广东省东莞市东城街道莞长路东城段27号6栋</w:t>
      </w:r>
    </w:p>
    <w:p w14:paraId="5B3CE1C2">
      <w:pPr>
        <w:ind w:firstLine="420" w:firstLineChars="200"/>
        <w:jc w:val="both"/>
        <w:rPr>
          <w:rFonts w:hint="eastAsia" w:ascii="宋体" w:hAnsi="宋体" w:eastAsia="宋体" w:cs="宋体"/>
          <w:bCs/>
          <w:color w:val="auto"/>
          <w:szCs w:val="21"/>
        </w:rPr>
      </w:pPr>
      <w:r>
        <w:rPr>
          <w:rFonts w:hint="eastAsia" w:ascii="宋体" w:hAnsi="宋体" w:eastAsia="宋体" w:cs="宋体"/>
          <w:bCs/>
          <w:color w:val="auto"/>
          <w:szCs w:val="21"/>
        </w:rPr>
        <w:t>采购人联系电话：0769-22226146</w:t>
      </w:r>
      <w:r>
        <w:rPr>
          <w:rFonts w:hint="eastAsia" w:ascii="宋体" w:hAnsi="宋体" w:eastAsia="宋体" w:cs="宋体"/>
          <w:color w:val="auto"/>
          <w:sz w:val="22"/>
        </w:rPr>
        <w:t xml:space="preserve"> </w:t>
      </w:r>
    </w:p>
    <w:p w14:paraId="49ADA412">
      <w:pPr>
        <w:ind w:firstLine="420" w:firstLineChars="200"/>
        <w:jc w:val="both"/>
        <w:rPr>
          <w:rFonts w:hint="eastAsia" w:ascii="宋体" w:hAnsi="宋体" w:eastAsia="宋体" w:cs="宋体"/>
          <w:color w:val="auto"/>
          <w:szCs w:val="21"/>
        </w:rPr>
      </w:pPr>
    </w:p>
    <w:p w14:paraId="257C2327">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采购代理机构名称：广东中科招标有限公司</w:t>
      </w:r>
    </w:p>
    <w:p w14:paraId="265D5621">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采购代理机构地址：东莞市南城街道体育路南城段26号盈锋商务中心2栋708室（西区708室）</w:t>
      </w:r>
    </w:p>
    <w:p w14:paraId="65BDE3FD">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采购代理机构联系人：胡先生</w:t>
      </w:r>
    </w:p>
    <w:p w14:paraId="40E03CFF">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采购代理机构联系电话：0769-22224212</w:t>
      </w:r>
    </w:p>
    <w:p w14:paraId="7590E58A">
      <w:pPr>
        <w:ind w:firstLine="420" w:firstLineChars="200"/>
        <w:jc w:val="both"/>
        <w:rPr>
          <w:rFonts w:hint="eastAsia" w:ascii="宋体" w:hAnsi="宋体" w:eastAsia="宋体" w:cs="宋体"/>
          <w:color w:val="auto"/>
        </w:rPr>
      </w:pPr>
      <w:r>
        <w:rPr>
          <w:rFonts w:hint="eastAsia" w:ascii="宋体" w:hAnsi="宋体" w:eastAsia="宋体" w:cs="宋体"/>
          <w:color w:val="auto"/>
          <w:szCs w:val="21"/>
        </w:rPr>
        <w:t>采购代理机构邮箱：zkzb@foxmail.com</w:t>
      </w:r>
    </w:p>
    <w:p w14:paraId="52C2D658">
      <w:pPr>
        <w:ind w:firstLine="420" w:firstLineChars="200"/>
        <w:rPr>
          <w:rFonts w:hint="eastAsia" w:ascii="宋体" w:hAnsi="宋体" w:eastAsia="宋体" w:cs="宋体"/>
          <w:color w:val="auto"/>
        </w:rPr>
      </w:pPr>
    </w:p>
    <w:p w14:paraId="17A5C783">
      <w:pPr>
        <w:ind w:right="751" w:rightChars="358"/>
        <w:jc w:val="right"/>
        <w:rPr>
          <w:rFonts w:hint="eastAsia" w:ascii="宋体" w:hAnsi="宋体" w:eastAsia="宋体" w:cs="宋体"/>
          <w:color w:val="auto"/>
        </w:rPr>
      </w:pPr>
    </w:p>
    <w:p w14:paraId="4DE3A263">
      <w:pPr>
        <w:ind w:right="751" w:rightChars="358"/>
        <w:jc w:val="right"/>
        <w:rPr>
          <w:rFonts w:hint="eastAsia" w:ascii="宋体" w:hAnsi="宋体" w:eastAsia="宋体" w:cs="宋体"/>
          <w:color w:val="auto"/>
          <w:szCs w:val="21"/>
        </w:rPr>
      </w:pPr>
      <w:r>
        <w:rPr>
          <w:rFonts w:hint="eastAsia" w:ascii="宋体" w:hAnsi="宋体" w:eastAsia="宋体" w:cs="宋体"/>
          <w:color w:val="auto"/>
          <w:szCs w:val="21"/>
        </w:rPr>
        <w:t>广东中科招标有限公司</w:t>
      </w:r>
    </w:p>
    <w:p w14:paraId="30D999D7">
      <w:pPr>
        <w:wordWrap w:val="0"/>
        <w:ind w:right="751" w:rightChars="358"/>
        <w:jc w:val="right"/>
        <w:rPr>
          <w:rFonts w:hint="eastAsia" w:ascii="宋体" w:hAnsi="宋体" w:eastAsia="宋体" w:cs="宋体"/>
          <w:color w:val="auto"/>
          <w:szCs w:val="21"/>
        </w:rPr>
      </w:pPr>
      <w:r>
        <w:rPr>
          <w:rFonts w:hint="eastAsia" w:ascii="宋体" w:hAnsi="宋体" w:eastAsia="宋体" w:cs="宋体"/>
          <w:color w:val="auto"/>
          <w:szCs w:val="21"/>
        </w:rPr>
        <w:t>2026年</w:t>
      </w:r>
      <w:r>
        <w:rPr>
          <w:rFonts w:hint="eastAsia" w:ascii="宋体" w:hAnsi="宋体" w:cs="宋体"/>
          <w:color w:val="auto"/>
          <w:szCs w:val="21"/>
          <w:lang w:val="en-US" w:eastAsia="zh-CN"/>
        </w:rPr>
        <w:t>9</w:t>
      </w:r>
      <w:r>
        <w:rPr>
          <w:rFonts w:hint="eastAsia" w:ascii="宋体" w:hAnsi="宋体" w:eastAsia="宋体" w:cs="宋体"/>
          <w:color w:val="auto"/>
          <w:szCs w:val="21"/>
        </w:rPr>
        <w:t>月</w:t>
      </w:r>
      <w:r>
        <w:rPr>
          <w:rFonts w:hint="eastAsia" w:ascii="宋体" w:hAnsi="宋体" w:cs="宋体"/>
          <w:color w:val="auto"/>
          <w:szCs w:val="21"/>
          <w:lang w:val="en-US" w:eastAsia="zh-CN"/>
        </w:rPr>
        <w:t>7</w:t>
      </w:r>
      <w:r>
        <w:rPr>
          <w:rFonts w:hint="eastAsia" w:ascii="宋体" w:hAnsi="宋体" w:eastAsia="宋体" w:cs="宋体"/>
          <w:color w:val="auto"/>
          <w:szCs w:val="21"/>
        </w:rPr>
        <w:t>日</w:t>
      </w:r>
    </w:p>
    <w:p w14:paraId="26EF99D5">
      <w:pPr>
        <w:ind w:left="6205" w:leftChars="2755" w:hanging="420" w:hangingChars="200"/>
        <w:rPr>
          <w:rFonts w:hint="eastAsia" w:ascii="宋体" w:hAnsi="宋体" w:eastAsia="宋体" w:cs="宋体"/>
          <w:color w:val="auto"/>
        </w:rPr>
      </w:pPr>
      <w:r>
        <w:rPr>
          <w:rFonts w:hint="eastAsia" w:ascii="宋体" w:hAnsi="宋体" w:eastAsia="宋体" w:cs="宋体"/>
          <w:color w:val="auto"/>
          <w:szCs w:val="21"/>
        </w:rPr>
        <w:br w:type="page"/>
      </w:r>
    </w:p>
    <w:p w14:paraId="50ED5A38">
      <w:pPr>
        <w:pStyle w:val="3"/>
        <w:spacing w:before="0" w:after="0" w:line="240" w:lineRule="auto"/>
        <w:rPr>
          <w:rFonts w:hint="eastAsia" w:ascii="宋体" w:hAnsi="宋体" w:eastAsia="宋体" w:cs="宋体"/>
          <w:color w:val="auto"/>
          <w:sz w:val="28"/>
          <w:szCs w:val="28"/>
        </w:rPr>
      </w:pPr>
      <w:bookmarkStart w:id="2" w:name="_Toc15371"/>
      <w:r>
        <w:rPr>
          <w:rFonts w:hint="eastAsia" w:ascii="宋体" w:hAnsi="宋体" w:eastAsia="宋体" w:cs="宋体"/>
          <w:color w:val="auto"/>
          <w:sz w:val="28"/>
          <w:szCs w:val="28"/>
        </w:rPr>
        <w:t>第二部分相关资料表格</w:t>
      </w:r>
      <w:bookmarkEnd w:id="2"/>
    </w:p>
    <w:p w14:paraId="3CAAE804">
      <w:pPr>
        <w:pStyle w:val="4"/>
        <w:spacing w:line="240" w:lineRule="auto"/>
        <w:jc w:val="center"/>
        <w:rPr>
          <w:rFonts w:hint="eastAsia" w:ascii="宋体" w:hAnsi="宋体" w:eastAsia="宋体" w:cs="宋体"/>
          <w:color w:val="auto"/>
          <w:sz w:val="24"/>
          <w:szCs w:val="24"/>
        </w:rPr>
      </w:pPr>
      <w:bookmarkStart w:id="3" w:name="_Toc10127"/>
      <w:r>
        <w:rPr>
          <w:rFonts w:hint="eastAsia" w:ascii="宋体" w:hAnsi="宋体" w:eastAsia="宋体" w:cs="宋体"/>
          <w:color w:val="auto"/>
          <w:sz w:val="24"/>
          <w:szCs w:val="24"/>
        </w:rPr>
        <w:t>附表一：投标资料表</w:t>
      </w:r>
      <w:bookmarkEnd w:id="3"/>
    </w:p>
    <w:tbl>
      <w:tblPr>
        <w:tblStyle w:val="34"/>
        <w:tblW w:w="869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78"/>
        <w:gridCol w:w="2608"/>
        <w:gridCol w:w="5213"/>
      </w:tblGrid>
      <w:tr w14:paraId="54677E6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600" w:hRule="atLeast"/>
          <w:jc w:val="center"/>
        </w:trPr>
        <w:tc>
          <w:tcPr>
            <w:tcW w:w="878" w:type="dxa"/>
            <w:tcBorders>
              <w:tl2br w:val="nil"/>
              <w:tr2bl w:val="nil"/>
            </w:tcBorders>
            <w:vAlign w:val="center"/>
          </w:tcPr>
          <w:p w14:paraId="0393BAD9">
            <w:pPr>
              <w:jc w:val="center"/>
              <w:rPr>
                <w:rFonts w:hint="eastAsia" w:ascii="宋体" w:hAnsi="宋体" w:eastAsia="宋体" w:cs="宋体"/>
                <w:color w:val="auto"/>
                <w:szCs w:val="21"/>
              </w:rPr>
            </w:pPr>
            <w:r>
              <w:rPr>
                <w:rFonts w:hint="eastAsia" w:ascii="宋体" w:hAnsi="宋体" w:eastAsia="宋体" w:cs="宋体"/>
                <w:color w:val="auto"/>
                <w:szCs w:val="21"/>
              </w:rPr>
              <w:t>序号</w:t>
            </w:r>
          </w:p>
        </w:tc>
        <w:tc>
          <w:tcPr>
            <w:tcW w:w="7821" w:type="dxa"/>
            <w:gridSpan w:val="2"/>
            <w:tcBorders>
              <w:tl2br w:val="nil"/>
              <w:tr2bl w:val="nil"/>
            </w:tcBorders>
            <w:vAlign w:val="center"/>
          </w:tcPr>
          <w:p w14:paraId="5573BEB1">
            <w:pPr>
              <w:jc w:val="center"/>
              <w:rPr>
                <w:rFonts w:hint="eastAsia" w:ascii="宋体" w:hAnsi="宋体" w:eastAsia="宋体" w:cs="宋体"/>
                <w:b/>
                <w:color w:val="auto"/>
                <w:szCs w:val="21"/>
              </w:rPr>
            </w:pPr>
            <w:r>
              <w:rPr>
                <w:rFonts w:hint="eastAsia" w:ascii="宋体" w:hAnsi="宋体" w:eastAsia="宋体" w:cs="宋体"/>
                <w:b/>
                <w:color w:val="auto"/>
                <w:szCs w:val="21"/>
              </w:rPr>
              <w:t>内容</w:t>
            </w:r>
          </w:p>
        </w:tc>
      </w:tr>
      <w:tr w14:paraId="6B6657B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cantSplit/>
          <w:trHeight w:val="551" w:hRule="atLeast"/>
          <w:jc w:val="center"/>
        </w:trPr>
        <w:tc>
          <w:tcPr>
            <w:tcW w:w="8699" w:type="dxa"/>
            <w:gridSpan w:val="3"/>
            <w:tcBorders>
              <w:tl2br w:val="nil"/>
              <w:tr2bl w:val="nil"/>
            </w:tcBorders>
            <w:vAlign w:val="center"/>
          </w:tcPr>
          <w:p w14:paraId="21699ADA">
            <w:pPr>
              <w:jc w:val="center"/>
              <w:rPr>
                <w:rFonts w:hint="eastAsia" w:ascii="宋体" w:hAnsi="宋体" w:eastAsia="宋体" w:cs="宋体"/>
                <w:b/>
                <w:color w:val="auto"/>
                <w:szCs w:val="21"/>
              </w:rPr>
            </w:pPr>
            <w:r>
              <w:rPr>
                <w:rFonts w:hint="eastAsia" w:ascii="宋体" w:hAnsi="宋体" w:eastAsia="宋体" w:cs="宋体"/>
                <w:b/>
                <w:color w:val="auto"/>
                <w:szCs w:val="21"/>
              </w:rPr>
              <w:t>一、说明</w:t>
            </w:r>
          </w:p>
        </w:tc>
      </w:tr>
      <w:tr w14:paraId="21FCA20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78" w:type="dxa"/>
            <w:vMerge w:val="restart"/>
            <w:tcBorders>
              <w:tl2br w:val="nil"/>
              <w:tr2bl w:val="nil"/>
            </w:tcBorders>
            <w:vAlign w:val="center"/>
          </w:tcPr>
          <w:p w14:paraId="503FDC00">
            <w:pPr>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7821" w:type="dxa"/>
            <w:gridSpan w:val="2"/>
            <w:tcBorders>
              <w:tl2br w:val="nil"/>
              <w:tr2bl w:val="nil"/>
            </w:tcBorders>
            <w:vAlign w:val="center"/>
          </w:tcPr>
          <w:p w14:paraId="3CE7C1A5">
            <w:pPr>
              <w:rPr>
                <w:rFonts w:hint="eastAsia" w:ascii="宋体" w:hAnsi="宋体" w:eastAsia="宋体" w:cs="宋体"/>
                <w:b/>
                <w:bCs/>
                <w:color w:val="auto"/>
                <w:szCs w:val="21"/>
              </w:rPr>
            </w:pPr>
            <w:r>
              <w:rPr>
                <w:rFonts w:hint="eastAsia" w:ascii="宋体" w:hAnsi="宋体" w:eastAsia="宋体" w:cs="宋体"/>
                <w:b/>
                <w:bCs/>
                <w:color w:val="auto"/>
                <w:szCs w:val="21"/>
              </w:rPr>
              <w:t>项目最高限价（</w:t>
            </w:r>
            <w:r>
              <w:rPr>
                <w:rFonts w:hint="eastAsia" w:ascii="宋体" w:hAnsi="宋体" w:eastAsia="宋体" w:cs="宋体"/>
                <w:b/>
                <w:bCs/>
                <w:color w:val="auto"/>
                <w:szCs w:val="21"/>
                <w:u w:val="single"/>
              </w:rPr>
              <w:t>单位：元</w:t>
            </w:r>
            <w:r>
              <w:rPr>
                <w:rFonts w:hint="eastAsia" w:ascii="宋体" w:hAnsi="宋体" w:eastAsia="宋体" w:cs="宋体"/>
                <w:b/>
                <w:bCs/>
                <w:color w:val="auto"/>
                <w:szCs w:val="21"/>
              </w:rPr>
              <w:t>）</w:t>
            </w:r>
          </w:p>
        </w:tc>
      </w:tr>
      <w:tr w14:paraId="755737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73E073CD">
            <w:pPr>
              <w:jc w:val="center"/>
              <w:rPr>
                <w:rFonts w:hint="eastAsia" w:ascii="宋体" w:hAnsi="宋体" w:eastAsia="宋体" w:cs="宋体"/>
                <w:color w:val="auto"/>
                <w:szCs w:val="21"/>
              </w:rPr>
            </w:pPr>
          </w:p>
        </w:tc>
        <w:tc>
          <w:tcPr>
            <w:tcW w:w="7821" w:type="dxa"/>
            <w:gridSpan w:val="2"/>
            <w:tcBorders>
              <w:tl2br w:val="nil"/>
              <w:tr2bl w:val="nil"/>
            </w:tcBorders>
            <w:vAlign w:val="center"/>
          </w:tcPr>
          <w:p w14:paraId="04C78573">
            <w:pPr>
              <w:rPr>
                <w:rFonts w:hint="eastAsia" w:ascii="宋体" w:hAnsi="宋体" w:eastAsia="宋体" w:cs="宋体"/>
                <w:b/>
                <w:bCs/>
                <w:color w:val="auto"/>
                <w:szCs w:val="21"/>
              </w:rPr>
            </w:pPr>
            <w:r>
              <w:rPr>
                <w:rFonts w:hint="eastAsia" w:ascii="宋体" w:hAnsi="宋体" w:eastAsia="宋体" w:cs="宋体"/>
                <w:color w:val="auto"/>
                <w:szCs w:val="21"/>
                <w:lang w:eastAsia="zh-CN"/>
              </w:rPr>
              <w:t>572,400.00</w:t>
            </w:r>
            <w:r>
              <w:rPr>
                <w:rFonts w:hint="eastAsia" w:ascii="宋体" w:hAnsi="宋体" w:eastAsia="宋体" w:cs="宋体"/>
                <w:color w:val="auto"/>
                <w:szCs w:val="21"/>
              </w:rPr>
              <w:t>元</w:t>
            </w:r>
          </w:p>
        </w:tc>
      </w:tr>
      <w:tr w14:paraId="4E18AD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restart"/>
            <w:tcBorders>
              <w:tl2br w:val="nil"/>
              <w:tr2bl w:val="nil"/>
            </w:tcBorders>
            <w:vAlign w:val="center"/>
          </w:tcPr>
          <w:p w14:paraId="2DFB5E4A">
            <w:pPr>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7821" w:type="dxa"/>
            <w:gridSpan w:val="2"/>
            <w:tcBorders>
              <w:tl2br w:val="nil"/>
              <w:tr2bl w:val="nil"/>
            </w:tcBorders>
            <w:vAlign w:val="center"/>
          </w:tcPr>
          <w:p w14:paraId="1F5D01BF">
            <w:pPr>
              <w:rPr>
                <w:rFonts w:hint="eastAsia" w:ascii="宋体" w:hAnsi="宋体" w:eastAsia="宋体" w:cs="宋体"/>
                <w:b/>
                <w:bCs/>
                <w:color w:val="auto"/>
                <w:szCs w:val="21"/>
              </w:rPr>
            </w:pPr>
            <w:r>
              <w:rPr>
                <w:rFonts w:hint="eastAsia" w:ascii="宋体" w:hAnsi="宋体" w:eastAsia="宋体" w:cs="宋体"/>
                <w:b/>
                <w:bCs/>
                <w:color w:val="auto"/>
                <w:szCs w:val="21"/>
              </w:rPr>
              <w:t>发包方式</w:t>
            </w:r>
          </w:p>
        </w:tc>
      </w:tr>
      <w:tr w14:paraId="793A48F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23B527BE">
            <w:pPr>
              <w:jc w:val="center"/>
              <w:rPr>
                <w:rFonts w:hint="eastAsia" w:ascii="宋体" w:hAnsi="宋体" w:eastAsia="宋体" w:cs="宋体"/>
                <w:color w:val="auto"/>
                <w:szCs w:val="21"/>
              </w:rPr>
            </w:pPr>
          </w:p>
        </w:tc>
        <w:tc>
          <w:tcPr>
            <w:tcW w:w="7821" w:type="dxa"/>
            <w:gridSpan w:val="2"/>
            <w:tcBorders>
              <w:tl2br w:val="nil"/>
              <w:tr2bl w:val="nil"/>
            </w:tcBorders>
            <w:vAlign w:val="center"/>
          </w:tcPr>
          <w:p w14:paraId="77C27C70">
            <w:pPr>
              <w:rPr>
                <w:rFonts w:hint="eastAsia" w:ascii="宋体" w:hAnsi="宋体" w:eastAsia="宋体" w:cs="宋体"/>
                <w:b/>
                <w:bCs/>
                <w:color w:val="auto"/>
                <w:szCs w:val="21"/>
              </w:rPr>
            </w:pPr>
            <w:r>
              <w:rPr>
                <w:rFonts w:hint="eastAsia" w:ascii="宋体" w:hAnsi="宋体" w:eastAsia="宋体" w:cs="宋体"/>
                <w:bCs/>
                <w:color w:val="auto"/>
                <w:szCs w:val="21"/>
                <w:lang w:eastAsia="zh-CN"/>
              </w:rPr>
              <w:t>☑</w:t>
            </w:r>
            <w:r>
              <w:rPr>
                <w:rFonts w:hint="eastAsia" w:ascii="宋体" w:hAnsi="宋体" w:eastAsia="宋体" w:cs="宋体"/>
                <w:b/>
                <w:bCs/>
                <w:color w:val="auto"/>
                <w:szCs w:val="21"/>
              </w:rPr>
              <w:t>固定总价包干；</w:t>
            </w:r>
          </w:p>
          <w:p w14:paraId="7B2CBB69">
            <w:pPr>
              <w:rPr>
                <w:rFonts w:hint="eastAsia" w:ascii="宋体" w:hAnsi="宋体" w:eastAsia="宋体" w:cs="宋体"/>
                <w:b/>
                <w:bCs/>
                <w:color w:val="auto"/>
                <w:szCs w:val="21"/>
              </w:rPr>
            </w:pPr>
            <w:r>
              <w:rPr>
                <w:rFonts w:hint="eastAsia" w:ascii="宋体" w:hAnsi="宋体" w:eastAsia="宋体" w:cs="宋体"/>
                <w:bCs/>
                <w:color w:val="auto"/>
                <w:szCs w:val="21"/>
                <w:lang w:eastAsia="zh-CN"/>
              </w:rPr>
              <w:t>□</w:t>
            </w:r>
            <w:r>
              <w:rPr>
                <w:rFonts w:hint="eastAsia" w:ascii="宋体" w:hAnsi="宋体" w:eastAsia="宋体" w:cs="宋体"/>
                <w:b/>
                <w:bCs/>
                <w:color w:val="auto"/>
                <w:szCs w:val="21"/>
              </w:rPr>
              <w:t>固定单价暂定总价包干；</w:t>
            </w:r>
          </w:p>
          <w:p w14:paraId="7E1EAC8B">
            <w:pPr>
              <w:rPr>
                <w:rFonts w:hint="eastAsia" w:ascii="宋体" w:hAnsi="宋体" w:eastAsia="宋体" w:cs="宋体"/>
                <w:b/>
                <w:bCs/>
                <w:color w:val="auto"/>
                <w:szCs w:val="21"/>
                <w:u w:val="single"/>
              </w:rPr>
            </w:pPr>
            <w:r>
              <w:rPr>
                <w:rFonts w:hint="eastAsia" w:ascii="宋体" w:hAnsi="宋体" w:eastAsia="宋体" w:cs="宋体"/>
                <w:bCs/>
                <w:color w:val="auto"/>
                <w:szCs w:val="21"/>
              </w:rPr>
              <w:t>□</w:t>
            </w:r>
            <w:r>
              <w:rPr>
                <w:rFonts w:hint="eastAsia" w:ascii="宋体" w:hAnsi="宋体" w:eastAsia="宋体" w:cs="宋体"/>
                <w:b/>
                <w:bCs/>
                <w:color w:val="auto"/>
                <w:szCs w:val="21"/>
              </w:rPr>
              <w:t>费率</w:t>
            </w:r>
            <w:r>
              <w:rPr>
                <w:rFonts w:hint="eastAsia" w:ascii="宋体" w:hAnsi="宋体" w:eastAsia="宋体" w:cs="宋体"/>
                <w:b/>
                <w:bCs/>
                <w:color w:val="auto"/>
                <w:szCs w:val="21"/>
                <w:u w:val="single"/>
              </w:rPr>
              <w:t xml:space="preserve">           ；</w:t>
            </w:r>
          </w:p>
          <w:p w14:paraId="79CE4502">
            <w:pPr>
              <w:rPr>
                <w:rFonts w:hint="eastAsia" w:ascii="宋体" w:hAnsi="宋体" w:eastAsia="宋体" w:cs="宋体"/>
                <w:b/>
                <w:bCs/>
                <w:color w:val="auto"/>
                <w:szCs w:val="21"/>
              </w:rPr>
            </w:pPr>
            <w:r>
              <w:rPr>
                <w:rFonts w:hint="eastAsia" w:ascii="宋体" w:hAnsi="宋体" w:eastAsia="宋体" w:cs="宋体"/>
                <w:bCs/>
                <w:color w:val="auto"/>
                <w:szCs w:val="21"/>
              </w:rPr>
              <w:t>□</w:t>
            </w:r>
            <w:r>
              <w:rPr>
                <w:rFonts w:hint="eastAsia" w:ascii="宋体" w:hAnsi="宋体" w:eastAsia="宋体" w:cs="宋体"/>
                <w:b/>
                <w:bCs/>
                <w:color w:val="auto"/>
                <w:szCs w:val="21"/>
              </w:rPr>
              <w:t>其他</w:t>
            </w:r>
            <w:r>
              <w:rPr>
                <w:rFonts w:hint="eastAsia" w:ascii="宋体" w:hAnsi="宋体" w:eastAsia="宋体" w:cs="宋体"/>
                <w:b/>
                <w:bCs/>
                <w:color w:val="auto"/>
                <w:szCs w:val="21"/>
                <w:u w:val="single"/>
              </w:rPr>
              <w:t xml:space="preserve">           </w:t>
            </w:r>
            <w:r>
              <w:rPr>
                <w:rFonts w:hint="eastAsia" w:ascii="宋体" w:hAnsi="宋体" w:eastAsia="宋体" w:cs="宋体"/>
                <w:b/>
                <w:bCs/>
                <w:color w:val="auto"/>
                <w:szCs w:val="21"/>
              </w:rPr>
              <w:t>；</w:t>
            </w:r>
          </w:p>
        </w:tc>
      </w:tr>
      <w:tr w14:paraId="33AE92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restart"/>
            <w:tcBorders>
              <w:tl2br w:val="nil"/>
              <w:tr2bl w:val="nil"/>
            </w:tcBorders>
            <w:vAlign w:val="center"/>
          </w:tcPr>
          <w:p w14:paraId="4C0D696B">
            <w:pPr>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7821" w:type="dxa"/>
            <w:gridSpan w:val="2"/>
            <w:tcBorders>
              <w:tl2br w:val="nil"/>
              <w:tr2bl w:val="nil"/>
            </w:tcBorders>
            <w:vAlign w:val="center"/>
          </w:tcPr>
          <w:p w14:paraId="3992114D">
            <w:pPr>
              <w:rPr>
                <w:rFonts w:hint="eastAsia" w:ascii="宋体" w:hAnsi="宋体" w:eastAsia="宋体" w:cs="宋体"/>
                <w:b/>
                <w:bCs/>
                <w:color w:val="auto"/>
                <w:szCs w:val="21"/>
              </w:rPr>
            </w:pPr>
            <w:r>
              <w:rPr>
                <w:rFonts w:hint="eastAsia" w:ascii="宋体" w:hAnsi="宋体" w:eastAsia="宋体" w:cs="宋体"/>
                <w:b/>
                <w:bCs/>
                <w:color w:val="auto"/>
                <w:szCs w:val="21"/>
              </w:rPr>
              <w:t>是否接受联合体投标</w:t>
            </w:r>
          </w:p>
        </w:tc>
      </w:tr>
      <w:tr w14:paraId="0E0C348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4B2CEAC7">
            <w:pPr>
              <w:jc w:val="center"/>
              <w:rPr>
                <w:rFonts w:hint="eastAsia" w:ascii="宋体" w:hAnsi="宋体" w:eastAsia="宋体" w:cs="宋体"/>
                <w:color w:val="auto"/>
                <w:szCs w:val="21"/>
              </w:rPr>
            </w:pPr>
          </w:p>
        </w:tc>
        <w:tc>
          <w:tcPr>
            <w:tcW w:w="7821" w:type="dxa"/>
            <w:gridSpan w:val="2"/>
            <w:tcBorders>
              <w:tl2br w:val="nil"/>
              <w:tr2bl w:val="nil"/>
            </w:tcBorders>
            <w:vAlign w:val="center"/>
          </w:tcPr>
          <w:p w14:paraId="1537AC1D">
            <w:pPr>
              <w:pStyle w:val="47"/>
              <w:ind w:firstLine="0" w:firstLineChars="0"/>
              <w:rPr>
                <w:rFonts w:hint="eastAsia" w:ascii="宋体" w:hAnsi="宋体" w:eastAsia="宋体" w:cs="宋体"/>
                <w:color w:val="auto"/>
                <w:szCs w:val="21"/>
              </w:rPr>
            </w:pPr>
            <w:r>
              <w:rPr>
                <w:rFonts w:hint="eastAsia" w:ascii="宋体" w:hAnsi="宋体" w:eastAsia="宋体" w:cs="宋体"/>
                <w:bCs/>
                <w:color w:val="auto"/>
                <w:szCs w:val="21"/>
              </w:rPr>
              <w:t>□</w:t>
            </w:r>
            <w:r>
              <w:rPr>
                <w:rFonts w:hint="eastAsia" w:ascii="宋体" w:hAnsi="宋体" w:eastAsia="宋体" w:cs="宋体"/>
                <w:color w:val="auto"/>
                <w:szCs w:val="21"/>
              </w:rPr>
              <w:t>是，联合体投标的，应满足下列要求：</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13D28385">
            <w:pPr>
              <w:rPr>
                <w:rFonts w:hint="eastAsia" w:ascii="宋体" w:hAnsi="宋体" w:eastAsia="宋体" w:cs="宋体"/>
                <w:b/>
                <w:bCs/>
                <w:color w:val="auto"/>
                <w:szCs w:val="21"/>
              </w:rPr>
            </w:pPr>
            <w:r>
              <w:rPr>
                <w:rFonts w:hint="eastAsia" w:ascii="宋体" w:hAnsi="宋体" w:eastAsia="宋体" w:cs="宋体"/>
                <w:bCs/>
                <w:color w:val="auto"/>
                <w:szCs w:val="21"/>
              </w:rPr>
              <w:t>☑</w:t>
            </w:r>
            <w:r>
              <w:rPr>
                <w:rFonts w:hint="eastAsia" w:ascii="宋体" w:hAnsi="宋体" w:eastAsia="宋体" w:cs="宋体"/>
                <w:color w:val="auto"/>
                <w:szCs w:val="21"/>
              </w:rPr>
              <w:t>否；</w:t>
            </w:r>
          </w:p>
        </w:tc>
      </w:tr>
      <w:tr w14:paraId="401C140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78" w:type="dxa"/>
            <w:vMerge w:val="restart"/>
            <w:tcBorders>
              <w:tl2br w:val="nil"/>
              <w:tr2bl w:val="nil"/>
            </w:tcBorders>
            <w:vAlign w:val="center"/>
          </w:tcPr>
          <w:p w14:paraId="0547BCCB">
            <w:pPr>
              <w:jc w:val="center"/>
              <w:rPr>
                <w:rFonts w:hint="eastAsia" w:ascii="宋体" w:hAnsi="宋体" w:eastAsia="宋体" w:cs="宋体"/>
                <w:color w:val="auto"/>
                <w:szCs w:val="21"/>
              </w:rPr>
            </w:pPr>
            <w:r>
              <w:rPr>
                <w:rFonts w:hint="eastAsia" w:ascii="宋体" w:hAnsi="宋体" w:eastAsia="宋体" w:cs="宋体"/>
                <w:color w:val="auto"/>
                <w:szCs w:val="21"/>
              </w:rPr>
              <w:t>4</w:t>
            </w:r>
          </w:p>
        </w:tc>
        <w:tc>
          <w:tcPr>
            <w:tcW w:w="7821" w:type="dxa"/>
            <w:gridSpan w:val="2"/>
            <w:tcBorders>
              <w:tl2br w:val="nil"/>
              <w:tr2bl w:val="nil"/>
            </w:tcBorders>
            <w:vAlign w:val="center"/>
          </w:tcPr>
          <w:p w14:paraId="2C226F7F">
            <w:pPr>
              <w:rPr>
                <w:rFonts w:hint="eastAsia" w:ascii="宋体" w:hAnsi="宋体" w:eastAsia="宋体" w:cs="宋体"/>
                <w:b/>
                <w:bCs/>
                <w:color w:val="auto"/>
                <w:szCs w:val="21"/>
              </w:rPr>
            </w:pPr>
            <w:r>
              <w:rPr>
                <w:rFonts w:hint="eastAsia" w:ascii="宋体" w:hAnsi="宋体" w:eastAsia="宋体" w:cs="宋体"/>
                <w:b/>
                <w:bCs/>
                <w:color w:val="auto"/>
                <w:szCs w:val="21"/>
              </w:rPr>
              <w:t>资金来源</w:t>
            </w:r>
          </w:p>
        </w:tc>
      </w:tr>
      <w:tr w14:paraId="5701BB4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10386566">
            <w:pPr>
              <w:jc w:val="center"/>
              <w:rPr>
                <w:rFonts w:hint="eastAsia" w:ascii="宋体" w:hAnsi="宋体" w:eastAsia="宋体" w:cs="宋体"/>
                <w:color w:val="auto"/>
                <w:szCs w:val="21"/>
              </w:rPr>
            </w:pPr>
          </w:p>
        </w:tc>
        <w:tc>
          <w:tcPr>
            <w:tcW w:w="7821" w:type="dxa"/>
            <w:gridSpan w:val="2"/>
            <w:tcBorders>
              <w:tl2br w:val="nil"/>
              <w:tr2bl w:val="nil"/>
            </w:tcBorders>
            <w:vAlign w:val="center"/>
          </w:tcPr>
          <w:p w14:paraId="5E96B745">
            <w:pPr>
              <w:rPr>
                <w:rFonts w:hint="eastAsia" w:ascii="宋体" w:hAnsi="宋体" w:eastAsia="宋体" w:cs="宋体"/>
                <w:b/>
                <w:bCs/>
                <w:color w:val="auto"/>
                <w:szCs w:val="21"/>
              </w:rPr>
            </w:pPr>
            <w:r>
              <w:rPr>
                <w:rFonts w:hint="eastAsia" w:ascii="宋体" w:hAnsi="宋体" w:eastAsia="宋体" w:cs="宋体"/>
                <w:color w:val="auto"/>
                <w:szCs w:val="21"/>
                <w:u w:val="single"/>
              </w:rPr>
              <w:t>自筹资金。</w:t>
            </w:r>
          </w:p>
        </w:tc>
      </w:tr>
      <w:tr w14:paraId="0BD710D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78" w:type="dxa"/>
            <w:vMerge w:val="restart"/>
            <w:tcBorders>
              <w:tl2br w:val="nil"/>
              <w:tr2bl w:val="nil"/>
            </w:tcBorders>
            <w:vAlign w:val="center"/>
          </w:tcPr>
          <w:p w14:paraId="7879FA70">
            <w:pPr>
              <w:jc w:val="center"/>
              <w:rPr>
                <w:rFonts w:hint="eastAsia" w:ascii="宋体" w:hAnsi="宋体" w:eastAsia="宋体" w:cs="宋体"/>
                <w:color w:val="auto"/>
                <w:szCs w:val="21"/>
              </w:rPr>
            </w:pPr>
            <w:r>
              <w:rPr>
                <w:rFonts w:hint="eastAsia" w:ascii="宋体" w:hAnsi="宋体" w:eastAsia="宋体" w:cs="宋体"/>
                <w:color w:val="auto"/>
                <w:szCs w:val="21"/>
              </w:rPr>
              <w:t>5</w:t>
            </w:r>
          </w:p>
        </w:tc>
        <w:tc>
          <w:tcPr>
            <w:tcW w:w="7821" w:type="dxa"/>
            <w:gridSpan w:val="2"/>
            <w:tcBorders>
              <w:tl2br w:val="nil"/>
              <w:tr2bl w:val="nil"/>
            </w:tcBorders>
            <w:vAlign w:val="center"/>
          </w:tcPr>
          <w:p w14:paraId="7A89999D">
            <w:pPr>
              <w:rPr>
                <w:rFonts w:hint="eastAsia" w:ascii="宋体" w:hAnsi="宋体" w:eastAsia="宋体" w:cs="宋体"/>
                <w:b/>
                <w:color w:val="auto"/>
                <w:szCs w:val="21"/>
              </w:rPr>
            </w:pPr>
            <w:r>
              <w:rPr>
                <w:rFonts w:hint="eastAsia" w:ascii="宋体" w:hAnsi="宋体" w:eastAsia="宋体" w:cs="宋体"/>
                <w:b/>
                <w:color w:val="auto"/>
                <w:szCs w:val="21"/>
              </w:rPr>
              <w:t>踏勘现场</w:t>
            </w:r>
          </w:p>
        </w:tc>
      </w:tr>
      <w:tr w14:paraId="493B579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54AE3590">
            <w:pPr>
              <w:jc w:val="center"/>
              <w:rPr>
                <w:rFonts w:hint="eastAsia" w:ascii="宋体" w:hAnsi="宋体" w:eastAsia="宋体" w:cs="宋体"/>
                <w:color w:val="auto"/>
                <w:szCs w:val="21"/>
              </w:rPr>
            </w:pPr>
          </w:p>
        </w:tc>
        <w:tc>
          <w:tcPr>
            <w:tcW w:w="7821" w:type="dxa"/>
            <w:gridSpan w:val="2"/>
            <w:tcBorders>
              <w:tl2br w:val="nil"/>
              <w:tr2bl w:val="nil"/>
            </w:tcBorders>
            <w:vAlign w:val="center"/>
          </w:tcPr>
          <w:p w14:paraId="3A49C242">
            <w:pPr>
              <w:rPr>
                <w:rFonts w:hint="eastAsia" w:ascii="宋体" w:hAnsi="宋体" w:eastAsia="宋体" w:cs="宋体"/>
                <w:bCs/>
                <w:color w:val="auto"/>
                <w:szCs w:val="21"/>
              </w:rPr>
            </w:pPr>
            <w:r>
              <w:rPr>
                <w:rFonts w:hint="eastAsia" w:ascii="宋体" w:hAnsi="宋体" w:eastAsia="宋体" w:cs="宋体"/>
                <w:bCs/>
                <w:color w:val="auto"/>
                <w:szCs w:val="21"/>
              </w:rPr>
              <w:t>☑不组织。</w:t>
            </w:r>
          </w:p>
          <w:p w14:paraId="3AAE3BDD">
            <w:pPr>
              <w:rPr>
                <w:rFonts w:hint="eastAsia" w:ascii="宋体" w:hAnsi="宋体" w:eastAsia="宋体" w:cs="宋体"/>
                <w:bCs/>
                <w:color w:val="auto"/>
                <w:szCs w:val="21"/>
              </w:rPr>
            </w:pPr>
            <w:r>
              <w:rPr>
                <w:rFonts w:hint="eastAsia" w:ascii="宋体" w:hAnsi="宋体" w:eastAsia="宋体" w:cs="宋体"/>
                <w:bCs/>
                <w:color w:val="auto"/>
                <w:szCs w:val="21"/>
              </w:rPr>
              <w:t>□组织，踏勘现场时间、地点：</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rPr>
              <w:t xml:space="preserve">。 </w:t>
            </w:r>
          </w:p>
        </w:tc>
      </w:tr>
      <w:tr w14:paraId="168B85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cantSplit/>
          <w:trHeight w:val="629" w:hRule="atLeast"/>
          <w:jc w:val="center"/>
        </w:trPr>
        <w:tc>
          <w:tcPr>
            <w:tcW w:w="8699" w:type="dxa"/>
            <w:gridSpan w:val="3"/>
            <w:tcBorders>
              <w:tl2br w:val="nil"/>
              <w:tr2bl w:val="nil"/>
            </w:tcBorders>
            <w:vAlign w:val="center"/>
          </w:tcPr>
          <w:p w14:paraId="049D0312">
            <w:pPr>
              <w:jc w:val="center"/>
              <w:rPr>
                <w:rFonts w:hint="eastAsia" w:ascii="宋体" w:hAnsi="宋体" w:eastAsia="宋体" w:cs="宋体"/>
                <w:b/>
                <w:color w:val="auto"/>
                <w:szCs w:val="21"/>
              </w:rPr>
            </w:pPr>
            <w:r>
              <w:rPr>
                <w:rFonts w:hint="eastAsia" w:ascii="宋体" w:hAnsi="宋体" w:eastAsia="宋体" w:cs="宋体"/>
                <w:b/>
                <w:color w:val="auto"/>
                <w:szCs w:val="21"/>
              </w:rPr>
              <w:t>二、投标文件的编制</w:t>
            </w:r>
          </w:p>
        </w:tc>
      </w:tr>
      <w:tr w14:paraId="7625D3F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78" w:type="dxa"/>
            <w:vMerge w:val="restart"/>
            <w:tcBorders>
              <w:tl2br w:val="nil"/>
              <w:tr2bl w:val="nil"/>
            </w:tcBorders>
            <w:vAlign w:val="center"/>
          </w:tcPr>
          <w:p w14:paraId="01926542">
            <w:pPr>
              <w:jc w:val="center"/>
              <w:rPr>
                <w:rFonts w:hint="eastAsia" w:ascii="宋体" w:hAnsi="宋体" w:eastAsia="宋体" w:cs="宋体"/>
                <w:color w:val="auto"/>
                <w:szCs w:val="21"/>
              </w:rPr>
            </w:pPr>
            <w:r>
              <w:rPr>
                <w:rFonts w:hint="eastAsia" w:ascii="宋体" w:hAnsi="宋体" w:eastAsia="宋体" w:cs="宋体"/>
                <w:color w:val="auto"/>
                <w:szCs w:val="21"/>
              </w:rPr>
              <w:t>6</w:t>
            </w:r>
          </w:p>
        </w:tc>
        <w:tc>
          <w:tcPr>
            <w:tcW w:w="7821" w:type="dxa"/>
            <w:gridSpan w:val="2"/>
            <w:tcBorders>
              <w:tl2br w:val="nil"/>
              <w:tr2bl w:val="nil"/>
            </w:tcBorders>
            <w:vAlign w:val="center"/>
          </w:tcPr>
          <w:p w14:paraId="68433A70">
            <w:pPr>
              <w:rPr>
                <w:rFonts w:hint="eastAsia" w:ascii="宋体" w:hAnsi="宋体" w:eastAsia="宋体" w:cs="宋体"/>
                <w:b/>
                <w:color w:val="auto"/>
                <w:szCs w:val="21"/>
              </w:rPr>
            </w:pPr>
            <w:r>
              <w:rPr>
                <w:rFonts w:hint="eastAsia" w:ascii="宋体" w:hAnsi="宋体" w:eastAsia="宋体" w:cs="宋体"/>
                <w:b/>
                <w:color w:val="auto"/>
                <w:szCs w:val="21"/>
              </w:rPr>
              <w:t>投标语言</w:t>
            </w:r>
          </w:p>
        </w:tc>
      </w:tr>
      <w:tr w14:paraId="0A83F88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2442C5DD">
            <w:pPr>
              <w:jc w:val="center"/>
              <w:rPr>
                <w:rFonts w:hint="eastAsia" w:ascii="宋体" w:hAnsi="宋体" w:eastAsia="宋体" w:cs="宋体"/>
                <w:color w:val="auto"/>
                <w:szCs w:val="21"/>
              </w:rPr>
            </w:pPr>
          </w:p>
        </w:tc>
        <w:tc>
          <w:tcPr>
            <w:tcW w:w="7821" w:type="dxa"/>
            <w:gridSpan w:val="2"/>
            <w:tcBorders>
              <w:tl2br w:val="nil"/>
              <w:tr2bl w:val="nil"/>
            </w:tcBorders>
            <w:vAlign w:val="center"/>
          </w:tcPr>
          <w:p w14:paraId="30AD7C3D">
            <w:pPr>
              <w:rPr>
                <w:rFonts w:hint="eastAsia" w:ascii="宋体" w:hAnsi="宋体" w:eastAsia="宋体" w:cs="宋体"/>
                <w:b/>
                <w:color w:val="auto"/>
                <w:szCs w:val="21"/>
              </w:rPr>
            </w:pPr>
            <w:r>
              <w:rPr>
                <w:rFonts w:hint="eastAsia" w:ascii="宋体" w:hAnsi="宋体" w:eastAsia="宋体" w:cs="宋体"/>
                <w:color w:val="auto"/>
                <w:szCs w:val="21"/>
              </w:rPr>
              <w:t>中文。</w:t>
            </w:r>
          </w:p>
        </w:tc>
      </w:tr>
      <w:tr w14:paraId="701C6E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78" w:type="dxa"/>
            <w:vMerge w:val="restart"/>
            <w:tcBorders>
              <w:tl2br w:val="nil"/>
              <w:tr2bl w:val="nil"/>
            </w:tcBorders>
            <w:vAlign w:val="center"/>
          </w:tcPr>
          <w:p w14:paraId="03E2B1CF">
            <w:pPr>
              <w:jc w:val="center"/>
              <w:rPr>
                <w:rFonts w:hint="eastAsia" w:ascii="宋体" w:hAnsi="宋体" w:eastAsia="宋体" w:cs="宋体"/>
                <w:color w:val="auto"/>
                <w:szCs w:val="21"/>
              </w:rPr>
            </w:pPr>
            <w:r>
              <w:rPr>
                <w:rFonts w:hint="eastAsia" w:ascii="宋体" w:hAnsi="宋体" w:eastAsia="宋体" w:cs="宋体"/>
                <w:color w:val="auto"/>
                <w:szCs w:val="21"/>
              </w:rPr>
              <w:t>7</w:t>
            </w:r>
          </w:p>
        </w:tc>
        <w:tc>
          <w:tcPr>
            <w:tcW w:w="7821" w:type="dxa"/>
            <w:gridSpan w:val="2"/>
            <w:tcBorders>
              <w:tl2br w:val="nil"/>
              <w:tr2bl w:val="nil"/>
            </w:tcBorders>
            <w:vAlign w:val="center"/>
          </w:tcPr>
          <w:p w14:paraId="2ACC065A">
            <w:pPr>
              <w:jc w:val="both"/>
              <w:rPr>
                <w:rFonts w:hint="eastAsia" w:ascii="宋体" w:hAnsi="宋体" w:eastAsia="宋体" w:cs="宋体"/>
                <w:b/>
                <w:color w:val="auto"/>
                <w:szCs w:val="21"/>
              </w:rPr>
            </w:pPr>
            <w:r>
              <w:rPr>
                <w:rFonts w:hint="eastAsia" w:ascii="宋体" w:hAnsi="宋体" w:eastAsia="宋体" w:cs="宋体"/>
                <w:b/>
                <w:color w:val="auto"/>
                <w:szCs w:val="21"/>
              </w:rPr>
              <w:t>投标报价</w:t>
            </w:r>
          </w:p>
        </w:tc>
      </w:tr>
      <w:tr w14:paraId="26FADE0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0DC273BA">
            <w:pPr>
              <w:jc w:val="center"/>
              <w:rPr>
                <w:rFonts w:hint="eastAsia" w:ascii="宋体" w:hAnsi="宋体" w:eastAsia="宋体" w:cs="宋体"/>
                <w:color w:val="auto"/>
                <w:szCs w:val="21"/>
              </w:rPr>
            </w:pPr>
          </w:p>
        </w:tc>
        <w:tc>
          <w:tcPr>
            <w:tcW w:w="7821" w:type="dxa"/>
            <w:gridSpan w:val="2"/>
            <w:tcBorders>
              <w:tl2br w:val="nil"/>
              <w:tr2bl w:val="nil"/>
            </w:tcBorders>
            <w:vAlign w:val="center"/>
          </w:tcPr>
          <w:p w14:paraId="77DE51F3">
            <w:pPr>
              <w:jc w:val="both"/>
              <w:rPr>
                <w:rFonts w:hint="eastAsia" w:ascii="宋体" w:hAnsi="宋体" w:eastAsia="宋体" w:cs="宋体"/>
                <w:color w:val="auto"/>
                <w:szCs w:val="21"/>
              </w:rPr>
            </w:pPr>
            <w:r>
              <w:rPr>
                <w:rFonts w:hint="eastAsia" w:ascii="宋体" w:hAnsi="宋体" w:eastAsia="宋体" w:cs="宋体"/>
                <w:color w:val="auto"/>
                <w:szCs w:val="21"/>
              </w:rPr>
              <w:t>详见投标人须知。</w:t>
            </w:r>
          </w:p>
        </w:tc>
      </w:tr>
      <w:tr w14:paraId="6B489E6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0" w:hRule="atLeast"/>
          <w:jc w:val="center"/>
        </w:trPr>
        <w:tc>
          <w:tcPr>
            <w:tcW w:w="878" w:type="dxa"/>
            <w:vMerge w:val="restart"/>
            <w:tcBorders>
              <w:tl2br w:val="nil"/>
              <w:tr2bl w:val="nil"/>
            </w:tcBorders>
            <w:vAlign w:val="center"/>
          </w:tcPr>
          <w:p w14:paraId="01237042">
            <w:pPr>
              <w:jc w:val="center"/>
              <w:rPr>
                <w:rFonts w:hint="eastAsia" w:ascii="宋体" w:hAnsi="宋体" w:eastAsia="宋体" w:cs="宋体"/>
                <w:color w:val="auto"/>
                <w:szCs w:val="21"/>
              </w:rPr>
            </w:pPr>
            <w:r>
              <w:rPr>
                <w:rFonts w:hint="eastAsia" w:ascii="宋体" w:hAnsi="宋体" w:eastAsia="宋体" w:cs="宋体"/>
                <w:color w:val="auto"/>
                <w:szCs w:val="21"/>
              </w:rPr>
              <w:t>8</w:t>
            </w:r>
          </w:p>
        </w:tc>
        <w:tc>
          <w:tcPr>
            <w:tcW w:w="7821" w:type="dxa"/>
            <w:gridSpan w:val="2"/>
            <w:tcBorders>
              <w:tl2br w:val="nil"/>
              <w:tr2bl w:val="nil"/>
            </w:tcBorders>
            <w:vAlign w:val="center"/>
          </w:tcPr>
          <w:p w14:paraId="479647AD">
            <w:pPr>
              <w:jc w:val="both"/>
              <w:rPr>
                <w:rFonts w:hint="eastAsia" w:ascii="宋体" w:hAnsi="宋体" w:eastAsia="宋体" w:cs="宋体"/>
                <w:b/>
                <w:color w:val="auto"/>
                <w:szCs w:val="21"/>
              </w:rPr>
            </w:pPr>
            <w:r>
              <w:rPr>
                <w:rFonts w:hint="eastAsia" w:ascii="宋体" w:hAnsi="宋体" w:eastAsia="宋体" w:cs="宋体"/>
                <w:b/>
                <w:color w:val="auto"/>
                <w:szCs w:val="21"/>
              </w:rPr>
              <w:t>投标保证金</w:t>
            </w:r>
          </w:p>
        </w:tc>
      </w:tr>
      <w:tr w14:paraId="3D7D8A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0" w:hRule="atLeast"/>
          <w:jc w:val="center"/>
        </w:trPr>
        <w:tc>
          <w:tcPr>
            <w:tcW w:w="878" w:type="dxa"/>
            <w:vMerge w:val="continue"/>
            <w:tcBorders>
              <w:tl2br w:val="nil"/>
              <w:tr2bl w:val="nil"/>
            </w:tcBorders>
            <w:vAlign w:val="center"/>
          </w:tcPr>
          <w:p w14:paraId="5BF29416">
            <w:pPr>
              <w:jc w:val="center"/>
              <w:rPr>
                <w:rFonts w:hint="eastAsia" w:ascii="宋体" w:hAnsi="宋体" w:eastAsia="宋体" w:cs="宋体"/>
                <w:color w:val="auto"/>
                <w:szCs w:val="21"/>
              </w:rPr>
            </w:pPr>
          </w:p>
        </w:tc>
        <w:tc>
          <w:tcPr>
            <w:tcW w:w="7821" w:type="dxa"/>
            <w:gridSpan w:val="2"/>
            <w:tcBorders>
              <w:tl2br w:val="nil"/>
              <w:tr2bl w:val="nil"/>
            </w:tcBorders>
            <w:vAlign w:val="center"/>
          </w:tcPr>
          <w:p w14:paraId="0427FDC4">
            <w:pPr>
              <w:jc w:val="both"/>
              <w:rPr>
                <w:rFonts w:hint="eastAsia" w:ascii="宋体" w:hAnsi="宋体" w:eastAsia="宋体" w:cs="宋体"/>
                <w:color w:val="auto"/>
                <w:szCs w:val="21"/>
              </w:rPr>
            </w:pPr>
            <w:r>
              <w:rPr>
                <w:rFonts w:hint="eastAsia" w:ascii="宋体" w:hAnsi="宋体" w:eastAsia="宋体" w:cs="宋体"/>
                <w:color w:val="auto"/>
                <w:szCs w:val="21"/>
              </w:rPr>
              <w:t>（1）投标保证金金额：</w:t>
            </w:r>
          </w:p>
          <w:p w14:paraId="44E26D07">
            <w:pPr>
              <w:jc w:val="both"/>
              <w:rPr>
                <w:rFonts w:hint="eastAsia" w:ascii="宋体" w:hAnsi="宋体" w:eastAsia="宋体" w:cs="宋体"/>
                <w:color w:val="auto"/>
                <w:szCs w:val="21"/>
              </w:rPr>
            </w:pPr>
            <w:r>
              <w:rPr>
                <w:rFonts w:hint="eastAsia" w:ascii="宋体" w:hAnsi="宋体" w:eastAsia="宋体" w:cs="宋体"/>
                <w:color w:val="auto"/>
                <w:szCs w:val="21"/>
              </w:rPr>
              <w:t>人民币</w:t>
            </w:r>
            <w:r>
              <w:rPr>
                <w:rFonts w:hint="eastAsia" w:ascii="宋体" w:hAnsi="宋体" w:eastAsia="宋体" w:cs="宋体"/>
                <w:b/>
                <w:color w:val="auto"/>
                <w:szCs w:val="21"/>
              </w:rPr>
              <w:t>（大写）</w:t>
            </w:r>
            <w:r>
              <w:rPr>
                <w:rFonts w:hint="eastAsia" w:ascii="宋体" w:hAnsi="宋体" w:eastAsia="宋体" w:cs="宋体"/>
                <w:b/>
                <w:color w:val="auto"/>
                <w:szCs w:val="21"/>
                <w:u w:val="single"/>
                <w:lang w:val="en-US" w:eastAsia="zh-CN"/>
              </w:rPr>
              <w:t>壹</w:t>
            </w:r>
            <w:r>
              <w:rPr>
                <w:rFonts w:hint="eastAsia" w:ascii="宋体" w:hAnsi="宋体" w:eastAsia="宋体" w:cs="宋体"/>
                <w:b/>
                <w:color w:val="auto"/>
                <w:szCs w:val="21"/>
                <w:u w:val="single"/>
              </w:rPr>
              <w:t>万元整</w:t>
            </w:r>
            <w:r>
              <w:rPr>
                <w:rFonts w:hint="eastAsia" w:ascii="宋体" w:hAnsi="宋体" w:eastAsia="宋体" w:cs="宋体"/>
                <w:color w:val="auto"/>
                <w:szCs w:val="21"/>
              </w:rPr>
              <w:t>（</w:t>
            </w:r>
            <w:r>
              <w:rPr>
                <w:rFonts w:hint="eastAsia" w:ascii="宋体" w:hAnsi="宋体" w:eastAsia="宋体" w:cs="宋体"/>
                <w:b/>
                <w:bCs/>
                <w:color w:val="auto"/>
                <w:szCs w:val="21"/>
              </w:rPr>
              <w:t>￥</w:t>
            </w:r>
            <w:r>
              <w:rPr>
                <w:rFonts w:hint="eastAsia" w:ascii="宋体" w:hAnsi="宋体" w:eastAsia="宋体" w:cs="宋体"/>
                <w:b/>
                <w:bCs/>
                <w:color w:val="auto"/>
                <w:szCs w:val="21"/>
                <w:u w:val="single"/>
                <w:lang w:val="en-US" w:eastAsia="zh-CN"/>
              </w:rPr>
              <w:t>1</w:t>
            </w:r>
            <w:r>
              <w:rPr>
                <w:rFonts w:hint="eastAsia" w:ascii="宋体" w:hAnsi="宋体" w:eastAsia="宋体" w:cs="宋体"/>
                <w:b/>
                <w:color w:val="auto"/>
                <w:szCs w:val="21"/>
                <w:u w:val="single"/>
              </w:rPr>
              <w:t>0</w:t>
            </w:r>
            <w:r>
              <w:rPr>
                <w:rFonts w:hint="eastAsia" w:ascii="宋体" w:hAnsi="宋体" w:eastAsia="宋体" w:cs="宋体"/>
                <w:b/>
                <w:color w:val="auto"/>
                <w:szCs w:val="21"/>
                <w:u w:val="single"/>
                <w:lang w:val="en-US" w:eastAsia="zh-CN"/>
              </w:rPr>
              <w:t>,</w:t>
            </w:r>
            <w:r>
              <w:rPr>
                <w:rFonts w:hint="eastAsia" w:ascii="宋体" w:hAnsi="宋体" w:eastAsia="宋体" w:cs="宋体"/>
                <w:b/>
                <w:color w:val="auto"/>
                <w:szCs w:val="21"/>
                <w:u w:val="single"/>
              </w:rPr>
              <w:t>000.00元</w:t>
            </w:r>
            <w:r>
              <w:rPr>
                <w:rFonts w:hint="eastAsia" w:ascii="宋体" w:hAnsi="宋体" w:eastAsia="宋体" w:cs="宋体"/>
                <w:color w:val="auto"/>
                <w:szCs w:val="21"/>
              </w:rPr>
              <w:t>）</w:t>
            </w:r>
          </w:p>
        </w:tc>
      </w:tr>
      <w:tr w14:paraId="03501C8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273" w:hRule="atLeast"/>
          <w:jc w:val="center"/>
        </w:trPr>
        <w:tc>
          <w:tcPr>
            <w:tcW w:w="878" w:type="dxa"/>
            <w:vMerge w:val="continue"/>
            <w:tcBorders>
              <w:tl2br w:val="nil"/>
              <w:tr2bl w:val="nil"/>
            </w:tcBorders>
            <w:vAlign w:val="center"/>
          </w:tcPr>
          <w:p w14:paraId="143EB0C0">
            <w:pPr>
              <w:jc w:val="center"/>
              <w:rPr>
                <w:rFonts w:hint="eastAsia" w:ascii="宋体" w:hAnsi="宋体" w:eastAsia="宋体" w:cs="宋体"/>
                <w:color w:val="auto"/>
                <w:szCs w:val="21"/>
              </w:rPr>
            </w:pPr>
          </w:p>
        </w:tc>
        <w:tc>
          <w:tcPr>
            <w:tcW w:w="7821" w:type="dxa"/>
            <w:gridSpan w:val="2"/>
            <w:tcBorders>
              <w:tl2br w:val="nil"/>
              <w:tr2bl w:val="nil"/>
            </w:tcBorders>
            <w:vAlign w:val="center"/>
          </w:tcPr>
          <w:p w14:paraId="440F604F">
            <w:pPr>
              <w:tabs>
                <w:tab w:val="left" w:pos="567"/>
              </w:tabs>
              <w:jc w:val="both"/>
              <w:rPr>
                <w:rFonts w:hint="eastAsia" w:ascii="宋体" w:hAnsi="宋体" w:eastAsia="宋体" w:cs="宋体"/>
                <w:color w:val="auto"/>
                <w:kern w:val="2"/>
                <w:szCs w:val="21"/>
                <w:lang w:val="zh-CN"/>
              </w:rPr>
            </w:pPr>
            <w:r>
              <w:rPr>
                <w:rFonts w:hint="eastAsia" w:ascii="宋体" w:hAnsi="宋体" w:eastAsia="宋体" w:cs="宋体"/>
                <w:color w:val="auto"/>
                <w:szCs w:val="21"/>
              </w:rPr>
              <w:t>（2）</w:t>
            </w:r>
            <w:r>
              <w:rPr>
                <w:rFonts w:hint="eastAsia" w:ascii="宋体" w:hAnsi="宋体" w:eastAsia="宋体" w:cs="宋体"/>
                <w:color w:val="auto"/>
                <w:kern w:val="2"/>
                <w:szCs w:val="21"/>
                <w:lang w:val="zh-CN"/>
              </w:rPr>
              <w:t>投标保证金采用转账、电汇方式提交，应符合以下要求：采用银行转账、电汇方式提交的，保证金汇入以下投标保证金专用账户，不接收由以投标人分支机构、私人账户和其他单位转入的保证金。投标保证金必须在投标文件递交截止前到账，投标保证金未按规定时间到达指定账户或提交金额不足的，将被视为无效投标。且在备注或用途中注明本项目的项目编号。</w:t>
            </w:r>
          </w:p>
          <w:p w14:paraId="1CEE9722">
            <w:pPr>
              <w:tabs>
                <w:tab w:val="left" w:pos="567"/>
              </w:tabs>
              <w:ind w:left="567" w:hanging="567"/>
              <w:jc w:val="both"/>
              <w:rPr>
                <w:rFonts w:hint="eastAsia" w:ascii="宋体" w:hAnsi="宋体" w:eastAsia="宋体" w:cs="宋体"/>
                <w:color w:val="auto"/>
                <w:kern w:val="2"/>
                <w:szCs w:val="21"/>
                <w:lang w:val="zh-CN"/>
              </w:rPr>
            </w:pPr>
            <w:r>
              <w:rPr>
                <w:rFonts w:hint="eastAsia" w:ascii="宋体" w:hAnsi="宋体" w:eastAsia="宋体" w:cs="宋体"/>
                <w:color w:val="auto"/>
                <w:kern w:val="2"/>
                <w:szCs w:val="21"/>
                <w:lang w:val="zh-CN"/>
              </w:rPr>
              <w:t>投标保证金专用账户如下：</w:t>
            </w:r>
          </w:p>
          <w:p w14:paraId="0828C46D">
            <w:pPr>
              <w:tabs>
                <w:tab w:val="left" w:pos="567"/>
              </w:tabs>
              <w:ind w:firstLine="420" w:firstLineChars="200"/>
              <w:jc w:val="both"/>
              <w:rPr>
                <w:rFonts w:hint="eastAsia" w:ascii="宋体" w:hAnsi="宋体" w:eastAsia="宋体" w:cs="宋体"/>
                <w:b/>
                <w:color w:val="auto"/>
                <w:szCs w:val="21"/>
              </w:rPr>
            </w:pPr>
            <w:r>
              <w:rPr>
                <w:rFonts w:hint="eastAsia" w:ascii="宋体" w:hAnsi="宋体" w:eastAsia="宋体" w:cs="宋体"/>
                <w:b/>
                <w:color w:val="auto"/>
                <w:szCs w:val="21"/>
              </w:rPr>
              <w:t>名称：广东中科招标有限公司</w:t>
            </w:r>
          </w:p>
          <w:p w14:paraId="1F04519B">
            <w:pPr>
              <w:tabs>
                <w:tab w:val="left" w:pos="567"/>
              </w:tabs>
              <w:ind w:firstLine="420" w:firstLineChars="200"/>
              <w:jc w:val="both"/>
              <w:rPr>
                <w:rFonts w:hint="eastAsia" w:ascii="宋体" w:hAnsi="宋体" w:eastAsia="宋体" w:cs="宋体"/>
                <w:b/>
                <w:color w:val="auto"/>
                <w:szCs w:val="21"/>
              </w:rPr>
            </w:pPr>
            <w:r>
              <w:rPr>
                <w:rFonts w:hint="eastAsia" w:ascii="宋体" w:hAnsi="宋体" w:eastAsia="宋体" w:cs="宋体"/>
                <w:b/>
                <w:color w:val="auto"/>
                <w:szCs w:val="21"/>
              </w:rPr>
              <w:t>账号：6232590699050810876</w:t>
            </w:r>
          </w:p>
          <w:p w14:paraId="03BB7025">
            <w:pPr>
              <w:tabs>
                <w:tab w:val="left" w:pos="567"/>
              </w:tabs>
              <w:ind w:firstLine="420" w:firstLineChars="200"/>
              <w:jc w:val="both"/>
              <w:rPr>
                <w:rFonts w:hint="eastAsia" w:ascii="宋体" w:hAnsi="宋体" w:eastAsia="宋体" w:cs="宋体"/>
                <w:b/>
                <w:color w:val="auto"/>
                <w:szCs w:val="21"/>
              </w:rPr>
            </w:pPr>
            <w:r>
              <w:rPr>
                <w:rFonts w:hint="eastAsia" w:ascii="宋体" w:hAnsi="宋体" w:eastAsia="宋体" w:cs="宋体"/>
                <w:b/>
                <w:color w:val="auto"/>
                <w:szCs w:val="21"/>
              </w:rPr>
              <w:t>开户行：广发银行股份有限公司东莞南城支行</w:t>
            </w:r>
          </w:p>
          <w:p w14:paraId="48C9DDD5">
            <w:pPr>
              <w:tabs>
                <w:tab w:val="left" w:pos="567"/>
              </w:tabs>
              <w:ind w:firstLine="420" w:firstLineChars="200"/>
              <w:jc w:val="both"/>
              <w:rPr>
                <w:rFonts w:hint="eastAsia" w:ascii="宋体" w:hAnsi="宋体" w:eastAsia="宋体" w:cs="宋体"/>
                <w:b/>
                <w:color w:val="auto"/>
                <w:szCs w:val="21"/>
              </w:rPr>
            </w:pPr>
            <w:r>
              <w:rPr>
                <w:rFonts w:hint="eastAsia" w:ascii="宋体" w:hAnsi="宋体" w:eastAsia="宋体" w:cs="宋体"/>
                <w:b/>
                <w:color w:val="auto"/>
                <w:szCs w:val="21"/>
              </w:rPr>
              <w:t>（注：各投标人在转账或电汇时须在用途栏上备注项目编号，及项目名称，如有字数限制项目名称可简写。）</w:t>
            </w:r>
          </w:p>
        </w:tc>
      </w:tr>
      <w:tr w14:paraId="3FF1306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20" w:hRule="atLeast"/>
          <w:jc w:val="center"/>
        </w:trPr>
        <w:tc>
          <w:tcPr>
            <w:tcW w:w="878" w:type="dxa"/>
            <w:vMerge w:val="restart"/>
            <w:tcBorders>
              <w:tl2br w:val="nil"/>
              <w:tr2bl w:val="nil"/>
            </w:tcBorders>
            <w:vAlign w:val="center"/>
          </w:tcPr>
          <w:p w14:paraId="33635351">
            <w:pPr>
              <w:jc w:val="center"/>
              <w:rPr>
                <w:rFonts w:hint="eastAsia" w:ascii="宋体" w:hAnsi="宋体" w:eastAsia="宋体" w:cs="宋体"/>
                <w:color w:val="auto"/>
                <w:szCs w:val="21"/>
              </w:rPr>
            </w:pPr>
            <w:r>
              <w:rPr>
                <w:rFonts w:hint="eastAsia" w:ascii="宋体" w:hAnsi="宋体" w:eastAsia="宋体" w:cs="宋体"/>
                <w:color w:val="auto"/>
                <w:szCs w:val="21"/>
              </w:rPr>
              <w:t>9</w:t>
            </w:r>
          </w:p>
        </w:tc>
        <w:tc>
          <w:tcPr>
            <w:tcW w:w="7821" w:type="dxa"/>
            <w:gridSpan w:val="2"/>
            <w:tcBorders>
              <w:tl2br w:val="nil"/>
              <w:tr2bl w:val="nil"/>
            </w:tcBorders>
            <w:vAlign w:val="center"/>
          </w:tcPr>
          <w:p w14:paraId="04800FF7">
            <w:pPr>
              <w:jc w:val="both"/>
              <w:rPr>
                <w:rFonts w:hint="eastAsia" w:ascii="宋体" w:hAnsi="宋体" w:eastAsia="宋体" w:cs="宋体"/>
                <w:b/>
                <w:bCs/>
                <w:color w:val="auto"/>
                <w:szCs w:val="21"/>
                <w:lang w:val="zh-CN"/>
              </w:rPr>
            </w:pPr>
            <w:r>
              <w:rPr>
                <w:rFonts w:hint="eastAsia" w:ascii="宋体" w:hAnsi="宋体" w:eastAsia="宋体" w:cs="宋体"/>
                <w:b/>
                <w:bCs/>
                <w:color w:val="auto"/>
                <w:szCs w:val="21"/>
                <w:lang w:val="zh-CN"/>
              </w:rPr>
              <w:t>投标保证金退还</w:t>
            </w:r>
          </w:p>
        </w:tc>
      </w:tr>
      <w:tr w14:paraId="5B78EA9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1535" w:hRule="atLeast"/>
          <w:jc w:val="center"/>
        </w:trPr>
        <w:tc>
          <w:tcPr>
            <w:tcW w:w="878" w:type="dxa"/>
            <w:vMerge w:val="continue"/>
            <w:tcBorders>
              <w:tl2br w:val="nil"/>
              <w:tr2bl w:val="nil"/>
            </w:tcBorders>
            <w:vAlign w:val="center"/>
          </w:tcPr>
          <w:p w14:paraId="22DB9A32">
            <w:pPr>
              <w:jc w:val="center"/>
              <w:rPr>
                <w:rFonts w:hint="eastAsia" w:ascii="宋体" w:hAnsi="宋体" w:eastAsia="宋体" w:cs="宋体"/>
                <w:color w:val="auto"/>
                <w:szCs w:val="21"/>
              </w:rPr>
            </w:pPr>
          </w:p>
        </w:tc>
        <w:tc>
          <w:tcPr>
            <w:tcW w:w="7821" w:type="dxa"/>
            <w:gridSpan w:val="2"/>
            <w:tcBorders>
              <w:tl2br w:val="nil"/>
              <w:tr2bl w:val="nil"/>
            </w:tcBorders>
            <w:vAlign w:val="center"/>
          </w:tcPr>
          <w:p w14:paraId="5DB72669">
            <w:pPr>
              <w:jc w:val="both"/>
              <w:rPr>
                <w:rFonts w:hint="eastAsia" w:ascii="宋体" w:hAnsi="宋体" w:eastAsia="宋体" w:cs="宋体"/>
                <w:color w:val="auto"/>
                <w:szCs w:val="21"/>
                <w:lang w:val="zh-CN"/>
              </w:rPr>
            </w:pPr>
            <w:r>
              <w:rPr>
                <w:rFonts w:hint="eastAsia" w:ascii="宋体" w:hAnsi="宋体" w:eastAsia="宋体" w:cs="宋体"/>
                <w:color w:val="auto"/>
                <w:szCs w:val="21"/>
                <w:lang w:val="zh-CN"/>
              </w:rPr>
              <w:t>（</w:t>
            </w:r>
            <w:r>
              <w:rPr>
                <w:rFonts w:hint="eastAsia" w:ascii="宋体" w:hAnsi="宋体" w:eastAsia="宋体" w:cs="宋体"/>
                <w:color w:val="auto"/>
                <w:szCs w:val="21"/>
              </w:rPr>
              <w:t>1</w:t>
            </w:r>
            <w:r>
              <w:rPr>
                <w:rFonts w:hint="eastAsia" w:ascii="宋体" w:hAnsi="宋体" w:eastAsia="宋体" w:cs="宋体"/>
                <w:color w:val="auto"/>
                <w:szCs w:val="21"/>
                <w:lang w:val="zh-CN"/>
              </w:rPr>
              <w:t>）未中标的投标人的保证金应当在中标通知书发出后退还，中标</w:t>
            </w:r>
            <w:r>
              <w:rPr>
                <w:rFonts w:hint="eastAsia" w:ascii="宋体" w:hAnsi="宋体" w:eastAsia="宋体" w:cs="宋体"/>
                <w:color w:val="auto"/>
                <w:szCs w:val="21"/>
              </w:rPr>
              <w:t>的</w:t>
            </w:r>
            <w:r>
              <w:rPr>
                <w:rFonts w:hint="eastAsia" w:ascii="宋体" w:hAnsi="宋体" w:eastAsia="宋体" w:cs="宋体"/>
                <w:color w:val="auto"/>
                <w:szCs w:val="21"/>
                <w:lang w:val="zh-CN"/>
              </w:rPr>
              <w:t>投标人的保证金应当在采购合同签订</w:t>
            </w:r>
            <w:r>
              <w:rPr>
                <w:rFonts w:hint="eastAsia" w:ascii="宋体" w:hAnsi="宋体" w:eastAsia="宋体" w:cs="宋体"/>
                <w:color w:val="auto"/>
                <w:szCs w:val="21"/>
              </w:rPr>
              <w:t>并缴纳履约保证金</w:t>
            </w:r>
            <w:r>
              <w:rPr>
                <w:rFonts w:hint="eastAsia" w:ascii="宋体" w:hAnsi="宋体" w:eastAsia="宋体" w:cs="宋体"/>
                <w:color w:val="auto"/>
                <w:szCs w:val="21"/>
                <w:lang w:val="zh-CN"/>
              </w:rPr>
              <w:t>后退还。</w:t>
            </w:r>
          </w:p>
          <w:p w14:paraId="56497777">
            <w:pPr>
              <w:jc w:val="both"/>
              <w:rPr>
                <w:rFonts w:hint="eastAsia" w:ascii="宋体" w:hAnsi="宋体" w:eastAsia="宋体" w:cs="宋体"/>
                <w:color w:val="auto"/>
              </w:rPr>
            </w:pPr>
            <w:r>
              <w:rPr>
                <w:rFonts w:hint="eastAsia" w:ascii="宋体" w:hAnsi="宋体" w:eastAsia="宋体" w:cs="宋体"/>
                <w:color w:val="auto"/>
                <w:szCs w:val="21"/>
                <w:lang w:val="zh-CN"/>
              </w:rPr>
              <w:t>（</w:t>
            </w:r>
            <w:r>
              <w:rPr>
                <w:rFonts w:hint="eastAsia" w:ascii="宋体" w:hAnsi="宋体" w:eastAsia="宋体" w:cs="宋体"/>
                <w:color w:val="auto"/>
                <w:szCs w:val="21"/>
              </w:rPr>
              <w:t>2</w:t>
            </w:r>
            <w:r>
              <w:rPr>
                <w:rFonts w:hint="eastAsia" w:ascii="宋体" w:hAnsi="宋体" w:eastAsia="宋体" w:cs="宋体"/>
                <w:color w:val="auto"/>
                <w:szCs w:val="21"/>
                <w:lang w:val="zh-CN"/>
              </w:rPr>
              <w:t>）为方便退还未中标的投标人的保证金，投标人应制作《投标保证金汇入情况说明》随唱标信封一并递交。</w:t>
            </w:r>
          </w:p>
        </w:tc>
      </w:tr>
      <w:tr w14:paraId="72540F5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78" w:type="dxa"/>
            <w:vMerge w:val="restart"/>
            <w:tcBorders>
              <w:tl2br w:val="nil"/>
              <w:tr2bl w:val="nil"/>
            </w:tcBorders>
            <w:vAlign w:val="center"/>
          </w:tcPr>
          <w:p w14:paraId="48CCA54E">
            <w:pPr>
              <w:jc w:val="center"/>
              <w:rPr>
                <w:rFonts w:hint="eastAsia" w:ascii="宋体" w:hAnsi="宋体" w:eastAsia="宋体" w:cs="宋体"/>
                <w:color w:val="auto"/>
                <w:szCs w:val="21"/>
              </w:rPr>
            </w:pPr>
            <w:r>
              <w:rPr>
                <w:rFonts w:hint="eastAsia" w:ascii="宋体" w:hAnsi="宋体" w:eastAsia="宋体" w:cs="宋体"/>
                <w:color w:val="auto"/>
                <w:szCs w:val="21"/>
              </w:rPr>
              <w:t>10</w:t>
            </w:r>
          </w:p>
        </w:tc>
        <w:tc>
          <w:tcPr>
            <w:tcW w:w="7821" w:type="dxa"/>
            <w:gridSpan w:val="2"/>
            <w:tcBorders>
              <w:tl2br w:val="nil"/>
              <w:tr2bl w:val="nil"/>
            </w:tcBorders>
            <w:vAlign w:val="center"/>
          </w:tcPr>
          <w:p w14:paraId="6DEE843D">
            <w:pPr>
              <w:jc w:val="both"/>
              <w:rPr>
                <w:rFonts w:hint="eastAsia" w:ascii="宋体" w:hAnsi="宋体" w:eastAsia="宋体" w:cs="宋体"/>
                <w:b/>
                <w:color w:val="auto"/>
                <w:szCs w:val="21"/>
              </w:rPr>
            </w:pPr>
            <w:r>
              <w:rPr>
                <w:rFonts w:hint="eastAsia" w:ascii="宋体" w:hAnsi="宋体" w:eastAsia="宋体" w:cs="宋体"/>
                <w:b/>
                <w:color w:val="auto"/>
                <w:szCs w:val="21"/>
              </w:rPr>
              <w:t>投标有效期</w:t>
            </w:r>
          </w:p>
        </w:tc>
      </w:tr>
      <w:tr w14:paraId="18050ED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1DDE890E">
            <w:pPr>
              <w:jc w:val="center"/>
              <w:rPr>
                <w:rFonts w:hint="eastAsia" w:ascii="宋体" w:hAnsi="宋体" w:eastAsia="宋体" w:cs="宋体"/>
                <w:color w:val="auto"/>
                <w:szCs w:val="21"/>
              </w:rPr>
            </w:pPr>
          </w:p>
        </w:tc>
        <w:tc>
          <w:tcPr>
            <w:tcW w:w="7821" w:type="dxa"/>
            <w:gridSpan w:val="2"/>
            <w:tcBorders>
              <w:tl2br w:val="nil"/>
              <w:tr2bl w:val="nil"/>
            </w:tcBorders>
            <w:vAlign w:val="center"/>
          </w:tcPr>
          <w:p w14:paraId="7D3C93F5">
            <w:pPr>
              <w:jc w:val="both"/>
              <w:rPr>
                <w:rFonts w:hint="eastAsia" w:ascii="宋体" w:hAnsi="宋体" w:eastAsia="宋体" w:cs="宋体"/>
                <w:b/>
                <w:color w:val="auto"/>
                <w:szCs w:val="21"/>
              </w:rPr>
            </w:pPr>
            <w:r>
              <w:rPr>
                <w:rFonts w:hint="eastAsia" w:ascii="宋体" w:hAnsi="宋体" w:eastAsia="宋体" w:cs="宋体"/>
                <w:color w:val="auto"/>
                <w:szCs w:val="21"/>
              </w:rPr>
              <w:t>九十天。</w:t>
            </w:r>
          </w:p>
        </w:tc>
      </w:tr>
      <w:tr w14:paraId="67FFD4D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78" w:type="dxa"/>
            <w:vMerge w:val="restart"/>
            <w:tcBorders>
              <w:tl2br w:val="nil"/>
              <w:tr2bl w:val="nil"/>
            </w:tcBorders>
            <w:vAlign w:val="center"/>
          </w:tcPr>
          <w:p w14:paraId="15176397">
            <w:pPr>
              <w:jc w:val="center"/>
              <w:rPr>
                <w:rFonts w:hint="eastAsia" w:ascii="宋体" w:hAnsi="宋体" w:eastAsia="宋体" w:cs="宋体"/>
                <w:color w:val="auto"/>
                <w:szCs w:val="21"/>
              </w:rPr>
            </w:pPr>
            <w:r>
              <w:rPr>
                <w:rFonts w:hint="eastAsia" w:ascii="宋体" w:hAnsi="宋体" w:eastAsia="宋体" w:cs="宋体"/>
                <w:color w:val="auto"/>
                <w:szCs w:val="21"/>
              </w:rPr>
              <w:t>11</w:t>
            </w:r>
          </w:p>
        </w:tc>
        <w:tc>
          <w:tcPr>
            <w:tcW w:w="7821" w:type="dxa"/>
            <w:gridSpan w:val="2"/>
            <w:tcBorders>
              <w:tl2br w:val="nil"/>
              <w:tr2bl w:val="nil"/>
            </w:tcBorders>
            <w:vAlign w:val="center"/>
          </w:tcPr>
          <w:p w14:paraId="3D5459A5">
            <w:pPr>
              <w:rPr>
                <w:rFonts w:hint="eastAsia" w:ascii="宋体" w:hAnsi="宋体" w:eastAsia="宋体" w:cs="宋体"/>
                <w:b/>
                <w:color w:val="auto"/>
                <w:szCs w:val="21"/>
              </w:rPr>
            </w:pPr>
            <w:r>
              <w:rPr>
                <w:rFonts w:hint="eastAsia" w:ascii="宋体" w:hAnsi="宋体" w:eastAsia="宋体" w:cs="宋体"/>
                <w:b/>
                <w:color w:val="auto"/>
                <w:szCs w:val="21"/>
              </w:rPr>
              <w:t>投标人应提交以下投标文件（投标文件由唱标信封、价格文件、商务文件、技术文件、电子文档五部分组成；价格文件、商务文件、技术文件分别单独装订成册，电子文档装入唱标信封一同封装；具体编制和封装要求详见第四部分投标人须知）</w:t>
            </w:r>
          </w:p>
        </w:tc>
      </w:tr>
      <w:tr w14:paraId="58CA09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78" w:type="dxa"/>
            <w:vMerge w:val="continue"/>
            <w:tcBorders>
              <w:tl2br w:val="nil"/>
              <w:tr2bl w:val="nil"/>
            </w:tcBorders>
            <w:vAlign w:val="center"/>
          </w:tcPr>
          <w:p w14:paraId="5C9574BA">
            <w:pPr>
              <w:jc w:val="center"/>
              <w:rPr>
                <w:rFonts w:hint="eastAsia" w:ascii="宋体" w:hAnsi="宋体" w:eastAsia="宋体" w:cs="宋体"/>
                <w:color w:val="auto"/>
                <w:szCs w:val="21"/>
              </w:rPr>
            </w:pPr>
          </w:p>
        </w:tc>
        <w:tc>
          <w:tcPr>
            <w:tcW w:w="2608" w:type="dxa"/>
            <w:tcBorders>
              <w:tl2br w:val="nil"/>
              <w:tr2bl w:val="nil"/>
            </w:tcBorders>
            <w:vAlign w:val="center"/>
          </w:tcPr>
          <w:p w14:paraId="6CABF2FC">
            <w:pPr>
              <w:jc w:val="center"/>
              <w:rPr>
                <w:rFonts w:hint="eastAsia" w:ascii="宋体" w:hAnsi="宋体" w:eastAsia="宋体" w:cs="宋体"/>
                <w:b/>
                <w:color w:val="auto"/>
                <w:szCs w:val="21"/>
              </w:rPr>
            </w:pPr>
            <w:r>
              <w:rPr>
                <w:rFonts w:hint="eastAsia" w:ascii="宋体" w:hAnsi="宋体" w:eastAsia="宋体" w:cs="宋体"/>
                <w:b/>
                <w:color w:val="auto"/>
                <w:szCs w:val="21"/>
              </w:rPr>
              <w:t>投标文件类型</w:t>
            </w:r>
          </w:p>
        </w:tc>
        <w:tc>
          <w:tcPr>
            <w:tcW w:w="5213" w:type="dxa"/>
            <w:tcBorders>
              <w:tl2br w:val="nil"/>
              <w:tr2bl w:val="nil"/>
            </w:tcBorders>
            <w:vAlign w:val="center"/>
          </w:tcPr>
          <w:p w14:paraId="1B95B193">
            <w:pPr>
              <w:jc w:val="center"/>
              <w:rPr>
                <w:rFonts w:hint="eastAsia" w:ascii="宋体" w:hAnsi="宋体" w:eastAsia="宋体" w:cs="宋体"/>
                <w:b/>
                <w:color w:val="auto"/>
                <w:szCs w:val="21"/>
              </w:rPr>
            </w:pPr>
            <w:r>
              <w:rPr>
                <w:rFonts w:hint="eastAsia" w:ascii="宋体" w:hAnsi="宋体" w:eastAsia="宋体" w:cs="宋体"/>
                <w:b/>
                <w:color w:val="auto"/>
                <w:szCs w:val="21"/>
              </w:rPr>
              <w:t>份数</w:t>
            </w:r>
          </w:p>
        </w:tc>
      </w:tr>
      <w:tr w14:paraId="24A7D2B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78" w:type="dxa"/>
            <w:vMerge w:val="continue"/>
            <w:tcBorders>
              <w:tl2br w:val="nil"/>
              <w:tr2bl w:val="nil"/>
            </w:tcBorders>
            <w:vAlign w:val="center"/>
          </w:tcPr>
          <w:p w14:paraId="59ED90CA">
            <w:pPr>
              <w:jc w:val="center"/>
              <w:rPr>
                <w:rFonts w:hint="eastAsia" w:ascii="宋体" w:hAnsi="宋体" w:eastAsia="宋体" w:cs="宋体"/>
                <w:color w:val="auto"/>
                <w:szCs w:val="21"/>
              </w:rPr>
            </w:pPr>
          </w:p>
        </w:tc>
        <w:tc>
          <w:tcPr>
            <w:tcW w:w="2608" w:type="dxa"/>
            <w:tcBorders>
              <w:tl2br w:val="nil"/>
              <w:tr2bl w:val="nil"/>
            </w:tcBorders>
            <w:vAlign w:val="center"/>
          </w:tcPr>
          <w:p w14:paraId="09D86E7A">
            <w:pPr>
              <w:jc w:val="center"/>
              <w:rPr>
                <w:rFonts w:hint="eastAsia" w:ascii="宋体" w:hAnsi="宋体" w:eastAsia="宋体" w:cs="宋体"/>
                <w:b/>
                <w:color w:val="auto"/>
                <w:szCs w:val="21"/>
              </w:rPr>
            </w:pPr>
            <w:r>
              <w:rPr>
                <w:rFonts w:hint="eastAsia" w:ascii="宋体" w:hAnsi="宋体" w:eastAsia="宋体" w:cs="宋体"/>
                <w:b/>
                <w:color w:val="auto"/>
                <w:szCs w:val="21"/>
              </w:rPr>
              <w:t>唱标信封</w:t>
            </w:r>
          </w:p>
        </w:tc>
        <w:tc>
          <w:tcPr>
            <w:tcW w:w="5213" w:type="dxa"/>
            <w:tcBorders>
              <w:tl2br w:val="nil"/>
              <w:tr2bl w:val="nil"/>
            </w:tcBorders>
            <w:vAlign w:val="center"/>
          </w:tcPr>
          <w:p w14:paraId="4F12F0AC">
            <w:pPr>
              <w:jc w:val="center"/>
              <w:rPr>
                <w:rFonts w:hint="eastAsia" w:ascii="宋体" w:hAnsi="宋体" w:eastAsia="宋体" w:cs="宋体"/>
                <w:b/>
                <w:color w:val="auto"/>
                <w:szCs w:val="21"/>
              </w:rPr>
            </w:pPr>
            <w:r>
              <w:rPr>
                <w:rFonts w:hint="eastAsia" w:ascii="宋体" w:hAnsi="宋体" w:eastAsia="宋体" w:cs="宋体"/>
                <w:b/>
                <w:color w:val="auto"/>
                <w:szCs w:val="21"/>
              </w:rPr>
              <w:t>1</w:t>
            </w:r>
          </w:p>
        </w:tc>
      </w:tr>
      <w:tr w14:paraId="6221B34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78" w:type="dxa"/>
            <w:vMerge w:val="continue"/>
            <w:tcBorders>
              <w:tl2br w:val="nil"/>
              <w:tr2bl w:val="nil"/>
            </w:tcBorders>
            <w:vAlign w:val="center"/>
          </w:tcPr>
          <w:p w14:paraId="554BCDAF">
            <w:pPr>
              <w:jc w:val="center"/>
              <w:rPr>
                <w:rFonts w:hint="eastAsia" w:ascii="宋体" w:hAnsi="宋体" w:eastAsia="宋体" w:cs="宋体"/>
                <w:color w:val="auto"/>
                <w:szCs w:val="21"/>
              </w:rPr>
            </w:pPr>
          </w:p>
        </w:tc>
        <w:tc>
          <w:tcPr>
            <w:tcW w:w="2608" w:type="dxa"/>
            <w:tcBorders>
              <w:tl2br w:val="nil"/>
              <w:tr2bl w:val="nil"/>
            </w:tcBorders>
            <w:vAlign w:val="center"/>
          </w:tcPr>
          <w:p w14:paraId="581EA18B">
            <w:pPr>
              <w:jc w:val="center"/>
              <w:rPr>
                <w:rFonts w:hint="eastAsia" w:ascii="宋体" w:hAnsi="宋体" w:eastAsia="宋体" w:cs="宋体"/>
                <w:b/>
                <w:color w:val="auto"/>
                <w:szCs w:val="21"/>
              </w:rPr>
            </w:pPr>
            <w:r>
              <w:rPr>
                <w:rFonts w:hint="eastAsia" w:ascii="宋体" w:hAnsi="宋体" w:eastAsia="宋体" w:cs="宋体"/>
                <w:b/>
                <w:color w:val="auto"/>
                <w:szCs w:val="21"/>
              </w:rPr>
              <w:t>投标文件正本</w:t>
            </w:r>
          </w:p>
        </w:tc>
        <w:tc>
          <w:tcPr>
            <w:tcW w:w="5213" w:type="dxa"/>
            <w:tcBorders>
              <w:tl2br w:val="nil"/>
              <w:tr2bl w:val="nil"/>
            </w:tcBorders>
            <w:vAlign w:val="center"/>
          </w:tcPr>
          <w:p w14:paraId="2A282BB6">
            <w:pPr>
              <w:jc w:val="center"/>
              <w:rPr>
                <w:rFonts w:hint="eastAsia" w:ascii="宋体" w:hAnsi="宋体" w:eastAsia="宋体" w:cs="宋体"/>
                <w:b/>
                <w:color w:val="auto"/>
                <w:szCs w:val="21"/>
              </w:rPr>
            </w:pPr>
            <w:r>
              <w:rPr>
                <w:rFonts w:hint="eastAsia" w:ascii="宋体" w:hAnsi="宋体" w:eastAsia="宋体" w:cs="宋体"/>
                <w:b/>
                <w:color w:val="auto"/>
                <w:szCs w:val="21"/>
              </w:rPr>
              <w:t>1</w:t>
            </w:r>
          </w:p>
        </w:tc>
      </w:tr>
      <w:tr w14:paraId="18D28A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37" w:hRule="atLeast"/>
          <w:jc w:val="center"/>
        </w:trPr>
        <w:tc>
          <w:tcPr>
            <w:tcW w:w="878" w:type="dxa"/>
            <w:vMerge w:val="continue"/>
            <w:tcBorders>
              <w:tl2br w:val="nil"/>
              <w:tr2bl w:val="nil"/>
            </w:tcBorders>
            <w:vAlign w:val="center"/>
          </w:tcPr>
          <w:p w14:paraId="41E722DA">
            <w:pPr>
              <w:jc w:val="center"/>
              <w:rPr>
                <w:rFonts w:hint="eastAsia" w:ascii="宋体" w:hAnsi="宋体" w:eastAsia="宋体" w:cs="宋体"/>
                <w:color w:val="auto"/>
                <w:szCs w:val="21"/>
              </w:rPr>
            </w:pPr>
          </w:p>
        </w:tc>
        <w:tc>
          <w:tcPr>
            <w:tcW w:w="2608" w:type="dxa"/>
            <w:tcBorders>
              <w:tl2br w:val="nil"/>
              <w:tr2bl w:val="nil"/>
            </w:tcBorders>
            <w:vAlign w:val="center"/>
          </w:tcPr>
          <w:p w14:paraId="5B30D54B">
            <w:pPr>
              <w:jc w:val="center"/>
              <w:rPr>
                <w:rFonts w:hint="eastAsia" w:ascii="宋体" w:hAnsi="宋体" w:eastAsia="宋体" w:cs="宋体"/>
                <w:b/>
                <w:color w:val="auto"/>
                <w:szCs w:val="21"/>
              </w:rPr>
            </w:pPr>
            <w:r>
              <w:rPr>
                <w:rFonts w:hint="eastAsia" w:ascii="宋体" w:hAnsi="宋体" w:eastAsia="宋体" w:cs="宋体"/>
                <w:b/>
                <w:color w:val="auto"/>
                <w:szCs w:val="21"/>
              </w:rPr>
              <w:t>投标文件副本</w:t>
            </w:r>
          </w:p>
        </w:tc>
        <w:tc>
          <w:tcPr>
            <w:tcW w:w="5213" w:type="dxa"/>
            <w:tcBorders>
              <w:tl2br w:val="nil"/>
              <w:tr2bl w:val="nil"/>
            </w:tcBorders>
            <w:vAlign w:val="center"/>
          </w:tcPr>
          <w:p w14:paraId="7B737EC0">
            <w:pPr>
              <w:jc w:val="center"/>
              <w:rPr>
                <w:rFonts w:hint="eastAsia" w:ascii="宋体" w:hAnsi="宋体" w:eastAsia="宋体" w:cs="宋体"/>
                <w:b/>
                <w:color w:val="auto"/>
                <w:szCs w:val="21"/>
              </w:rPr>
            </w:pPr>
            <w:r>
              <w:rPr>
                <w:rFonts w:hint="eastAsia" w:ascii="宋体" w:hAnsi="宋体" w:eastAsia="宋体" w:cs="宋体"/>
                <w:bCs/>
                <w:color w:val="auto"/>
                <w:szCs w:val="21"/>
              </w:rPr>
              <w:t>☑</w:t>
            </w:r>
            <w:r>
              <w:rPr>
                <w:rFonts w:hint="eastAsia" w:ascii="宋体" w:hAnsi="宋体" w:eastAsia="宋体" w:cs="宋体"/>
                <w:b/>
                <w:color w:val="auto"/>
                <w:szCs w:val="21"/>
              </w:rPr>
              <w:t xml:space="preserve">5  </w:t>
            </w:r>
            <w:r>
              <w:rPr>
                <w:rFonts w:hint="eastAsia" w:ascii="宋体" w:hAnsi="宋体" w:eastAsia="宋体" w:cs="宋体"/>
                <w:bCs/>
                <w:color w:val="auto"/>
                <w:szCs w:val="21"/>
              </w:rPr>
              <w:t>□</w:t>
            </w:r>
            <w:r>
              <w:rPr>
                <w:rFonts w:hint="eastAsia" w:ascii="宋体" w:hAnsi="宋体" w:eastAsia="宋体" w:cs="宋体"/>
                <w:b/>
                <w:color w:val="auto"/>
                <w:szCs w:val="21"/>
              </w:rPr>
              <w:t>7</w:t>
            </w:r>
          </w:p>
        </w:tc>
      </w:tr>
      <w:tr w14:paraId="573FDC3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78" w:type="dxa"/>
            <w:vMerge w:val="continue"/>
            <w:tcBorders>
              <w:tl2br w:val="nil"/>
              <w:tr2bl w:val="nil"/>
            </w:tcBorders>
            <w:vAlign w:val="center"/>
          </w:tcPr>
          <w:p w14:paraId="600AE47D">
            <w:pPr>
              <w:jc w:val="center"/>
              <w:rPr>
                <w:rFonts w:hint="eastAsia" w:ascii="宋体" w:hAnsi="宋体" w:eastAsia="宋体" w:cs="宋体"/>
                <w:color w:val="auto"/>
                <w:szCs w:val="21"/>
              </w:rPr>
            </w:pPr>
          </w:p>
        </w:tc>
        <w:tc>
          <w:tcPr>
            <w:tcW w:w="2608" w:type="dxa"/>
            <w:vMerge w:val="restart"/>
            <w:tcBorders>
              <w:tl2br w:val="nil"/>
              <w:tr2bl w:val="nil"/>
            </w:tcBorders>
            <w:vAlign w:val="center"/>
          </w:tcPr>
          <w:p w14:paraId="1CEC85F3">
            <w:pPr>
              <w:jc w:val="center"/>
              <w:rPr>
                <w:rFonts w:hint="eastAsia" w:ascii="宋体" w:hAnsi="宋体" w:eastAsia="宋体" w:cs="宋体"/>
                <w:b/>
                <w:color w:val="auto"/>
                <w:szCs w:val="21"/>
              </w:rPr>
            </w:pPr>
            <w:r>
              <w:rPr>
                <w:rFonts w:hint="eastAsia" w:ascii="宋体" w:hAnsi="宋体" w:eastAsia="宋体" w:cs="宋体"/>
                <w:b/>
                <w:color w:val="auto"/>
                <w:szCs w:val="21"/>
              </w:rPr>
              <w:t>电子文档</w:t>
            </w:r>
          </w:p>
        </w:tc>
        <w:tc>
          <w:tcPr>
            <w:tcW w:w="5213" w:type="dxa"/>
            <w:tcBorders>
              <w:tl2br w:val="nil"/>
              <w:tr2bl w:val="nil"/>
            </w:tcBorders>
            <w:vAlign w:val="center"/>
          </w:tcPr>
          <w:p w14:paraId="38DB7C64">
            <w:pPr>
              <w:jc w:val="center"/>
              <w:rPr>
                <w:rFonts w:hint="eastAsia" w:ascii="宋体" w:hAnsi="宋体" w:eastAsia="宋体" w:cs="宋体"/>
                <w:b/>
                <w:color w:val="auto"/>
                <w:szCs w:val="21"/>
              </w:rPr>
            </w:pPr>
            <w:r>
              <w:rPr>
                <w:rFonts w:hint="eastAsia" w:ascii="宋体" w:hAnsi="宋体" w:eastAsia="宋体" w:cs="宋体"/>
                <w:b/>
                <w:color w:val="auto"/>
                <w:szCs w:val="21"/>
              </w:rPr>
              <w:t>1</w:t>
            </w:r>
          </w:p>
        </w:tc>
      </w:tr>
      <w:tr w14:paraId="66B8CA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jc w:val="center"/>
        </w:trPr>
        <w:tc>
          <w:tcPr>
            <w:tcW w:w="878" w:type="dxa"/>
            <w:vMerge w:val="continue"/>
            <w:tcBorders>
              <w:tl2br w:val="nil"/>
              <w:tr2bl w:val="nil"/>
            </w:tcBorders>
            <w:vAlign w:val="center"/>
          </w:tcPr>
          <w:p w14:paraId="47F14782">
            <w:pPr>
              <w:jc w:val="center"/>
              <w:rPr>
                <w:rFonts w:hint="eastAsia" w:ascii="宋体" w:hAnsi="宋体" w:eastAsia="宋体" w:cs="宋体"/>
                <w:color w:val="auto"/>
                <w:szCs w:val="21"/>
              </w:rPr>
            </w:pPr>
          </w:p>
        </w:tc>
        <w:tc>
          <w:tcPr>
            <w:tcW w:w="2608" w:type="dxa"/>
            <w:vMerge w:val="continue"/>
            <w:tcBorders>
              <w:tl2br w:val="nil"/>
              <w:tr2bl w:val="nil"/>
            </w:tcBorders>
            <w:vAlign w:val="center"/>
          </w:tcPr>
          <w:p w14:paraId="0E513247">
            <w:pPr>
              <w:jc w:val="center"/>
              <w:rPr>
                <w:rFonts w:hint="eastAsia" w:ascii="宋体" w:hAnsi="宋体" w:eastAsia="宋体" w:cs="宋体"/>
                <w:b/>
                <w:color w:val="auto"/>
                <w:szCs w:val="21"/>
              </w:rPr>
            </w:pPr>
          </w:p>
        </w:tc>
        <w:tc>
          <w:tcPr>
            <w:tcW w:w="5213" w:type="dxa"/>
            <w:tcBorders>
              <w:tl2br w:val="nil"/>
              <w:tr2bl w:val="nil"/>
            </w:tcBorders>
            <w:vAlign w:val="center"/>
          </w:tcPr>
          <w:p w14:paraId="5C027E6C">
            <w:pPr>
              <w:rPr>
                <w:rFonts w:hint="eastAsia" w:ascii="宋体" w:hAnsi="宋体" w:eastAsia="宋体" w:cs="宋体"/>
                <w:b/>
                <w:color w:val="auto"/>
                <w:szCs w:val="21"/>
              </w:rPr>
            </w:pPr>
            <w:r>
              <w:rPr>
                <w:rFonts w:hint="eastAsia" w:ascii="宋体" w:hAnsi="宋体" w:eastAsia="宋体" w:cs="宋体"/>
                <w:b/>
                <w:color w:val="auto"/>
                <w:szCs w:val="21"/>
              </w:rPr>
              <w:t>U盘，须含盖章版PDF投标文件和WORD版投标文件各一版，文字采用WORD文档，计算表格采用 EXCEL文档。</w:t>
            </w:r>
          </w:p>
        </w:tc>
      </w:tr>
      <w:tr w14:paraId="61C2C23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857" w:hRule="atLeast"/>
          <w:jc w:val="center"/>
        </w:trPr>
        <w:tc>
          <w:tcPr>
            <w:tcW w:w="8699" w:type="dxa"/>
            <w:gridSpan w:val="3"/>
            <w:tcBorders>
              <w:tl2br w:val="nil"/>
              <w:tr2bl w:val="nil"/>
            </w:tcBorders>
            <w:vAlign w:val="center"/>
          </w:tcPr>
          <w:p w14:paraId="5A434534">
            <w:pPr>
              <w:jc w:val="center"/>
              <w:rPr>
                <w:rFonts w:hint="eastAsia" w:ascii="宋体" w:hAnsi="宋体" w:eastAsia="宋体" w:cs="宋体"/>
                <w:b/>
                <w:color w:val="auto"/>
                <w:szCs w:val="21"/>
              </w:rPr>
            </w:pPr>
            <w:r>
              <w:rPr>
                <w:rFonts w:hint="eastAsia" w:ascii="宋体" w:hAnsi="宋体" w:eastAsia="宋体" w:cs="宋体"/>
                <w:b/>
                <w:color w:val="auto"/>
                <w:szCs w:val="21"/>
              </w:rPr>
              <w:t>三、开标与评标</w:t>
            </w:r>
          </w:p>
        </w:tc>
      </w:tr>
      <w:tr w14:paraId="10DE32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78" w:type="dxa"/>
            <w:vMerge w:val="restart"/>
            <w:tcBorders>
              <w:tl2br w:val="nil"/>
              <w:tr2bl w:val="nil"/>
            </w:tcBorders>
            <w:vAlign w:val="center"/>
          </w:tcPr>
          <w:p w14:paraId="07A2A303">
            <w:pPr>
              <w:jc w:val="center"/>
              <w:rPr>
                <w:rFonts w:hint="eastAsia" w:ascii="宋体" w:hAnsi="宋体" w:eastAsia="宋体" w:cs="宋体"/>
                <w:color w:val="auto"/>
                <w:szCs w:val="21"/>
              </w:rPr>
            </w:pPr>
            <w:r>
              <w:rPr>
                <w:rFonts w:hint="eastAsia" w:ascii="宋体" w:hAnsi="宋体" w:eastAsia="宋体" w:cs="宋体"/>
                <w:color w:val="auto"/>
                <w:szCs w:val="21"/>
              </w:rPr>
              <w:t>12</w:t>
            </w:r>
          </w:p>
        </w:tc>
        <w:tc>
          <w:tcPr>
            <w:tcW w:w="7821" w:type="dxa"/>
            <w:gridSpan w:val="2"/>
            <w:tcBorders>
              <w:tl2br w:val="nil"/>
              <w:tr2bl w:val="nil"/>
            </w:tcBorders>
            <w:vAlign w:val="center"/>
          </w:tcPr>
          <w:p w14:paraId="05545F71">
            <w:pPr>
              <w:jc w:val="both"/>
              <w:rPr>
                <w:rFonts w:hint="eastAsia" w:ascii="宋体" w:hAnsi="宋体" w:eastAsia="宋体" w:cs="宋体"/>
                <w:color w:val="auto"/>
                <w:szCs w:val="21"/>
              </w:rPr>
            </w:pPr>
            <w:r>
              <w:rPr>
                <w:rFonts w:hint="eastAsia" w:ascii="宋体" w:hAnsi="宋体" w:eastAsia="宋体" w:cs="宋体"/>
                <w:b/>
                <w:color w:val="auto"/>
                <w:szCs w:val="21"/>
              </w:rPr>
              <w:t>本项目评标方法</w:t>
            </w:r>
          </w:p>
        </w:tc>
      </w:tr>
      <w:tr w14:paraId="242F11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373567FD">
            <w:pPr>
              <w:jc w:val="center"/>
              <w:rPr>
                <w:rFonts w:hint="eastAsia" w:ascii="宋体" w:hAnsi="宋体" w:eastAsia="宋体" w:cs="宋体"/>
                <w:color w:val="auto"/>
                <w:szCs w:val="21"/>
              </w:rPr>
            </w:pPr>
          </w:p>
        </w:tc>
        <w:tc>
          <w:tcPr>
            <w:tcW w:w="7821" w:type="dxa"/>
            <w:gridSpan w:val="2"/>
            <w:tcBorders>
              <w:tl2br w:val="nil"/>
              <w:tr2bl w:val="nil"/>
            </w:tcBorders>
            <w:vAlign w:val="center"/>
          </w:tcPr>
          <w:p w14:paraId="16E32C81">
            <w:pPr>
              <w:jc w:val="both"/>
              <w:rPr>
                <w:rFonts w:hint="eastAsia" w:ascii="宋体" w:hAnsi="宋体" w:eastAsia="宋体" w:cs="宋体"/>
                <w:b/>
                <w:color w:val="auto"/>
                <w:szCs w:val="21"/>
              </w:rPr>
            </w:pPr>
            <w:r>
              <w:rPr>
                <w:rFonts w:hint="eastAsia" w:ascii="宋体" w:hAnsi="宋体" w:eastAsia="宋体" w:cs="宋体"/>
                <w:color w:val="auto"/>
                <w:szCs w:val="21"/>
              </w:rPr>
              <w:t>综合评分法。</w:t>
            </w:r>
          </w:p>
        </w:tc>
      </w:tr>
      <w:tr w14:paraId="28C37C6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jc w:val="center"/>
        </w:trPr>
        <w:tc>
          <w:tcPr>
            <w:tcW w:w="878" w:type="dxa"/>
            <w:vMerge w:val="restart"/>
            <w:tcBorders>
              <w:tl2br w:val="nil"/>
              <w:tr2bl w:val="nil"/>
            </w:tcBorders>
            <w:vAlign w:val="center"/>
          </w:tcPr>
          <w:p w14:paraId="3CB798E8">
            <w:pPr>
              <w:jc w:val="center"/>
              <w:rPr>
                <w:rFonts w:hint="eastAsia" w:ascii="宋体" w:hAnsi="宋体" w:eastAsia="宋体" w:cs="宋体"/>
                <w:color w:val="auto"/>
                <w:szCs w:val="21"/>
              </w:rPr>
            </w:pPr>
            <w:r>
              <w:rPr>
                <w:rFonts w:hint="eastAsia" w:ascii="宋体" w:hAnsi="宋体" w:eastAsia="宋体" w:cs="宋体"/>
                <w:color w:val="auto"/>
                <w:szCs w:val="21"/>
              </w:rPr>
              <w:t>13</w:t>
            </w:r>
          </w:p>
        </w:tc>
        <w:tc>
          <w:tcPr>
            <w:tcW w:w="7821" w:type="dxa"/>
            <w:gridSpan w:val="2"/>
            <w:tcBorders>
              <w:tl2br w:val="nil"/>
              <w:tr2bl w:val="nil"/>
            </w:tcBorders>
            <w:vAlign w:val="center"/>
          </w:tcPr>
          <w:p w14:paraId="6A71BF44">
            <w:pPr>
              <w:jc w:val="both"/>
              <w:rPr>
                <w:rFonts w:hint="eastAsia" w:ascii="宋体" w:hAnsi="宋体" w:eastAsia="宋体" w:cs="宋体"/>
                <w:b/>
                <w:color w:val="auto"/>
                <w:szCs w:val="21"/>
              </w:rPr>
            </w:pPr>
            <w:r>
              <w:rPr>
                <w:rFonts w:hint="eastAsia" w:ascii="宋体" w:hAnsi="宋体" w:eastAsia="宋体" w:cs="宋体"/>
                <w:b/>
                <w:color w:val="auto"/>
                <w:szCs w:val="21"/>
              </w:rPr>
              <w:t>综合评分法评分因素和权重分值</w:t>
            </w:r>
          </w:p>
        </w:tc>
      </w:tr>
      <w:tr w14:paraId="2A29FF8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6E87658F">
            <w:pPr>
              <w:jc w:val="center"/>
              <w:rPr>
                <w:rFonts w:hint="eastAsia" w:ascii="宋体" w:hAnsi="宋体" w:eastAsia="宋体" w:cs="宋体"/>
                <w:color w:val="auto"/>
                <w:szCs w:val="21"/>
              </w:rPr>
            </w:pPr>
          </w:p>
        </w:tc>
        <w:tc>
          <w:tcPr>
            <w:tcW w:w="7821" w:type="dxa"/>
            <w:gridSpan w:val="2"/>
            <w:tcBorders>
              <w:tl2br w:val="nil"/>
              <w:tr2bl w:val="nil"/>
            </w:tcBorders>
            <w:vAlign w:val="center"/>
          </w:tcPr>
          <w:p w14:paraId="5B50145C">
            <w:pPr>
              <w:jc w:val="both"/>
              <w:rPr>
                <w:rFonts w:hint="eastAsia" w:ascii="宋体" w:hAnsi="宋体" w:eastAsia="宋体" w:cs="宋体"/>
                <w:b/>
                <w:color w:val="auto"/>
                <w:szCs w:val="21"/>
              </w:rPr>
            </w:pPr>
            <w:r>
              <w:rPr>
                <w:rFonts w:hint="eastAsia" w:ascii="宋体" w:hAnsi="宋体" w:eastAsia="宋体" w:cs="宋体"/>
                <w:color w:val="auto"/>
                <w:szCs w:val="21"/>
              </w:rPr>
              <w:t>见附表二。</w:t>
            </w:r>
          </w:p>
        </w:tc>
      </w:tr>
      <w:tr w14:paraId="5279999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restart"/>
            <w:tcBorders>
              <w:tl2br w:val="nil"/>
              <w:tr2bl w:val="nil"/>
            </w:tcBorders>
            <w:vAlign w:val="center"/>
          </w:tcPr>
          <w:p w14:paraId="283D1D1D">
            <w:pPr>
              <w:jc w:val="center"/>
              <w:rPr>
                <w:rFonts w:hint="eastAsia" w:ascii="宋体" w:hAnsi="宋体" w:eastAsia="宋体" w:cs="宋体"/>
                <w:color w:val="auto"/>
                <w:szCs w:val="21"/>
              </w:rPr>
            </w:pPr>
            <w:r>
              <w:rPr>
                <w:rFonts w:hint="eastAsia" w:ascii="宋体" w:hAnsi="宋体" w:eastAsia="宋体" w:cs="宋体"/>
                <w:color w:val="auto"/>
                <w:szCs w:val="21"/>
              </w:rPr>
              <w:t>14</w:t>
            </w:r>
          </w:p>
        </w:tc>
        <w:tc>
          <w:tcPr>
            <w:tcW w:w="7821" w:type="dxa"/>
            <w:gridSpan w:val="2"/>
            <w:tcBorders>
              <w:tl2br w:val="nil"/>
              <w:tr2bl w:val="nil"/>
            </w:tcBorders>
            <w:vAlign w:val="center"/>
          </w:tcPr>
          <w:p w14:paraId="4B929C0E">
            <w:pPr>
              <w:jc w:val="both"/>
              <w:rPr>
                <w:rFonts w:hint="eastAsia" w:ascii="宋体" w:hAnsi="宋体" w:eastAsia="宋体" w:cs="宋体"/>
                <w:color w:val="auto"/>
                <w:szCs w:val="21"/>
              </w:rPr>
            </w:pPr>
            <w:r>
              <w:rPr>
                <w:rFonts w:hint="eastAsia" w:ascii="宋体" w:hAnsi="宋体" w:eastAsia="宋体" w:cs="宋体"/>
                <w:b/>
                <w:color w:val="auto"/>
                <w:szCs w:val="21"/>
              </w:rPr>
              <w:t>评标委员会</w:t>
            </w:r>
          </w:p>
        </w:tc>
      </w:tr>
      <w:tr w14:paraId="25E33F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878" w:type="dxa"/>
            <w:vMerge w:val="continue"/>
            <w:tcBorders>
              <w:tl2br w:val="nil"/>
              <w:tr2bl w:val="nil"/>
            </w:tcBorders>
            <w:vAlign w:val="center"/>
          </w:tcPr>
          <w:p w14:paraId="1E06A4F4">
            <w:pPr>
              <w:jc w:val="center"/>
              <w:rPr>
                <w:rFonts w:hint="eastAsia" w:ascii="宋体" w:hAnsi="宋体" w:eastAsia="宋体" w:cs="宋体"/>
                <w:color w:val="auto"/>
                <w:szCs w:val="21"/>
              </w:rPr>
            </w:pPr>
          </w:p>
        </w:tc>
        <w:tc>
          <w:tcPr>
            <w:tcW w:w="7821" w:type="dxa"/>
            <w:gridSpan w:val="2"/>
            <w:tcBorders>
              <w:tl2br w:val="nil"/>
              <w:tr2bl w:val="nil"/>
            </w:tcBorders>
            <w:vAlign w:val="center"/>
          </w:tcPr>
          <w:p w14:paraId="7FF2EFB7">
            <w:pPr>
              <w:jc w:val="both"/>
              <w:rPr>
                <w:rFonts w:hint="eastAsia" w:ascii="宋体" w:hAnsi="宋体" w:eastAsia="宋体" w:cs="宋体"/>
                <w:color w:val="auto"/>
                <w:szCs w:val="21"/>
              </w:rPr>
            </w:pPr>
            <w:r>
              <w:rPr>
                <w:rFonts w:hint="eastAsia" w:ascii="宋体" w:hAnsi="宋体" w:eastAsia="宋体" w:cs="宋体"/>
                <w:color w:val="auto"/>
                <w:szCs w:val="21"/>
              </w:rPr>
              <w:t>评标委员会成员共</w:t>
            </w:r>
            <w:r>
              <w:rPr>
                <w:rFonts w:hint="eastAsia" w:ascii="宋体" w:hAnsi="宋体" w:eastAsia="宋体" w:cs="宋体"/>
                <w:color w:val="auto"/>
                <w:szCs w:val="21"/>
                <w:u w:val="single"/>
              </w:rPr>
              <w:t xml:space="preserve"> 五 </w:t>
            </w:r>
            <w:r>
              <w:rPr>
                <w:rFonts w:hint="eastAsia" w:ascii="宋体" w:hAnsi="宋体" w:eastAsia="宋体" w:cs="宋体"/>
                <w:color w:val="auto"/>
                <w:szCs w:val="21"/>
              </w:rPr>
              <w:t>人：</w:t>
            </w:r>
            <w:r>
              <w:rPr>
                <w:rFonts w:hint="eastAsia" w:ascii="宋体" w:hAnsi="宋体" w:eastAsia="宋体" w:cs="宋体"/>
                <w:color w:val="auto"/>
                <w:szCs w:val="21"/>
                <w:lang w:val="zh-CN"/>
              </w:rPr>
              <w:t>评标委员会由采购人</w:t>
            </w:r>
            <w:r>
              <w:rPr>
                <w:rFonts w:hint="eastAsia" w:ascii="宋体" w:hAnsi="宋体" w:eastAsia="宋体" w:cs="宋体"/>
                <w:color w:val="auto"/>
                <w:szCs w:val="21"/>
              </w:rPr>
              <w:t>的</w:t>
            </w:r>
            <w:r>
              <w:rPr>
                <w:rFonts w:hint="eastAsia" w:ascii="宋体" w:hAnsi="宋体" w:eastAsia="宋体" w:cs="宋体"/>
                <w:color w:val="auto"/>
                <w:szCs w:val="21"/>
                <w:lang w:val="zh-CN"/>
              </w:rPr>
              <w:t>代表（如有）和</w:t>
            </w:r>
            <w:r>
              <w:rPr>
                <w:rFonts w:hint="eastAsia" w:ascii="宋体" w:hAnsi="宋体" w:eastAsia="宋体" w:cs="宋体"/>
                <w:color w:val="auto"/>
                <w:szCs w:val="21"/>
              </w:rPr>
              <w:t>有关方面的</w:t>
            </w:r>
            <w:r>
              <w:rPr>
                <w:rFonts w:hint="eastAsia" w:ascii="宋体" w:hAnsi="宋体" w:eastAsia="宋体" w:cs="宋体"/>
                <w:color w:val="auto"/>
                <w:szCs w:val="21"/>
                <w:lang w:val="zh-CN"/>
              </w:rPr>
              <w:t>专家组成，</w:t>
            </w:r>
            <w:r>
              <w:rPr>
                <w:rFonts w:hint="eastAsia" w:ascii="宋体" w:hAnsi="宋体" w:eastAsia="宋体" w:cs="宋体"/>
                <w:color w:val="auto"/>
                <w:szCs w:val="21"/>
              </w:rPr>
              <w:t>成员人数为五人或五人以上单数</w:t>
            </w:r>
            <w:r>
              <w:rPr>
                <w:rFonts w:hint="eastAsia" w:ascii="宋体" w:hAnsi="宋体" w:eastAsia="宋体" w:cs="宋体"/>
                <w:color w:val="auto"/>
                <w:szCs w:val="21"/>
                <w:lang w:val="zh-CN"/>
              </w:rPr>
              <w:t>，其中专家不得少于成员总数的三分之二。</w:t>
            </w:r>
          </w:p>
        </w:tc>
      </w:tr>
      <w:tr w14:paraId="266673E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cantSplit/>
          <w:trHeight w:val="748" w:hRule="atLeast"/>
          <w:jc w:val="center"/>
        </w:trPr>
        <w:tc>
          <w:tcPr>
            <w:tcW w:w="8699" w:type="dxa"/>
            <w:gridSpan w:val="3"/>
            <w:tcBorders>
              <w:tl2br w:val="nil"/>
              <w:tr2bl w:val="nil"/>
            </w:tcBorders>
            <w:vAlign w:val="center"/>
          </w:tcPr>
          <w:p w14:paraId="1A14AE11">
            <w:pPr>
              <w:jc w:val="center"/>
              <w:rPr>
                <w:rFonts w:hint="eastAsia" w:ascii="宋体" w:hAnsi="宋体" w:eastAsia="宋体" w:cs="宋体"/>
                <w:b/>
                <w:color w:val="auto"/>
                <w:szCs w:val="21"/>
              </w:rPr>
            </w:pPr>
            <w:r>
              <w:rPr>
                <w:rFonts w:hint="eastAsia" w:ascii="宋体" w:hAnsi="宋体" w:eastAsia="宋体" w:cs="宋体"/>
                <w:b/>
                <w:color w:val="auto"/>
                <w:szCs w:val="21"/>
              </w:rPr>
              <w:t>四、授予合同</w:t>
            </w:r>
          </w:p>
        </w:tc>
      </w:tr>
      <w:tr w14:paraId="22E1CB3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39" w:hRule="atLeast"/>
          <w:jc w:val="center"/>
        </w:trPr>
        <w:tc>
          <w:tcPr>
            <w:tcW w:w="878" w:type="dxa"/>
            <w:vMerge w:val="restart"/>
            <w:tcBorders>
              <w:tl2br w:val="nil"/>
              <w:tr2bl w:val="nil"/>
            </w:tcBorders>
            <w:vAlign w:val="center"/>
          </w:tcPr>
          <w:p w14:paraId="437A3C50">
            <w:pPr>
              <w:jc w:val="center"/>
              <w:rPr>
                <w:rFonts w:hint="eastAsia" w:ascii="宋体" w:hAnsi="宋体" w:eastAsia="宋体" w:cs="宋体"/>
                <w:color w:val="auto"/>
                <w:szCs w:val="21"/>
              </w:rPr>
            </w:pPr>
            <w:r>
              <w:rPr>
                <w:rFonts w:hint="eastAsia" w:ascii="宋体" w:hAnsi="宋体" w:eastAsia="宋体" w:cs="宋体"/>
                <w:color w:val="auto"/>
                <w:szCs w:val="21"/>
              </w:rPr>
              <w:t>15</w:t>
            </w:r>
          </w:p>
        </w:tc>
        <w:tc>
          <w:tcPr>
            <w:tcW w:w="7821" w:type="dxa"/>
            <w:gridSpan w:val="2"/>
            <w:tcBorders>
              <w:tl2br w:val="nil"/>
              <w:tr2bl w:val="nil"/>
            </w:tcBorders>
            <w:vAlign w:val="center"/>
          </w:tcPr>
          <w:p w14:paraId="4368B483">
            <w:pPr>
              <w:jc w:val="both"/>
              <w:rPr>
                <w:rFonts w:hint="eastAsia" w:ascii="宋体" w:hAnsi="宋体" w:eastAsia="宋体" w:cs="宋体"/>
                <w:b/>
                <w:color w:val="auto"/>
                <w:szCs w:val="21"/>
              </w:rPr>
            </w:pPr>
            <w:r>
              <w:rPr>
                <w:rFonts w:hint="eastAsia" w:ascii="宋体" w:hAnsi="宋体" w:eastAsia="宋体" w:cs="宋体"/>
                <w:b/>
                <w:color w:val="auto"/>
                <w:szCs w:val="21"/>
              </w:rPr>
              <w:t>履约担保</w:t>
            </w:r>
          </w:p>
        </w:tc>
      </w:tr>
      <w:tr w14:paraId="39BB599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40" w:hRule="atLeast"/>
          <w:jc w:val="center"/>
        </w:trPr>
        <w:tc>
          <w:tcPr>
            <w:tcW w:w="878" w:type="dxa"/>
            <w:vMerge w:val="continue"/>
            <w:tcBorders>
              <w:tl2br w:val="nil"/>
              <w:tr2bl w:val="nil"/>
            </w:tcBorders>
            <w:vAlign w:val="center"/>
          </w:tcPr>
          <w:p w14:paraId="4B3D338D">
            <w:pPr>
              <w:jc w:val="center"/>
              <w:rPr>
                <w:rFonts w:hint="eastAsia" w:ascii="宋体" w:hAnsi="宋体" w:eastAsia="宋体" w:cs="宋体"/>
                <w:color w:val="auto"/>
                <w:szCs w:val="21"/>
              </w:rPr>
            </w:pPr>
          </w:p>
        </w:tc>
        <w:tc>
          <w:tcPr>
            <w:tcW w:w="7821" w:type="dxa"/>
            <w:gridSpan w:val="2"/>
            <w:tcBorders>
              <w:tl2br w:val="nil"/>
              <w:tr2bl w:val="nil"/>
            </w:tcBorders>
            <w:vAlign w:val="center"/>
          </w:tcPr>
          <w:p w14:paraId="05EF81C4">
            <w:pPr>
              <w:jc w:val="both"/>
              <w:rPr>
                <w:rFonts w:hint="eastAsia" w:ascii="宋体" w:hAnsi="宋体" w:eastAsia="宋体" w:cs="宋体"/>
                <w:color w:val="auto"/>
                <w:szCs w:val="21"/>
              </w:rPr>
            </w:pPr>
            <w:r>
              <w:rPr>
                <w:rFonts w:hint="eastAsia" w:ascii="宋体" w:hAnsi="宋体" w:eastAsia="宋体" w:cs="宋体"/>
                <w:color w:val="auto"/>
                <w:szCs w:val="21"/>
              </w:rPr>
              <w:t>1.履约担保金额为：</w:t>
            </w:r>
            <w:r>
              <w:rPr>
                <w:rFonts w:hint="eastAsia" w:ascii="宋体" w:hAnsi="宋体" w:eastAsia="宋体" w:cs="宋体"/>
                <w:color w:val="auto"/>
                <w:szCs w:val="21"/>
                <w:u w:val="single"/>
              </w:rPr>
              <w:t>合同总金额的5%</w:t>
            </w:r>
          </w:p>
          <w:p w14:paraId="5051F200">
            <w:pPr>
              <w:jc w:val="both"/>
              <w:rPr>
                <w:rFonts w:hint="eastAsia" w:ascii="宋体" w:hAnsi="宋体" w:eastAsia="宋体" w:cs="宋体"/>
                <w:color w:val="auto"/>
                <w:szCs w:val="21"/>
              </w:rPr>
            </w:pPr>
            <w:r>
              <w:rPr>
                <w:rFonts w:hint="eastAsia" w:ascii="宋体" w:hAnsi="宋体" w:eastAsia="宋体" w:cs="宋体"/>
                <w:color w:val="auto"/>
                <w:szCs w:val="21"/>
              </w:rPr>
              <w:t>2.履约保证金账户信息：</w:t>
            </w:r>
          </w:p>
          <w:p w14:paraId="72BDD3DF">
            <w:pPr>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账户名称：</w:t>
            </w:r>
            <w:r>
              <w:rPr>
                <w:rFonts w:hint="eastAsia" w:ascii="宋体" w:hAnsi="宋体" w:eastAsia="宋体" w:cs="宋体"/>
                <w:color w:val="auto"/>
                <w:kern w:val="2"/>
                <w:szCs w:val="21"/>
                <w:u w:val="single"/>
              </w:rPr>
              <w:t>东莞市安居建设投资有限公司</w:t>
            </w:r>
            <w:r>
              <w:rPr>
                <w:rFonts w:hint="eastAsia" w:ascii="宋体" w:hAnsi="宋体" w:eastAsia="宋体" w:cs="宋体"/>
                <w:color w:val="auto"/>
                <w:kern w:val="2"/>
                <w:szCs w:val="21"/>
                <w:lang w:val="zh-CN"/>
              </w:rPr>
              <w:t>；</w:t>
            </w:r>
          </w:p>
          <w:p w14:paraId="77760519">
            <w:pPr>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开户银行：</w:t>
            </w:r>
            <w:r>
              <w:rPr>
                <w:rFonts w:hint="eastAsia" w:ascii="宋体" w:hAnsi="宋体" w:eastAsia="宋体" w:cs="宋体"/>
                <w:color w:val="auto"/>
                <w:kern w:val="2"/>
                <w:szCs w:val="21"/>
                <w:u w:val="single"/>
              </w:rPr>
              <w:t>中国建设银行东莞愉景支行</w:t>
            </w:r>
            <w:r>
              <w:rPr>
                <w:rFonts w:hint="eastAsia" w:ascii="宋体" w:hAnsi="宋体" w:eastAsia="宋体" w:cs="宋体"/>
                <w:color w:val="auto"/>
                <w:kern w:val="2"/>
                <w:szCs w:val="21"/>
                <w:lang w:val="zh-CN"/>
              </w:rPr>
              <w:t>；</w:t>
            </w:r>
          </w:p>
          <w:p w14:paraId="05AE904A">
            <w:pPr>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银行账号：</w:t>
            </w:r>
            <w:r>
              <w:rPr>
                <w:rFonts w:hint="eastAsia" w:ascii="宋体" w:hAnsi="宋体" w:eastAsia="宋体" w:cs="宋体"/>
                <w:color w:val="auto"/>
                <w:kern w:val="2"/>
                <w:szCs w:val="21"/>
                <w:u w:val="single"/>
              </w:rPr>
              <w:t>4405 0177 5937 0000 0219</w:t>
            </w:r>
            <w:r>
              <w:rPr>
                <w:rFonts w:hint="eastAsia" w:ascii="宋体" w:hAnsi="宋体" w:eastAsia="宋体" w:cs="宋体"/>
                <w:color w:val="auto"/>
                <w:kern w:val="2"/>
                <w:szCs w:val="21"/>
                <w:lang w:val="zh-CN"/>
              </w:rPr>
              <w:t>；</w:t>
            </w:r>
          </w:p>
          <w:p w14:paraId="14E21245">
            <w:pPr>
              <w:jc w:val="both"/>
              <w:rPr>
                <w:rFonts w:hint="eastAsia" w:ascii="宋体" w:hAnsi="宋体" w:eastAsia="宋体" w:cs="宋体"/>
                <w:color w:val="auto"/>
                <w:szCs w:val="21"/>
              </w:rPr>
            </w:pPr>
            <w:r>
              <w:rPr>
                <w:rFonts w:hint="eastAsia" w:ascii="宋体" w:hAnsi="宋体" w:eastAsia="宋体" w:cs="宋体"/>
                <w:color w:val="auto"/>
                <w:szCs w:val="21"/>
              </w:rPr>
              <w:t>3.中标人在采购（合同签署）时提交履约担保，履约担保金额不超过暂定合同总金额的5%，如果中标人提交的履约保函的有效期先于合同要求的履约保函有效期到达，中标人应在原提交的履约保函有效期满前15天，无条件办理保函延期手续。否则，视为中标人违约，采购人可在保函到期前将保函金额转为现金存入履约保证金账户。</w:t>
            </w:r>
          </w:p>
          <w:p w14:paraId="3FE39B10">
            <w:pPr>
              <w:jc w:val="both"/>
              <w:rPr>
                <w:rFonts w:hint="eastAsia" w:ascii="宋体" w:hAnsi="宋体" w:eastAsia="宋体" w:cs="宋体"/>
                <w:color w:val="auto"/>
                <w:szCs w:val="21"/>
              </w:rPr>
            </w:pPr>
            <w:r>
              <w:rPr>
                <w:rFonts w:hint="eastAsia" w:ascii="宋体" w:hAnsi="宋体" w:eastAsia="宋体" w:cs="宋体"/>
                <w:color w:val="auto"/>
                <w:szCs w:val="21"/>
              </w:rPr>
              <w:t>4.履约担保期限从合同签订之日起至项目服务期结束并结算完毕后，经双方签字</w:t>
            </w:r>
            <w:r>
              <w:rPr>
                <w:rFonts w:hint="eastAsia" w:ascii="宋体" w:hAnsi="宋体" w:eastAsia="宋体" w:cs="宋体"/>
                <w:color w:val="auto"/>
                <w:szCs w:val="21"/>
                <w:u w:val="single"/>
              </w:rPr>
              <w:t xml:space="preserve"> 7</w:t>
            </w:r>
            <w:r>
              <w:rPr>
                <w:rFonts w:hint="eastAsia" w:ascii="宋体" w:hAnsi="宋体" w:eastAsia="宋体" w:cs="宋体"/>
                <w:color w:val="auto"/>
                <w:szCs w:val="21"/>
              </w:rPr>
              <w:t>天内保持有效。</w:t>
            </w:r>
          </w:p>
          <w:p w14:paraId="19C07EEB">
            <w:pPr>
              <w:jc w:val="both"/>
              <w:rPr>
                <w:rFonts w:hint="eastAsia" w:ascii="宋体" w:hAnsi="宋体" w:eastAsia="宋体" w:cs="宋体"/>
                <w:color w:val="auto"/>
                <w:szCs w:val="21"/>
              </w:rPr>
            </w:pPr>
            <w:r>
              <w:rPr>
                <w:rFonts w:hint="eastAsia" w:ascii="宋体" w:hAnsi="宋体" w:eastAsia="宋体" w:cs="宋体"/>
                <w:color w:val="auto"/>
                <w:szCs w:val="21"/>
              </w:rPr>
              <w:t>5、履约担保要求：</w:t>
            </w:r>
          </w:p>
          <w:p w14:paraId="08D1C980">
            <w:pPr>
              <w:jc w:val="both"/>
              <w:rPr>
                <w:rFonts w:hint="eastAsia" w:ascii="宋体" w:hAnsi="宋体" w:eastAsia="宋体" w:cs="宋体"/>
                <w:color w:val="auto"/>
                <w:szCs w:val="21"/>
              </w:rPr>
            </w:pPr>
            <w:r>
              <w:rPr>
                <w:rFonts w:hint="eastAsia" w:ascii="宋体" w:hAnsi="宋体" w:eastAsia="宋体" w:cs="宋体"/>
                <w:color w:val="auto"/>
                <w:szCs w:val="21"/>
              </w:rPr>
              <w:t>（1）履约保函。如果中标人的履约担保是以银行保函形式提供的，则该银行保函应：</w:t>
            </w:r>
          </w:p>
          <w:p w14:paraId="732BFBF4">
            <w:pPr>
              <w:jc w:val="both"/>
              <w:rPr>
                <w:rFonts w:hint="eastAsia" w:ascii="宋体" w:hAnsi="宋体" w:eastAsia="宋体" w:cs="宋体"/>
                <w:color w:val="auto"/>
                <w:szCs w:val="21"/>
              </w:rPr>
            </w:pPr>
            <w:r>
              <w:rPr>
                <w:rFonts w:hint="eastAsia" w:ascii="宋体" w:hAnsi="宋体" w:eastAsia="宋体" w:cs="宋体"/>
                <w:color w:val="auto"/>
                <w:szCs w:val="21"/>
              </w:rPr>
              <w:t>①保函应由银行支行或以上银行机构开具，非东莞市行政区内的银行开具的保函要由银行所在地公证部门出具的公证书。</w:t>
            </w:r>
          </w:p>
          <w:p w14:paraId="796DB247">
            <w:pPr>
              <w:jc w:val="both"/>
              <w:rPr>
                <w:rFonts w:hint="eastAsia" w:ascii="宋体" w:hAnsi="宋体" w:eastAsia="宋体" w:cs="宋体"/>
                <w:color w:val="auto"/>
                <w:szCs w:val="21"/>
              </w:rPr>
            </w:pPr>
            <w:r>
              <w:rPr>
                <w:rFonts w:hint="eastAsia" w:ascii="宋体" w:hAnsi="宋体" w:eastAsia="宋体" w:cs="宋体"/>
                <w:color w:val="auto"/>
                <w:szCs w:val="21"/>
              </w:rPr>
              <w:t>②保函的格式参考投标文件附件中提供的无条件不可撤销履约保函格式，保函担保期内若项目未能按期竣工，保函必须延期，办理延期手续时在银行方面所产生费用由中标人负责。</w:t>
            </w:r>
          </w:p>
          <w:p w14:paraId="005D4AB4">
            <w:pPr>
              <w:jc w:val="both"/>
              <w:rPr>
                <w:rFonts w:hint="eastAsia" w:ascii="宋体" w:hAnsi="宋体" w:eastAsia="宋体" w:cs="宋体"/>
                <w:color w:val="auto"/>
                <w:szCs w:val="21"/>
              </w:rPr>
            </w:pPr>
            <w:r>
              <w:rPr>
                <w:rFonts w:hint="eastAsia" w:ascii="宋体" w:hAnsi="宋体" w:eastAsia="宋体" w:cs="宋体"/>
                <w:color w:val="auto"/>
                <w:szCs w:val="21"/>
              </w:rPr>
              <w:t>③履约保函必须打印，手写、涂改无效。</w:t>
            </w:r>
          </w:p>
          <w:p w14:paraId="16078714">
            <w:pPr>
              <w:jc w:val="both"/>
              <w:rPr>
                <w:rFonts w:hint="eastAsia" w:ascii="宋体" w:hAnsi="宋体" w:eastAsia="宋体" w:cs="宋体"/>
                <w:color w:val="auto"/>
                <w:szCs w:val="21"/>
              </w:rPr>
            </w:pPr>
            <w:r>
              <w:rPr>
                <w:rFonts w:hint="eastAsia" w:ascii="宋体" w:hAnsi="宋体" w:eastAsia="宋体" w:cs="宋体"/>
                <w:color w:val="auto"/>
                <w:szCs w:val="21"/>
              </w:rPr>
              <w:t>（2）履约保证金。可采用电汇、银行汇票等银行转账方式提交，但不可以采用现金方式提交。中标人必须保证履约保证金以中标人名称在签订合同前提交至采购人指定账户。</w:t>
            </w:r>
          </w:p>
          <w:p w14:paraId="39D5B9C6">
            <w:pPr>
              <w:jc w:val="both"/>
              <w:rPr>
                <w:rFonts w:hint="eastAsia" w:ascii="宋体" w:hAnsi="宋体" w:eastAsia="宋体" w:cs="宋体"/>
                <w:color w:val="auto"/>
                <w:szCs w:val="21"/>
              </w:rPr>
            </w:pPr>
            <w:r>
              <w:rPr>
                <w:rFonts w:hint="eastAsia" w:ascii="宋体" w:hAnsi="宋体" w:eastAsia="宋体" w:cs="宋体"/>
                <w:color w:val="auto"/>
                <w:szCs w:val="21"/>
              </w:rPr>
              <w:t>（3）若中标人不能按本采购文件的规定提交履约保证金的，采购人将有权取消中标人的中标资格（采购人可以按照评标委员会提出的中标候选人名单排序依次确定其他中标候选人为中标人，也可以重新采购），投标保证金不予退还，给采购人造成的损失如果超过投标保证金数额的，还应当对超过部分予以赔偿。</w:t>
            </w:r>
          </w:p>
          <w:p w14:paraId="5744A8EA">
            <w:pPr>
              <w:jc w:val="both"/>
              <w:rPr>
                <w:rFonts w:hint="eastAsia" w:ascii="宋体" w:hAnsi="宋体" w:eastAsia="宋体" w:cs="宋体"/>
                <w:color w:val="auto"/>
                <w:szCs w:val="21"/>
              </w:rPr>
            </w:pPr>
            <w:r>
              <w:rPr>
                <w:rFonts w:hint="eastAsia" w:ascii="宋体" w:hAnsi="宋体" w:eastAsia="宋体" w:cs="宋体"/>
                <w:color w:val="auto"/>
                <w:szCs w:val="21"/>
              </w:rPr>
              <w:t>（4）为取得履约担保所需的费用，由中标人承担；若工期延误，履约担保时间延长，延长费用由中标人承担。</w:t>
            </w:r>
          </w:p>
          <w:p w14:paraId="00111013">
            <w:pPr>
              <w:jc w:val="both"/>
              <w:rPr>
                <w:rFonts w:hint="eastAsia" w:ascii="宋体" w:hAnsi="宋体" w:eastAsia="宋体" w:cs="宋体"/>
                <w:color w:val="auto"/>
                <w:szCs w:val="21"/>
              </w:rPr>
            </w:pPr>
            <w:r>
              <w:rPr>
                <w:rFonts w:hint="eastAsia" w:ascii="宋体" w:hAnsi="宋体" w:eastAsia="宋体" w:cs="宋体"/>
                <w:color w:val="auto"/>
                <w:szCs w:val="21"/>
              </w:rPr>
              <w:t>（5）若中标人在合同履行过程中出现项目质量事故、工期拖延、欠付工人工资、欠付材料款等情况，采购人在经核查属实后，有权将履约保函金额转为现金存入履约保证金账户；中标人造成采购人损失的，采购人有权立即没收其履约担保，若造成损失超过履约担保的，还应当对超过部分予以赔偿。</w:t>
            </w:r>
          </w:p>
          <w:p w14:paraId="29A24E12">
            <w:pPr>
              <w:jc w:val="both"/>
              <w:rPr>
                <w:rFonts w:hint="eastAsia" w:ascii="宋体" w:hAnsi="宋体" w:eastAsia="宋体" w:cs="宋体"/>
                <w:color w:val="auto"/>
                <w:szCs w:val="21"/>
              </w:rPr>
            </w:pPr>
            <w:r>
              <w:rPr>
                <w:rFonts w:hint="eastAsia" w:ascii="宋体" w:hAnsi="宋体" w:eastAsia="宋体" w:cs="宋体"/>
                <w:color w:val="auto"/>
                <w:szCs w:val="21"/>
              </w:rPr>
              <w:t>（6）下列任何情况发生时，采购人有权行使享有的担保权利：</w:t>
            </w:r>
          </w:p>
          <w:p w14:paraId="5299BF9D">
            <w:pPr>
              <w:jc w:val="both"/>
              <w:rPr>
                <w:rFonts w:hint="eastAsia" w:ascii="宋体" w:hAnsi="宋体" w:eastAsia="宋体" w:cs="宋体"/>
                <w:color w:val="auto"/>
                <w:szCs w:val="21"/>
              </w:rPr>
            </w:pPr>
            <w:r>
              <w:rPr>
                <w:rFonts w:hint="eastAsia" w:ascii="宋体" w:hAnsi="宋体" w:eastAsia="宋体" w:cs="宋体"/>
                <w:color w:val="auto"/>
                <w:szCs w:val="21"/>
              </w:rPr>
              <w:t>①中标人将本项目转让给他人，或者在投标文件中未说明，且未经采购人同意，将中标项目分包给他人的；</w:t>
            </w:r>
          </w:p>
          <w:p w14:paraId="6F58BE8D">
            <w:pPr>
              <w:jc w:val="both"/>
              <w:rPr>
                <w:rFonts w:hint="eastAsia" w:ascii="宋体" w:hAnsi="宋体" w:eastAsia="宋体" w:cs="宋体"/>
                <w:color w:val="auto"/>
                <w:szCs w:val="21"/>
              </w:rPr>
            </w:pPr>
            <w:r>
              <w:rPr>
                <w:rFonts w:hint="eastAsia" w:ascii="宋体" w:hAnsi="宋体" w:eastAsia="宋体" w:cs="宋体"/>
                <w:color w:val="auto"/>
                <w:szCs w:val="21"/>
              </w:rPr>
              <w:t>②中标人在履行采购合同期间，违反有关法律法规的规定及合同约定的条款，损害了采购人的利益。</w:t>
            </w:r>
          </w:p>
          <w:p w14:paraId="3A93233B">
            <w:pPr>
              <w:jc w:val="both"/>
              <w:rPr>
                <w:rFonts w:hint="eastAsia" w:ascii="宋体" w:hAnsi="宋体" w:eastAsia="宋体" w:cs="宋体"/>
                <w:b/>
                <w:color w:val="auto"/>
                <w:szCs w:val="21"/>
              </w:rPr>
            </w:pPr>
            <w:r>
              <w:rPr>
                <w:rFonts w:hint="eastAsia" w:ascii="宋体" w:hAnsi="宋体" w:eastAsia="宋体" w:cs="宋体"/>
                <w:color w:val="auto"/>
                <w:szCs w:val="21"/>
              </w:rPr>
              <w:t>（7）在整个项目验收合格后，中标人向采购人提交退回履约担保的申请，采购人办理履约担保退还手续。</w:t>
            </w:r>
          </w:p>
        </w:tc>
      </w:tr>
      <w:tr w14:paraId="13918D3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2" w:hRule="atLeast"/>
          <w:jc w:val="center"/>
        </w:trPr>
        <w:tc>
          <w:tcPr>
            <w:tcW w:w="878" w:type="dxa"/>
            <w:vMerge w:val="restart"/>
            <w:tcBorders>
              <w:tl2br w:val="nil"/>
              <w:tr2bl w:val="nil"/>
            </w:tcBorders>
            <w:vAlign w:val="center"/>
          </w:tcPr>
          <w:p w14:paraId="6368B073">
            <w:pPr>
              <w:jc w:val="center"/>
              <w:rPr>
                <w:rFonts w:hint="eastAsia" w:ascii="宋体" w:hAnsi="宋体" w:eastAsia="宋体" w:cs="宋体"/>
                <w:color w:val="auto"/>
                <w:szCs w:val="21"/>
              </w:rPr>
            </w:pPr>
            <w:r>
              <w:rPr>
                <w:rFonts w:hint="eastAsia" w:ascii="宋体" w:hAnsi="宋体" w:eastAsia="宋体" w:cs="宋体"/>
                <w:color w:val="auto"/>
                <w:szCs w:val="21"/>
              </w:rPr>
              <w:t>16</w:t>
            </w:r>
          </w:p>
        </w:tc>
        <w:tc>
          <w:tcPr>
            <w:tcW w:w="7821" w:type="dxa"/>
            <w:gridSpan w:val="2"/>
            <w:tcBorders>
              <w:tl2br w:val="nil"/>
              <w:tr2bl w:val="nil"/>
            </w:tcBorders>
            <w:vAlign w:val="center"/>
          </w:tcPr>
          <w:p w14:paraId="42460744">
            <w:pPr>
              <w:jc w:val="both"/>
              <w:rPr>
                <w:rFonts w:hint="eastAsia" w:ascii="宋体" w:hAnsi="宋体" w:eastAsia="宋体" w:cs="宋体"/>
                <w:b/>
                <w:color w:val="auto"/>
                <w:szCs w:val="21"/>
              </w:rPr>
            </w:pPr>
            <w:r>
              <w:rPr>
                <w:rFonts w:hint="eastAsia" w:ascii="宋体" w:hAnsi="宋体" w:eastAsia="宋体" w:cs="宋体"/>
                <w:b/>
                <w:color w:val="auto"/>
                <w:szCs w:val="21"/>
              </w:rPr>
              <w:t>中标服务费</w:t>
            </w:r>
          </w:p>
        </w:tc>
      </w:tr>
      <w:tr w14:paraId="4C53F8C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2" w:hRule="atLeast"/>
          <w:jc w:val="center"/>
        </w:trPr>
        <w:tc>
          <w:tcPr>
            <w:tcW w:w="878" w:type="dxa"/>
            <w:vMerge w:val="continue"/>
            <w:tcBorders>
              <w:tl2br w:val="nil"/>
              <w:tr2bl w:val="nil"/>
            </w:tcBorders>
            <w:vAlign w:val="center"/>
          </w:tcPr>
          <w:p w14:paraId="51E3B586">
            <w:pPr>
              <w:jc w:val="center"/>
              <w:rPr>
                <w:rFonts w:hint="eastAsia" w:ascii="宋体" w:hAnsi="宋体" w:eastAsia="宋体" w:cs="宋体"/>
                <w:color w:val="auto"/>
                <w:szCs w:val="21"/>
              </w:rPr>
            </w:pPr>
          </w:p>
        </w:tc>
        <w:tc>
          <w:tcPr>
            <w:tcW w:w="7821" w:type="dxa"/>
            <w:gridSpan w:val="2"/>
            <w:tcBorders>
              <w:tl2br w:val="nil"/>
              <w:tr2bl w:val="nil"/>
            </w:tcBorders>
            <w:vAlign w:val="center"/>
          </w:tcPr>
          <w:p w14:paraId="27B7AC26">
            <w:pPr>
              <w:widowControl w:val="0"/>
              <w:tabs>
                <w:tab w:val="left" w:pos="907"/>
              </w:tabs>
              <w:adjustRightInd/>
              <w:snapToGrid/>
              <w:spacing w:line="360" w:lineRule="exact"/>
              <w:jc w:val="both"/>
              <w:rPr>
                <w:rFonts w:hint="eastAsia" w:ascii="宋体" w:hAnsi="宋体" w:eastAsia="宋体" w:cs="宋体"/>
                <w:color w:val="auto"/>
                <w:szCs w:val="21"/>
              </w:rPr>
            </w:pPr>
            <w:r>
              <w:rPr>
                <w:rFonts w:hint="eastAsia" w:ascii="宋体" w:hAnsi="宋体" w:eastAsia="宋体" w:cs="宋体"/>
                <w:color w:val="auto"/>
                <w:szCs w:val="21"/>
              </w:rPr>
              <w:t>本项目中标服务费由采购人支付。</w:t>
            </w:r>
          </w:p>
        </w:tc>
      </w:tr>
      <w:tr w14:paraId="7018781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820" w:hRule="atLeast"/>
          <w:jc w:val="center"/>
        </w:trPr>
        <w:tc>
          <w:tcPr>
            <w:tcW w:w="8699" w:type="dxa"/>
            <w:gridSpan w:val="3"/>
            <w:tcBorders>
              <w:tl2br w:val="nil"/>
              <w:tr2bl w:val="nil"/>
            </w:tcBorders>
            <w:vAlign w:val="center"/>
          </w:tcPr>
          <w:p w14:paraId="4C7CF038">
            <w:pPr>
              <w:widowControl w:val="0"/>
              <w:tabs>
                <w:tab w:val="left" w:pos="907"/>
              </w:tabs>
              <w:adjustRightInd/>
              <w:snapToGrid/>
              <w:ind w:firstLine="420" w:firstLineChars="200"/>
              <w:jc w:val="both"/>
              <w:rPr>
                <w:rFonts w:hint="eastAsia" w:ascii="宋体" w:hAnsi="宋体" w:eastAsia="宋体" w:cs="宋体"/>
                <w:color w:val="auto"/>
                <w:szCs w:val="21"/>
              </w:rPr>
            </w:pPr>
            <w:r>
              <w:rPr>
                <w:rFonts w:hint="eastAsia" w:ascii="宋体" w:hAnsi="宋体" w:eastAsia="宋体" w:cs="宋体"/>
                <w:color w:val="auto"/>
                <w:szCs w:val="21"/>
              </w:rPr>
              <w:t>注：本表关于要采购项目的具体资料，是对投标人须知的具体补充和修改，如有矛盾，应以本资料表为准。不满足采购文件中“★”条款的投标文件将作无效投标处理。</w:t>
            </w:r>
          </w:p>
        </w:tc>
      </w:tr>
    </w:tbl>
    <w:p w14:paraId="75C341AC">
      <w:pPr>
        <w:jc w:val="center"/>
        <w:rPr>
          <w:rFonts w:hint="eastAsia" w:ascii="宋体" w:hAnsi="宋体" w:eastAsia="宋体" w:cs="宋体"/>
          <w:color w:val="auto"/>
        </w:rPr>
      </w:pPr>
      <w:r>
        <w:rPr>
          <w:rFonts w:hint="eastAsia" w:ascii="宋体" w:hAnsi="宋体" w:eastAsia="宋体" w:cs="宋体"/>
          <w:color w:val="auto"/>
        </w:rPr>
        <w:br w:type="page"/>
      </w:r>
    </w:p>
    <w:p w14:paraId="5EBB5C7E">
      <w:pPr>
        <w:pStyle w:val="4"/>
        <w:spacing w:line="240" w:lineRule="auto"/>
        <w:jc w:val="center"/>
        <w:rPr>
          <w:rFonts w:hint="eastAsia" w:ascii="宋体" w:hAnsi="宋体" w:eastAsia="宋体" w:cs="宋体"/>
          <w:color w:val="auto"/>
          <w:sz w:val="24"/>
          <w:szCs w:val="24"/>
        </w:rPr>
      </w:pPr>
      <w:bookmarkStart w:id="4" w:name="_Toc18380"/>
      <w:r>
        <w:rPr>
          <w:rFonts w:hint="eastAsia" w:ascii="宋体" w:hAnsi="宋体" w:eastAsia="宋体" w:cs="宋体"/>
          <w:color w:val="auto"/>
          <w:sz w:val="24"/>
          <w:szCs w:val="24"/>
        </w:rPr>
        <w:t>附表二：商务技术价格及评分权重表（满分100分）</w:t>
      </w:r>
      <w:bookmarkEnd w:id="4"/>
    </w:p>
    <w:tbl>
      <w:tblPr>
        <w:tblStyle w:val="34"/>
        <w:tblW w:w="8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512"/>
        <w:gridCol w:w="709"/>
        <w:gridCol w:w="5734"/>
      </w:tblGrid>
      <w:tr w14:paraId="50469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1700477">
            <w:pPr>
              <w:pStyle w:val="50"/>
              <w:spacing w:line="360" w:lineRule="auto"/>
              <w:ind w:firstLine="0" w:firstLineChars="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序号</w:t>
            </w:r>
          </w:p>
        </w:tc>
        <w:tc>
          <w:tcPr>
            <w:tcW w:w="1512" w:type="dxa"/>
            <w:tcBorders>
              <w:top w:val="single" w:color="auto" w:sz="4" w:space="0"/>
              <w:left w:val="single" w:color="auto" w:sz="4" w:space="0"/>
              <w:bottom w:val="single" w:color="auto" w:sz="4" w:space="0"/>
              <w:right w:val="single" w:color="auto" w:sz="4" w:space="0"/>
            </w:tcBorders>
            <w:vAlign w:val="center"/>
          </w:tcPr>
          <w:p w14:paraId="31680E2A">
            <w:pPr>
              <w:pStyle w:val="50"/>
              <w:spacing w:line="360" w:lineRule="auto"/>
              <w:ind w:firstLine="0" w:firstLineChars="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评分内容</w:t>
            </w:r>
          </w:p>
        </w:tc>
        <w:tc>
          <w:tcPr>
            <w:tcW w:w="709" w:type="dxa"/>
            <w:tcBorders>
              <w:top w:val="single" w:color="auto" w:sz="4" w:space="0"/>
              <w:left w:val="single" w:color="auto" w:sz="4" w:space="0"/>
              <w:bottom w:val="single" w:color="auto" w:sz="4" w:space="0"/>
              <w:right w:val="single" w:color="auto" w:sz="4" w:space="0"/>
            </w:tcBorders>
            <w:vAlign w:val="center"/>
          </w:tcPr>
          <w:p w14:paraId="7FF43F4A">
            <w:pPr>
              <w:pStyle w:val="50"/>
              <w:spacing w:line="360" w:lineRule="auto"/>
              <w:ind w:firstLine="0" w:firstLineChars="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分值</w:t>
            </w:r>
          </w:p>
        </w:tc>
        <w:tc>
          <w:tcPr>
            <w:tcW w:w="5734" w:type="dxa"/>
            <w:tcBorders>
              <w:top w:val="single" w:color="auto" w:sz="4" w:space="0"/>
              <w:left w:val="single" w:color="auto" w:sz="4" w:space="0"/>
              <w:bottom w:val="single" w:color="auto" w:sz="4" w:space="0"/>
              <w:right w:val="single" w:color="auto" w:sz="4" w:space="0"/>
            </w:tcBorders>
            <w:vAlign w:val="center"/>
          </w:tcPr>
          <w:p w14:paraId="582CF883">
            <w:pPr>
              <w:pStyle w:val="50"/>
              <w:spacing w:line="360" w:lineRule="auto"/>
              <w:ind w:firstLine="0" w:firstLineChars="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评分标准</w:t>
            </w:r>
          </w:p>
        </w:tc>
      </w:tr>
      <w:tr w14:paraId="71DB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8679" w:type="dxa"/>
            <w:gridSpan w:val="4"/>
            <w:tcBorders>
              <w:top w:val="single" w:color="auto" w:sz="4" w:space="0"/>
              <w:left w:val="single" w:color="auto" w:sz="4" w:space="0"/>
              <w:bottom w:val="single" w:color="auto" w:sz="4" w:space="0"/>
              <w:right w:val="single" w:color="auto" w:sz="4" w:space="0"/>
            </w:tcBorders>
            <w:vAlign w:val="center"/>
          </w:tcPr>
          <w:p w14:paraId="3E70362F">
            <w:pPr>
              <w:pStyle w:val="50"/>
              <w:spacing w:line="360" w:lineRule="auto"/>
              <w:ind w:firstLine="0" w:firstLineChars="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商务评审细则（30分）</w:t>
            </w:r>
          </w:p>
        </w:tc>
      </w:tr>
      <w:tr w14:paraId="65B58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jc w:val="center"/>
        </w:trPr>
        <w:tc>
          <w:tcPr>
            <w:tcW w:w="724" w:type="dxa"/>
            <w:tcBorders>
              <w:top w:val="single" w:color="auto" w:sz="4" w:space="0"/>
              <w:left w:val="single" w:color="auto" w:sz="4" w:space="0"/>
              <w:right w:val="single" w:color="auto" w:sz="4" w:space="0"/>
            </w:tcBorders>
            <w:vAlign w:val="center"/>
          </w:tcPr>
          <w:p w14:paraId="0ED24A52">
            <w:pPr>
              <w:pStyle w:val="50"/>
              <w:spacing w:line="360" w:lineRule="auto"/>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512" w:type="dxa"/>
            <w:tcBorders>
              <w:top w:val="single" w:color="auto" w:sz="4" w:space="0"/>
              <w:left w:val="single" w:color="auto" w:sz="4" w:space="0"/>
              <w:right w:val="single" w:color="auto" w:sz="4" w:space="0"/>
            </w:tcBorders>
            <w:vAlign w:val="center"/>
          </w:tcPr>
          <w:p w14:paraId="3479D513">
            <w:pPr>
              <w:pStyle w:val="50"/>
              <w:spacing w:line="360" w:lineRule="auto"/>
              <w:ind w:firstLine="0" w:firstLineChars="0"/>
              <w:jc w:val="center"/>
              <w:rPr>
                <w:rFonts w:hint="eastAsia" w:ascii="宋体" w:hAnsi="宋体" w:eastAsia="宋体" w:cs="宋体"/>
                <w:b/>
                <w:color w:val="auto"/>
                <w:sz w:val="21"/>
                <w:szCs w:val="21"/>
              </w:rPr>
            </w:pPr>
            <w:r>
              <w:rPr>
                <w:rFonts w:hint="eastAsia" w:ascii="宋体" w:hAnsi="宋体" w:eastAsia="宋体" w:cs="宋体"/>
                <w:b/>
                <w:bCs/>
                <w:color w:val="auto"/>
                <w:sz w:val="21"/>
                <w:szCs w:val="21"/>
              </w:rPr>
              <w:t>供应商实力</w:t>
            </w:r>
          </w:p>
        </w:tc>
        <w:tc>
          <w:tcPr>
            <w:tcW w:w="709" w:type="dxa"/>
            <w:tcBorders>
              <w:top w:val="single" w:color="auto" w:sz="4" w:space="0"/>
              <w:left w:val="single" w:color="auto" w:sz="4" w:space="0"/>
              <w:right w:val="single" w:color="auto" w:sz="4" w:space="0"/>
            </w:tcBorders>
            <w:vAlign w:val="center"/>
          </w:tcPr>
          <w:p w14:paraId="40F016F7">
            <w:pPr>
              <w:pStyle w:val="50"/>
              <w:spacing w:line="360" w:lineRule="auto"/>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分</w:t>
            </w:r>
          </w:p>
        </w:tc>
        <w:tc>
          <w:tcPr>
            <w:tcW w:w="5734" w:type="dxa"/>
            <w:tcBorders>
              <w:top w:val="single" w:color="auto" w:sz="4" w:space="0"/>
              <w:left w:val="single" w:color="auto" w:sz="4" w:space="0"/>
              <w:bottom w:val="single" w:color="auto" w:sz="4" w:space="0"/>
              <w:right w:val="single" w:color="auto" w:sz="4" w:space="0"/>
            </w:tcBorders>
            <w:vAlign w:val="center"/>
          </w:tcPr>
          <w:p w14:paraId="2C46B88D">
            <w:pPr>
              <w:tabs>
                <w:tab w:val="left" w:pos="360"/>
              </w:tabs>
              <w:rPr>
                <w:rFonts w:hint="eastAsia" w:ascii="宋体" w:hAnsi="宋体" w:eastAsia="宋体" w:cs="宋体"/>
                <w:color w:val="auto"/>
                <w:szCs w:val="21"/>
                <w:lang w:eastAsia="zh-CN"/>
              </w:rPr>
            </w:pPr>
            <w:r>
              <w:rPr>
                <w:rFonts w:hint="eastAsia" w:ascii="宋体" w:hAnsi="宋体" w:eastAsia="宋体" w:cs="宋体"/>
                <w:color w:val="auto"/>
                <w:szCs w:val="21"/>
              </w:rPr>
              <w:t>投标人具有以下有效期内的资质证书</w:t>
            </w:r>
            <w:r>
              <w:rPr>
                <w:rFonts w:hint="eastAsia" w:ascii="宋体" w:hAnsi="宋体" w:eastAsia="宋体" w:cs="宋体"/>
                <w:color w:val="auto"/>
                <w:szCs w:val="21"/>
                <w:lang w:eastAsia="zh-CN"/>
              </w:rPr>
              <w:t>：</w:t>
            </w:r>
          </w:p>
          <w:p w14:paraId="06825147">
            <w:pPr>
              <w:tabs>
                <w:tab w:val="left" w:pos="360"/>
              </w:tabs>
              <w:rPr>
                <w:rFonts w:hint="eastAsia" w:ascii="宋体" w:hAnsi="宋体" w:eastAsia="宋体" w:cs="宋体"/>
                <w:color w:val="auto"/>
                <w:szCs w:val="21"/>
              </w:rPr>
            </w:pPr>
            <w:r>
              <w:rPr>
                <w:rFonts w:hint="eastAsia" w:ascii="宋体" w:hAnsi="宋体" w:eastAsia="宋体" w:cs="宋体"/>
                <w:b w:val="0"/>
                <w:bCs w:val="0"/>
                <w:color w:val="auto"/>
                <w:sz w:val="21"/>
                <w:szCs w:val="21"/>
                <w:lang w:val="en-US"/>
              </w:rPr>
              <w:t>①</w:t>
            </w:r>
            <w:r>
              <w:rPr>
                <w:rFonts w:hint="eastAsia" w:ascii="宋体" w:hAnsi="宋体" w:eastAsia="宋体" w:cs="宋体"/>
                <w:color w:val="auto"/>
                <w:szCs w:val="21"/>
              </w:rPr>
              <w:t>CMMI（能力成熟度模型集成）三级及以上认证，得</w:t>
            </w:r>
            <w:r>
              <w:rPr>
                <w:rFonts w:hint="eastAsia" w:ascii="宋体" w:hAnsi="宋体" w:eastAsia="宋体" w:cs="宋体"/>
                <w:color w:val="auto"/>
                <w:szCs w:val="21"/>
                <w:lang w:val="en-US" w:eastAsia="zh-CN"/>
              </w:rPr>
              <w:t>1</w:t>
            </w:r>
            <w:r>
              <w:rPr>
                <w:rFonts w:hint="eastAsia" w:ascii="宋体" w:hAnsi="宋体" w:eastAsia="宋体" w:cs="宋体"/>
                <w:color w:val="auto"/>
                <w:szCs w:val="21"/>
              </w:rPr>
              <w:t>分；</w:t>
            </w:r>
          </w:p>
          <w:p w14:paraId="3572DDC6">
            <w:pPr>
              <w:tabs>
                <w:tab w:val="left" w:pos="360"/>
              </w:tabs>
              <w:rPr>
                <w:rFonts w:hint="eastAsia" w:ascii="宋体" w:hAnsi="宋体" w:eastAsia="宋体" w:cs="宋体"/>
                <w:color w:val="auto"/>
                <w:szCs w:val="21"/>
              </w:rPr>
            </w:pPr>
            <w:r>
              <w:rPr>
                <w:rFonts w:hint="eastAsia" w:ascii="宋体" w:hAnsi="宋体" w:eastAsia="宋体" w:cs="宋体"/>
                <w:b w:val="0"/>
                <w:bCs w:val="0"/>
                <w:color w:val="auto"/>
                <w:sz w:val="21"/>
                <w:szCs w:val="21"/>
                <w:lang w:val="en-US"/>
              </w:rPr>
              <w:t>②</w:t>
            </w:r>
            <w:r>
              <w:rPr>
                <w:rFonts w:hint="eastAsia" w:ascii="宋体" w:hAnsi="宋体" w:eastAsia="宋体" w:cs="宋体"/>
                <w:color w:val="auto"/>
                <w:szCs w:val="21"/>
              </w:rPr>
              <w:t>ISO9001质量管理体系认证（覆盖软件开发），得1分；</w:t>
            </w:r>
          </w:p>
          <w:p w14:paraId="55ADCC22">
            <w:pPr>
              <w:tabs>
                <w:tab w:val="left" w:pos="360"/>
              </w:tabs>
              <w:rPr>
                <w:rFonts w:hint="eastAsia" w:ascii="宋体" w:hAnsi="宋体" w:eastAsia="宋体" w:cs="宋体"/>
                <w:color w:val="auto"/>
                <w:szCs w:val="21"/>
              </w:rPr>
            </w:pPr>
            <w:r>
              <w:rPr>
                <w:rFonts w:hint="eastAsia" w:ascii="宋体" w:hAnsi="宋体" w:eastAsia="宋体" w:cs="宋体"/>
                <w:b w:val="0"/>
                <w:bCs w:val="0"/>
                <w:color w:val="auto"/>
                <w:sz w:val="21"/>
                <w:szCs w:val="21"/>
                <w:lang w:val="en-US"/>
              </w:rPr>
              <w:t>③</w:t>
            </w:r>
            <w:r>
              <w:rPr>
                <w:rFonts w:hint="eastAsia" w:ascii="宋体" w:hAnsi="宋体" w:eastAsia="宋体" w:cs="宋体"/>
                <w:color w:val="auto"/>
                <w:szCs w:val="21"/>
              </w:rPr>
              <w:t>ISO27001信息安全管理体系认证，得1分。</w:t>
            </w:r>
          </w:p>
          <w:p w14:paraId="077D1C5B">
            <w:pPr>
              <w:tabs>
                <w:tab w:val="left" w:pos="360"/>
              </w:tabs>
              <w:rPr>
                <w:rFonts w:hint="eastAsia" w:ascii="宋体" w:hAnsi="宋体" w:eastAsia="宋体" w:cs="宋体"/>
                <w:b/>
                <w:color w:val="auto"/>
                <w:szCs w:val="21"/>
              </w:rPr>
            </w:pPr>
            <w:r>
              <w:rPr>
                <w:rFonts w:hint="eastAsia" w:ascii="宋体" w:hAnsi="宋体" w:eastAsia="宋体" w:cs="宋体"/>
                <w:b/>
                <w:bCs/>
                <w:color w:val="auto"/>
                <w:szCs w:val="21"/>
              </w:rPr>
              <w:t>注：证书必须在有效期内，且须提供网页查询截图并加盖公章</w:t>
            </w:r>
            <w:r>
              <w:rPr>
                <w:rFonts w:hint="eastAsia" w:ascii="宋体" w:hAnsi="宋体" w:eastAsia="宋体" w:cs="宋体"/>
                <w:b/>
                <w:bCs/>
                <w:color w:val="auto"/>
                <w:szCs w:val="21"/>
                <w:lang w:eastAsia="zh-CN"/>
              </w:rPr>
              <w:t>，否则不得分</w:t>
            </w:r>
            <w:r>
              <w:rPr>
                <w:rFonts w:hint="eastAsia" w:ascii="宋体" w:hAnsi="宋体" w:eastAsia="宋体" w:cs="宋体"/>
                <w:b/>
                <w:bCs/>
                <w:color w:val="auto"/>
                <w:szCs w:val="21"/>
              </w:rPr>
              <w:t>。</w:t>
            </w:r>
          </w:p>
        </w:tc>
      </w:tr>
      <w:tr w14:paraId="28DC3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42DC98C">
            <w:pPr>
              <w:pStyle w:val="50"/>
              <w:spacing w:line="360" w:lineRule="auto"/>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1512" w:type="dxa"/>
            <w:tcBorders>
              <w:top w:val="single" w:color="auto" w:sz="4" w:space="0"/>
              <w:left w:val="single" w:color="auto" w:sz="4" w:space="0"/>
              <w:bottom w:val="single" w:color="auto" w:sz="4" w:space="0"/>
              <w:right w:val="single" w:color="auto" w:sz="4" w:space="0"/>
            </w:tcBorders>
            <w:vAlign w:val="center"/>
          </w:tcPr>
          <w:p w14:paraId="0B99C206">
            <w:pPr>
              <w:pStyle w:val="50"/>
              <w:spacing w:line="360" w:lineRule="auto"/>
              <w:ind w:firstLine="0" w:firstLineChars="0"/>
              <w:jc w:val="center"/>
              <w:rPr>
                <w:rFonts w:hint="eastAsia" w:ascii="宋体" w:hAnsi="宋体" w:eastAsia="宋体" w:cs="宋体"/>
                <w:color w:val="auto"/>
                <w:w w:val="101"/>
                <w:sz w:val="21"/>
                <w:szCs w:val="21"/>
              </w:rPr>
            </w:pPr>
            <w:r>
              <w:rPr>
                <w:rFonts w:hint="eastAsia" w:ascii="宋体" w:hAnsi="宋体" w:eastAsia="宋体" w:cs="宋体"/>
                <w:b/>
                <w:bCs/>
                <w:color w:val="auto"/>
                <w:sz w:val="21"/>
                <w:szCs w:val="21"/>
              </w:rPr>
              <w:t>财务状况</w:t>
            </w:r>
          </w:p>
        </w:tc>
        <w:tc>
          <w:tcPr>
            <w:tcW w:w="709" w:type="dxa"/>
            <w:tcBorders>
              <w:top w:val="single" w:color="auto" w:sz="4" w:space="0"/>
              <w:left w:val="single" w:color="auto" w:sz="4" w:space="0"/>
              <w:bottom w:val="single" w:color="auto" w:sz="4" w:space="0"/>
              <w:right w:val="single" w:color="auto" w:sz="4" w:space="0"/>
            </w:tcBorders>
            <w:vAlign w:val="center"/>
          </w:tcPr>
          <w:p w14:paraId="24B52291">
            <w:pPr>
              <w:pStyle w:val="50"/>
              <w:spacing w:line="360" w:lineRule="auto"/>
              <w:ind w:firstLine="0" w:firstLineChars="0"/>
              <w:jc w:val="center"/>
              <w:rPr>
                <w:rFonts w:hint="eastAsia" w:ascii="宋体" w:hAnsi="宋体" w:eastAsia="宋体" w:cs="宋体"/>
                <w:color w:val="auto"/>
                <w:w w:val="101"/>
                <w:sz w:val="21"/>
                <w:szCs w:val="21"/>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分</w:t>
            </w:r>
          </w:p>
        </w:tc>
        <w:tc>
          <w:tcPr>
            <w:tcW w:w="5734" w:type="dxa"/>
            <w:tcBorders>
              <w:top w:val="single" w:color="auto" w:sz="4" w:space="0"/>
              <w:left w:val="single" w:color="auto" w:sz="4" w:space="0"/>
              <w:bottom w:val="single" w:color="auto" w:sz="4" w:space="0"/>
              <w:right w:val="single" w:color="auto" w:sz="4" w:space="0"/>
            </w:tcBorders>
            <w:vAlign w:val="center"/>
          </w:tcPr>
          <w:p w14:paraId="53FBEBF7">
            <w:pPr>
              <w:rPr>
                <w:rFonts w:hint="eastAsia" w:ascii="宋体" w:hAnsi="宋体" w:eastAsia="宋体" w:cs="宋体"/>
                <w:color w:val="auto"/>
                <w:szCs w:val="21"/>
              </w:rPr>
            </w:pPr>
            <w:r>
              <w:rPr>
                <w:rFonts w:hint="eastAsia" w:ascii="宋体" w:hAnsi="宋体" w:eastAsia="宋体" w:cs="宋体"/>
                <w:color w:val="auto"/>
                <w:szCs w:val="21"/>
              </w:rPr>
              <w:t>投标人提供2023年、2024年、2025年第三方会计事务所审计报告，净利润连续三年为正数的得5分，连续两年为正数得3分，一年为正数得1分，未提供不得分。</w:t>
            </w:r>
          </w:p>
          <w:p w14:paraId="02985407">
            <w:pPr>
              <w:rPr>
                <w:rFonts w:hint="eastAsia" w:ascii="宋体" w:hAnsi="宋体" w:eastAsia="宋体" w:cs="宋体"/>
                <w:color w:val="auto"/>
                <w:w w:val="101"/>
                <w:szCs w:val="21"/>
              </w:rPr>
            </w:pPr>
            <w:r>
              <w:rPr>
                <w:rFonts w:hint="eastAsia" w:ascii="宋体" w:hAnsi="宋体" w:eastAsia="宋体" w:cs="宋体"/>
                <w:b/>
                <w:bCs/>
                <w:color w:val="auto"/>
                <w:szCs w:val="21"/>
              </w:rPr>
              <w:t>注：以供应商提供的经独立第三方审计的财务审计报告及附表复印件的统计数据作为评审依据，须提供完整资料并加盖投标人公章。</w:t>
            </w:r>
          </w:p>
        </w:tc>
      </w:tr>
      <w:tr w14:paraId="6F2AE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23195D4A">
            <w:pPr>
              <w:pStyle w:val="50"/>
              <w:spacing w:line="360" w:lineRule="auto"/>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1512" w:type="dxa"/>
            <w:tcBorders>
              <w:top w:val="single" w:color="auto" w:sz="4" w:space="0"/>
              <w:left w:val="single" w:color="auto" w:sz="4" w:space="0"/>
              <w:bottom w:val="single" w:color="auto" w:sz="4" w:space="0"/>
              <w:right w:val="single" w:color="auto" w:sz="4" w:space="0"/>
            </w:tcBorders>
            <w:vAlign w:val="center"/>
          </w:tcPr>
          <w:p w14:paraId="1F1CA0EC">
            <w:pPr>
              <w:pStyle w:val="50"/>
              <w:spacing w:line="360" w:lineRule="auto"/>
              <w:ind w:firstLine="0" w:firstLineChars="0"/>
              <w:jc w:val="center"/>
              <w:rPr>
                <w:rFonts w:hint="eastAsia" w:ascii="宋体" w:hAnsi="宋体" w:eastAsia="宋体" w:cs="宋体"/>
                <w:color w:val="auto"/>
                <w:w w:val="101"/>
                <w:sz w:val="21"/>
                <w:szCs w:val="21"/>
              </w:rPr>
            </w:pPr>
            <w:r>
              <w:rPr>
                <w:rFonts w:hint="eastAsia" w:ascii="宋体" w:hAnsi="宋体" w:eastAsia="宋体" w:cs="宋体"/>
                <w:b/>
                <w:bCs/>
                <w:color w:val="auto"/>
                <w:sz w:val="21"/>
                <w:szCs w:val="21"/>
              </w:rPr>
              <w:t>业绩</w:t>
            </w:r>
          </w:p>
        </w:tc>
        <w:tc>
          <w:tcPr>
            <w:tcW w:w="709" w:type="dxa"/>
            <w:tcBorders>
              <w:top w:val="single" w:color="auto" w:sz="4" w:space="0"/>
              <w:left w:val="single" w:color="auto" w:sz="4" w:space="0"/>
              <w:bottom w:val="single" w:color="auto" w:sz="4" w:space="0"/>
              <w:right w:val="single" w:color="auto" w:sz="4" w:space="0"/>
            </w:tcBorders>
            <w:vAlign w:val="center"/>
          </w:tcPr>
          <w:p w14:paraId="28564AB0">
            <w:pPr>
              <w:pStyle w:val="50"/>
              <w:spacing w:line="360" w:lineRule="auto"/>
              <w:ind w:firstLine="0" w:firstLineChars="0"/>
              <w:jc w:val="center"/>
              <w:rPr>
                <w:rFonts w:hint="eastAsia" w:ascii="宋体" w:hAnsi="宋体" w:eastAsia="宋体" w:cs="宋体"/>
                <w:color w:val="auto"/>
                <w:w w:val="101"/>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分</w:t>
            </w:r>
          </w:p>
        </w:tc>
        <w:tc>
          <w:tcPr>
            <w:tcW w:w="5734" w:type="dxa"/>
            <w:tcBorders>
              <w:top w:val="single" w:color="auto" w:sz="4" w:space="0"/>
              <w:left w:val="single" w:color="auto" w:sz="4" w:space="0"/>
              <w:bottom w:val="single" w:color="auto" w:sz="4" w:space="0"/>
              <w:right w:val="single" w:color="auto" w:sz="4" w:space="0"/>
            </w:tcBorders>
            <w:vAlign w:val="center"/>
          </w:tcPr>
          <w:p w14:paraId="117C0A52">
            <w:pPr>
              <w:rPr>
                <w:rFonts w:hint="eastAsia" w:ascii="宋体" w:hAnsi="宋体" w:eastAsia="宋体" w:cs="宋体"/>
                <w:color w:val="auto"/>
                <w:szCs w:val="21"/>
              </w:rPr>
            </w:pPr>
            <w:r>
              <w:rPr>
                <w:rFonts w:hint="eastAsia" w:ascii="宋体" w:hAnsi="宋体" w:eastAsia="宋体" w:cs="宋体"/>
                <w:color w:val="auto"/>
                <w:szCs w:val="21"/>
              </w:rPr>
              <w:t>投标人自2023年1月1日至投标截止日（以合同签订时间为准），承接过软件系统开发项目，且单项合同金额≥38万元，并至少包含以下任一功能模块：①合同管理类功能模块（如合同签订、变更、续租、退租等）；②账单及财务管理类功能模块（如账单生成、费用收缴、财务报表、电子开票等）；③租户服务类功能模块（如小程序/APP端信息查询、业务申请、消息推送等）。</w:t>
            </w:r>
          </w:p>
          <w:p w14:paraId="0F64DA05">
            <w:pPr>
              <w:pStyle w:val="33"/>
              <w:ind w:left="0" w:leftChars="0" w:firstLine="0" w:firstLineChars="0"/>
              <w:rPr>
                <w:rFonts w:hint="eastAsia" w:ascii="宋体" w:hAnsi="宋体" w:eastAsia="宋体" w:cs="宋体"/>
                <w:b w:val="0"/>
                <w:bCs w:val="0"/>
                <w:color w:val="auto"/>
                <w:sz w:val="21"/>
                <w:szCs w:val="21"/>
                <w:lang w:val="en-US" w:eastAsia="zh-CN" w:bidi="ar-SA"/>
              </w:rPr>
            </w:pPr>
            <w:r>
              <w:rPr>
                <w:rFonts w:hint="eastAsia" w:ascii="宋体" w:hAnsi="宋体" w:eastAsia="宋体" w:cs="宋体"/>
                <w:b w:val="0"/>
                <w:bCs w:val="0"/>
                <w:color w:val="auto"/>
                <w:sz w:val="21"/>
                <w:szCs w:val="21"/>
                <w:lang w:val="en-US" w:eastAsia="zh-CN" w:bidi="ar-SA"/>
              </w:rPr>
              <w:t>每提供1个符合上述要求的有效业绩得4分，最高得12分。如同一合同包含多个功能模块，仍按1个业绩计算，不重复计分。</w:t>
            </w:r>
          </w:p>
          <w:p w14:paraId="5EA4B119">
            <w:pPr>
              <w:rPr>
                <w:rFonts w:hint="eastAsia" w:ascii="宋体" w:hAnsi="宋体" w:eastAsia="宋体" w:cs="宋体"/>
                <w:color w:val="auto"/>
                <w:w w:val="101"/>
                <w:szCs w:val="21"/>
              </w:rPr>
            </w:pPr>
            <w:r>
              <w:rPr>
                <w:rFonts w:hint="eastAsia" w:ascii="宋体" w:hAnsi="宋体" w:eastAsia="宋体" w:cs="宋体"/>
                <w:b/>
                <w:bCs/>
                <w:color w:val="auto"/>
                <w:szCs w:val="21"/>
              </w:rPr>
              <w:t>注：投标人提供的合同须体现合同签订时间、合同金额，且须提供合同金额的全额发票作为证明材料，如框架合同须提供订单及发票。以上资料不提供或提供不齐全或模糊不清无法辨认不得分。</w:t>
            </w:r>
          </w:p>
        </w:tc>
      </w:tr>
      <w:tr w14:paraId="04900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73B37C0">
            <w:pPr>
              <w:pStyle w:val="50"/>
              <w:spacing w:line="360" w:lineRule="auto"/>
              <w:ind w:firstLine="0" w:firstLineChars="0"/>
              <w:jc w:val="center"/>
              <w:rPr>
                <w:rFonts w:hint="eastAsia" w:ascii="宋体" w:hAnsi="宋体" w:eastAsia="宋体" w:cs="宋体"/>
                <w:color w:val="auto"/>
                <w:sz w:val="21"/>
                <w:szCs w:val="21"/>
              </w:rPr>
            </w:pPr>
          </w:p>
        </w:tc>
        <w:tc>
          <w:tcPr>
            <w:tcW w:w="1512" w:type="dxa"/>
            <w:tcBorders>
              <w:top w:val="single" w:color="auto" w:sz="4" w:space="0"/>
              <w:left w:val="single" w:color="auto" w:sz="4" w:space="0"/>
              <w:bottom w:val="single" w:color="auto" w:sz="4" w:space="0"/>
              <w:right w:val="single" w:color="auto" w:sz="4" w:space="0"/>
            </w:tcBorders>
            <w:vAlign w:val="center"/>
          </w:tcPr>
          <w:p w14:paraId="3511A5BE">
            <w:pPr>
              <w:pStyle w:val="50"/>
              <w:spacing w:line="360" w:lineRule="auto"/>
              <w:ind w:firstLine="0" w:firstLineChars="0"/>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拟投入本项目团队人员</w:t>
            </w:r>
          </w:p>
        </w:tc>
        <w:tc>
          <w:tcPr>
            <w:tcW w:w="709" w:type="dxa"/>
            <w:tcBorders>
              <w:top w:val="single" w:color="auto" w:sz="4" w:space="0"/>
              <w:left w:val="single" w:color="auto" w:sz="4" w:space="0"/>
              <w:bottom w:val="single" w:color="auto" w:sz="4" w:space="0"/>
              <w:right w:val="single" w:color="auto" w:sz="4" w:space="0"/>
            </w:tcBorders>
            <w:vAlign w:val="center"/>
          </w:tcPr>
          <w:p w14:paraId="5044C466">
            <w:pPr>
              <w:pStyle w:val="50"/>
              <w:spacing w:line="360" w:lineRule="auto"/>
              <w:ind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10分</w:t>
            </w:r>
          </w:p>
        </w:tc>
        <w:tc>
          <w:tcPr>
            <w:tcW w:w="5734" w:type="dxa"/>
            <w:tcBorders>
              <w:top w:val="single" w:color="auto" w:sz="4" w:space="0"/>
              <w:left w:val="single" w:color="auto" w:sz="4" w:space="0"/>
              <w:bottom w:val="single" w:color="auto" w:sz="4" w:space="0"/>
              <w:right w:val="single" w:color="auto" w:sz="4" w:space="0"/>
            </w:tcBorders>
            <w:vAlign w:val="center"/>
          </w:tcPr>
          <w:p w14:paraId="49E9D9AC">
            <w:pPr>
              <w:rPr>
                <w:rFonts w:hint="eastAsia" w:ascii="宋体" w:hAnsi="宋体" w:eastAsia="宋体" w:cs="宋体"/>
                <w:b w:val="0"/>
                <w:bCs w:val="0"/>
                <w:color w:val="auto"/>
                <w:szCs w:val="21"/>
              </w:rPr>
            </w:pPr>
            <w:r>
              <w:rPr>
                <w:rFonts w:hint="eastAsia" w:ascii="宋体" w:hAnsi="宋体" w:eastAsia="宋体" w:cs="宋体"/>
                <w:b w:val="0"/>
                <w:bCs w:val="0"/>
                <w:color w:val="auto"/>
                <w:szCs w:val="21"/>
              </w:rPr>
              <w:t>1.项目经理</w:t>
            </w:r>
            <w:r>
              <w:rPr>
                <w:rFonts w:hint="eastAsia" w:ascii="宋体" w:hAnsi="宋体" w:eastAsia="宋体" w:cs="宋体"/>
                <w:b w:val="0"/>
                <w:bCs w:val="0"/>
                <w:color w:val="auto"/>
                <w:szCs w:val="21"/>
                <w:lang w:eastAsia="zh-CN"/>
              </w:rPr>
              <w:t>（</w:t>
            </w:r>
            <w:r>
              <w:rPr>
                <w:rFonts w:hint="eastAsia" w:ascii="宋体" w:hAnsi="宋体" w:eastAsia="宋体" w:cs="宋体"/>
                <w:b w:val="0"/>
                <w:bCs w:val="0"/>
                <w:color w:val="auto"/>
                <w:szCs w:val="21"/>
                <w:lang w:val="en-US" w:eastAsia="zh-CN"/>
              </w:rPr>
              <w:t>仅一人</w:t>
            </w:r>
            <w:r>
              <w:rPr>
                <w:rFonts w:hint="eastAsia" w:ascii="宋体" w:hAnsi="宋体" w:eastAsia="宋体" w:cs="宋体"/>
                <w:b w:val="0"/>
                <w:bCs w:val="0"/>
                <w:color w:val="auto"/>
                <w:szCs w:val="21"/>
                <w:lang w:eastAsia="zh-CN"/>
              </w:rPr>
              <w:t>）</w:t>
            </w:r>
            <w:r>
              <w:rPr>
                <w:rFonts w:hint="eastAsia" w:ascii="宋体" w:hAnsi="宋体" w:eastAsia="宋体" w:cs="宋体"/>
                <w:b w:val="0"/>
                <w:bCs w:val="0"/>
                <w:color w:val="auto"/>
                <w:szCs w:val="21"/>
              </w:rPr>
              <w:t>：拟投入本项目的项目经理须具有</w:t>
            </w:r>
            <w:r>
              <w:rPr>
                <w:rFonts w:hint="eastAsia" w:ascii="宋体" w:hAnsi="宋体" w:eastAsia="宋体" w:cs="宋体"/>
                <w:b w:val="0"/>
                <w:bCs w:val="0"/>
                <w:color w:val="auto"/>
                <w:szCs w:val="21"/>
                <w:lang w:val="en-US" w:eastAsia="zh-CN"/>
              </w:rPr>
              <w:t>由人社部、工信部（国家职业资格）颁发的</w:t>
            </w:r>
            <w:r>
              <w:rPr>
                <w:rFonts w:hint="eastAsia" w:ascii="宋体" w:hAnsi="宋体" w:eastAsia="宋体" w:cs="宋体"/>
                <w:b w:val="0"/>
                <w:bCs w:val="0"/>
                <w:color w:val="auto"/>
                <w:szCs w:val="21"/>
              </w:rPr>
              <w:t>信息系统项目管理师证书</w:t>
            </w:r>
            <w:r>
              <w:rPr>
                <w:rFonts w:hint="eastAsia" w:ascii="宋体" w:hAnsi="宋体" w:eastAsia="宋体" w:cs="宋体"/>
                <w:b w:val="0"/>
                <w:bCs w:val="0"/>
                <w:color w:val="auto"/>
                <w:szCs w:val="21"/>
                <w:lang w:eastAsia="zh-CN"/>
              </w:rPr>
              <w:t>（</w:t>
            </w:r>
            <w:r>
              <w:rPr>
                <w:rFonts w:hint="eastAsia" w:ascii="宋体" w:hAnsi="宋体" w:eastAsia="宋体" w:cs="宋体"/>
                <w:b w:val="0"/>
                <w:bCs w:val="0"/>
                <w:color w:val="auto"/>
                <w:szCs w:val="21"/>
                <w:lang w:val="en-US" w:eastAsia="zh-CN"/>
              </w:rPr>
              <w:t>高级职称</w:t>
            </w:r>
            <w:r>
              <w:rPr>
                <w:rFonts w:hint="eastAsia" w:ascii="宋体" w:hAnsi="宋体" w:eastAsia="宋体" w:cs="宋体"/>
                <w:b w:val="0"/>
                <w:bCs w:val="0"/>
                <w:color w:val="auto"/>
                <w:szCs w:val="21"/>
                <w:lang w:eastAsia="zh-CN"/>
              </w:rPr>
              <w:t>）</w:t>
            </w:r>
            <w:r>
              <w:rPr>
                <w:rFonts w:hint="eastAsia" w:ascii="宋体" w:hAnsi="宋体" w:eastAsia="宋体" w:cs="宋体"/>
                <w:b w:val="0"/>
                <w:bCs w:val="0"/>
                <w:color w:val="auto"/>
                <w:szCs w:val="21"/>
              </w:rPr>
              <w:t>或PMP（项目管理专业人士）认证，得</w:t>
            </w:r>
            <w:r>
              <w:rPr>
                <w:rFonts w:hint="eastAsia" w:ascii="宋体" w:hAnsi="宋体" w:eastAsia="宋体" w:cs="宋体"/>
                <w:b w:val="0"/>
                <w:bCs w:val="0"/>
                <w:color w:val="auto"/>
                <w:szCs w:val="21"/>
                <w:lang w:val="en-US" w:eastAsia="zh-CN"/>
              </w:rPr>
              <w:t>4</w:t>
            </w:r>
            <w:r>
              <w:rPr>
                <w:rFonts w:hint="eastAsia" w:ascii="宋体" w:hAnsi="宋体" w:eastAsia="宋体" w:cs="宋体"/>
                <w:b w:val="0"/>
                <w:bCs w:val="0"/>
                <w:color w:val="auto"/>
                <w:szCs w:val="21"/>
              </w:rPr>
              <w:t>分；</w:t>
            </w:r>
          </w:p>
          <w:p w14:paraId="6B657BA0">
            <w:pPr>
              <w:rPr>
                <w:rFonts w:hint="eastAsia" w:ascii="宋体" w:hAnsi="宋体" w:eastAsia="宋体" w:cs="宋体"/>
                <w:b w:val="0"/>
                <w:bCs w:val="0"/>
                <w:color w:val="auto"/>
                <w:szCs w:val="21"/>
              </w:rPr>
            </w:pPr>
            <w:r>
              <w:rPr>
                <w:rFonts w:hint="eastAsia" w:ascii="宋体" w:hAnsi="宋体" w:eastAsia="宋体" w:cs="宋体"/>
                <w:b w:val="0"/>
                <w:bCs w:val="0"/>
                <w:color w:val="auto"/>
                <w:szCs w:val="21"/>
              </w:rPr>
              <w:t>2.技术负责人</w:t>
            </w:r>
            <w:r>
              <w:rPr>
                <w:rFonts w:hint="eastAsia" w:ascii="宋体" w:hAnsi="宋体" w:eastAsia="宋体" w:cs="宋体"/>
                <w:b w:val="0"/>
                <w:bCs w:val="0"/>
                <w:color w:val="auto"/>
                <w:szCs w:val="21"/>
                <w:lang w:eastAsia="zh-CN"/>
              </w:rPr>
              <w:t>（</w:t>
            </w:r>
            <w:r>
              <w:rPr>
                <w:rFonts w:hint="eastAsia" w:ascii="宋体" w:hAnsi="宋体" w:eastAsia="宋体" w:cs="宋体"/>
                <w:b w:val="0"/>
                <w:bCs w:val="0"/>
                <w:color w:val="auto"/>
                <w:szCs w:val="21"/>
              </w:rPr>
              <w:t>不得与项目经理为同一人）：拟投入本项目的项目经理须具有</w:t>
            </w:r>
            <w:r>
              <w:rPr>
                <w:rFonts w:hint="eastAsia" w:ascii="宋体" w:hAnsi="宋体" w:eastAsia="宋体" w:cs="宋体"/>
                <w:b w:val="0"/>
                <w:bCs w:val="0"/>
                <w:color w:val="auto"/>
                <w:szCs w:val="21"/>
                <w:lang w:val="en-US" w:eastAsia="zh-CN"/>
              </w:rPr>
              <w:t>由人社部、工信部（国家职业资格）颁发的系统架构设计师</w:t>
            </w:r>
            <w:r>
              <w:rPr>
                <w:rFonts w:hint="eastAsia" w:ascii="宋体" w:hAnsi="宋体" w:eastAsia="宋体" w:cs="宋体"/>
                <w:b w:val="0"/>
                <w:bCs w:val="0"/>
                <w:color w:val="auto"/>
                <w:szCs w:val="21"/>
              </w:rPr>
              <w:t>证书</w:t>
            </w:r>
            <w:r>
              <w:rPr>
                <w:rFonts w:hint="eastAsia" w:ascii="宋体" w:hAnsi="宋体" w:eastAsia="宋体" w:cs="宋体"/>
                <w:b w:val="0"/>
                <w:bCs w:val="0"/>
                <w:color w:val="auto"/>
                <w:szCs w:val="21"/>
                <w:lang w:eastAsia="zh-CN"/>
              </w:rPr>
              <w:t>（</w:t>
            </w:r>
            <w:r>
              <w:rPr>
                <w:rFonts w:hint="eastAsia" w:ascii="宋体" w:hAnsi="宋体" w:eastAsia="宋体" w:cs="宋体"/>
                <w:b w:val="0"/>
                <w:bCs w:val="0"/>
                <w:color w:val="auto"/>
                <w:szCs w:val="21"/>
                <w:lang w:val="en-US" w:eastAsia="zh-CN"/>
              </w:rPr>
              <w:t>高级职称</w:t>
            </w:r>
            <w:r>
              <w:rPr>
                <w:rFonts w:hint="eastAsia" w:ascii="宋体" w:hAnsi="宋体" w:eastAsia="宋体" w:cs="宋体"/>
                <w:b w:val="0"/>
                <w:bCs w:val="0"/>
                <w:color w:val="auto"/>
                <w:szCs w:val="21"/>
                <w:lang w:eastAsia="zh-CN"/>
              </w:rPr>
              <w:t>）</w:t>
            </w:r>
            <w:r>
              <w:rPr>
                <w:rFonts w:hint="eastAsia" w:ascii="宋体" w:hAnsi="宋体" w:eastAsia="宋体" w:cs="宋体"/>
                <w:b w:val="0"/>
                <w:bCs w:val="0"/>
                <w:color w:val="auto"/>
                <w:szCs w:val="21"/>
              </w:rPr>
              <w:t>或系统分析师证书</w:t>
            </w:r>
            <w:r>
              <w:rPr>
                <w:rFonts w:hint="eastAsia" w:ascii="宋体" w:hAnsi="宋体" w:eastAsia="宋体" w:cs="宋体"/>
                <w:b w:val="0"/>
                <w:bCs w:val="0"/>
                <w:color w:val="auto"/>
                <w:szCs w:val="21"/>
                <w:lang w:eastAsia="zh-CN"/>
              </w:rPr>
              <w:t>（</w:t>
            </w:r>
            <w:r>
              <w:rPr>
                <w:rFonts w:hint="eastAsia" w:ascii="宋体" w:hAnsi="宋体" w:eastAsia="宋体" w:cs="宋体"/>
                <w:b w:val="0"/>
                <w:bCs w:val="0"/>
                <w:color w:val="auto"/>
                <w:szCs w:val="21"/>
                <w:lang w:val="en-US" w:eastAsia="zh-CN"/>
              </w:rPr>
              <w:t>高级职称</w:t>
            </w:r>
            <w:r>
              <w:rPr>
                <w:rFonts w:hint="eastAsia" w:ascii="宋体" w:hAnsi="宋体" w:eastAsia="宋体" w:cs="宋体"/>
                <w:b w:val="0"/>
                <w:bCs w:val="0"/>
                <w:color w:val="auto"/>
                <w:szCs w:val="21"/>
                <w:lang w:eastAsia="zh-CN"/>
              </w:rPr>
              <w:t>）</w:t>
            </w:r>
            <w:r>
              <w:rPr>
                <w:rFonts w:hint="eastAsia" w:ascii="宋体" w:hAnsi="宋体" w:eastAsia="宋体" w:cs="宋体"/>
                <w:b w:val="0"/>
                <w:bCs w:val="0"/>
                <w:color w:val="auto"/>
                <w:szCs w:val="21"/>
              </w:rPr>
              <w:t>，得3分。</w:t>
            </w:r>
          </w:p>
          <w:p w14:paraId="7377C5E6">
            <w:pPr>
              <w:rPr>
                <w:rFonts w:hint="eastAsia" w:ascii="宋体" w:hAnsi="宋体" w:eastAsia="宋体" w:cs="宋体"/>
                <w:b w:val="0"/>
                <w:bCs w:val="0"/>
                <w:color w:val="auto"/>
                <w:szCs w:val="21"/>
              </w:rPr>
            </w:pPr>
            <w:r>
              <w:rPr>
                <w:rFonts w:hint="eastAsia" w:ascii="宋体" w:hAnsi="宋体" w:eastAsia="宋体" w:cs="宋体"/>
                <w:b w:val="0"/>
                <w:bCs w:val="0"/>
                <w:color w:val="auto"/>
                <w:szCs w:val="21"/>
              </w:rPr>
              <w:t>3. 拟投入本项目的开发团队成员（不含项目经理和技术负责人）：</w:t>
            </w:r>
          </w:p>
          <w:p w14:paraId="6A6720B1">
            <w:pPr>
              <w:rPr>
                <w:rFonts w:hint="eastAsia" w:ascii="宋体" w:hAnsi="宋体" w:eastAsia="宋体" w:cs="宋体"/>
                <w:b w:val="0"/>
                <w:bCs w:val="0"/>
                <w:color w:val="auto"/>
                <w:szCs w:val="21"/>
              </w:rPr>
            </w:pPr>
            <w:r>
              <w:rPr>
                <w:rFonts w:hint="eastAsia" w:ascii="宋体" w:hAnsi="宋体" w:eastAsia="宋体" w:cs="宋体"/>
                <w:b w:val="0"/>
                <w:bCs w:val="0"/>
                <w:color w:val="auto"/>
                <w:szCs w:val="21"/>
              </w:rPr>
              <w:t>（1）具有由人社部、工信部（国家职业资格）颁发的软件设计师证书</w:t>
            </w:r>
            <w:r>
              <w:rPr>
                <w:rFonts w:hint="eastAsia" w:ascii="宋体" w:hAnsi="宋体" w:eastAsia="宋体" w:cs="宋体"/>
                <w:b w:val="0"/>
                <w:bCs w:val="0"/>
                <w:color w:val="auto"/>
                <w:szCs w:val="21"/>
                <w:lang w:eastAsia="zh-CN"/>
              </w:rPr>
              <w:t>（</w:t>
            </w:r>
            <w:r>
              <w:rPr>
                <w:rFonts w:hint="eastAsia" w:ascii="宋体" w:hAnsi="宋体" w:eastAsia="宋体" w:cs="宋体"/>
                <w:b w:val="0"/>
                <w:bCs w:val="0"/>
                <w:color w:val="auto"/>
                <w:szCs w:val="21"/>
                <w:lang w:val="en-US" w:eastAsia="zh-CN"/>
              </w:rPr>
              <w:t>中级职称</w:t>
            </w:r>
            <w:r>
              <w:rPr>
                <w:rFonts w:hint="eastAsia" w:ascii="宋体" w:hAnsi="宋体" w:eastAsia="宋体" w:cs="宋体"/>
                <w:b w:val="0"/>
                <w:bCs w:val="0"/>
                <w:color w:val="auto"/>
                <w:szCs w:val="21"/>
                <w:lang w:eastAsia="zh-CN"/>
              </w:rPr>
              <w:t>）</w:t>
            </w:r>
            <w:r>
              <w:rPr>
                <w:rFonts w:hint="eastAsia" w:ascii="宋体" w:hAnsi="宋体" w:eastAsia="宋体" w:cs="宋体"/>
                <w:b w:val="0"/>
                <w:bCs w:val="0"/>
                <w:color w:val="auto"/>
                <w:szCs w:val="21"/>
              </w:rPr>
              <w:t>的，每提供1人得0.5分；</w:t>
            </w:r>
          </w:p>
          <w:p w14:paraId="344CC191">
            <w:pPr>
              <w:rPr>
                <w:rFonts w:hint="eastAsia" w:ascii="宋体" w:hAnsi="宋体" w:eastAsia="宋体" w:cs="宋体"/>
                <w:b w:val="0"/>
                <w:bCs w:val="0"/>
                <w:color w:val="auto"/>
                <w:szCs w:val="21"/>
              </w:rPr>
            </w:pPr>
            <w:r>
              <w:rPr>
                <w:rFonts w:hint="eastAsia" w:ascii="宋体" w:hAnsi="宋体" w:eastAsia="宋体" w:cs="宋体"/>
                <w:b w:val="0"/>
                <w:bCs w:val="0"/>
                <w:color w:val="auto"/>
                <w:szCs w:val="21"/>
              </w:rPr>
              <w:t>（2）具有由人社部、工信部（国家职业资格）颁发的</w:t>
            </w:r>
            <w:r>
              <w:rPr>
                <w:rFonts w:hint="eastAsia" w:ascii="宋体" w:hAnsi="宋体" w:eastAsia="宋体" w:cs="宋体"/>
                <w:b w:val="0"/>
                <w:bCs w:val="0"/>
                <w:color w:val="auto"/>
                <w:szCs w:val="21"/>
                <w:lang w:val="en-US" w:eastAsia="zh-CN"/>
              </w:rPr>
              <w:t>系统架构设计师</w:t>
            </w:r>
            <w:r>
              <w:rPr>
                <w:rFonts w:hint="eastAsia" w:ascii="宋体" w:hAnsi="宋体" w:eastAsia="宋体" w:cs="宋体"/>
                <w:b w:val="0"/>
                <w:bCs w:val="0"/>
                <w:color w:val="auto"/>
                <w:szCs w:val="21"/>
              </w:rPr>
              <w:t>证书</w:t>
            </w:r>
            <w:r>
              <w:rPr>
                <w:rFonts w:hint="eastAsia" w:ascii="宋体" w:hAnsi="宋体" w:eastAsia="宋体" w:cs="宋体"/>
                <w:b w:val="0"/>
                <w:bCs w:val="0"/>
                <w:color w:val="auto"/>
                <w:szCs w:val="21"/>
                <w:lang w:eastAsia="zh-CN"/>
              </w:rPr>
              <w:t>（</w:t>
            </w:r>
            <w:r>
              <w:rPr>
                <w:rFonts w:hint="eastAsia" w:ascii="宋体" w:hAnsi="宋体" w:eastAsia="宋体" w:cs="宋体"/>
                <w:b w:val="0"/>
                <w:bCs w:val="0"/>
                <w:color w:val="auto"/>
                <w:szCs w:val="21"/>
                <w:lang w:val="en-US" w:eastAsia="zh-CN"/>
              </w:rPr>
              <w:t>高级职称</w:t>
            </w:r>
            <w:r>
              <w:rPr>
                <w:rFonts w:hint="eastAsia" w:ascii="宋体" w:hAnsi="宋体" w:eastAsia="宋体" w:cs="宋体"/>
                <w:b w:val="0"/>
                <w:bCs w:val="0"/>
                <w:color w:val="auto"/>
                <w:szCs w:val="21"/>
                <w:lang w:eastAsia="zh-CN"/>
              </w:rPr>
              <w:t>）</w:t>
            </w:r>
            <w:r>
              <w:rPr>
                <w:rFonts w:hint="eastAsia" w:ascii="宋体" w:hAnsi="宋体" w:eastAsia="宋体" w:cs="宋体"/>
                <w:b w:val="0"/>
                <w:bCs w:val="0"/>
                <w:color w:val="auto"/>
                <w:szCs w:val="21"/>
              </w:rPr>
              <w:t>或系统分析师证书</w:t>
            </w:r>
            <w:r>
              <w:rPr>
                <w:rFonts w:hint="eastAsia" w:ascii="宋体" w:hAnsi="宋体" w:eastAsia="宋体" w:cs="宋体"/>
                <w:b w:val="0"/>
                <w:bCs w:val="0"/>
                <w:color w:val="auto"/>
                <w:szCs w:val="21"/>
                <w:lang w:eastAsia="zh-CN"/>
              </w:rPr>
              <w:t>（</w:t>
            </w:r>
            <w:r>
              <w:rPr>
                <w:rFonts w:hint="eastAsia" w:ascii="宋体" w:hAnsi="宋体" w:eastAsia="宋体" w:cs="宋体"/>
                <w:b w:val="0"/>
                <w:bCs w:val="0"/>
                <w:color w:val="auto"/>
                <w:szCs w:val="21"/>
                <w:lang w:val="en-US" w:eastAsia="zh-CN"/>
              </w:rPr>
              <w:t>高级职称</w:t>
            </w:r>
            <w:r>
              <w:rPr>
                <w:rFonts w:hint="eastAsia" w:ascii="宋体" w:hAnsi="宋体" w:eastAsia="宋体" w:cs="宋体"/>
                <w:b w:val="0"/>
                <w:bCs w:val="0"/>
                <w:color w:val="auto"/>
                <w:szCs w:val="21"/>
                <w:lang w:eastAsia="zh-CN"/>
              </w:rPr>
              <w:t>）</w:t>
            </w:r>
            <w:r>
              <w:rPr>
                <w:rFonts w:hint="eastAsia" w:ascii="宋体" w:hAnsi="宋体" w:eastAsia="宋体" w:cs="宋体"/>
                <w:b w:val="0"/>
                <w:bCs w:val="0"/>
                <w:color w:val="auto"/>
                <w:szCs w:val="21"/>
              </w:rPr>
              <w:t>的，每提供1人得1分；</w:t>
            </w:r>
          </w:p>
          <w:p w14:paraId="29C90380">
            <w:pPr>
              <w:pStyle w:val="33"/>
              <w:ind w:left="0" w:leftChars="0" w:firstLine="0" w:firstLineChars="0"/>
              <w:rPr>
                <w:rFonts w:hint="eastAsia" w:ascii="宋体" w:hAnsi="宋体" w:eastAsia="宋体" w:cs="宋体"/>
                <w:color w:val="auto"/>
              </w:rPr>
            </w:pPr>
            <w:r>
              <w:rPr>
                <w:rFonts w:hint="eastAsia" w:ascii="宋体" w:hAnsi="宋体" w:eastAsia="宋体" w:cs="宋体"/>
                <w:b/>
                <w:bCs/>
                <w:color w:val="auto"/>
                <w:sz w:val="21"/>
                <w:szCs w:val="21"/>
                <w:lang w:val="en-US" w:eastAsia="zh-CN" w:bidi="ar-SA"/>
              </w:rPr>
              <w:t>注：以上证书须提供持证人员的职业资格证书复印件、身份证复印件、开标前连续六个月（不含开标当月）在投标人单位购买的社保证明加盖投标人公章，未完整提供上述证明材料的人员不予认可。</w:t>
            </w:r>
          </w:p>
        </w:tc>
      </w:tr>
      <w:tr w14:paraId="51D00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679" w:type="dxa"/>
            <w:gridSpan w:val="4"/>
            <w:tcBorders>
              <w:top w:val="single" w:color="auto" w:sz="4" w:space="0"/>
              <w:left w:val="single" w:color="auto" w:sz="4" w:space="0"/>
              <w:bottom w:val="single" w:color="auto" w:sz="4" w:space="0"/>
              <w:right w:val="single" w:color="auto" w:sz="4" w:space="0"/>
            </w:tcBorders>
            <w:vAlign w:val="center"/>
          </w:tcPr>
          <w:p w14:paraId="5BDD3F3E">
            <w:pPr>
              <w:pStyle w:val="50"/>
              <w:spacing w:line="360" w:lineRule="auto"/>
              <w:ind w:firstLine="0" w:firstLineChars="0"/>
              <w:jc w:val="center"/>
              <w:rPr>
                <w:rFonts w:hint="eastAsia" w:ascii="宋体" w:hAnsi="宋体" w:eastAsia="宋体" w:cs="宋体"/>
                <w:color w:val="auto"/>
                <w:sz w:val="21"/>
                <w:szCs w:val="21"/>
              </w:rPr>
            </w:pPr>
            <w:r>
              <w:rPr>
                <w:rFonts w:hint="eastAsia" w:ascii="宋体" w:hAnsi="宋体" w:eastAsia="宋体" w:cs="宋体"/>
                <w:b/>
                <w:color w:val="auto"/>
                <w:sz w:val="21"/>
                <w:szCs w:val="21"/>
              </w:rPr>
              <w:t>技术评分（</w:t>
            </w:r>
            <w:r>
              <w:rPr>
                <w:rFonts w:hint="eastAsia" w:ascii="宋体" w:hAnsi="宋体" w:eastAsia="宋体" w:cs="宋体"/>
                <w:b/>
                <w:color w:val="auto"/>
                <w:sz w:val="21"/>
                <w:szCs w:val="21"/>
                <w:lang w:val="en-US" w:eastAsia="zh-CN"/>
              </w:rPr>
              <w:t>2</w:t>
            </w:r>
            <w:r>
              <w:rPr>
                <w:rFonts w:hint="eastAsia" w:ascii="宋体" w:hAnsi="宋体" w:eastAsia="宋体" w:cs="宋体"/>
                <w:b/>
                <w:color w:val="auto"/>
                <w:sz w:val="21"/>
                <w:szCs w:val="21"/>
              </w:rPr>
              <w:t>0分）</w:t>
            </w:r>
          </w:p>
        </w:tc>
      </w:tr>
      <w:tr w14:paraId="635C3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34D9CAE8">
            <w:pPr>
              <w:pStyle w:val="50"/>
              <w:spacing w:line="360" w:lineRule="auto"/>
              <w:ind w:firstLine="0" w:firstLineChars="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序号</w:t>
            </w:r>
          </w:p>
        </w:tc>
        <w:tc>
          <w:tcPr>
            <w:tcW w:w="1512" w:type="dxa"/>
            <w:tcBorders>
              <w:top w:val="single" w:color="auto" w:sz="4" w:space="0"/>
              <w:left w:val="single" w:color="auto" w:sz="4" w:space="0"/>
              <w:bottom w:val="single" w:color="auto" w:sz="4" w:space="0"/>
              <w:right w:val="single" w:color="auto" w:sz="4" w:space="0"/>
            </w:tcBorders>
            <w:vAlign w:val="center"/>
          </w:tcPr>
          <w:p w14:paraId="2249F495">
            <w:pPr>
              <w:pStyle w:val="50"/>
              <w:spacing w:line="360" w:lineRule="auto"/>
              <w:ind w:firstLine="0" w:firstLineChars="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评分内容</w:t>
            </w:r>
          </w:p>
        </w:tc>
        <w:tc>
          <w:tcPr>
            <w:tcW w:w="709" w:type="dxa"/>
            <w:tcBorders>
              <w:top w:val="single" w:color="auto" w:sz="4" w:space="0"/>
              <w:left w:val="single" w:color="auto" w:sz="4" w:space="0"/>
              <w:bottom w:val="single" w:color="auto" w:sz="4" w:space="0"/>
              <w:right w:val="single" w:color="auto" w:sz="4" w:space="0"/>
            </w:tcBorders>
            <w:vAlign w:val="center"/>
          </w:tcPr>
          <w:p w14:paraId="0A38CADA">
            <w:pPr>
              <w:pStyle w:val="50"/>
              <w:spacing w:line="360" w:lineRule="auto"/>
              <w:ind w:firstLine="0" w:firstLineChars="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分值</w:t>
            </w:r>
          </w:p>
        </w:tc>
        <w:tc>
          <w:tcPr>
            <w:tcW w:w="5734" w:type="dxa"/>
            <w:tcBorders>
              <w:top w:val="single" w:color="auto" w:sz="4" w:space="0"/>
              <w:left w:val="single" w:color="auto" w:sz="4" w:space="0"/>
              <w:bottom w:val="single" w:color="auto" w:sz="4" w:space="0"/>
              <w:right w:val="single" w:color="auto" w:sz="4" w:space="0"/>
            </w:tcBorders>
            <w:vAlign w:val="center"/>
          </w:tcPr>
          <w:p w14:paraId="3FCAD50D">
            <w:pPr>
              <w:pStyle w:val="50"/>
              <w:spacing w:line="360" w:lineRule="auto"/>
              <w:ind w:firstLine="0" w:firstLineChars="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评分标准</w:t>
            </w:r>
          </w:p>
        </w:tc>
      </w:tr>
      <w:tr w14:paraId="430D1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369522E">
            <w:pPr>
              <w:pStyle w:val="50"/>
              <w:spacing w:line="360" w:lineRule="auto"/>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512" w:type="dxa"/>
            <w:tcBorders>
              <w:top w:val="single" w:color="auto" w:sz="4" w:space="0"/>
              <w:left w:val="single" w:color="auto" w:sz="4" w:space="0"/>
              <w:bottom w:val="single" w:color="auto" w:sz="4" w:space="0"/>
              <w:right w:val="single" w:color="auto" w:sz="4" w:space="0"/>
            </w:tcBorders>
            <w:vAlign w:val="center"/>
          </w:tcPr>
          <w:p w14:paraId="5EC5A37C">
            <w:pPr>
              <w:jc w:val="center"/>
              <w:rPr>
                <w:rFonts w:hint="eastAsia" w:ascii="宋体" w:hAnsi="宋体" w:eastAsia="宋体" w:cs="宋体"/>
                <w:b/>
                <w:bCs/>
                <w:color w:val="auto"/>
                <w:szCs w:val="21"/>
              </w:rPr>
            </w:pPr>
            <w:r>
              <w:rPr>
                <w:rFonts w:hint="eastAsia" w:ascii="宋体" w:hAnsi="宋体" w:eastAsia="宋体" w:cs="宋体"/>
                <w:b/>
                <w:bCs/>
                <w:color w:val="auto"/>
                <w:szCs w:val="21"/>
              </w:rPr>
              <w:t>项目理解与需求分析</w:t>
            </w:r>
          </w:p>
        </w:tc>
        <w:tc>
          <w:tcPr>
            <w:tcW w:w="709" w:type="dxa"/>
            <w:tcBorders>
              <w:top w:val="single" w:color="auto" w:sz="4" w:space="0"/>
              <w:left w:val="single" w:color="auto" w:sz="4" w:space="0"/>
              <w:bottom w:val="single" w:color="auto" w:sz="4" w:space="0"/>
              <w:right w:val="single" w:color="auto" w:sz="4" w:space="0"/>
            </w:tcBorders>
            <w:vAlign w:val="center"/>
          </w:tcPr>
          <w:p w14:paraId="5F1DBACA">
            <w:pPr>
              <w:jc w:val="center"/>
              <w:rPr>
                <w:rFonts w:hint="eastAsia" w:ascii="宋体" w:hAnsi="宋体" w:eastAsia="宋体" w:cs="宋体"/>
                <w:color w:val="auto"/>
                <w:w w:val="101"/>
                <w:szCs w:val="21"/>
              </w:rPr>
            </w:pPr>
            <w:r>
              <w:rPr>
                <w:rFonts w:hint="eastAsia" w:ascii="宋体" w:hAnsi="宋体" w:eastAsia="宋体" w:cs="宋体"/>
                <w:bCs/>
                <w:color w:val="auto"/>
                <w:szCs w:val="21"/>
                <w:lang w:val="en-US" w:eastAsia="zh-CN"/>
              </w:rPr>
              <w:t>3</w:t>
            </w:r>
            <w:r>
              <w:rPr>
                <w:rFonts w:hint="eastAsia" w:ascii="宋体" w:hAnsi="宋体" w:eastAsia="宋体" w:cs="宋体"/>
                <w:bCs/>
                <w:color w:val="auto"/>
                <w:szCs w:val="21"/>
              </w:rPr>
              <w:t>分</w:t>
            </w:r>
          </w:p>
        </w:tc>
        <w:tc>
          <w:tcPr>
            <w:tcW w:w="5734" w:type="dxa"/>
            <w:tcBorders>
              <w:top w:val="single" w:color="auto" w:sz="4" w:space="0"/>
              <w:left w:val="single" w:color="auto" w:sz="4" w:space="0"/>
              <w:bottom w:val="single" w:color="auto" w:sz="4" w:space="0"/>
              <w:right w:val="single" w:color="auto" w:sz="4" w:space="0"/>
            </w:tcBorders>
            <w:vAlign w:val="center"/>
          </w:tcPr>
          <w:p w14:paraId="70717372">
            <w:pPr>
              <w:rPr>
                <w:rFonts w:hint="eastAsia" w:ascii="宋体" w:hAnsi="宋体" w:eastAsia="宋体" w:cs="宋体"/>
                <w:b w:val="0"/>
                <w:bCs w:val="0"/>
                <w:color w:val="auto"/>
                <w:szCs w:val="21"/>
              </w:rPr>
            </w:pPr>
            <w:r>
              <w:rPr>
                <w:rFonts w:hint="eastAsia" w:ascii="宋体" w:hAnsi="宋体" w:eastAsia="宋体" w:cs="宋体"/>
                <w:b w:val="0"/>
                <w:bCs w:val="0"/>
                <w:color w:val="auto"/>
                <w:szCs w:val="21"/>
              </w:rPr>
              <w:t>根据投标人对本项目需求</w:t>
            </w:r>
            <w:r>
              <w:rPr>
                <w:rFonts w:hint="eastAsia" w:ascii="宋体" w:hAnsi="宋体" w:eastAsia="宋体" w:cs="宋体"/>
                <w:b w:val="0"/>
                <w:bCs w:val="0"/>
                <w:color w:val="auto"/>
                <w:szCs w:val="21"/>
                <w:lang w:val="en-US" w:eastAsia="zh-CN"/>
              </w:rPr>
              <w:t>、背景与现状等</w:t>
            </w:r>
            <w:r>
              <w:rPr>
                <w:rFonts w:hint="eastAsia" w:ascii="宋体" w:hAnsi="宋体" w:eastAsia="宋体" w:cs="宋体"/>
                <w:b w:val="0"/>
                <w:bCs w:val="0"/>
                <w:color w:val="auto"/>
                <w:szCs w:val="21"/>
              </w:rPr>
              <w:t>的理解深度及整体方案的完整性、合理性进行评分：</w:t>
            </w:r>
          </w:p>
          <w:p w14:paraId="79703EEE">
            <w:pPr>
              <w:rPr>
                <w:rFonts w:hint="eastAsia" w:ascii="宋体" w:hAnsi="宋体" w:eastAsia="宋体" w:cs="宋体"/>
                <w:b w:val="0"/>
                <w:bCs w:val="0"/>
                <w:color w:val="auto"/>
                <w:szCs w:val="21"/>
              </w:rPr>
            </w:pPr>
            <w:r>
              <w:rPr>
                <w:rFonts w:hint="eastAsia" w:ascii="宋体" w:hAnsi="宋体" w:eastAsia="宋体" w:cs="宋体"/>
                <w:b w:val="0"/>
                <w:bCs w:val="0"/>
                <w:color w:val="auto"/>
                <w:szCs w:val="21"/>
              </w:rPr>
              <w:t>1.对项目背景、现有系统状况、业务痛点理解深入透彻；对本项目11项功能模块及数据驾驶舱的建设目标和业务价值分析精准；对存量系统二次开发的特殊性（遗留代码研读、技术债务处理、数据迁移等）有充分认识和针对性分析的，得3分；</w:t>
            </w:r>
          </w:p>
          <w:p w14:paraId="3978C6A6">
            <w:pPr>
              <w:rPr>
                <w:rFonts w:hint="eastAsia" w:ascii="宋体" w:hAnsi="宋体" w:eastAsia="宋体" w:cs="宋体"/>
                <w:b w:val="0"/>
                <w:bCs w:val="0"/>
                <w:color w:val="auto"/>
                <w:szCs w:val="21"/>
              </w:rPr>
            </w:pPr>
            <w:r>
              <w:rPr>
                <w:rFonts w:hint="eastAsia" w:ascii="宋体" w:hAnsi="宋体" w:eastAsia="宋体" w:cs="宋体"/>
                <w:b w:val="0"/>
                <w:bCs w:val="0"/>
                <w:color w:val="auto"/>
                <w:szCs w:val="21"/>
              </w:rPr>
              <w:t>2. 对项目背景和业务需求有较清晰的理解；对11项功能模块有基本描述；对存量系统二次开发有一定认识的，得2分；</w:t>
            </w:r>
          </w:p>
          <w:p w14:paraId="2C20DD0E">
            <w:pPr>
              <w:rPr>
                <w:rFonts w:hint="eastAsia" w:ascii="宋体" w:hAnsi="宋体" w:eastAsia="宋体" w:cs="宋体"/>
                <w:b w:val="0"/>
                <w:bCs w:val="0"/>
                <w:color w:val="auto"/>
                <w:szCs w:val="21"/>
              </w:rPr>
            </w:pPr>
            <w:r>
              <w:rPr>
                <w:rFonts w:hint="eastAsia" w:ascii="宋体" w:hAnsi="宋体" w:eastAsia="宋体" w:cs="宋体"/>
                <w:b w:val="0"/>
                <w:bCs w:val="0"/>
                <w:color w:val="auto"/>
                <w:szCs w:val="21"/>
              </w:rPr>
              <w:t>3.对项目背景和需求理解不够深入；对功能模块描述不够完整；未体现对二次开发项目特点的认识的，得1分；</w:t>
            </w:r>
          </w:p>
          <w:p w14:paraId="243D9E43">
            <w:pPr>
              <w:rPr>
                <w:rFonts w:hint="eastAsia" w:ascii="宋体" w:hAnsi="宋体" w:eastAsia="宋体" w:cs="宋体"/>
                <w:b w:val="0"/>
                <w:bCs w:val="0"/>
                <w:color w:val="auto"/>
                <w:szCs w:val="21"/>
              </w:rPr>
            </w:pPr>
            <w:r>
              <w:rPr>
                <w:rFonts w:hint="eastAsia" w:ascii="宋体" w:hAnsi="宋体" w:eastAsia="宋体" w:cs="宋体"/>
                <w:b w:val="0"/>
                <w:bCs w:val="0"/>
                <w:color w:val="auto"/>
                <w:szCs w:val="21"/>
              </w:rPr>
              <w:t>4.未提供方案不得分。</w:t>
            </w:r>
          </w:p>
        </w:tc>
      </w:tr>
      <w:tr w14:paraId="3ED85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68254B92">
            <w:pPr>
              <w:pStyle w:val="50"/>
              <w:spacing w:line="360" w:lineRule="auto"/>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1512" w:type="dxa"/>
            <w:tcBorders>
              <w:top w:val="single" w:color="auto" w:sz="4" w:space="0"/>
              <w:left w:val="single" w:color="auto" w:sz="4" w:space="0"/>
              <w:bottom w:val="single" w:color="auto" w:sz="4" w:space="0"/>
              <w:right w:val="single" w:color="auto" w:sz="4" w:space="0"/>
            </w:tcBorders>
            <w:vAlign w:val="center"/>
          </w:tcPr>
          <w:p w14:paraId="79D111C7">
            <w:pPr>
              <w:jc w:val="center"/>
              <w:rPr>
                <w:rFonts w:hint="eastAsia" w:ascii="宋体" w:hAnsi="宋体" w:eastAsia="宋体" w:cs="宋体"/>
                <w:b/>
                <w:bCs/>
                <w:color w:val="auto"/>
                <w:szCs w:val="21"/>
              </w:rPr>
            </w:pPr>
            <w:r>
              <w:rPr>
                <w:rFonts w:hint="eastAsia" w:ascii="宋体" w:hAnsi="宋体" w:eastAsia="宋体" w:cs="宋体"/>
                <w:b/>
                <w:bCs/>
                <w:color w:val="auto"/>
                <w:szCs w:val="21"/>
              </w:rPr>
              <w:t>技术实施方案</w:t>
            </w:r>
          </w:p>
        </w:tc>
        <w:tc>
          <w:tcPr>
            <w:tcW w:w="709" w:type="dxa"/>
            <w:tcBorders>
              <w:top w:val="single" w:color="auto" w:sz="4" w:space="0"/>
              <w:left w:val="single" w:color="auto" w:sz="4" w:space="0"/>
              <w:bottom w:val="single" w:color="auto" w:sz="4" w:space="0"/>
              <w:right w:val="single" w:color="auto" w:sz="4" w:space="0"/>
            </w:tcBorders>
            <w:vAlign w:val="center"/>
          </w:tcPr>
          <w:p w14:paraId="64A3F527">
            <w:pPr>
              <w:pStyle w:val="50"/>
              <w:spacing w:line="360" w:lineRule="auto"/>
              <w:ind w:firstLine="0" w:firstLineChars="0"/>
              <w:jc w:val="center"/>
              <w:rPr>
                <w:rFonts w:hint="eastAsia" w:ascii="宋体" w:hAnsi="宋体" w:eastAsia="宋体" w:cs="宋体"/>
                <w:color w:val="auto"/>
                <w:w w:val="101"/>
                <w:sz w:val="21"/>
                <w:szCs w:val="21"/>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分</w:t>
            </w:r>
          </w:p>
        </w:tc>
        <w:tc>
          <w:tcPr>
            <w:tcW w:w="5734" w:type="dxa"/>
            <w:tcBorders>
              <w:top w:val="single" w:color="auto" w:sz="4" w:space="0"/>
              <w:left w:val="single" w:color="auto" w:sz="4" w:space="0"/>
              <w:bottom w:val="single" w:color="auto" w:sz="4" w:space="0"/>
              <w:right w:val="single" w:color="auto" w:sz="4" w:space="0"/>
            </w:tcBorders>
            <w:vAlign w:val="center"/>
          </w:tcPr>
          <w:p w14:paraId="3945E44C">
            <w:pPr>
              <w:rPr>
                <w:rFonts w:hint="eastAsia" w:ascii="宋体" w:hAnsi="宋体" w:eastAsia="宋体" w:cs="宋体"/>
                <w:b w:val="0"/>
                <w:bCs w:val="0"/>
                <w:color w:val="auto"/>
                <w:szCs w:val="21"/>
              </w:rPr>
            </w:pPr>
            <w:r>
              <w:rPr>
                <w:rFonts w:hint="eastAsia" w:ascii="宋体" w:hAnsi="宋体" w:eastAsia="宋体" w:cs="宋体"/>
                <w:b w:val="0"/>
                <w:bCs w:val="0"/>
                <w:color w:val="auto"/>
                <w:szCs w:val="21"/>
              </w:rPr>
              <w:t>根据投标人对本项目需求</w:t>
            </w:r>
            <w:r>
              <w:rPr>
                <w:rFonts w:hint="eastAsia" w:ascii="宋体" w:hAnsi="宋体" w:eastAsia="宋体" w:cs="宋体"/>
                <w:b w:val="0"/>
                <w:bCs w:val="0"/>
                <w:color w:val="auto"/>
                <w:szCs w:val="21"/>
                <w:lang w:val="en-US" w:eastAsia="zh-CN"/>
              </w:rPr>
              <w:t>、模块与对接平台等</w:t>
            </w:r>
            <w:r>
              <w:rPr>
                <w:rFonts w:hint="eastAsia" w:ascii="宋体" w:hAnsi="宋体" w:eastAsia="宋体" w:cs="宋体"/>
                <w:b w:val="0"/>
                <w:bCs w:val="0"/>
                <w:color w:val="auto"/>
                <w:szCs w:val="21"/>
              </w:rPr>
              <w:t>的</w:t>
            </w:r>
            <w:r>
              <w:rPr>
                <w:rFonts w:hint="eastAsia" w:ascii="宋体" w:hAnsi="宋体" w:eastAsia="宋体" w:cs="宋体"/>
                <w:b w:val="0"/>
                <w:bCs w:val="0"/>
                <w:color w:val="auto"/>
                <w:szCs w:val="21"/>
                <w:lang w:val="en-US" w:eastAsia="zh-CN"/>
              </w:rPr>
              <w:t>实施</w:t>
            </w:r>
            <w:r>
              <w:rPr>
                <w:rFonts w:hint="eastAsia" w:ascii="宋体" w:hAnsi="宋体" w:eastAsia="宋体" w:cs="宋体"/>
                <w:b w:val="0"/>
                <w:bCs w:val="0"/>
                <w:color w:val="auto"/>
                <w:szCs w:val="21"/>
              </w:rPr>
              <w:t>方案进行评分：</w:t>
            </w:r>
          </w:p>
          <w:p w14:paraId="46BFBE4D">
            <w:pPr>
              <w:rPr>
                <w:rFonts w:hint="eastAsia" w:ascii="宋体" w:hAnsi="宋体" w:eastAsia="宋体" w:cs="宋体"/>
                <w:b w:val="0"/>
                <w:bCs w:val="0"/>
                <w:color w:val="auto"/>
                <w:szCs w:val="21"/>
              </w:rPr>
            </w:pPr>
            <w:r>
              <w:rPr>
                <w:rFonts w:hint="eastAsia" w:ascii="宋体" w:hAnsi="宋体" w:eastAsia="宋体" w:cs="宋体"/>
                <w:b w:val="0"/>
                <w:bCs w:val="0"/>
                <w:color w:val="auto"/>
                <w:szCs w:val="21"/>
              </w:rPr>
              <w:t>1.技术方案完整覆盖全部11项功能模块和数据驾驶舱的开发需求；系统架构设计合理，充分考虑了与现有系统的无缝集成和数据兼容性；对电子开票第三方对接（诺诺/航天信息）、极光推送重新配置等关键技术难点有详细、可行的解决方案；对30天双轨运行和数据一致性核对有科学的技术保障措施；代码质量保障和版本管理方案完善的，得6分</w:t>
            </w:r>
          </w:p>
          <w:p w14:paraId="1E5A70D4">
            <w:pPr>
              <w:rPr>
                <w:rFonts w:hint="eastAsia" w:ascii="宋体" w:hAnsi="宋体" w:eastAsia="宋体" w:cs="宋体"/>
                <w:b w:val="0"/>
                <w:bCs w:val="0"/>
                <w:color w:val="auto"/>
                <w:szCs w:val="21"/>
              </w:rPr>
            </w:pPr>
            <w:r>
              <w:rPr>
                <w:rFonts w:hint="eastAsia" w:ascii="宋体" w:hAnsi="宋体" w:eastAsia="宋体" w:cs="宋体"/>
                <w:b w:val="0"/>
                <w:bCs w:val="0"/>
                <w:color w:val="auto"/>
                <w:szCs w:val="21"/>
              </w:rPr>
              <w:t>2. 技术方案覆盖全部功能模块；系统架构基本合理；对关键技术难点有解决方案但不够详细；对双轨运行有基本考虑的，得3分；</w:t>
            </w:r>
          </w:p>
          <w:p w14:paraId="54169794">
            <w:pPr>
              <w:rPr>
                <w:rFonts w:hint="eastAsia" w:ascii="宋体" w:hAnsi="宋体" w:eastAsia="宋体" w:cs="宋体"/>
                <w:b w:val="0"/>
                <w:bCs w:val="0"/>
                <w:color w:val="auto"/>
                <w:szCs w:val="21"/>
              </w:rPr>
            </w:pPr>
            <w:r>
              <w:rPr>
                <w:rFonts w:hint="eastAsia" w:ascii="宋体" w:hAnsi="宋体" w:eastAsia="宋体" w:cs="宋体"/>
                <w:b w:val="0"/>
                <w:bCs w:val="0"/>
                <w:color w:val="auto"/>
                <w:szCs w:val="21"/>
              </w:rPr>
              <w:t>3. 技术方案覆盖主要功能模块但细节不足；系统架构描述粗略；关键技术难点解决方案缺失或不够具体的，得1分；</w:t>
            </w:r>
          </w:p>
          <w:p w14:paraId="1B4C1072">
            <w:pPr>
              <w:rPr>
                <w:rFonts w:hint="eastAsia" w:ascii="宋体" w:hAnsi="宋体" w:eastAsia="宋体" w:cs="宋体"/>
                <w:b w:val="0"/>
                <w:bCs w:val="0"/>
                <w:color w:val="auto"/>
                <w:szCs w:val="21"/>
              </w:rPr>
            </w:pPr>
            <w:r>
              <w:rPr>
                <w:rFonts w:hint="eastAsia" w:ascii="宋体" w:hAnsi="宋体" w:eastAsia="宋体" w:cs="宋体"/>
                <w:b w:val="0"/>
                <w:bCs w:val="0"/>
                <w:color w:val="auto"/>
                <w:szCs w:val="21"/>
              </w:rPr>
              <w:t>4.未提供方案不得分。</w:t>
            </w:r>
          </w:p>
        </w:tc>
      </w:tr>
      <w:tr w14:paraId="69964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24" w:type="dxa"/>
            <w:tcBorders>
              <w:top w:val="single" w:color="auto" w:sz="4" w:space="0"/>
              <w:left w:val="single" w:color="auto" w:sz="4" w:space="0"/>
              <w:right w:val="single" w:color="auto" w:sz="4" w:space="0"/>
            </w:tcBorders>
            <w:vAlign w:val="center"/>
          </w:tcPr>
          <w:p w14:paraId="0CA163A7">
            <w:pPr>
              <w:pStyle w:val="50"/>
              <w:spacing w:line="360" w:lineRule="auto"/>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1512" w:type="dxa"/>
            <w:tcBorders>
              <w:top w:val="single" w:color="auto" w:sz="4" w:space="0"/>
              <w:left w:val="single" w:color="auto" w:sz="4" w:space="0"/>
              <w:right w:val="single" w:color="auto" w:sz="4" w:space="0"/>
            </w:tcBorders>
            <w:vAlign w:val="center"/>
          </w:tcPr>
          <w:p w14:paraId="2678C035">
            <w:pPr>
              <w:jc w:val="center"/>
              <w:rPr>
                <w:rFonts w:hint="eastAsia" w:ascii="宋体" w:hAnsi="宋体" w:eastAsia="宋体" w:cs="宋体"/>
                <w:b/>
                <w:bCs/>
                <w:color w:val="auto"/>
                <w:szCs w:val="21"/>
              </w:rPr>
            </w:pPr>
            <w:r>
              <w:rPr>
                <w:rFonts w:hint="eastAsia" w:ascii="宋体" w:hAnsi="宋体" w:eastAsia="宋体" w:cs="宋体"/>
                <w:b/>
                <w:bCs/>
                <w:color w:val="auto"/>
                <w:szCs w:val="21"/>
              </w:rPr>
              <w:t>项目实施与进度管理</w:t>
            </w:r>
          </w:p>
        </w:tc>
        <w:tc>
          <w:tcPr>
            <w:tcW w:w="709" w:type="dxa"/>
            <w:tcBorders>
              <w:top w:val="single" w:color="auto" w:sz="4" w:space="0"/>
              <w:left w:val="single" w:color="auto" w:sz="4" w:space="0"/>
              <w:right w:val="single" w:color="auto" w:sz="4" w:space="0"/>
            </w:tcBorders>
            <w:vAlign w:val="center"/>
          </w:tcPr>
          <w:p w14:paraId="0172701F">
            <w:pPr>
              <w:pStyle w:val="50"/>
              <w:spacing w:line="360" w:lineRule="auto"/>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分</w:t>
            </w:r>
          </w:p>
        </w:tc>
        <w:tc>
          <w:tcPr>
            <w:tcW w:w="5734" w:type="dxa"/>
            <w:tcBorders>
              <w:top w:val="single" w:color="auto" w:sz="4" w:space="0"/>
              <w:left w:val="single" w:color="auto" w:sz="4" w:space="0"/>
              <w:bottom w:val="single" w:color="auto" w:sz="4" w:space="0"/>
              <w:right w:val="single" w:color="auto" w:sz="4" w:space="0"/>
            </w:tcBorders>
            <w:vAlign w:val="top"/>
          </w:tcPr>
          <w:p w14:paraId="353E3E32">
            <w:pPr>
              <w:rPr>
                <w:rFonts w:hint="eastAsia" w:ascii="宋体" w:hAnsi="宋体" w:eastAsia="宋体" w:cs="宋体"/>
                <w:b w:val="0"/>
                <w:bCs w:val="0"/>
                <w:color w:val="auto"/>
                <w:szCs w:val="21"/>
                <w:lang w:val="en-US" w:eastAsia="zh-CN"/>
              </w:rPr>
            </w:pPr>
            <w:r>
              <w:rPr>
                <w:rFonts w:hint="eastAsia" w:ascii="宋体" w:hAnsi="宋体" w:eastAsia="宋体" w:cs="宋体"/>
                <w:b w:val="0"/>
                <w:bCs w:val="0"/>
                <w:color w:val="auto"/>
                <w:szCs w:val="21"/>
              </w:rPr>
              <w:t>根据投标人对本项目</w:t>
            </w:r>
            <w:r>
              <w:rPr>
                <w:rFonts w:hint="eastAsia" w:ascii="宋体" w:hAnsi="宋体" w:eastAsia="宋体" w:cs="宋体"/>
                <w:b w:val="0"/>
                <w:bCs w:val="0"/>
                <w:color w:val="auto"/>
                <w:szCs w:val="21"/>
                <w:lang w:val="en-US" w:eastAsia="zh-CN"/>
              </w:rPr>
              <w:t>实施进度，实际计划、进度保障等</w:t>
            </w:r>
            <w:r>
              <w:rPr>
                <w:rFonts w:hint="eastAsia" w:ascii="宋体" w:hAnsi="宋体" w:eastAsia="宋体" w:cs="宋体"/>
                <w:b w:val="0"/>
                <w:bCs w:val="0"/>
                <w:color w:val="auto"/>
                <w:szCs w:val="21"/>
              </w:rPr>
              <w:t>的</w:t>
            </w:r>
            <w:r>
              <w:rPr>
                <w:rFonts w:hint="eastAsia" w:ascii="宋体" w:hAnsi="宋体" w:eastAsia="宋体" w:cs="宋体"/>
                <w:b w:val="0"/>
                <w:bCs w:val="0"/>
                <w:color w:val="auto"/>
                <w:szCs w:val="21"/>
                <w:lang w:val="en-US" w:eastAsia="zh-CN"/>
              </w:rPr>
              <w:t>管理</w:t>
            </w:r>
            <w:r>
              <w:rPr>
                <w:rFonts w:hint="eastAsia" w:ascii="宋体" w:hAnsi="宋体" w:eastAsia="宋体" w:cs="宋体"/>
                <w:b w:val="0"/>
                <w:bCs w:val="0"/>
                <w:color w:val="auto"/>
                <w:szCs w:val="21"/>
              </w:rPr>
              <w:t>方案进行评分：</w:t>
            </w:r>
          </w:p>
          <w:p w14:paraId="59564D92">
            <w:pPr>
              <w:rPr>
                <w:rFonts w:hint="eastAsia" w:ascii="宋体" w:hAnsi="宋体" w:eastAsia="宋体" w:cs="宋体"/>
                <w:b w:val="0"/>
                <w:bCs w:val="0"/>
                <w:color w:val="auto"/>
                <w:szCs w:val="21"/>
              </w:rPr>
            </w:pPr>
            <w:r>
              <w:rPr>
                <w:rFonts w:hint="eastAsia" w:ascii="宋体" w:hAnsi="宋体" w:eastAsia="宋体" w:cs="宋体"/>
                <w:b w:val="0"/>
                <w:bCs w:val="0"/>
                <w:color w:val="auto"/>
                <w:szCs w:val="21"/>
                <w:lang w:val="en-US" w:eastAsia="zh-CN"/>
              </w:rPr>
              <w:t>1.</w:t>
            </w:r>
            <w:r>
              <w:rPr>
                <w:rFonts w:hint="eastAsia" w:ascii="宋体" w:hAnsi="宋体" w:eastAsia="宋体" w:cs="宋体"/>
                <w:b w:val="0"/>
                <w:bCs w:val="0"/>
                <w:color w:val="auto"/>
                <w:szCs w:val="21"/>
              </w:rPr>
              <w:t>项目实施计划科学合理，5个月交付周期内的各阶段划分清晰（前置准备→11项模块开发→集成测试→UAT验收→部署上线→双轨运行→正式切换）；人员投入计划（后端2人+前端1人+测试1人）合理；风险识别全面（遗留代码质量风险、第三方接口风险、数据迁移风险等），应对措施具体可行；进度保障和加班安排有明确方案的，得6分</w:t>
            </w:r>
          </w:p>
          <w:p w14:paraId="7F940F9B">
            <w:pPr>
              <w:rPr>
                <w:rFonts w:hint="eastAsia" w:ascii="宋体" w:hAnsi="宋体" w:eastAsia="宋体" w:cs="宋体"/>
                <w:b w:val="0"/>
                <w:bCs w:val="0"/>
                <w:color w:val="auto"/>
                <w:szCs w:val="21"/>
              </w:rPr>
            </w:pPr>
            <w:r>
              <w:rPr>
                <w:rFonts w:hint="eastAsia" w:ascii="宋体" w:hAnsi="宋体" w:eastAsia="宋体" w:cs="宋体"/>
                <w:b w:val="0"/>
                <w:bCs w:val="0"/>
                <w:color w:val="auto"/>
                <w:szCs w:val="21"/>
              </w:rPr>
              <w:t>2.项目实施计划较合理；人员配置满足要求；有基本的风险识别和应对措施的，得3分；</w:t>
            </w:r>
          </w:p>
          <w:p w14:paraId="390E642E">
            <w:pPr>
              <w:rPr>
                <w:rFonts w:hint="eastAsia" w:ascii="宋体" w:hAnsi="宋体" w:eastAsia="宋体" w:cs="宋体"/>
                <w:b w:val="0"/>
                <w:bCs w:val="0"/>
                <w:color w:val="auto"/>
                <w:szCs w:val="21"/>
              </w:rPr>
            </w:pPr>
            <w:r>
              <w:rPr>
                <w:rFonts w:hint="eastAsia" w:ascii="宋体" w:hAnsi="宋体" w:eastAsia="宋体" w:cs="宋体"/>
                <w:b w:val="0"/>
                <w:bCs w:val="0"/>
                <w:color w:val="auto"/>
                <w:szCs w:val="21"/>
              </w:rPr>
              <w:t>3.项目实施计划不够详细；风险应对措施不足或缺失的，得1分；</w:t>
            </w:r>
          </w:p>
          <w:p w14:paraId="285EB035">
            <w:pPr>
              <w:rPr>
                <w:rFonts w:hint="eastAsia" w:ascii="宋体" w:hAnsi="宋体" w:eastAsia="宋体" w:cs="宋体"/>
                <w:b w:val="0"/>
                <w:bCs w:val="0"/>
                <w:color w:val="auto"/>
                <w:szCs w:val="21"/>
              </w:rPr>
            </w:pPr>
            <w:r>
              <w:rPr>
                <w:rFonts w:hint="eastAsia" w:ascii="宋体" w:hAnsi="宋体" w:eastAsia="宋体" w:cs="宋体"/>
                <w:b w:val="0"/>
                <w:bCs w:val="0"/>
                <w:color w:val="auto"/>
                <w:szCs w:val="21"/>
              </w:rPr>
              <w:t>4.未提供方案不得分。</w:t>
            </w:r>
          </w:p>
        </w:tc>
      </w:tr>
      <w:tr w14:paraId="22607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24" w:type="dxa"/>
            <w:tcBorders>
              <w:left w:val="single" w:color="auto" w:sz="4" w:space="0"/>
              <w:bottom w:val="single" w:color="auto" w:sz="4" w:space="0"/>
              <w:right w:val="single" w:color="auto" w:sz="4" w:space="0"/>
            </w:tcBorders>
            <w:vAlign w:val="center"/>
          </w:tcPr>
          <w:p w14:paraId="13F0CD70">
            <w:pPr>
              <w:pStyle w:val="50"/>
              <w:spacing w:line="360" w:lineRule="auto"/>
              <w:ind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p>
        </w:tc>
        <w:tc>
          <w:tcPr>
            <w:tcW w:w="1512" w:type="dxa"/>
            <w:tcBorders>
              <w:left w:val="single" w:color="auto" w:sz="4" w:space="0"/>
              <w:bottom w:val="single" w:color="auto" w:sz="4" w:space="0"/>
              <w:right w:val="single" w:color="auto" w:sz="4" w:space="0"/>
            </w:tcBorders>
            <w:vAlign w:val="center"/>
          </w:tcPr>
          <w:p w14:paraId="18060EF1">
            <w:pPr>
              <w:jc w:val="center"/>
              <w:rPr>
                <w:rFonts w:hint="eastAsia" w:ascii="宋体" w:hAnsi="宋体" w:eastAsia="宋体" w:cs="宋体"/>
                <w:b/>
                <w:bCs/>
                <w:color w:val="auto"/>
                <w:szCs w:val="21"/>
              </w:rPr>
            </w:pPr>
            <w:r>
              <w:rPr>
                <w:rFonts w:hint="eastAsia" w:ascii="宋体" w:hAnsi="宋体" w:eastAsia="宋体" w:cs="宋体"/>
                <w:b/>
                <w:bCs/>
                <w:color w:val="auto"/>
                <w:szCs w:val="21"/>
              </w:rPr>
              <w:t>质量保障与验收方案</w:t>
            </w:r>
          </w:p>
        </w:tc>
        <w:tc>
          <w:tcPr>
            <w:tcW w:w="709" w:type="dxa"/>
            <w:tcBorders>
              <w:top w:val="single" w:color="auto" w:sz="4" w:space="0"/>
              <w:left w:val="single" w:color="auto" w:sz="4" w:space="0"/>
              <w:bottom w:val="single" w:color="auto" w:sz="4" w:space="0"/>
              <w:right w:val="single" w:color="auto" w:sz="4" w:space="0"/>
            </w:tcBorders>
            <w:vAlign w:val="center"/>
          </w:tcPr>
          <w:p w14:paraId="3B77F171">
            <w:pPr>
              <w:pStyle w:val="50"/>
              <w:spacing w:line="360" w:lineRule="auto"/>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分</w:t>
            </w:r>
          </w:p>
        </w:tc>
        <w:tc>
          <w:tcPr>
            <w:tcW w:w="5734" w:type="dxa"/>
            <w:tcBorders>
              <w:top w:val="single" w:color="auto" w:sz="4" w:space="0"/>
              <w:left w:val="single" w:color="auto" w:sz="4" w:space="0"/>
              <w:bottom w:val="single" w:color="auto" w:sz="4" w:space="0"/>
              <w:right w:val="single" w:color="auto" w:sz="4" w:space="0"/>
            </w:tcBorders>
            <w:vAlign w:val="top"/>
          </w:tcPr>
          <w:p w14:paraId="228B3E20">
            <w:pPr>
              <w:rPr>
                <w:rFonts w:hint="eastAsia" w:ascii="宋体" w:hAnsi="宋体" w:eastAsia="宋体" w:cs="宋体"/>
                <w:b w:val="0"/>
                <w:bCs w:val="0"/>
                <w:color w:val="auto"/>
                <w:szCs w:val="21"/>
              </w:rPr>
            </w:pPr>
            <w:r>
              <w:rPr>
                <w:rFonts w:hint="eastAsia" w:ascii="宋体" w:hAnsi="宋体" w:eastAsia="宋体" w:cs="宋体"/>
                <w:b w:val="0"/>
                <w:bCs w:val="0"/>
                <w:color w:val="auto"/>
                <w:szCs w:val="21"/>
              </w:rPr>
              <w:t>根据投标人对本项目</w:t>
            </w:r>
            <w:r>
              <w:rPr>
                <w:rFonts w:hint="eastAsia" w:ascii="宋体" w:hAnsi="宋体" w:eastAsia="宋体" w:cs="宋体"/>
                <w:b w:val="0"/>
                <w:bCs w:val="0"/>
                <w:color w:val="auto"/>
                <w:szCs w:val="21"/>
                <w:lang w:val="en-US" w:eastAsia="zh-CN"/>
              </w:rPr>
              <w:t>质量保证、保障体系、验收方案等</w:t>
            </w:r>
            <w:r>
              <w:rPr>
                <w:rFonts w:hint="eastAsia" w:ascii="宋体" w:hAnsi="宋体" w:eastAsia="宋体" w:cs="宋体"/>
                <w:b w:val="0"/>
                <w:bCs w:val="0"/>
                <w:color w:val="auto"/>
                <w:szCs w:val="21"/>
              </w:rPr>
              <w:t>方案进行评分：</w:t>
            </w:r>
          </w:p>
          <w:p w14:paraId="5DDA5478">
            <w:pPr>
              <w:rPr>
                <w:rFonts w:hint="eastAsia" w:ascii="宋体" w:hAnsi="宋体" w:eastAsia="宋体" w:cs="宋体"/>
                <w:b w:val="0"/>
                <w:bCs w:val="0"/>
                <w:color w:val="auto"/>
                <w:szCs w:val="21"/>
              </w:rPr>
            </w:pPr>
            <w:r>
              <w:rPr>
                <w:rFonts w:hint="eastAsia" w:ascii="宋体" w:hAnsi="宋体" w:eastAsia="宋体" w:cs="宋体"/>
                <w:b w:val="0"/>
                <w:bCs w:val="0"/>
                <w:color w:val="auto"/>
                <w:szCs w:val="21"/>
              </w:rPr>
              <w:t>1.质量保障体系完善，涵盖代码审查、单元测试、集成测试、回归测试全流程；对UAT验收的组织和配合方案具体；对终验标准（全部需求功能正常运行、无阻断性BUG、报表符合财务规范、消息推送全场景可用、驾驶舱数据准确）有明确的达成路径和验证方法的，得5分</w:t>
            </w:r>
          </w:p>
          <w:p w14:paraId="53440391">
            <w:pPr>
              <w:rPr>
                <w:rFonts w:hint="eastAsia" w:ascii="宋体" w:hAnsi="宋体" w:eastAsia="宋体" w:cs="宋体"/>
                <w:b w:val="0"/>
                <w:bCs w:val="0"/>
                <w:color w:val="auto"/>
                <w:szCs w:val="21"/>
              </w:rPr>
            </w:pPr>
            <w:r>
              <w:rPr>
                <w:rFonts w:hint="eastAsia" w:ascii="宋体" w:hAnsi="宋体" w:eastAsia="宋体" w:cs="宋体"/>
                <w:b w:val="0"/>
                <w:bCs w:val="0"/>
                <w:color w:val="auto"/>
                <w:szCs w:val="21"/>
              </w:rPr>
              <w:t>2.有基本的质量保障措施和验收配合方案的，得3分；</w:t>
            </w:r>
          </w:p>
          <w:p w14:paraId="5AF59547">
            <w:pPr>
              <w:rPr>
                <w:rFonts w:hint="eastAsia" w:ascii="宋体" w:hAnsi="宋体" w:eastAsia="宋体" w:cs="宋体"/>
                <w:b w:val="0"/>
                <w:bCs w:val="0"/>
                <w:color w:val="auto"/>
                <w:szCs w:val="21"/>
              </w:rPr>
            </w:pPr>
            <w:r>
              <w:rPr>
                <w:rFonts w:hint="eastAsia" w:ascii="宋体" w:hAnsi="宋体" w:eastAsia="宋体" w:cs="宋体"/>
                <w:b w:val="0"/>
                <w:bCs w:val="0"/>
                <w:color w:val="auto"/>
                <w:szCs w:val="21"/>
              </w:rPr>
              <w:t>3.质量保障措施不够完善或缺乏针对性的，得1分；</w:t>
            </w:r>
          </w:p>
          <w:p w14:paraId="1083BDC1">
            <w:pPr>
              <w:rPr>
                <w:rFonts w:hint="eastAsia" w:ascii="宋体" w:hAnsi="宋体" w:eastAsia="宋体" w:cs="宋体"/>
                <w:b w:val="0"/>
                <w:bCs w:val="0"/>
                <w:color w:val="auto"/>
                <w:szCs w:val="21"/>
              </w:rPr>
            </w:pPr>
            <w:r>
              <w:rPr>
                <w:rFonts w:hint="eastAsia" w:ascii="宋体" w:hAnsi="宋体" w:eastAsia="宋体" w:cs="宋体"/>
                <w:b w:val="0"/>
                <w:bCs w:val="0"/>
                <w:color w:val="auto"/>
                <w:szCs w:val="21"/>
              </w:rPr>
              <w:t>4.未提供方案不得分。</w:t>
            </w:r>
          </w:p>
        </w:tc>
      </w:tr>
      <w:tr w14:paraId="6B219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679" w:type="dxa"/>
            <w:gridSpan w:val="4"/>
            <w:tcBorders>
              <w:top w:val="single" w:color="auto" w:sz="4" w:space="0"/>
              <w:left w:val="single" w:color="auto" w:sz="4" w:space="0"/>
              <w:bottom w:val="single" w:color="auto" w:sz="4" w:space="0"/>
              <w:right w:val="single" w:color="auto" w:sz="4" w:space="0"/>
            </w:tcBorders>
            <w:vAlign w:val="center"/>
          </w:tcPr>
          <w:p w14:paraId="6AE19517">
            <w:pPr>
              <w:jc w:val="center"/>
              <w:rPr>
                <w:rFonts w:hint="eastAsia" w:ascii="宋体" w:hAnsi="宋体" w:eastAsia="宋体" w:cs="宋体"/>
                <w:color w:val="auto"/>
                <w:w w:val="101"/>
                <w:szCs w:val="21"/>
              </w:rPr>
            </w:pPr>
            <w:r>
              <w:rPr>
                <w:rFonts w:hint="eastAsia" w:ascii="宋体" w:hAnsi="宋体" w:eastAsia="宋体" w:cs="宋体"/>
                <w:b/>
                <w:bCs/>
                <w:color w:val="auto"/>
                <w:szCs w:val="21"/>
              </w:rPr>
              <w:t>价格评审（</w:t>
            </w:r>
            <w:r>
              <w:rPr>
                <w:rFonts w:hint="eastAsia" w:ascii="宋体" w:hAnsi="宋体" w:eastAsia="宋体" w:cs="宋体"/>
                <w:b/>
                <w:bCs/>
                <w:color w:val="auto"/>
                <w:szCs w:val="21"/>
                <w:lang w:val="en-US" w:eastAsia="zh-CN"/>
              </w:rPr>
              <w:t>5</w:t>
            </w:r>
            <w:r>
              <w:rPr>
                <w:rFonts w:hint="eastAsia" w:ascii="宋体" w:hAnsi="宋体" w:eastAsia="宋体" w:cs="宋体"/>
                <w:b/>
                <w:bCs/>
                <w:color w:val="auto"/>
                <w:szCs w:val="21"/>
              </w:rPr>
              <w:t>0分）</w:t>
            </w:r>
          </w:p>
        </w:tc>
      </w:tr>
      <w:tr w14:paraId="3AB93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14:paraId="023AC5DF">
            <w:pPr>
              <w:pStyle w:val="50"/>
              <w:spacing w:line="360" w:lineRule="auto"/>
              <w:ind w:firstLine="0" w:firstLineChars="0"/>
              <w:jc w:val="center"/>
              <w:rPr>
                <w:rFonts w:hint="eastAsia" w:ascii="宋体" w:hAnsi="宋体" w:eastAsia="宋体" w:cs="宋体"/>
                <w:b/>
                <w:bCs/>
                <w:color w:val="auto"/>
                <w:sz w:val="21"/>
                <w:szCs w:val="21"/>
              </w:rPr>
            </w:pPr>
            <w:r>
              <w:rPr>
                <w:rFonts w:hint="eastAsia" w:ascii="宋体" w:hAnsi="宋体" w:eastAsia="宋体" w:cs="宋体"/>
                <w:color w:val="auto"/>
                <w:sz w:val="21"/>
                <w:szCs w:val="21"/>
              </w:rPr>
              <w:t>1</w:t>
            </w:r>
          </w:p>
        </w:tc>
        <w:tc>
          <w:tcPr>
            <w:tcW w:w="1512" w:type="dxa"/>
            <w:tcBorders>
              <w:top w:val="single" w:color="auto" w:sz="4" w:space="0"/>
              <w:left w:val="single" w:color="auto" w:sz="4" w:space="0"/>
              <w:bottom w:val="single" w:color="auto" w:sz="4" w:space="0"/>
              <w:right w:val="single" w:color="auto" w:sz="4" w:space="0"/>
            </w:tcBorders>
            <w:vAlign w:val="center"/>
          </w:tcPr>
          <w:p w14:paraId="23C5A034">
            <w:pPr>
              <w:rPr>
                <w:rFonts w:hint="eastAsia" w:ascii="宋体" w:hAnsi="宋体" w:eastAsia="宋体" w:cs="宋体"/>
                <w:color w:val="auto"/>
                <w:w w:val="101"/>
                <w:szCs w:val="21"/>
              </w:rPr>
            </w:pPr>
            <w:r>
              <w:rPr>
                <w:rFonts w:hint="eastAsia" w:ascii="宋体" w:hAnsi="宋体" w:eastAsia="宋体" w:cs="宋体"/>
                <w:color w:val="auto"/>
                <w:kern w:val="2"/>
                <w:szCs w:val="21"/>
              </w:rPr>
              <w:t>投标总价</w:t>
            </w:r>
          </w:p>
        </w:tc>
        <w:tc>
          <w:tcPr>
            <w:tcW w:w="709" w:type="dxa"/>
            <w:tcBorders>
              <w:top w:val="single" w:color="auto" w:sz="4" w:space="0"/>
              <w:left w:val="single" w:color="auto" w:sz="4" w:space="0"/>
              <w:bottom w:val="single" w:color="auto" w:sz="4" w:space="0"/>
              <w:right w:val="single" w:color="auto" w:sz="4" w:space="0"/>
            </w:tcBorders>
            <w:vAlign w:val="center"/>
          </w:tcPr>
          <w:p w14:paraId="6F9FBA77">
            <w:pPr>
              <w:rPr>
                <w:rFonts w:hint="eastAsia" w:ascii="宋体" w:hAnsi="宋体" w:eastAsia="宋体" w:cs="宋体"/>
                <w:color w:val="auto"/>
                <w:w w:val="101"/>
                <w:szCs w:val="21"/>
              </w:rPr>
            </w:pPr>
            <w:r>
              <w:rPr>
                <w:rFonts w:hint="eastAsia" w:ascii="宋体" w:hAnsi="宋体" w:eastAsia="宋体" w:cs="宋体"/>
                <w:color w:val="auto"/>
                <w:kern w:val="2"/>
                <w:szCs w:val="21"/>
                <w:lang w:val="en-US" w:eastAsia="zh-CN"/>
              </w:rPr>
              <w:t>5</w:t>
            </w:r>
            <w:r>
              <w:rPr>
                <w:rFonts w:hint="eastAsia" w:ascii="宋体" w:hAnsi="宋体" w:eastAsia="宋体" w:cs="宋体"/>
                <w:color w:val="auto"/>
                <w:kern w:val="2"/>
                <w:szCs w:val="21"/>
              </w:rPr>
              <w:t>0分</w:t>
            </w:r>
          </w:p>
        </w:tc>
        <w:tc>
          <w:tcPr>
            <w:tcW w:w="5734" w:type="dxa"/>
            <w:tcBorders>
              <w:top w:val="single" w:color="auto" w:sz="4" w:space="0"/>
              <w:left w:val="single" w:color="auto" w:sz="4" w:space="0"/>
              <w:bottom w:val="single" w:color="auto" w:sz="4" w:space="0"/>
              <w:right w:val="single" w:color="auto" w:sz="4" w:space="0"/>
            </w:tcBorders>
            <w:vAlign w:val="center"/>
          </w:tcPr>
          <w:p w14:paraId="5DC15453">
            <w:pPr>
              <w:rPr>
                <w:rFonts w:hint="eastAsia" w:ascii="宋体" w:hAnsi="宋体" w:eastAsia="宋体" w:cs="宋体"/>
                <w:color w:val="auto"/>
                <w:szCs w:val="21"/>
              </w:rPr>
            </w:pPr>
            <w:r>
              <w:rPr>
                <w:rFonts w:hint="eastAsia" w:ascii="宋体" w:hAnsi="宋体" w:eastAsia="宋体" w:cs="宋体"/>
                <w:color w:val="auto"/>
                <w:szCs w:val="21"/>
              </w:rPr>
              <w:t>价格分计算方法：满足招标文件要求且</w:t>
            </w:r>
            <w:r>
              <w:rPr>
                <w:rFonts w:hint="eastAsia" w:ascii="宋体" w:hAnsi="宋体" w:eastAsia="宋体" w:cs="宋体"/>
                <w:color w:val="auto"/>
                <w:szCs w:val="21"/>
                <w:lang w:val="en-US" w:eastAsia="zh-CN"/>
              </w:rPr>
              <w:t>投标报价</w:t>
            </w:r>
            <w:r>
              <w:rPr>
                <w:rFonts w:hint="eastAsia" w:ascii="宋体" w:hAnsi="宋体" w:eastAsia="宋体" w:cs="宋体"/>
                <w:color w:val="auto"/>
                <w:szCs w:val="21"/>
              </w:rPr>
              <w:t>最低的投标报价为评标基准价，其价格分为满分。其他投标人的价格分统一按照下列公式计算：</w:t>
            </w:r>
          </w:p>
          <w:p w14:paraId="5CCCDFF9">
            <w:pPr>
              <w:rPr>
                <w:rFonts w:hint="eastAsia" w:ascii="宋体" w:hAnsi="宋体" w:eastAsia="宋体" w:cs="宋体"/>
                <w:color w:val="auto"/>
                <w:w w:val="101"/>
                <w:szCs w:val="21"/>
              </w:rPr>
            </w:pPr>
            <w:r>
              <w:rPr>
                <w:rFonts w:hint="eastAsia" w:ascii="宋体" w:hAnsi="宋体" w:eastAsia="宋体" w:cs="宋体"/>
                <w:color w:val="auto"/>
                <w:szCs w:val="21"/>
              </w:rPr>
              <w:t>投标报价得分=(评标基准价／投标报价)×价格权值×100</w:t>
            </w:r>
          </w:p>
        </w:tc>
      </w:tr>
    </w:tbl>
    <w:p w14:paraId="614C4BCA">
      <w:pPr>
        <w:rPr>
          <w:rFonts w:hint="eastAsia" w:ascii="宋体" w:hAnsi="宋体" w:eastAsia="宋体" w:cs="宋体"/>
          <w:color w:val="auto"/>
        </w:rPr>
      </w:pPr>
    </w:p>
    <w:p w14:paraId="273766DC">
      <w:pPr>
        <w:ind w:firstLine="420" w:firstLineChars="200"/>
        <w:rPr>
          <w:rFonts w:hint="eastAsia" w:ascii="宋体" w:hAnsi="宋体" w:eastAsia="宋体" w:cs="宋体"/>
          <w:color w:val="auto"/>
        </w:rPr>
      </w:pPr>
      <w:r>
        <w:rPr>
          <w:rFonts w:hint="eastAsia" w:ascii="宋体" w:hAnsi="宋体" w:eastAsia="宋体" w:cs="宋体"/>
          <w:color w:val="auto"/>
        </w:rPr>
        <w:t>注：评标委员会评委按评标标准独立对技术标进行评审，得出技术标评分。当评标委员会为五人时，在所有评委对同一份投标文件技术标评审的总评分中，去掉一个最高分和一个最低分，计算剩余总评分的算术平均值即为该投标人技术标的最终综合得分；当评标委员会为七人及以上单数时，在各评委的打分中，同一评委的最高评分减去最低评分，去掉分差最大评委的所有技术标评分（当一位或两位评委评分差值最大时均取消其评委评分，当多于两位评分差值均最大时，不取消任一评委评分），在所有剩余评委对同一份投标文件技术部分评审的总评分中，去掉一个最高分和一个最低分，计算剩余总评分的算术平均值即为该投标人技术部分的最终综合得分。</w:t>
      </w:r>
      <w:r>
        <w:rPr>
          <w:rFonts w:hint="eastAsia" w:ascii="宋体" w:hAnsi="宋体" w:eastAsia="宋体" w:cs="宋体"/>
          <w:color w:val="auto"/>
        </w:rPr>
        <w:br w:type="page"/>
      </w:r>
    </w:p>
    <w:p w14:paraId="1371CFE1">
      <w:pPr>
        <w:pStyle w:val="3"/>
        <w:spacing w:before="0" w:after="0" w:line="240" w:lineRule="auto"/>
        <w:rPr>
          <w:rFonts w:hint="eastAsia" w:ascii="宋体" w:hAnsi="宋体" w:eastAsia="宋体" w:cs="宋体"/>
          <w:color w:val="auto"/>
          <w:sz w:val="36"/>
          <w:szCs w:val="36"/>
        </w:rPr>
      </w:pPr>
      <w:bookmarkStart w:id="5" w:name="_Toc24296"/>
      <w:r>
        <w:rPr>
          <w:rFonts w:hint="eastAsia" w:ascii="宋体" w:hAnsi="宋体" w:eastAsia="宋体" w:cs="宋体"/>
          <w:color w:val="auto"/>
          <w:sz w:val="28"/>
          <w:szCs w:val="28"/>
        </w:rPr>
        <w:t>第三部分 用户需求书</w:t>
      </w:r>
      <w:bookmarkEnd w:id="5"/>
    </w:p>
    <w:p w14:paraId="1040A8EF">
      <w:pPr>
        <w:pStyle w:val="4"/>
        <w:spacing w:line="360" w:lineRule="auto"/>
        <w:jc w:val="center"/>
        <w:rPr>
          <w:rFonts w:hint="eastAsia" w:ascii="宋体" w:hAnsi="宋体" w:eastAsia="宋体" w:cs="宋体"/>
          <w:color w:val="auto"/>
        </w:rPr>
      </w:pPr>
      <w:bookmarkStart w:id="6" w:name="_Toc1593"/>
      <w:bookmarkStart w:id="7" w:name="_Toc4495"/>
      <w:bookmarkStart w:id="8" w:name="_Toc308786492"/>
      <w:bookmarkStart w:id="9" w:name="_Toc31278"/>
      <w:bookmarkStart w:id="10" w:name="_Toc13112"/>
      <w:bookmarkStart w:id="11" w:name="_Toc24679"/>
      <w:bookmarkStart w:id="12" w:name="_Toc14462"/>
      <w:r>
        <w:rPr>
          <w:rFonts w:hint="eastAsia" w:ascii="宋体" w:hAnsi="宋体" w:eastAsia="宋体" w:cs="宋体"/>
          <w:color w:val="auto"/>
        </w:rPr>
        <w:t>第一章 商务需求书</w:t>
      </w:r>
      <w:bookmarkEnd w:id="6"/>
      <w:bookmarkEnd w:id="7"/>
    </w:p>
    <w:tbl>
      <w:tblPr>
        <w:tblStyle w:val="34"/>
        <w:tblW w:w="868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18"/>
        <w:gridCol w:w="1501"/>
        <w:gridCol w:w="6466"/>
      </w:tblGrid>
      <w:tr w14:paraId="22F5E8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18" w:type="dxa"/>
            <w:vAlign w:val="center"/>
          </w:tcPr>
          <w:p w14:paraId="1B9D8329">
            <w:pPr>
              <w:jc w:val="center"/>
              <w:rPr>
                <w:rFonts w:hint="eastAsia" w:ascii="宋体" w:hAnsi="宋体" w:eastAsia="宋体" w:cs="宋体"/>
                <w:color w:val="auto"/>
                <w:szCs w:val="21"/>
              </w:rPr>
            </w:pPr>
            <w:r>
              <w:rPr>
                <w:rFonts w:hint="eastAsia" w:ascii="宋体" w:hAnsi="宋体" w:eastAsia="宋体" w:cs="宋体"/>
                <w:color w:val="auto"/>
                <w:szCs w:val="21"/>
              </w:rPr>
              <w:t>序号</w:t>
            </w:r>
          </w:p>
        </w:tc>
        <w:tc>
          <w:tcPr>
            <w:tcW w:w="1501" w:type="dxa"/>
            <w:vAlign w:val="center"/>
          </w:tcPr>
          <w:p w14:paraId="04BD876D">
            <w:pPr>
              <w:jc w:val="center"/>
              <w:rPr>
                <w:rFonts w:hint="eastAsia" w:ascii="宋体" w:hAnsi="宋体" w:eastAsia="宋体" w:cs="宋体"/>
                <w:color w:val="auto"/>
                <w:szCs w:val="21"/>
              </w:rPr>
            </w:pPr>
            <w:r>
              <w:rPr>
                <w:rFonts w:hint="eastAsia" w:ascii="宋体" w:hAnsi="宋体" w:eastAsia="宋体" w:cs="宋体"/>
                <w:color w:val="auto"/>
                <w:szCs w:val="21"/>
              </w:rPr>
              <w:t>条款名称</w:t>
            </w:r>
          </w:p>
        </w:tc>
        <w:tc>
          <w:tcPr>
            <w:tcW w:w="6466" w:type="dxa"/>
            <w:vAlign w:val="center"/>
          </w:tcPr>
          <w:p w14:paraId="760117AB">
            <w:pPr>
              <w:jc w:val="center"/>
              <w:rPr>
                <w:rFonts w:hint="eastAsia" w:ascii="宋体" w:hAnsi="宋体" w:eastAsia="宋体" w:cs="宋体"/>
                <w:color w:val="auto"/>
                <w:szCs w:val="21"/>
              </w:rPr>
            </w:pPr>
            <w:r>
              <w:rPr>
                <w:rFonts w:hint="eastAsia" w:ascii="宋体" w:hAnsi="宋体" w:eastAsia="宋体" w:cs="宋体"/>
                <w:color w:val="auto"/>
                <w:szCs w:val="21"/>
              </w:rPr>
              <w:t>说  明</w:t>
            </w:r>
          </w:p>
        </w:tc>
      </w:tr>
      <w:tr w14:paraId="78C8AA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6" w:hRule="atLeast"/>
        </w:trPr>
        <w:tc>
          <w:tcPr>
            <w:tcW w:w="718" w:type="dxa"/>
            <w:vAlign w:val="center"/>
          </w:tcPr>
          <w:p w14:paraId="4EE031B1">
            <w:pPr>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1501" w:type="dxa"/>
            <w:vAlign w:val="center"/>
          </w:tcPr>
          <w:p w14:paraId="09DF4173">
            <w:pPr>
              <w:jc w:val="center"/>
              <w:rPr>
                <w:rFonts w:hint="eastAsia" w:ascii="宋体" w:hAnsi="宋体" w:eastAsia="宋体" w:cs="宋体"/>
                <w:color w:val="auto"/>
                <w:szCs w:val="21"/>
              </w:rPr>
            </w:pPr>
            <w:r>
              <w:rPr>
                <w:rFonts w:hint="eastAsia" w:ascii="宋体" w:hAnsi="宋体" w:eastAsia="宋体" w:cs="宋体"/>
                <w:color w:val="auto"/>
                <w:szCs w:val="21"/>
              </w:rPr>
              <w:t>合格投标人</w:t>
            </w:r>
          </w:p>
        </w:tc>
        <w:tc>
          <w:tcPr>
            <w:tcW w:w="6466" w:type="dxa"/>
            <w:vAlign w:val="center"/>
          </w:tcPr>
          <w:p w14:paraId="54DE8CB4">
            <w:pPr>
              <w:pStyle w:val="47"/>
              <w:ind w:firstLine="0" w:firstLineChars="0"/>
              <w:rPr>
                <w:rFonts w:hint="eastAsia" w:ascii="宋体" w:hAnsi="宋体" w:eastAsia="宋体" w:cs="宋体"/>
                <w:bCs/>
                <w:color w:val="auto"/>
                <w:kern w:val="44"/>
                <w:szCs w:val="21"/>
              </w:rPr>
            </w:pPr>
            <w:r>
              <w:rPr>
                <w:rFonts w:hint="eastAsia" w:ascii="宋体" w:hAnsi="宋体" w:eastAsia="宋体" w:cs="宋体"/>
                <w:color w:val="auto"/>
                <w:szCs w:val="21"/>
              </w:rPr>
              <w:t>详见“第一部分 投标邀请”中“二、投标人资格要求”</w:t>
            </w:r>
          </w:p>
        </w:tc>
      </w:tr>
      <w:tr w14:paraId="108477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1" w:hRule="atLeast"/>
        </w:trPr>
        <w:tc>
          <w:tcPr>
            <w:tcW w:w="718" w:type="dxa"/>
            <w:vAlign w:val="center"/>
          </w:tcPr>
          <w:p w14:paraId="45422441">
            <w:pPr>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1501" w:type="dxa"/>
            <w:vAlign w:val="center"/>
          </w:tcPr>
          <w:p w14:paraId="1575A22A">
            <w:pPr>
              <w:jc w:val="center"/>
              <w:rPr>
                <w:rFonts w:hint="eastAsia" w:ascii="宋体" w:hAnsi="宋体" w:eastAsia="宋体" w:cs="宋体"/>
                <w:color w:val="auto"/>
                <w:szCs w:val="21"/>
              </w:rPr>
            </w:pPr>
            <w:r>
              <w:rPr>
                <w:rFonts w:hint="eastAsia" w:ascii="宋体" w:hAnsi="宋体" w:eastAsia="宋体" w:cs="宋体"/>
                <w:color w:val="auto"/>
                <w:szCs w:val="21"/>
                <w:lang w:val="en-US" w:eastAsia="zh-CN"/>
              </w:rPr>
              <w:t>服务</w:t>
            </w:r>
            <w:r>
              <w:rPr>
                <w:rFonts w:hint="eastAsia" w:ascii="宋体" w:hAnsi="宋体" w:eastAsia="宋体" w:cs="宋体"/>
                <w:color w:val="auto"/>
                <w:szCs w:val="21"/>
              </w:rPr>
              <w:t>期</w:t>
            </w:r>
          </w:p>
        </w:tc>
        <w:tc>
          <w:tcPr>
            <w:tcW w:w="6466" w:type="dxa"/>
            <w:vAlign w:val="center"/>
          </w:tcPr>
          <w:p w14:paraId="416E612E">
            <w:pPr>
              <w:rPr>
                <w:rFonts w:hint="eastAsia" w:ascii="宋体" w:hAnsi="宋体" w:eastAsia="宋体" w:cs="宋体"/>
                <w:color w:val="auto"/>
                <w:szCs w:val="21"/>
              </w:rPr>
            </w:pPr>
            <w:r>
              <w:rPr>
                <w:rFonts w:hint="eastAsia" w:ascii="宋体" w:hAnsi="宋体" w:eastAsia="宋体" w:cs="宋体"/>
                <w:color w:val="auto"/>
                <w:szCs w:val="21"/>
              </w:rPr>
              <w:t>（1）项目总开发周期为5个月（自合同签订之日起计算）；</w:t>
            </w:r>
          </w:p>
          <w:p w14:paraId="151AB5C3">
            <w:pPr>
              <w:rPr>
                <w:rFonts w:hint="eastAsia" w:ascii="宋体" w:hAnsi="宋体" w:eastAsia="宋体" w:cs="宋体"/>
                <w:color w:val="auto"/>
                <w:szCs w:val="21"/>
              </w:rPr>
            </w:pPr>
            <w:r>
              <w:rPr>
                <w:rFonts w:hint="eastAsia" w:ascii="宋体" w:hAnsi="宋体" w:eastAsia="宋体" w:cs="宋体"/>
                <w:color w:val="auto"/>
                <w:szCs w:val="21"/>
              </w:rPr>
              <w:t>（2）供应商须在合同签订后7个日历日内完成前置准备阶段全部工作；</w:t>
            </w:r>
          </w:p>
          <w:p w14:paraId="4FF8A2A5">
            <w:pPr>
              <w:rPr>
                <w:rFonts w:hint="eastAsia" w:ascii="宋体" w:hAnsi="宋体" w:eastAsia="宋体" w:cs="宋体"/>
                <w:color w:val="auto"/>
                <w:szCs w:val="21"/>
              </w:rPr>
            </w:pPr>
            <w:r>
              <w:rPr>
                <w:rFonts w:hint="eastAsia" w:ascii="宋体" w:hAnsi="宋体" w:eastAsia="宋体" w:cs="宋体"/>
                <w:color w:val="auto"/>
                <w:szCs w:val="21"/>
              </w:rPr>
              <w:t>（3）各阶段具体进度计划须在项目启动后3个工作日内提交采购人审核确认。</w:t>
            </w:r>
          </w:p>
        </w:tc>
      </w:tr>
      <w:tr w14:paraId="17A69C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82" w:hRule="atLeast"/>
        </w:trPr>
        <w:tc>
          <w:tcPr>
            <w:tcW w:w="718" w:type="dxa"/>
            <w:vAlign w:val="center"/>
          </w:tcPr>
          <w:p w14:paraId="44D5F36C">
            <w:pPr>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1501" w:type="dxa"/>
            <w:vAlign w:val="center"/>
          </w:tcPr>
          <w:p w14:paraId="5EE84775">
            <w:pPr>
              <w:jc w:val="center"/>
              <w:rPr>
                <w:rFonts w:hint="eastAsia" w:ascii="宋体" w:hAnsi="宋体" w:eastAsia="宋体" w:cs="宋体"/>
                <w:color w:val="auto"/>
                <w:szCs w:val="21"/>
              </w:rPr>
            </w:pPr>
            <w:r>
              <w:rPr>
                <w:rFonts w:hint="eastAsia" w:ascii="宋体" w:hAnsi="宋体" w:eastAsia="宋体" w:cs="宋体"/>
                <w:bCs/>
                <w:color w:val="auto"/>
                <w:szCs w:val="21"/>
              </w:rPr>
              <w:t>付款方法和条件</w:t>
            </w:r>
          </w:p>
        </w:tc>
        <w:tc>
          <w:tcPr>
            <w:tcW w:w="6466" w:type="dxa"/>
            <w:vAlign w:val="center"/>
          </w:tcPr>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3130"/>
              <w:gridCol w:w="971"/>
              <w:gridCol w:w="955"/>
            </w:tblGrid>
            <w:tr w14:paraId="2B3C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B07B826">
                  <w:pPr>
                    <w:widowControl/>
                    <w:adjustRightInd w:val="0"/>
                    <w:snapToGrid w:val="0"/>
                    <w:spacing w:line="360" w:lineRule="auto"/>
                    <w:jc w:val="center"/>
                    <w:rPr>
                      <w:rFonts w:ascii="宋体" w:hAnsi="宋体" w:eastAsia="宋体" w:cs="宋体"/>
                      <w:b/>
                      <w:bCs/>
                      <w:color w:val="auto"/>
                      <w:kern w:val="0"/>
                      <w:szCs w:val="21"/>
                    </w:rPr>
                  </w:pPr>
                  <w:r>
                    <w:rPr>
                      <w:rFonts w:hint="eastAsia" w:ascii="宋体" w:hAnsi="宋体" w:eastAsia="宋体"/>
                      <w:b/>
                      <w:bCs/>
                      <w:color w:val="auto"/>
                    </w:rPr>
                    <w:t>付款节点</w:t>
                  </w:r>
                </w:p>
              </w:tc>
              <w:tc>
                <w:tcPr>
                  <w:tcW w:w="0" w:type="auto"/>
                  <w:vAlign w:val="center"/>
                </w:tcPr>
                <w:p w14:paraId="21973C86">
                  <w:pPr>
                    <w:widowControl/>
                    <w:adjustRightInd w:val="0"/>
                    <w:snapToGrid w:val="0"/>
                    <w:spacing w:line="360" w:lineRule="auto"/>
                    <w:jc w:val="center"/>
                    <w:rPr>
                      <w:rFonts w:ascii="宋体" w:hAnsi="宋体" w:eastAsia="宋体" w:cs="宋体"/>
                      <w:b/>
                      <w:bCs/>
                      <w:color w:val="auto"/>
                      <w:kern w:val="0"/>
                      <w:szCs w:val="21"/>
                    </w:rPr>
                  </w:pPr>
                  <w:r>
                    <w:rPr>
                      <w:rFonts w:ascii="宋体" w:hAnsi="宋体" w:eastAsia="宋体"/>
                      <w:b/>
                      <w:bCs/>
                      <w:color w:val="auto"/>
                    </w:rPr>
                    <w:t>支付条件</w:t>
                  </w:r>
                </w:p>
              </w:tc>
              <w:tc>
                <w:tcPr>
                  <w:tcW w:w="0" w:type="auto"/>
                  <w:vAlign w:val="center"/>
                </w:tcPr>
                <w:p w14:paraId="511E6C22">
                  <w:pPr>
                    <w:widowControl/>
                    <w:adjustRightInd w:val="0"/>
                    <w:snapToGrid w:val="0"/>
                    <w:spacing w:line="360" w:lineRule="auto"/>
                    <w:jc w:val="center"/>
                    <w:rPr>
                      <w:rFonts w:ascii="宋体" w:hAnsi="宋体" w:eastAsia="宋体" w:cs="宋体"/>
                      <w:b/>
                      <w:bCs/>
                      <w:color w:val="auto"/>
                      <w:kern w:val="0"/>
                      <w:szCs w:val="21"/>
                    </w:rPr>
                  </w:pPr>
                  <w:r>
                    <w:rPr>
                      <w:rFonts w:ascii="宋体" w:hAnsi="宋体" w:eastAsia="宋体"/>
                      <w:b/>
                      <w:bCs/>
                      <w:color w:val="auto"/>
                    </w:rPr>
                    <w:t>支付比例/金额</w:t>
                  </w:r>
                </w:p>
              </w:tc>
              <w:tc>
                <w:tcPr>
                  <w:tcW w:w="0" w:type="auto"/>
                  <w:vAlign w:val="center"/>
                </w:tcPr>
                <w:p w14:paraId="4C22B116">
                  <w:pPr>
                    <w:widowControl/>
                    <w:adjustRightInd w:val="0"/>
                    <w:snapToGrid w:val="0"/>
                    <w:spacing w:line="360" w:lineRule="auto"/>
                    <w:jc w:val="center"/>
                    <w:rPr>
                      <w:rFonts w:ascii="宋体" w:hAnsi="宋体" w:eastAsia="宋体" w:cs="宋体"/>
                      <w:b/>
                      <w:bCs/>
                      <w:color w:val="auto"/>
                      <w:kern w:val="0"/>
                      <w:szCs w:val="21"/>
                    </w:rPr>
                  </w:pPr>
                  <w:r>
                    <w:rPr>
                      <w:rFonts w:ascii="宋体" w:hAnsi="宋体" w:eastAsia="宋体"/>
                      <w:b/>
                      <w:bCs/>
                      <w:color w:val="auto"/>
                    </w:rPr>
                    <w:t>累计支付比例</w:t>
                  </w:r>
                </w:p>
              </w:tc>
            </w:tr>
            <w:tr w14:paraId="2BCFC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FA556F2">
                  <w:pPr>
                    <w:widowControl/>
                    <w:adjustRightInd w:val="0"/>
                    <w:snapToGrid w:val="0"/>
                    <w:spacing w:line="360" w:lineRule="auto"/>
                    <w:jc w:val="left"/>
                    <w:rPr>
                      <w:rFonts w:ascii="宋体" w:hAnsi="宋体" w:eastAsia="宋体" w:cs="宋体"/>
                      <w:color w:val="auto"/>
                      <w:kern w:val="0"/>
                      <w:szCs w:val="21"/>
                    </w:rPr>
                  </w:pPr>
                  <w:r>
                    <w:rPr>
                      <w:rFonts w:hint="eastAsia" w:ascii="宋体" w:hAnsi="宋体" w:eastAsia="宋体"/>
                      <w:color w:val="auto"/>
                    </w:rPr>
                    <w:t>节点一：测试机费用</w:t>
                  </w:r>
                </w:p>
              </w:tc>
              <w:tc>
                <w:tcPr>
                  <w:tcW w:w="0" w:type="auto"/>
                  <w:vAlign w:val="center"/>
                </w:tcPr>
                <w:p w14:paraId="60FEA315">
                  <w:pPr>
                    <w:widowControl/>
                    <w:adjustRightInd w:val="0"/>
                    <w:snapToGrid w:val="0"/>
                    <w:spacing w:line="360" w:lineRule="auto"/>
                    <w:jc w:val="left"/>
                    <w:rPr>
                      <w:rFonts w:ascii="宋体" w:hAnsi="宋体" w:eastAsia="宋体" w:cs="宋体"/>
                      <w:color w:val="auto"/>
                      <w:kern w:val="0"/>
                      <w:szCs w:val="21"/>
                    </w:rPr>
                  </w:pPr>
                  <w:r>
                    <w:rPr>
                      <w:rFonts w:hint="eastAsia" w:ascii="宋体" w:hAnsi="宋体"/>
                      <w:color w:val="auto"/>
                      <w:lang w:eastAsia="zh-CN"/>
                    </w:rPr>
                    <w:t>中标人</w:t>
                  </w:r>
                  <w:r>
                    <w:rPr>
                      <w:rFonts w:ascii="宋体" w:hAnsi="宋体" w:eastAsia="宋体"/>
                      <w:color w:val="auto"/>
                    </w:rPr>
                    <w:t>提供测试服务器采购/租赁合同或发票，并完成测试环境部署经</w:t>
                  </w:r>
                  <w:r>
                    <w:rPr>
                      <w:rFonts w:hint="eastAsia" w:ascii="宋体" w:hAnsi="宋体"/>
                      <w:color w:val="auto"/>
                      <w:lang w:eastAsia="zh-CN"/>
                    </w:rPr>
                    <w:t>采购人</w:t>
                  </w:r>
                  <w:r>
                    <w:rPr>
                      <w:rFonts w:ascii="宋体" w:hAnsi="宋体" w:eastAsia="宋体"/>
                      <w:color w:val="auto"/>
                    </w:rPr>
                    <w:t>确认</w:t>
                  </w:r>
                </w:p>
              </w:tc>
              <w:tc>
                <w:tcPr>
                  <w:tcW w:w="0" w:type="auto"/>
                  <w:vAlign w:val="center"/>
                </w:tcPr>
                <w:p w14:paraId="2F7FFD84">
                  <w:pPr>
                    <w:widowControl/>
                    <w:adjustRightInd w:val="0"/>
                    <w:snapToGrid w:val="0"/>
                    <w:spacing w:line="360" w:lineRule="auto"/>
                    <w:jc w:val="left"/>
                    <w:rPr>
                      <w:rFonts w:ascii="宋体" w:hAnsi="宋体" w:eastAsia="宋体" w:cs="宋体"/>
                      <w:color w:val="auto"/>
                      <w:kern w:val="0"/>
                      <w:szCs w:val="21"/>
                    </w:rPr>
                  </w:pPr>
                </w:p>
              </w:tc>
              <w:tc>
                <w:tcPr>
                  <w:tcW w:w="0" w:type="auto"/>
                  <w:vAlign w:val="center"/>
                </w:tcPr>
                <w:p w14:paraId="5CF70C1D">
                  <w:pPr>
                    <w:widowControl/>
                    <w:adjustRightInd w:val="0"/>
                    <w:snapToGrid w:val="0"/>
                    <w:spacing w:line="360" w:lineRule="auto"/>
                    <w:jc w:val="center"/>
                    <w:rPr>
                      <w:rFonts w:ascii="宋体" w:hAnsi="宋体" w:eastAsia="宋体" w:cs="宋体"/>
                      <w:color w:val="auto"/>
                      <w:kern w:val="0"/>
                      <w:szCs w:val="21"/>
                    </w:rPr>
                  </w:pPr>
                </w:p>
              </w:tc>
            </w:tr>
            <w:tr w14:paraId="3520C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B93E192">
                  <w:pPr>
                    <w:widowControl/>
                    <w:adjustRightInd w:val="0"/>
                    <w:snapToGrid w:val="0"/>
                    <w:spacing w:line="360" w:lineRule="auto"/>
                    <w:jc w:val="left"/>
                    <w:rPr>
                      <w:rFonts w:ascii="宋体" w:hAnsi="宋体" w:eastAsia="宋体" w:cs="宋体"/>
                      <w:color w:val="auto"/>
                      <w:kern w:val="0"/>
                      <w:szCs w:val="21"/>
                    </w:rPr>
                  </w:pPr>
                  <w:r>
                    <w:rPr>
                      <w:rFonts w:hint="eastAsia" w:ascii="宋体" w:hAnsi="宋体" w:eastAsia="宋体"/>
                      <w:color w:val="auto"/>
                    </w:rPr>
                    <w:t>节点二：合同签订启动</w:t>
                  </w:r>
                </w:p>
              </w:tc>
              <w:tc>
                <w:tcPr>
                  <w:tcW w:w="0" w:type="auto"/>
                  <w:vAlign w:val="center"/>
                </w:tcPr>
                <w:p w14:paraId="2869E799">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合同生效且</w:t>
                  </w:r>
                  <w:r>
                    <w:rPr>
                      <w:rFonts w:hint="eastAsia" w:ascii="宋体" w:hAnsi="宋体"/>
                      <w:color w:val="auto"/>
                      <w:lang w:eastAsia="zh-CN"/>
                    </w:rPr>
                    <w:t>中标人</w:t>
                  </w:r>
                  <w:r>
                    <w:rPr>
                      <w:rFonts w:ascii="宋体" w:hAnsi="宋体" w:eastAsia="宋体"/>
                      <w:color w:val="auto"/>
                    </w:rPr>
                    <w:t>提供合法有效发票</w:t>
                  </w:r>
                </w:p>
              </w:tc>
              <w:tc>
                <w:tcPr>
                  <w:tcW w:w="0" w:type="auto"/>
                  <w:vAlign w:val="center"/>
                </w:tcPr>
                <w:p w14:paraId="5C1DC598">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合同总价的 10%</w:t>
                  </w:r>
                </w:p>
              </w:tc>
              <w:tc>
                <w:tcPr>
                  <w:tcW w:w="0" w:type="auto"/>
                  <w:vAlign w:val="center"/>
                </w:tcPr>
                <w:p w14:paraId="33A163EB">
                  <w:pPr>
                    <w:widowControl/>
                    <w:adjustRightInd w:val="0"/>
                    <w:snapToGrid w:val="0"/>
                    <w:spacing w:line="360" w:lineRule="auto"/>
                    <w:jc w:val="center"/>
                    <w:rPr>
                      <w:rFonts w:ascii="宋体" w:hAnsi="宋体" w:eastAsia="宋体" w:cs="宋体"/>
                      <w:color w:val="auto"/>
                      <w:kern w:val="0"/>
                      <w:szCs w:val="21"/>
                    </w:rPr>
                  </w:pPr>
                  <w:r>
                    <w:rPr>
                      <w:rFonts w:ascii="宋体" w:hAnsi="宋体" w:eastAsia="宋体"/>
                      <w:color w:val="auto"/>
                    </w:rPr>
                    <w:t>10%</w:t>
                  </w:r>
                </w:p>
              </w:tc>
            </w:tr>
            <w:tr w14:paraId="153A9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E7E1324">
                  <w:pPr>
                    <w:widowControl/>
                    <w:adjustRightInd w:val="0"/>
                    <w:snapToGrid w:val="0"/>
                    <w:spacing w:line="360" w:lineRule="auto"/>
                    <w:jc w:val="left"/>
                    <w:rPr>
                      <w:rFonts w:ascii="宋体" w:hAnsi="宋体" w:eastAsia="宋体" w:cs="宋体"/>
                      <w:color w:val="auto"/>
                      <w:kern w:val="0"/>
                      <w:szCs w:val="21"/>
                    </w:rPr>
                  </w:pPr>
                  <w:r>
                    <w:rPr>
                      <w:rFonts w:hint="eastAsia" w:ascii="宋体" w:hAnsi="宋体" w:eastAsia="宋体"/>
                      <w:color w:val="auto"/>
                    </w:rPr>
                    <w:t>节点三：第</w:t>
                  </w:r>
                  <w:r>
                    <w:rPr>
                      <w:rFonts w:ascii="宋体" w:hAnsi="宋体" w:eastAsia="宋体"/>
                      <w:color w:val="auto"/>
                    </w:rPr>
                    <w:t>1个月进度款</w:t>
                  </w:r>
                </w:p>
              </w:tc>
              <w:tc>
                <w:tcPr>
                  <w:tcW w:w="0" w:type="auto"/>
                  <w:vAlign w:val="center"/>
                </w:tcPr>
                <w:p w14:paraId="3A39AC9A">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完成前置准备阶段（代码研读、数据库梳理、环境搭建）并经</w:t>
                  </w:r>
                  <w:r>
                    <w:rPr>
                      <w:rFonts w:hint="eastAsia" w:ascii="宋体" w:hAnsi="宋体"/>
                      <w:color w:val="auto"/>
                      <w:lang w:eastAsia="zh-CN"/>
                    </w:rPr>
                    <w:t>采购人</w:t>
                  </w:r>
                  <w:r>
                    <w:rPr>
                      <w:rFonts w:ascii="宋体" w:hAnsi="宋体" w:eastAsia="宋体"/>
                      <w:color w:val="auto"/>
                    </w:rPr>
                    <w:t>书面确认</w:t>
                  </w:r>
                </w:p>
              </w:tc>
              <w:tc>
                <w:tcPr>
                  <w:tcW w:w="0" w:type="auto"/>
                  <w:vAlign w:val="center"/>
                </w:tcPr>
                <w:p w14:paraId="341187D3">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 xml:space="preserve">合同总价的 </w:t>
                  </w:r>
                  <w:r>
                    <w:rPr>
                      <w:rFonts w:hint="eastAsia" w:ascii="宋体" w:hAnsi="宋体"/>
                      <w:color w:val="auto"/>
                      <w:lang w:val="en-US" w:eastAsia="zh-CN"/>
                    </w:rPr>
                    <w:t>7.5</w:t>
                  </w:r>
                  <w:r>
                    <w:rPr>
                      <w:rFonts w:ascii="宋体" w:hAnsi="宋体" w:eastAsia="宋体"/>
                      <w:color w:val="auto"/>
                    </w:rPr>
                    <w:t>%</w:t>
                  </w:r>
                </w:p>
              </w:tc>
              <w:tc>
                <w:tcPr>
                  <w:tcW w:w="0" w:type="auto"/>
                  <w:vAlign w:val="center"/>
                </w:tcPr>
                <w:p w14:paraId="3AE95D78">
                  <w:pPr>
                    <w:widowControl/>
                    <w:adjustRightInd w:val="0"/>
                    <w:snapToGrid w:val="0"/>
                    <w:spacing w:line="360" w:lineRule="auto"/>
                    <w:jc w:val="center"/>
                    <w:rPr>
                      <w:rFonts w:ascii="宋体" w:hAnsi="宋体" w:eastAsia="宋体" w:cs="宋体"/>
                      <w:color w:val="auto"/>
                      <w:kern w:val="0"/>
                      <w:szCs w:val="21"/>
                    </w:rPr>
                  </w:pPr>
                  <w:r>
                    <w:rPr>
                      <w:rFonts w:hint="eastAsia" w:ascii="宋体" w:hAnsi="宋体"/>
                      <w:color w:val="auto"/>
                      <w:lang w:val="en-US" w:eastAsia="zh-CN"/>
                    </w:rPr>
                    <w:t>17.5</w:t>
                  </w:r>
                  <w:r>
                    <w:rPr>
                      <w:rFonts w:ascii="宋体" w:hAnsi="宋体" w:eastAsia="宋体"/>
                      <w:color w:val="auto"/>
                    </w:rPr>
                    <w:t>%</w:t>
                  </w:r>
                </w:p>
              </w:tc>
            </w:tr>
            <w:tr w14:paraId="6EC27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4A87023">
                  <w:pPr>
                    <w:widowControl/>
                    <w:adjustRightInd w:val="0"/>
                    <w:snapToGrid w:val="0"/>
                    <w:spacing w:line="360" w:lineRule="auto"/>
                    <w:jc w:val="left"/>
                    <w:rPr>
                      <w:rFonts w:ascii="宋体" w:hAnsi="宋体" w:eastAsia="宋体" w:cs="宋体"/>
                      <w:color w:val="auto"/>
                      <w:kern w:val="0"/>
                      <w:szCs w:val="21"/>
                    </w:rPr>
                  </w:pPr>
                  <w:r>
                    <w:rPr>
                      <w:rFonts w:hint="eastAsia" w:ascii="宋体" w:hAnsi="宋体" w:eastAsia="宋体"/>
                      <w:color w:val="auto"/>
                    </w:rPr>
                    <w:t>节点四：第</w:t>
                  </w:r>
                  <w:r>
                    <w:rPr>
                      <w:rFonts w:ascii="宋体" w:hAnsi="宋体" w:eastAsia="宋体"/>
                      <w:color w:val="auto"/>
                    </w:rPr>
                    <w:t>2个月进度款</w:t>
                  </w:r>
                </w:p>
              </w:tc>
              <w:tc>
                <w:tcPr>
                  <w:tcW w:w="0" w:type="auto"/>
                  <w:vAlign w:val="center"/>
                </w:tcPr>
                <w:p w14:paraId="7D8B7581">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完成模块开发阶段1-3项（电子开票、退租退押、续租统计）并经</w:t>
                  </w:r>
                  <w:r>
                    <w:rPr>
                      <w:rFonts w:hint="eastAsia" w:ascii="宋体" w:hAnsi="宋体"/>
                      <w:color w:val="auto"/>
                      <w:lang w:eastAsia="zh-CN"/>
                    </w:rPr>
                    <w:t>采购人</w:t>
                  </w:r>
                  <w:r>
                    <w:rPr>
                      <w:rFonts w:ascii="宋体" w:hAnsi="宋体" w:eastAsia="宋体"/>
                      <w:color w:val="auto"/>
                    </w:rPr>
                    <w:t>书面确认</w:t>
                  </w:r>
                </w:p>
              </w:tc>
              <w:tc>
                <w:tcPr>
                  <w:tcW w:w="0" w:type="auto"/>
                  <w:vAlign w:val="center"/>
                </w:tcPr>
                <w:p w14:paraId="0C9497E3">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 xml:space="preserve">合同总价的 </w:t>
                  </w:r>
                  <w:r>
                    <w:rPr>
                      <w:rFonts w:hint="eastAsia" w:ascii="宋体" w:hAnsi="宋体"/>
                      <w:color w:val="auto"/>
                      <w:lang w:val="en-US" w:eastAsia="zh-CN"/>
                    </w:rPr>
                    <w:t>7.5</w:t>
                  </w:r>
                  <w:r>
                    <w:rPr>
                      <w:rFonts w:ascii="宋体" w:hAnsi="宋体" w:eastAsia="宋体"/>
                      <w:color w:val="auto"/>
                    </w:rPr>
                    <w:t>%</w:t>
                  </w:r>
                </w:p>
              </w:tc>
              <w:tc>
                <w:tcPr>
                  <w:tcW w:w="0" w:type="auto"/>
                  <w:vAlign w:val="center"/>
                </w:tcPr>
                <w:p w14:paraId="292AD0EC">
                  <w:pPr>
                    <w:widowControl/>
                    <w:adjustRightInd w:val="0"/>
                    <w:snapToGrid w:val="0"/>
                    <w:spacing w:line="360" w:lineRule="auto"/>
                    <w:jc w:val="center"/>
                    <w:rPr>
                      <w:rFonts w:ascii="宋体" w:hAnsi="宋体" w:eastAsia="宋体" w:cs="宋体"/>
                      <w:color w:val="auto"/>
                      <w:kern w:val="0"/>
                      <w:szCs w:val="21"/>
                    </w:rPr>
                  </w:pPr>
                  <w:r>
                    <w:rPr>
                      <w:rFonts w:hint="eastAsia" w:ascii="宋体" w:hAnsi="宋体"/>
                      <w:color w:val="auto"/>
                      <w:lang w:val="en-US" w:eastAsia="zh-CN"/>
                    </w:rPr>
                    <w:t>25</w:t>
                  </w:r>
                  <w:r>
                    <w:rPr>
                      <w:rFonts w:ascii="宋体" w:hAnsi="宋体" w:eastAsia="宋体"/>
                      <w:color w:val="auto"/>
                    </w:rPr>
                    <w:t>%</w:t>
                  </w:r>
                </w:p>
              </w:tc>
            </w:tr>
            <w:tr w14:paraId="02FCF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CEC34AE">
                  <w:pPr>
                    <w:widowControl/>
                    <w:adjustRightInd w:val="0"/>
                    <w:snapToGrid w:val="0"/>
                    <w:spacing w:line="360" w:lineRule="auto"/>
                    <w:jc w:val="left"/>
                    <w:rPr>
                      <w:rFonts w:ascii="宋体" w:hAnsi="宋体" w:eastAsia="宋体" w:cs="宋体"/>
                      <w:color w:val="auto"/>
                      <w:kern w:val="0"/>
                      <w:szCs w:val="21"/>
                    </w:rPr>
                  </w:pPr>
                  <w:r>
                    <w:rPr>
                      <w:rFonts w:hint="eastAsia" w:ascii="宋体" w:hAnsi="宋体" w:eastAsia="宋体"/>
                      <w:color w:val="auto"/>
                    </w:rPr>
                    <w:t>节点五：第</w:t>
                  </w:r>
                  <w:r>
                    <w:rPr>
                      <w:rFonts w:ascii="宋体" w:hAnsi="宋体" w:eastAsia="宋体"/>
                      <w:color w:val="auto"/>
                    </w:rPr>
                    <w:t>3个月进度款</w:t>
                  </w:r>
                </w:p>
              </w:tc>
              <w:tc>
                <w:tcPr>
                  <w:tcW w:w="0" w:type="auto"/>
                  <w:vAlign w:val="center"/>
                </w:tcPr>
                <w:p w14:paraId="27CC24C8">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完成模块开发阶段4-7项（续租出账、租金对比、管理费减免、一键出账单）并经</w:t>
                  </w:r>
                  <w:r>
                    <w:rPr>
                      <w:rFonts w:hint="eastAsia" w:ascii="宋体" w:hAnsi="宋体"/>
                      <w:color w:val="auto"/>
                      <w:lang w:eastAsia="zh-CN"/>
                    </w:rPr>
                    <w:t>采购人</w:t>
                  </w:r>
                  <w:r>
                    <w:rPr>
                      <w:rFonts w:ascii="宋体" w:hAnsi="宋体" w:eastAsia="宋体"/>
                      <w:color w:val="auto"/>
                    </w:rPr>
                    <w:t>书面确认</w:t>
                  </w:r>
                </w:p>
              </w:tc>
              <w:tc>
                <w:tcPr>
                  <w:tcW w:w="0" w:type="auto"/>
                  <w:vAlign w:val="center"/>
                </w:tcPr>
                <w:p w14:paraId="2BD0F9B4">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 xml:space="preserve">合同总价的 </w:t>
                  </w:r>
                  <w:r>
                    <w:rPr>
                      <w:rFonts w:hint="eastAsia" w:ascii="宋体" w:hAnsi="宋体"/>
                      <w:color w:val="auto"/>
                      <w:lang w:val="en-US" w:eastAsia="zh-CN"/>
                    </w:rPr>
                    <w:t>7.5</w:t>
                  </w:r>
                  <w:r>
                    <w:rPr>
                      <w:rFonts w:ascii="宋体" w:hAnsi="宋体" w:eastAsia="宋体"/>
                      <w:color w:val="auto"/>
                    </w:rPr>
                    <w:t>%</w:t>
                  </w:r>
                </w:p>
              </w:tc>
              <w:tc>
                <w:tcPr>
                  <w:tcW w:w="0" w:type="auto"/>
                  <w:vAlign w:val="center"/>
                </w:tcPr>
                <w:p w14:paraId="1AC6D553">
                  <w:pPr>
                    <w:widowControl/>
                    <w:adjustRightInd w:val="0"/>
                    <w:snapToGrid w:val="0"/>
                    <w:spacing w:line="360" w:lineRule="auto"/>
                    <w:jc w:val="center"/>
                    <w:rPr>
                      <w:rFonts w:ascii="宋体" w:hAnsi="宋体" w:eastAsia="宋体" w:cs="宋体"/>
                      <w:color w:val="auto"/>
                      <w:kern w:val="0"/>
                      <w:szCs w:val="21"/>
                    </w:rPr>
                  </w:pPr>
                  <w:r>
                    <w:rPr>
                      <w:rFonts w:hint="eastAsia" w:ascii="宋体" w:hAnsi="宋体"/>
                      <w:color w:val="auto"/>
                      <w:lang w:val="en-US" w:eastAsia="zh-CN"/>
                    </w:rPr>
                    <w:t>32.5</w:t>
                  </w:r>
                  <w:r>
                    <w:rPr>
                      <w:rFonts w:ascii="宋体" w:hAnsi="宋体" w:eastAsia="宋体"/>
                      <w:color w:val="auto"/>
                    </w:rPr>
                    <w:t>%</w:t>
                  </w:r>
                </w:p>
              </w:tc>
            </w:tr>
            <w:tr w14:paraId="1A5A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1E90984">
                  <w:pPr>
                    <w:widowControl/>
                    <w:adjustRightInd w:val="0"/>
                    <w:snapToGrid w:val="0"/>
                    <w:spacing w:line="360" w:lineRule="auto"/>
                    <w:jc w:val="left"/>
                    <w:rPr>
                      <w:rFonts w:ascii="宋体" w:hAnsi="宋体" w:eastAsia="宋体" w:cs="宋体"/>
                      <w:color w:val="auto"/>
                      <w:kern w:val="0"/>
                      <w:szCs w:val="21"/>
                    </w:rPr>
                  </w:pPr>
                  <w:r>
                    <w:rPr>
                      <w:rFonts w:hint="eastAsia" w:ascii="宋体" w:hAnsi="宋体" w:eastAsia="宋体"/>
                      <w:color w:val="auto"/>
                    </w:rPr>
                    <w:t>节点六：第</w:t>
                  </w:r>
                  <w:r>
                    <w:rPr>
                      <w:rFonts w:ascii="宋体" w:hAnsi="宋体" w:eastAsia="宋体"/>
                      <w:color w:val="auto"/>
                    </w:rPr>
                    <w:t>4个月进度款</w:t>
                  </w:r>
                </w:p>
              </w:tc>
              <w:tc>
                <w:tcPr>
                  <w:tcW w:w="0" w:type="auto"/>
                  <w:vAlign w:val="center"/>
                </w:tcPr>
                <w:p w14:paraId="24116D18">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完成模块开发阶段8-11项（账单导出、消息推送、多选改造、驾驶舱）并经</w:t>
                  </w:r>
                  <w:r>
                    <w:rPr>
                      <w:rFonts w:hint="eastAsia" w:ascii="宋体" w:hAnsi="宋体"/>
                      <w:color w:val="auto"/>
                      <w:lang w:eastAsia="zh-CN"/>
                    </w:rPr>
                    <w:t>采购人</w:t>
                  </w:r>
                  <w:r>
                    <w:rPr>
                      <w:rFonts w:ascii="宋体" w:hAnsi="宋体" w:eastAsia="宋体"/>
                      <w:color w:val="auto"/>
                    </w:rPr>
                    <w:t>书面确认</w:t>
                  </w:r>
                </w:p>
              </w:tc>
              <w:tc>
                <w:tcPr>
                  <w:tcW w:w="0" w:type="auto"/>
                  <w:vAlign w:val="center"/>
                </w:tcPr>
                <w:p w14:paraId="735F3809">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 xml:space="preserve">合同总价的 </w:t>
                  </w:r>
                  <w:r>
                    <w:rPr>
                      <w:rFonts w:hint="eastAsia" w:ascii="宋体" w:hAnsi="宋体"/>
                      <w:color w:val="auto"/>
                      <w:lang w:val="en-US" w:eastAsia="zh-CN"/>
                    </w:rPr>
                    <w:t>7.5</w:t>
                  </w:r>
                  <w:r>
                    <w:rPr>
                      <w:rFonts w:ascii="宋体" w:hAnsi="宋体" w:eastAsia="宋体"/>
                      <w:color w:val="auto"/>
                    </w:rPr>
                    <w:t>%</w:t>
                  </w:r>
                </w:p>
              </w:tc>
              <w:tc>
                <w:tcPr>
                  <w:tcW w:w="0" w:type="auto"/>
                  <w:vAlign w:val="center"/>
                </w:tcPr>
                <w:p w14:paraId="233957EE">
                  <w:pPr>
                    <w:widowControl/>
                    <w:adjustRightInd w:val="0"/>
                    <w:snapToGrid w:val="0"/>
                    <w:spacing w:line="360" w:lineRule="auto"/>
                    <w:jc w:val="center"/>
                    <w:rPr>
                      <w:rFonts w:ascii="宋体" w:hAnsi="宋体" w:eastAsia="宋体" w:cs="宋体"/>
                      <w:color w:val="auto"/>
                      <w:kern w:val="0"/>
                      <w:szCs w:val="21"/>
                    </w:rPr>
                  </w:pPr>
                  <w:r>
                    <w:rPr>
                      <w:rFonts w:hint="eastAsia" w:ascii="宋体" w:hAnsi="宋体"/>
                      <w:color w:val="auto"/>
                      <w:lang w:val="en-US" w:eastAsia="zh-CN"/>
                    </w:rPr>
                    <w:t>40</w:t>
                  </w:r>
                  <w:r>
                    <w:rPr>
                      <w:rFonts w:ascii="宋体" w:hAnsi="宋体" w:eastAsia="宋体"/>
                      <w:color w:val="auto"/>
                    </w:rPr>
                    <w:t>%</w:t>
                  </w:r>
                </w:p>
              </w:tc>
            </w:tr>
            <w:tr w14:paraId="06D70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2C38C1D">
                  <w:pPr>
                    <w:widowControl/>
                    <w:adjustRightInd w:val="0"/>
                    <w:snapToGrid w:val="0"/>
                    <w:spacing w:line="360" w:lineRule="auto"/>
                    <w:jc w:val="left"/>
                    <w:rPr>
                      <w:rFonts w:ascii="宋体" w:hAnsi="宋体" w:eastAsia="宋体" w:cs="宋体"/>
                      <w:color w:val="auto"/>
                      <w:kern w:val="0"/>
                      <w:szCs w:val="21"/>
                    </w:rPr>
                  </w:pPr>
                  <w:r>
                    <w:rPr>
                      <w:rFonts w:hint="eastAsia" w:ascii="宋体" w:hAnsi="宋体" w:eastAsia="宋体"/>
                      <w:color w:val="auto"/>
                    </w:rPr>
                    <w:t>节点七：第</w:t>
                  </w:r>
                  <w:r>
                    <w:rPr>
                      <w:rFonts w:ascii="宋体" w:hAnsi="宋体" w:eastAsia="宋体"/>
                      <w:color w:val="auto"/>
                    </w:rPr>
                    <w:t>5个月进度款</w:t>
                  </w:r>
                </w:p>
              </w:tc>
              <w:tc>
                <w:tcPr>
                  <w:tcW w:w="0" w:type="auto"/>
                  <w:vAlign w:val="center"/>
                </w:tcPr>
                <w:p w14:paraId="76C7211B">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完成集成测试、UAT验收通过、生产环境部署并进入双轨运行</w:t>
                  </w:r>
                </w:p>
              </w:tc>
              <w:tc>
                <w:tcPr>
                  <w:tcW w:w="0" w:type="auto"/>
                  <w:vAlign w:val="center"/>
                </w:tcPr>
                <w:p w14:paraId="4EF08B33">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合同总价的 1</w:t>
                  </w:r>
                  <w:r>
                    <w:rPr>
                      <w:rFonts w:hint="eastAsia" w:ascii="宋体" w:hAnsi="宋体"/>
                      <w:color w:val="auto"/>
                      <w:lang w:val="en-US" w:eastAsia="zh-CN"/>
                    </w:rPr>
                    <w:t>0</w:t>
                  </w:r>
                  <w:r>
                    <w:rPr>
                      <w:rFonts w:ascii="宋体" w:hAnsi="宋体" w:eastAsia="宋体"/>
                      <w:color w:val="auto"/>
                    </w:rPr>
                    <w:t>%</w:t>
                  </w:r>
                </w:p>
              </w:tc>
              <w:tc>
                <w:tcPr>
                  <w:tcW w:w="0" w:type="auto"/>
                  <w:vAlign w:val="center"/>
                </w:tcPr>
                <w:p w14:paraId="082377B6">
                  <w:pPr>
                    <w:widowControl/>
                    <w:adjustRightInd w:val="0"/>
                    <w:snapToGrid w:val="0"/>
                    <w:spacing w:line="360" w:lineRule="auto"/>
                    <w:jc w:val="center"/>
                    <w:rPr>
                      <w:rFonts w:ascii="宋体" w:hAnsi="宋体" w:eastAsia="宋体" w:cs="宋体"/>
                      <w:color w:val="auto"/>
                      <w:kern w:val="0"/>
                      <w:szCs w:val="21"/>
                    </w:rPr>
                  </w:pPr>
                  <w:r>
                    <w:rPr>
                      <w:rFonts w:hint="eastAsia" w:ascii="宋体" w:hAnsi="宋体"/>
                      <w:color w:val="auto"/>
                      <w:lang w:val="en-US" w:eastAsia="zh-CN"/>
                    </w:rPr>
                    <w:t>50</w:t>
                  </w:r>
                  <w:r>
                    <w:rPr>
                      <w:rFonts w:ascii="宋体" w:hAnsi="宋体" w:eastAsia="宋体"/>
                      <w:color w:val="auto"/>
                    </w:rPr>
                    <w:t>%</w:t>
                  </w:r>
                </w:p>
              </w:tc>
            </w:tr>
            <w:tr w14:paraId="52E9E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D0360A3">
                  <w:pPr>
                    <w:widowControl/>
                    <w:adjustRightInd w:val="0"/>
                    <w:snapToGrid w:val="0"/>
                    <w:spacing w:line="360" w:lineRule="auto"/>
                    <w:jc w:val="left"/>
                    <w:rPr>
                      <w:rFonts w:ascii="宋体" w:hAnsi="宋体" w:eastAsia="宋体" w:cs="宋体"/>
                      <w:color w:val="auto"/>
                      <w:kern w:val="0"/>
                      <w:szCs w:val="21"/>
                    </w:rPr>
                  </w:pPr>
                  <w:r>
                    <w:rPr>
                      <w:rFonts w:hint="eastAsia" w:ascii="宋体" w:hAnsi="宋体" w:eastAsia="宋体"/>
                      <w:color w:val="auto"/>
                    </w:rPr>
                    <w:t>节点八：项目终验</w:t>
                  </w:r>
                </w:p>
              </w:tc>
              <w:tc>
                <w:tcPr>
                  <w:tcW w:w="0" w:type="auto"/>
                  <w:vAlign w:val="center"/>
                </w:tcPr>
                <w:p w14:paraId="558F1CFE">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双轨运行满30日，双方签署《项目终验报告》</w:t>
                  </w:r>
                </w:p>
              </w:tc>
              <w:tc>
                <w:tcPr>
                  <w:tcW w:w="0" w:type="auto"/>
                  <w:vAlign w:val="center"/>
                </w:tcPr>
                <w:p w14:paraId="35F56013">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 xml:space="preserve">合同总价的 </w:t>
                  </w:r>
                  <w:r>
                    <w:rPr>
                      <w:rFonts w:hint="eastAsia" w:ascii="宋体" w:hAnsi="宋体"/>
                      <w:color w:val="auto"/>
                      <w:lang w:val="en-US" w:eastAsia="zh-CN"/>
                    </w:rPr>
                    <w:t>4</w:t>
                  </w:r>
                  <w:r>
                    <w:rPr>
                      <w:rFonts w:ascii="宋体" w:hAnsi="宋体" w:eastAsia="宋体"/>
                      <w:color w:val="auto"/>
                    </w:rPr>
                    <w:t>5%</w:t>
                  </w:r>
                </w:p>
              </w:tc>
              <w:tc>
                <w:tcPr>
                  <w:tcW w:w="0" w:type="auto"/>
                  <w:vAlign w:val="center"/>
                </w:tcPr>
                <w:p w14:paraId="5A98C1EB">
                  <w:pPr>
                    <w:widowControl/>
                    <w:adjustRightInd w:val="0"/>
                    <w:snapToGrid w:val="0"/>
                    <w:spacing w:line="360" w:lineRule="auto"/>
                    <w:jc w:val="center"/>
                    <w:rPr>
                      <w:rFonts w:ascii="宋体" w:hAnsi="宋体" w:eastAsia="宋体" w:cs="宋体"/>
                      <w:color w:val="auto"/>
                      <w:kern w:val="0"/>
                      <w:szCs w:val="21"/>
                    </w:rPr>
                  </w:pPr>
                  <w:r>
                    <w:rPr>
                      <w:rFonts w:ascii="宋体" w:hAnsi="宋体" w:eastAsia="宋体"/>
                      <w:color w:val="auto"/>
                    </w:rPr>
                    <w:t>95%</w:t>
                  </w:r>
                </w:p>
              </w:tc>
            </w:tr>
            <w:tr w14:paraId="55261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9DFA3FA">
                  <w:pPr>
                    <w:widowControl/>
                    <w:adjustRightInd w:val="0"/>
                    <w:snapToGrid w:val="0"/>
                    <w:spacing w:line="360" w:lineRule="auto"/>
                    <w:jc w:val="left"/>
                    <w:rPr>
                      <w:rFonts w:ascii="宋体" w:hAnsi="宋体" w:eastAsia="宋体" w:cs="宋体"/>
                      <w:color w:val="auto"/>
                      <w:kern w:val="0"/>
                      <w:szCs w:val="21"/>
                    </w:rPr>
                  </w:pPr>
                  <w:r>
                    <w:rPr>
                      <w:rFonts w:hint="eastAsia" w:ascii="宋体" w:hAnsi="宋体" w:eastAsia="宋体"/>
                      <w:color w:val="auto"/>
                    </w:rPr>
                    <w:t>节点九：质保期满</w:t>
                  </w:r>
                </w:p>
              </w:tc>
              <w:tc>
                <w:tcPr>
                  <w:tcW w:w="0" w:type="auto"/>
                  <w:vAlign w:val="center"/>
                </w:tcPr>
                <w:p w14:paraId="6372BF09">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质保期（终验之日起12个月）届满，且</w:t>
                  </w:r>
                  <w:r>
                    <w:rPr>
                      <w:rFonts w:hint="eastAsia" w:ascii="宋体" w:hAnsi="宋体"/>
                      <w:color w:val="auto"/>
                      <w:lang w:eastAsia="zh-CN"/>
                    </w:rPr>
                    <w:t>中标人</w:t>
                  </w:r>
                  <w:r>
                    <w:rPr>
                      <w:rFonts w:ascii="宋体" w:hAnsi="宋体" w:eastAsia="宋体"/>
                      <w:color w:val="auto"/>
                    </w:rPr>
                    <w:t>已履行完毕质保期内全部义务</w:t>
                  </w:r>
                </w:p>
              </w:tc>
              <w:tc>
                <w:tcPr>
                  <w:tcW w:w="0" w:type="auto"/>
                  <w:vAlign w:val="center"/>
                </w:tcPr>
                <w:p w14:paraId="5FDA11F2">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合同总价的 5%</w:t>
                  </w:r>
                </w:p>
              </w:tc>
              <w:tc>
                <w:tcPr>
                  <w:tcW w:w="0" w:type="auto"/>
                  <w:vAlign w:val="center"/>
                </w:tcPr>
                <w:p w14:paraId="2CB9ED63">
                  <w:pPr>
                    <w:widowControl/>
                    <w:adjustRightInd w:val="0"/>
                    <w:snapToGrid w:val="0"/>
                    <w:spacing w:line="360" w:lineRule="auto"/>
                    <w:jc w:val="center"/>
                    <w:rPr>
                      <w:rFonts w:ascii="宋体" w:hAnsi="宋体" w:eastAsia="宋体" w:cs="宋体"/>
                      <w:color w:val="auto"/>
                      <w:kern w:val="0"/>
                      <w:szCs w:val="21"/>
                    </w:rPr>
                  </w:pPr>
                  <w:r>
                    <w:rPr>
                      <w:rFonts w:ascii="宋体" w:hAnsi="宋体" w:eastAsia="宋体"/>
                      <w:color w:val="auto"/>
                    </w:rPr>
                    <w:t>100%</w:t>
                  </w:r>
                </w:p>
              </w:tc>
            </w:tr>
          </w:tbl>
          <w:p w14:paraId="5F03D3EF">
            <w:pPr>
              <w:rPr>
                <w:rFonts w:hint="eastAsia" w:ascii="宋体" w:hAnsi="宋体" w:eastAsia="宋体" w:cs="宋体"/>
                <w:color w:val="auto"/>
              </w:rPr>
            </w:pPr>
          </w:p>
        </w:tc>
      </w:tr>
      <w:tr w14:paraId="33763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1" w:hRule="atLeast"/>
        </w:trPr>
        <w:tc>
          <w:tcPr>
            <w:tcW w:w="718" w:type="dxa"/>
            <w:vAlign w:val="center"/>
          </w:tcPr>
          <w:p w14:paraId="6DD493D9">
            <w:pPr>
              <w:jc w:val="center"/>
              <w:rPr>
                <w:rFonts w:hint="eastAsia" w:ascii="宋体" w:hAnsi="宋体" w:eastAsia="宋体" w:cs="宋体"/>
                <w:color w:val="auto"/>
                <w:szCs w:val="21"/>
              </w:rPr>
            </w:pPr>
            <w:r>
              <w:rPr>
                <w:rFonts w:hint="eastAsia" w:ascii="宋体" w:hAnsi="宋体" w:eastAsia="宋体" w:cs="宋体"/>
                <w:color w:val="auto"/>
                <w:szCs w:val="21"/>
              </w:rPr>
              <w:t>4</w:t>
            </w:r>
          </w:p>
        </w:tc>
        <w:tc>
          <w:tcPr>
            <w:tcW w:w="1501" w:type="dxa"/>
            <w:vAlign w:val="center"/>
          </w:tcPr>
          <w:p w14:paraId="0F38DC3A">
            <w:pPr>
              <w:jc w:val="center"/>
              <w:rPr>
                <w:rFonts w:hint="eastAsia" w:ascii="宋体" w:hAnsi="宋体" w:eastAsia="宋体" w:cs="宋体"/>
                <w:color w:val="auto"/>
                <w:szCs w:val="21"/>
              </w:rPr>
            </w:pPr>
            <w:r>
              <w:rPr>
                <w:rFonts w:hint="eastAsia" w:ascii="宋体" w:hAnsi="宋体" w:eastAsia="宋体" w:cs="宋体"/>
                <w:color w:val="auto"/>
                <w:szCs w:val="21"/>
              </w:rPr>
              <w:t>项目地点</w:t>
            </w:r>
          </w:p>
        </w:tc>
        <w:tc>
          <w:tcPr>
            <w:tcW w:w="6466" w:type="dxa"/>
            <w:vAlign w:val="center"/>
          </w:tcPr>
          <w:p w14:paraId="1365623B">
            <w:pPr>
              <w:rPr>
                <w:rFonts w:hint="eastAsia" w:ascii="宋体" w:hAnsi="宋体" w:eastAsia="宋体" w:cs="宋体"/>
                <w:color w:val="auto"/>
                <w:szCs w:val="21"/>
              </w:rPr>
            </w:pPr>
            <w:r>
              <w:rPr>
                <w:rFonts w:hint="eastAsia" w:ascii="宋体" w:hAnsi="宋体" w:eastAsia="宋体" w:cs="宋体"/>
                <w:color w:val="auto"/>
                <w:szCs w:val="21"/>
              </w:rPr>
              <w:t>采购人指定地点。</w:t>
            </w:r>
          </w:p>
        </w:tc>
      </w:tr>
      <w:tr w14:paraId="070864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6" w:hRule="atLeast"/>
        </w:trPr>
        <w:tc>
          <w:tcPr>
            <w:tcW w:w="718" w:type="dxa"/>
            <w:vAlign w:val="center"/>
          </w:tcPr>
          <w:p w14:paraId="5A35C4FE">
            <w:pPr>
              <w:jc w:val="center"/>
              <w:rPr>
                <w:rFonts w:hint="eastAsia" w:ascii="宋体" w:hAnsi="宋体" w:eastAsia="宋体" w:cs="宋体"/>
                <w:color w:val="auto"/>
                <w:szCs w:val="21"/>
              </w:rPr>
            </w:pPr>
            <w:r>
              <w:rPr>
                <w:rFonts w:hint="eastAsia" w:ascii="宋体" w:hAnsi="宋体" w:eastAsia="宋体" w:cs="宋体"/>
                <w:color w:val="auto"/>
                <w:szCs w:val="21"/>
              </w:rPr>
              <w:t>5</w:t>
            </w:r>
          </w:p>
        </w:tc>
        <w:tc>
          <w:tcPr>
            <w:tcW w:w="1501" w:type="dxa"/>
            <w:vAlign w:val="center"/>
          </w:tcPr>
          <w:p w14:paraId="5BD31E30">
            <w:pPr>
              <w:jc w:val="center"/>
              <w:rPr>
                <w:rFonts w:hint="eastAsia" w:ascii="宋体" w:hAnsi="宋体" w:eastAsia="宋体" w:cs="宋体"/>
                <w:color w:val="auto"/>
                <w:szCs w:val="21"/>
              </w:rPr>
            </w:pPr>
            <w:r>
              <w:rPr>
                <w:rFonts w:hint="eastAsia" w:ascii="宋体" w:hAnsi="宋体" w:eastAsia="宋体" w:cs="宋体"/>
                <w:color w:val="auto"/>
                <w:szCs w:val="21"/>
              </w:rPr>
              <w:t>报价要求</w:t>
            </w:r>
          </w:p>
        </w:tc>
        <w:tc>
          <w:tcPr>
            <w:tcW w:w="6466" w:type="dxa"/>
            <w:vAlign w:val="center"/>
          </w:tcPr>
          <w:p w14:paraId="227CF244">
            <w:pPr>
              <w:pStyle w:val="10"/>
              <w:wordWrap w:val="0"/>
              <w:rPr>
                <w:rFonts w:hint="eastAsia" w:ascii="宋体" w:hAnsi="宋体" w:eastAsia="宋体" w:cs="宋体"/>
                <w:color w:val="auto"/>
                <w:szCs w:val="21"/>
              </w:rPr>
            </w:pPr>
            <w:r>
              <w:rPr>
                <w:rFonts w:hint="eastAsia" w:ascii="宋体" w:hAnsi="宋体" w:eastAsia="宋体" w:cs="宋体"/>
                <w:color w:val="auto"/>
                <w:szCs w:val="21"/>
              </w:rPr>
              <w:t>（1）本项目为基于存量系统的二次开发项目，投标人须充分评估遗留代码研读与技术债务处理的复杂度；</w:t>
            </w:r>
          </w:p>
          <w:p w14:paraId="198E66BF">
            <w:pPr>
              <w:pStyle w:val="10"/>
              <w:wordWrap w:val="0"/>
              <w:rPr>
                <w:rFonts w:hint="eastAsia" w:ascii="宋体" w:hAnsi="宋体" w:eastAsia="宋体" w:cs="宋体"/>
                <w:color w:val="auto"/>
                <w:szCs w:val="21"/>
              </w:rPr>
            </w:pPr>
            <w:r>
              <w:rPr>
                <w:rFonts w:hint="eastAsia" w:ascii="宋体" w:hAnsi="宋体" w:eastAsia="宋体" w:cs="宋体"/>
                <w:color w:val="auto"/>
                <w:szCs w:val="21"/>
              </w:rPr>
              <w:t>（2）投标人须基于本项目功能需求及工作量参考进行合理报价；报价须包含软件开发费、实施服务费（含部署、培训、文档交付等）；硬件租赁费等所有费用，采购人不再另行支付任费用。</w:t>
            </w:r>
          </w:p>
        </w:tc>
      </w:tr>
      <w:tr w14:paraId="57F00D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3" w:hRule="atLeast"/>
        </w:trPr>
        <w:tc>
          <w:tcPr>
            <w:tcW w:w="718" w:type="dxa"/>
            <w:vAlign w:val="center"/>
          </w:tcPr>
          <w:p w14:paraId="680E493B">
            <w:pPr>
              <w:jc w:val="center"/>
              <w:rPr>
                <w:rFonts w:hint="eastAsia" w:ascii="宋体" w:hAnsi="宋体" w:eastAsia="宋体" w:cs="宋体"/>
                <w:color w:val="auto"/>
                <w:szCs w:val="21"/>
              </w:rPr>
            </w:pPr>
            <w:r>
              <w:rPr>
                <w:rFonts w:hint="eastAsia" w:ascii="宋体" w:hAnsi="宋体" w:eastAsia="宋体" w:cs="宋体"/>
                <w:color w:val="auto"/>
                <w:szCs w:val="21"/>
              </w:rPr>
              <w:t>6</w:t>
            </w:r>
          </w:p>
        </w:tc>
        <w:tc>
          <w:tcPr>
            <w:tcW w:w="1501" w:type="dxa"/>
            <w:vAlign w:val="center"/>
          </w:tcPr>
          <w:p w14:paraId="071C45B6">
            <w:pPr>
              <w:jc w:val="center"/>
              <w:rPr>
                <w:rFonts w:hint="eastAsia" w:ascii="宋体" w:hAnsi="宋体" w:eastAsia="宋体" w:cs="宋体"/>
                <w:color w:val="auto"/>
                <w:szCs w:val="21"/>
              </w:rPr>
            </w:pPr>
            <w:r>
              <w:rPr>
                <w:rFonts w:hint="eastAsia" w:ascii="宋体" w:hAnsi="宋体" w:eastAsia="宋体" w:cs="宋体"/>
                <w:color w:val="auto"/>
                <w:szCs w:val="21"/>
              </w:rPr>
              <w:t>投标有效期</w:t>
            </w:r>
          </w:p>
        </w:tc>
        <w:tc>
          <w:tcPr>
            <w:tcW w:w="6466" w:type="dxa"/>
            <w:vAlign w:val="center"/>
          </w:tcPr>
          <w:p w14:paraId="62AB1275">
            <w:pPr>
              <w:tabs>
                <w:tab w:val="center" w:pos="3125"/>
              </w:tabs>
              <w:rPr>
                <w:rFonts w:hint="eastAsia" w:ascii="宋体" w:hAnsi="宋体" w:eastAsia="宋体" w:cs="宋体"/>
                <w:color w:val="auto"/>
                <w:szCs w:val="21"/>
              </w:rPr>
            </w:pPr>
            <w:r>
              <w:rPr>
                <w:rFonts w:hint="eastAsia" w:ascii="宋体" w:hAnsi="宋体" w:eastAsia="宋体" w:cs="宋体"/>
                <w:color w:val="auto"/>
                <w:szCs w:val="21"/>
              </w:rPr>
              <w:t>自开标之日起90天。</w:t>
            </w:r>
          </w:p>
        </w:tc>
      </w:tr>
      <w:tr w14:paraId="4EBDD4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trPr>
        <w:tc>
          <w:tcPr>
            <w:tcW w:w="718" w:type="dxa"/>
            <w:vAlign w:val="center"/>
          </w:tcPr>
          <w:p w14:paraId="2F3B84BD">
            <w:pPr>
              <w:jc w:val="center"/>
              <w:rPr>
                <w:rFonts w:hint="eastAsia" w:ascii="宋体" w:hAnsi="宋体" w:eastAsia="宋体" w:cs="宋体"/>
                <w:color w:val="auto"/>
                <w:szCs w:val="21"/>
              </w:rPr>
            </w:pPr>
            <w:r>
              <w:rPr>
                <w:rFonts w:hint="eastAsia" w:ascii="宋体" w:hAnsi="宋体" w:eastAsia="宋体" w:cs="宋体"/>
                <w:color w:val="auto"/>
                <w:szCs w:val="21"/>
              </w:rPr>
              <w:t>7</w:t>
            </w:r>
          </w:p>
        </w:tc>
        <w:tc>
          <w:tcPr>
            <w:tcW w:w="1501" w:type="dxa"/>
            <w:vAlign w:val="center"/>
          </w:tcPr>
          <w:p w14:paraId="196015DD">
            <w:pPr>
              <w:jc w:val="center"/>
              <w:rPr>
                <w:rFonts w:hint="eastAsia" w:ascii="宋体" w:hAnsi="宋体" w:eastAsia="宋体" w:cs="宋体"/>
                <w:color w:val="auto"/>
                <w:szCs w:val="21"/>
              </w:rPr>
            </w:pPr>
            <w:r>
              <w:rPr>
                <w:rFonts w:hint="eastAsia" w:ascii="宋体" w:hAnsi="宋体" w:eastAsia="宋体" w:cs="宋体"/>
                <w:color w:val="auto"/>
                <w:szCs w:val="21"/>
              </w:rPr>
              <w:t>合同条款</w:t>
            </w:r>
          </w:p>
        </w:tc>
        <w:tc>
          <w:tcPr>
            <w:tcW w:w="6466" w:type="dxa"/>
            <w:vAlign w:val="center"/>
          </w:tcPr>
          <w:p w14:paraId="1633728A">
            <w:pPr>
              <w:rPr>
                <w:rFonts w:hint="eastAsia" w:ascii="宋体" w:hAnsi="宋体" w:eastAsia="宋体" w:cs="宋体"/>
                <w:color w:val="auto"/>
                <w:szCs w:val="21"/>
              </w:rPr>
            </w:pPr>
            <w:r>
              <w:rPr>
                <w:rFonts w:hint="eastAsia" w:ascii="宋体" w:hAnsi="宋体" w:eastAsia="宋体" w:cs="宋体"/>
                <w:color w:val="auto"/>
                <w:szCs w:val="21"/>
              </w:rPr>
              <w:t>投标人实质响应合同各条款。</w:t>
            </w:r>
          </w:p>
        </w:tc>
      </w:tr>
    </w:tbl>
    <w:p w14:paraId="06EEC7AC">
      <w:pPr>
        <w:rPr>
          <w:rFonts w:hint="eastAsia" w:ascii="宋体" w:hAnsi="宋体" w:eastAsia="宋体" w:cs="宋体"/>
          <w:color w:val="auto"/>
        </w:rPr>
      </w:pPr>
    </w:p>
    <w:p w14:paraId="116EC078">
      <w:pPr>
        <w:rPr>
          <w:rFonts w:hint="eastAsia" w:ascii="宋体" w:hAnsi="宋体" w:eastAsia="宋体" w:cs="宋体"/>
          <w:color w:val="auto"/>
        </w:rPr>
      </w:pPr>
      <w:bookmarkStart w:id="13" w:name="_Toc19316"/>
      <w:r>
        <w:rPr>
          <w:rFonts w:hint="eastAsia" w:ascii="宋体" w:hAnsi="宋体" w:eastAsia="宋体" w:cs="宋体"/>
          <w:color w:val="auto"/>
        </w:rPr>
        <w:br w:type="page"/>
      </w:r>
    </w:p>
    <w:bookmarkEnd w:id="8"/>
    <w:bookmarkEnd w:id="9"/>
    <w:bookmarkEnd w:id="10"/>
    <w:bookmarkEnd w:id="11"/>
    <w:bookmarkEnd w:id="12"/>
    <w:bookmarkEnd w:id="13"/>
    <w:p w14:paraId="60DA6ACC">
      <w:pPr>
        <w:pStyle w:val="4"/>
        <w:spacing w:line="360" w:lineRule="auto"/>
        <w:jc w:val="center"/>
        <w:rPr>
          <w:rFonts w:hint="eastAsia" w:ascii="宋体" w:hAnsi="宋体" w:eastAsia="宋体" w:cs="宋体"/>
          <w:color w:val="auto"/>
        </w:rPr>
      </w:pPr>
      <w:bookmarkStart w:id="14" w:name="_Toc13141"/>
      <w:r>
        <w:rPr>
          <w:rFonts w:hint="eastAsia" w:ascii="宋体" w:hAnsi="宋体" w:eastAsia="宋体" w:cs="宋体"/>
          <w:color w:val="auto"/>
        </w:rPr>
        <w:t>第二章 技术需求书</w:t>
      </w:r>
      <w:bookmarkEnd w:id="14"/>
    </w:p>
    <w:p w14:paraId="4E2432B8">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bCs w:val="0"/>
          <w:color w:val="auto"/>
          <w:sz w:val="21"/>
          <w:szCs w:val="21"/>
        </w:rPr>
        <w:t>一、项目预算：</w:t>
      </w:r>
      <w:r>
        <w:rPr>
          <w:rFonts w:hint="eastAsia" w:ascii="宋体" w:hAnsi="宋体" w:eastAsia="宋体" w:cs="宋体"/>
          <w:b w:val="0"/>
          <w:bCs/>
          <w:color w:val="auto"/>
          <w:sz w:val="21"/>
          <w:szCs w:val="21"/>
        </w:rPr>
        <w:t>57.24万元（含税）；</w:t>
      </w:r>
    </w:p>
    <w:p w14:paraId="2DA1CDE5">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二、项目目标</w:t>
      </w:r>
    </w:p>
    <w:p w14:paraId="336492F3">
      <w:pPr>
        <w:pStyle w:val="17"/>
        <w:keepNext w:val="0"/>
        <w:keepLines w:val="0"/>
        <w:pageBreakBefore w:val="0"/>
        <w:widowControl w:val="0"/>
        <w:tabs>
          <w:tab w:val="left" w:pos="540"/>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本项目旨在基于采购人现有系统源代码进行二次开发，完成11项功能模块优化及1个经营数据驾驶舱的建设，实现以下总体目标：</w:t>
      </w:r>
    </w:p>
    <w:p w14:paraId="34663611">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bookmarkStart w:id="15" w:name="OLE_LINK1"/>
      <w:r>
        <w:rPr>
          <w:rFonts w:hint="eastAsia" w:ascii="宋体" w:hAnsi="宋体" w:eastAsia="宋体" w:cs="宋体"/>
          <w:b w:val="0"/>
          <w:bCs/>
          <w:color w:val="auto"/>
          <w:sz w:val="21"/>
          <w:szCs w:val="21"/>
        </w:rPr>
        <w:t>（1）</w:t>
      </w:r>
      <w:bookmarkEnd w:id="15"/>
      <w:r>
        <w:rPr>
          <w:rFonts w:hint="eastAsia" w:ascii="宋体" w:hAnsi="宋体" w:eastAsia="宋体" w:cs="宋体"/>
          <w:b w:val="0"/>
          <w:bCs/>
          <w:color w:val="auto"/>
          <w:sz w:val="21"/>
          <w:szCs w:val="21"/>
        </w:rPr>
        <w:t>财务流程自动化：实现电子开票、退租退押结算、账单出账等核心财务流程的自动化与规范化；</w:t>
      </w:r>
    </w:p>
    <w:p w14:paraId="5034F015">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（2）运营数据可视化：构建经营数据驾驶舱，为管理决策提供实时、准确的出租率、收缴率、续租率等关键指标；</w:t>
      </w:r>
    </w:p>
    <w:p w14:paraId="19EB4187">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（3）租户服务智能化：通过小程序消息推送引擎，实现账单提醒、满意度调研等全场景智能化服务；</w:t>
      </w:r>
    </w:p>
    <w:p w14:paraId="713DA118">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（4）系统操作便捷化：优化筛选、导出、报表等日常操作功能，提升一线运营人员工作效率。</w:t>
      </w:r>
    </w:p>
    <w:p w14:paraId="3DA7DF9C">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三、项目范围</w:t>
      </w:r>
    </w:p>
    <w:p w14:paraId="092BD1BD">
      <w:pPr>
        <w:pStyle w:val="17"/>
        <w:keepNext w:val="0"/>
        <w:keepLines w:val="0"/>
        <w:pageBreakBefore w:val="0"/>
        <w:widowControl w:val="0"/>
        <w:tabs>
          <w:tab w:val="left" w:pos="540"/>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本项目开发范围涵盖以下11项功能模块及1个数据驾驶舱：电子开票模块；退租退押流程优化；续租统计模块；续租账单出账逻辑修复；房间管理租金对比导出；新签合同管理费减免配置；企业商铺一键出账单；实收账单导出格式适配；小程序全场景消息推送引擎；全页面筛选下拉多选改造；经营数据驾驶舱可视化看板。</w:t>
      </w:r>
    </w:p>
    <w:p w14:paraId="32464BFD">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四、实施方式</w:t>
      </w:r>
    </w:p>
    <w:p w14:paraId="4DDDE66D">
      <w:pPr>
        <w:pStyle w:val="17"/>
        <w:keepNext w:val="0"/>
        <w:keepLines w:val="0"/>
        <w:pageBreakBefore w:val="0"/>
        <w:widowControl w:val="0"/>
        <w:tabs>
          <w:tab w:val="left" w:pos="540"/>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本项目采用基于采购人现有源代码二次开发的方式实施。具体要求如下：</w:t>
      </w:r>
    </w:p>
    <w:p w14:paraId="54DDC24E">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（1）采购人提供现有系统完整源代码、数据库说明文档、业务操作手册及相关技术资料；</w:t>
      </w:r>
    </w:p>
    <w:p w14:paraId="5A741AF4">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（2）供应商负责遗留代码梳理、开发/测试/生产三套环境搭建、功能开发、全量测试、上线部署、操作培训及全套源码交付；</w:t>
      </w:r>
    </w:p>
    <w:p w14:paraId="333ADCB5">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（3）采购人提供测试服务器，由供应商完成部署；采购人已有生产服务器用于最终部署；</w:t>
      </w:r>
    </w:p>
    <w:p w14:paraId="7431CBF7">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（4）供应商需在充分理解现有系统架构和业务逻辑的基础上进行开发，确保新增功能与现有系统的无缝集成。</w:t>
      </w:r>
    </w:p>
    <w:p w14:paraId="6831D525">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五、功能需求详细说明</w:t>
      </w:r>
    </w:p>
    <w:p w14:paraId="0202C635">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5.1 电子开票模块</w:t>
      </w:r>
    </w:p>
    <w:p w14:paraId="3F7A8B2A">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5.1.1 功能概述</w:t>
      </w:r>
    </w:p>
    <w:p w14:paraId="5B398EAB">
      <w:pPr>
        <w:pStyle w:val="17"/>
        <w:keepNext w:val="0"/>
        <w:keepLines w:val="0"/>
        <w:pageBreakBefore w:val="0"/>
        <w:widowControl w:val="0"/>
        <w:tabs>
          <w:tab w:val="left" w:pos="540"/>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实现“莞寓+”小程序端个人租户在线申请开票及智慧安居2.0后台企业账单批量开票功能，对接第三方电子开票系统（诺诺网、航天信息）完成发票自动开具与推送。</w:t>
      </w:r>
    </w:p>
    <w:p w14:paraId="4A2320BE">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5.1.2 详细功能需求</w:t>
      </w:r>
    </w:p>
    <w:tbl>
      <w:tblPr>
        <w:tblStyle w:val="35"/>
        <w:tblW w:w="8789"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126"/>
        <w:gridCol w:w="5812"/>
      </w:tblGrid>
      <w:tr w14:paraId="60FA1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04C9E508">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2126" w:type="dxa"/>
            <w:vAlign w:val="center"/>
          </w:tcPr>
          <w:p w14:paraId="50641D27">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功能点</w:t>
            </w:r>
          </w:p>
        </w:tc>
        <w:tc>
          <w:tcPr>
            <w:tcW w:w="5812" w:type="dxa"/>
            <w:vAlign w:val="center"/>
          </w:tcPr>
          <w:p w14:paraId="2BBF3251">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需求描述</w:t>
            </w:r>
          </w:p>
        </w:tc>
      </w:tr>
      <w:tr w14:paraId="1BC0B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76206020">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w:t>
            </w:r>
          </w:p>
        </w:tc>
        <w:tc>
          <w:tcPr>
            <w:tcW w:w="2126" w:type="dxa"/>
            <w:vAlign w:val="center"/>
          </w:tcPr>
          <w:p w14:paraId="53149B1E">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个人开票申请</w:t>
            </w:r>
          </w:p>
        </w:tc>
        <w:tc>
          <w:tcPr>
            <w:tcW w:w="5812" w:type="dxa"/>
            <w:vAlign w:val="center"/>
          </w:tcPr>
          <w:p w14:paraId="588FB287">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在“莞寓+”小程序“我的账单”页面设置“申请开票”按钮，租户点击后弹出开票信息填写页面，需填写开票抬头、纳税人识别号、接收邮箱、手机号码等信息；提交后由系统自动调用第三方开票接口开具电子发票。</w:t>
            </w:r>
          </w:p>
        </w:tc>
      </w:tr>
      <w:tr w14:paraId="1284A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4C145986">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w:t>
            </w:r>
          </w:p>
        </w:tc>
        <w:tc>
          <w:tcPr>
            <w:tcW w:w="2126" w:type="dxa"/>
            <w:vAlign w:val="center"/>
          </w:tcPr>
          <w:p w14:paraId="43BB477D">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企业开票申请</w:t>
            </w:r>
          </w:p>
        </w:tc>
        <w:tc>
          <w:tcPr>
            <w:tcW w:w="5812" w:type="dxa"/>
            <w:vAlign w:val="center"/>
          </w:tcPr>
          <w:p w14:paraId="02B27023">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在智慧安居2.0后台系统增加企业账单开票模块，企业账单确认收款后自动显示在待开票列表，支持多选账单合并开票，填写开票抬头等信息后自动推送至指定邮箱及手机（短信）。</w:t>
            </w:r>
          </w:p>
        </w:tc>
      </w:tr>
      <w:tr w14:paraId="39CE7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07010FF3">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3</w:t>
            </w:r>
          </w:p>
        </w:tc>
        <w:tc>
          <w:tcPr>
            <w:tcW w:w="2126" w:type="dxa"/>
            <w:vAlign w:val="center"/>
          </w:tcPr>
          <w:p w14:paraId="4ECD9ED7">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开票记录管理</w:t>
            </w:r>
          </w:p>
        </w:tc>
        <w:tc>
          <w:tcPr>
            <w:tcW w:w="5812" w:type="dxa"/>
            <w:vAlign w:val="center"/>
          </w:tcPr>
          <w:p w14:paraId="41537579">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系统需记录完整的开票申请、开票结果、推送状态等信息，支持按时间、租户、开票状态等条件查询开票记录。</w:t>
            </w:r>
          </w:p>
        </w:tc>
      </w:tr>
      <w:tr w14:paraId="47051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4065BD7D">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4</w:t>
            </w:r>
          </w:p>
        </w:tc>
        <w:tc>
          <w:tcPr>
            <w:tcW w:w="2126" w:type="dxa"/>
            <w:vAlign w:val="center"/>
          </w:tcPr>
          <w:p w14:paraId="1A234CA3">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第三方开票系统对接</w:t>
            </w:r>
          </w:p>
        </w:tc>
        <w:tc>
          <w:tcPr>
            <w:tcW w:w="5812" w:type="dxa"/>
            <w:vAlign w:val="center"/>
          </w:tcPr>
          <w:p w14:paraId="573FD617">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须接入诺诺网、航天信息等第三方电子开票平台，单个公司税号年费不高于人民币1万元，次年续费不高于3000元。</w:t>
            </w:r>
          </w:p>
        </w:tc>
      </w:tr>
    </w:tbl>
    <w:p w14:paraId="0353239F">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5.1.3 技术要求</w:t>
      </w:r>
    </w:p>
    <w:p w14:paraId="278A2DD4">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（1）开票接口调用须具备异常处理与重试机制；</w:t>
      </w:r>
    </w:p>
    <w:p w14:paraId="7B0CF827">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（2）发票推送须同时支持邮件和短信两种通道；</w:t>
      </w:r>
    </w:p>
    <w:p w14:paraId="3B98F4B7">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（3）开票数据须与现有账单数据保持实时一致。</w:t>
      </w:r>
    </w:p>
    <w:p w14:paraId="75F0F6C1">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5.2 退租退押流程优化</w:t>
      </w:r>
    </w:p>
    <w:p w14:paraId="383747FE">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5.2.1 功能概述</w:t>
      </w:r>
    </w:p>
    <w:p w14:paraId="3BD1BB1B">
      <w:pPr>
        <w:pStyle w:val="17"/>
        <w:keepNext w:val="0"/>
        <w:keepLines w:val="0"/>
        <w:pageBreakBefore w:val="0"/>
        <w:widowControl w:val="0"/>
        <w:tabs>
          <w:tab w:val="left" w:pos="540"/>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优化智慧安居2.0系统个人合同退租功能，实现小程序端一键退租申请、后台账单自动校验、费用确认及退租确认表导出。</w:t>
      </w:r>
    </w:p>
    <w:p w14:paraId="7803E0DC">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5.2.2 详细功能需求</w:t>
      </w:r>
    </w:p>
    <w:tbl>
      <w:tblPr>
        <w:tblStyle w:val="35"/>
        <w:tblW w:w="8789"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126"/>
        <w:gridCol w:w="5812"/>
      </w:tblGrid>
      <w:tr w14:paraId="6CF49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79955339">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2126" w:type="dxa"/>
            <w:vAlign w:val="center"/>
          </w:tcPr>
          <w:p w14:paraId="70A6AA90">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功能点</w:t>
            </w:r>
          </w:p>
        </w:tc>
        <w:tc>
          <w:tcPr>
            <w:tcW w:w="5812" w:type="dxa"/>
            <w:vAlign w:val="center"/>
          </w:tcPr>
          <w:p w14:paraId="44EA5611">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需求描述</w:t>
            </w:r>
          </w:p>
        </w:tc>
      </w:tr>
      <w:tr w14:paraId="67CD2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7E8A530A">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w:t>
            </w:r>
          </w:p>
        </w:tc>
        <w:tc>
          <w:tcPr>
            <w:tcW w:w="2126" w:type="dxa"/>
            <w:vAlign w:val="center"/>
          </w:tcPr>
          <w:p w14:paraId="1BA094DB">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一键退租申请</w:t>
            </w:r>
          </w:p>
        </w:tc>
        <w:tc>
          <w:tcPr>
            <w:tcW w:w="5812" w:type="dxa"/>
            <w:vAlign w:val="center"/>
          </w:tcPr>
          <w:p w14:paraId="7A7B5086">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“莞寓+”小程序端提供一键退租申请入口，租户提交退租申请后自动推送至后台系统。</w:t>
            </w:r>
          </w:p>
        </w:tc>
      </w:tr>
      <w:tr w14:paraId="06C9F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43C4E728">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w:t>
            </w:r>
          </w:p>
        </w:tc>
        <w:tc>
          <w:tcPr>
            <w:tcW w:w="2126" w:type="dxa"/>
            <w:vAlign w:val="center"/>
          </w:tcPr>
          <w:p w14:paraId="73E4C4CB">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账单自动校验</w:t>
            </w:r>
          </w:p>
        </w:tc>
        <w:tc>
          <w:tcPr>
            <w:tcW w:w="5812" w:type="dxa"/>
            <w:vAlign w:val="center"/>
          </w:tcPr>
          <w:p w14:paraId="2A5E82BA">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操作员点击退租后，系统自动对账单进行合规性校验，包括：实收账单周期是否连续、实收租金/管理费是否与合同约定一致、水电费实收是否存在异常等；校验结果须以可视化方式提示异常项。</w:t>
            </w:r>
          </w:p>
        </w:tc>
      </w:tr>
      <w:tr w14:paraId="396D6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0C41182F">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3</w:t>
            </w:r>
          </w:p>
        </w:tc>
        <w:tc>
          <w:tcPr>
            <w:tcW w:w="2126" w:type="dxa"/>
            <w:vAlign w:val="center"/>
          </w:tcPr>
          <w:p w14:paraId="38496E29">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退租费用录入</w:t>
            </w:r>
          </w:p>
        </w:tc>
        <w:tc>
          <w:tcPr>
            <w:tcW w:w="5812" w:type="dxa"/>
            <w:vAlign w:val="center"/>
          </w:tcPr>
          <w:p w14:paraId="7413DF60">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支持操作员录入退租相关费用，包括但不限于：水电费、清洁费、未收租金、未收管理费等。</w:t>
            </w:r>
          </w:p>
        </w:tc>
      </w:tr>
      <w:tr w14:paraId="78CB6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350E9DB8">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4</w:t>
            </w:r>
          </w:p>
        </w:tc>
        <w:tc>
          <w:tcPr>
            <w:tcW w:w="2126" w:type="dxa"/>
            <w:vAlign w:val="center"/>
          </w:tcPr>
          <w:p w14:paraId="0CC5795C">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退租确认表生成导出</w:t>
            </w:r>
          </w:p>
        </w:tc>
        <w:tc>
          <w:tcPr>
            <w:tcW w:w="5812" w:type="dxa"/>
            <w:vAlign w:val="center"/>
          </w:tcPr>
          <w:p w14:paraId="0ECD65EA">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基于账单校验结果和录入的退租费用，自动生成退租确认表，支持保存至本地（Excel/PDF格式）。</w:t>
            </w:r>
          </w:p>
        </w:tc>
      </w:tr>
    </w:tbl>
    <w:p w14:paraId="19A13DA1">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5.2.3 技术要求</w:t>
      </w:r>
    </w:p>
    <w:p w14:paraId="59C619F6">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（1）账单校验逻辑须覆盖全部历史账单周期；</w:t>
      </w:r>
    </w:p>
    <w:p w14:paraId="1FDECF5B">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（2）退租确认表格式须符合采购人财务规范要求。</w:t>
      </w:r>
    </w:p>
    <w:p w14:paraId="41C5997F">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5.3 续租统计模块</w:t>
      </w:r>
    </w:p>
    <w:p w14:paraId="549E62E5">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5.3.1 功能概述</w:t>
      </w:r>
    </w:p>
    <w:p w14:paraId="5B44C926">
      <w:pPr>
        <w:pStyle w:val="17"/>
        <w:keepNext w:val="0"/>
        <w:keepLines w:val="0"/>
        <w:pageBreakBefore w:val="0"/>
        <w:widowControl w:val="0"/>
        <w:tabs>
          <w:tab w:val="left" w:pos="540"/>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优化续租判定逻辑，实现续租数据多维度统计分析及合同标签管理。</w:t>
      </w:r>
    </w:p>
    <w:p w14:paraId="78E5AE76">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5.3.2 详细功能需求</w:t>
      </w:r>
    </w:p>
    <w:tbl>
      <w:tblPr>
        <w:tblStyle w:val="35"/>
        <w:tblW w:w="8789"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126"/>
        <w:gridCol w:w="5812"/>
      </w:tblGrid>
      <w:tr w14:paraId="1166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4B2B3ED3">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2126" w:type="dxa"/>
            <w:vAlign w:val="center"/>
          </w:tcPr>
          <w:p w14:paraId="551605AF">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功能点</w:t>
            </w:r>
          </w:p>
        </w:tc>
        <w:tc>
          <w:tcPr>
            <w:tcW w:w="5812" w:type="dxa"/>
            <w:vAlign w:val="center"/>
          </w:tcPr>
          <w:p w14:paraId="48E4ED08">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需求描述</w:t>
            </w:r>
          </w:p>
        </w:tc>
      </w:tr>
      <w:tr w14:paraId="20FD5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14E5B788">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w:t>
            </w:r>
          </w:p>
        </w:tc>
        <w:tc>
          <w:tcPr>
            <w:tcW w:w="2126" w:type="dxa"/>
            <w:vAlign w:val="center"/>
          </w:tcPr>
          <w:p w14:paraId="4BBE88FD">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续租判定逻辑优化</w:t>
            </w:r>
          </w:p>
        </w:tc>
        <w:tc>
          <w:tcPr>
            <w:tcW w:w="5812" w:type="dxa"/>
            <w:vAlign w:val="center"/>
          </w:tcPr>
          <w:p w14:paraId="679A2EAB">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系统须将“换房续租”（租户更换房源但继续签约）和“延后续租”（合同到期后续签）两种情况均正确判定为续租行为。</w:t>
            </w:r>
          </w:p>
        </w:tc>
      </w:tr>
      <w:tr w14:paraId="034BA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3127C85C">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w:t>
            </w:r>
          </w:p>
        </w:tc>
        <w:tc>
          <w:tcPr>
            <w:tcW w:w="2126" w:type="dxa"/>
            <w:vAlign w:val="center"/>
          </w:tcPr>
          <w:p w14:paraId="5E3E4E42">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续租统计分析</w:t>
            </w:r>
          </w:p>
        </w:tc>
        <w:tc>
          <w:tcPr>
            <w:tcW w:w="5812" w:type="dxa"/>
            <w:vAlign w:val="center"/>
          </w:tcPr>
          <w:p w14:paraId="174D15D7">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实现续租统计功能，支持按门店筛选，展示总续租率、个人合同续租率、企业合同续租率，并支持按有无人才补贴进行细分统计。</w:t>
            </w:r>
          </w:p>
        </w:tc>
      </w:tr>
      <w:tr w14:paraId="398DF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08569406">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3</w:t>
            </w:r>
          </w:p>
        </w:tc>
        <w:tc>
          <w:tcPr>
            <w:tcW w:w="2126" w:type="dxa"/>
            <w:vAlign w:val="center"/>
          </w:tcPr>
          <w:p w14:paraId="7C795C28">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合同标签管理</w:t>
            </w:r>
          </w:p>
        </w:tc>
        <w:tc>
          <w:tcPr>
            <w:tcW w:w="5812" w:type="dxa"/>
            <w:vAlign w:val="center"/>
          </w:tcPr>
          <w:p w14:paraId="56D16148">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对近一个月到期合同，系统自动判定续约合同签约状态并赋予标签：已签约的显示“已续”，未签约的显示“未续”；支持手动添加“续约意向”“换房续约”“到期退租”“待定”等标签；手动标签须与系统自动判定标签同时展示。</w:t>
            </w:r>
          </w:p>
        </w:tc>
      </w:tr>
      <w:tr w14:paraId="6828A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15E306F2">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4</w:t>
            </w:r>
          </w:p>
        </w:tc>
        <w:tc>
          <w:tcPr>
            <w:tcW w:w="2126" w:type="dxa"/>
            <w:vAlign w:val="center"/>
          </w:tcPr>
          <w:p w14:paraId="418E2FE1">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续租数据导出</w:t>
            </w:r>
          </w:p>
        </w:tc>
        <w:tc>
          <w:tcPr>
            <w:tcW w:w="5812" w:type="dxa"/>
            <w:vAlign w:val="center"/>
          </w:tcPr>
          <w:p w14:paraId="06CFACE6">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支持按门店批量导出续租明细数据。</w:t>
            </w:r>
          </w:p>
        </w:tc>
      </w:tr>
    </w:tbl>
    <w:p w14:paraId="6F376656">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5.4 续租账单出账逻辑修复</w:t>
      </w:r>
    </w:p>
    <w:p w14:paraId="3B5DD340">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5.4.1 功能概述</w:t>
      </w:r>
    </w:p>
    <w:p w14:paraId="197E0835">
      <w:pPr>
        <w:pStyle w:val="17"/>
        <w:keepNext w:val="0"/>
        <w:keepLines w:val="0"/>
        <w:pageBreakBefore w:val="0"/>
        <w:widowControl w:val="0"/>
        <w:tabs>
          <w:tab w:val="left" w:pos="540"/>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修复延后续租场景下账单漏出问题，重写定时出账逻辑。</w:t>
      </w:r>
    </w:p>
    <w:p w14:paraId="130D9773">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5.4.2 详细功能需求</w:t>
      </w:r>
    </w:p>
    <w:tbl>
      <w:tblPr>
        <w:tblStyle w:val="35"/>
        <w:tblW w:w="8789"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126"/>
        <w:gridCol w:w="5812"/>
      </w:tblGrid>
      <w:tr w14:paraId="69BD3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5B9F7393">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2126" w:type="dxa"/>
            <w:vAlign w:val="center"/>
          </w:tcPr>
          <w:p w14:paraId="0F21BD39">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功能点</w:t>
            </w:r>
          </w:p>
        </w:tc>
        <w:tc>
          <w:tcPr>
            <w:tcW w:w="5812" w:type="dxa"/>
            <w:vAlign w:val="center"/>
          </w:tcPr>
          <w:p w14:paraId="1C64FFFD">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需求描述</w:t>
            </w:r>
          </w:p>
        </w:tc>
      </w:tr>
      <w:tr w14:paraId="6DB70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1BD7AD97">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w:t>
            </w:r>
          </w:p>
        </w:tc>
        <w:tc>
          <w:tcPr>
            <w:tcW w:w="2126" w:type="dxa"/>
            <w:vAlign w:val="center"/>
          </w:tcPr>
          <w:p w14:paraId="3C2B2AA2">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出账逻辑修复</w:t>
            </w:r>
          </w:p>
        </w:tc>
        <w:tc>
          <w:tcPr>
            <w:tcW w:w="5812" w:type="dxa"/>
            <w:vAlign w:val="center"/>
          </w:tcPr>
          <w:p w14:paraId="5F0F6C34">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修复当前系统中“签约日晚于旧合同终止日、每月20日自动出周期账单，新合同开始日期早于签约日导致下月账单漏出”的逻辑缺陷。</w:t>
            </w:r>
          </w:p>
        </w:tc>
      </w:tr>
      <w:tr w14:paraId="1B1D8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20C33EF7">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w:t>
            </w:r>
          </w:p>
        </w:tc>
        <w:tc>
          <w:tcPr>
            <w:tcW w:w="2126" w:type="dxa"/>
            <w:vAlign w:val="center"/>
          </w:tcPr>
          <w:p w14:paraId="7D533ACE">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续签即时出账</w:t>
            </w:r>
          </w:p>
        </w:tc>
        <w:tc>
          <w:tcPr>
            <w:tcW w:w="5812" w:type="dxa"/>
            <w:vAlign w:val="center"/>
          </w:tcPr>
          <w:p w14:paraId="7D03F010">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续签完成后系统须自动出具本月及下个月完整账单，确保账单周期的连续性。</w:t>
            </w:r>
          </w:p>
        </w:tc>
      </w:tr>
    </w:tbl>
    <w:p w14:paraId="5C634388">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5.4.3 技术要求</w:t>
      </w:r>
    </w:p>
    <w:p w14:paraId="6722ABDE">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（1）出账逻辑修复须覆盖全部历史合同数据，确保修复后历史数据可查、新出账数据准确；</w:t>
      </w:r>
    </w:p>
    <w:p w14:paraId="38286054">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（2）定时出账任务须具备日志记录与异常告警机制。</w:t>
      </w:r>
    </w:p>
    <w:p w14:paraId="000459F3">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5.5 房间管理租金对比导出</w:t>
      </w:r>
    </w:p>
    <w:p w14:paraId="41FB742D">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5.5.1 功能概述</w:t>
      </w:r>
    </w:p>
    <w:p w14:paraId="66A4C554">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实现按门店、时间段展示具体房间租金及管理费变化趋势，支持明细导出。</w:t>
      </w:r>
    </w:p>
    <w:p w14:paraId="5A330D31">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5.5.2 详细功能需求</w:t>
      </w:r>
    </w:p>
    <w:tbl>
      <w:tblPr>
        <w:tblStyle w:val="35"/>
        <w:tblW w:w="8789"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126"/>
        <w:gridCol w:w="5812"/>
      </w:tblGrid>
      <w:tr w14:paraId="6294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vAlign w:val="center"/>
          </w:tcPr>
          <w:p w14:paraId="31D50168">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2126" w:type="dxa"/>
            <w:vAlign w:val="center"/>
          </w:tcPr>
          <w:p w14:paraId="53A3C67A">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功能点</w:t>
            </w:r>
          </w:p>
        </w:tc>
        <w:tc>
          <w:tcPr>
            <w:tcW w:w="5812" w:type="dxa"/>
            <w:vAlign w:val="center"/>
          </w:tcPr>
          <w:p w14:paraId="4D020C0A">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需求描述</w:t>
            </w:r>
          </w:p>
        </w:tc>
      </w:tr>
      <w:tr w14:paraId="030B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7CD7C213">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w:t>
            </w:r>
          </w:p>
        </w:tc>
        <w:tc>
          <w:tcPr>
            <w:tcW w:w="2126" w:type="dxa"/>
            <w:vAlign w:val="center"/>
          </w:tcPr>
          <w:p w14:paraId="7C3D593F">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租金变化趋势展示</w:t>
            </w:r>
          </w:p>
        </w:tc>
        <w:tc>
          <w:tcPr>
            <w:tcW w:w="5812" w:type="dxa"/>
            <w:vAlign w:val="center"/>
          </w:tcPr>
          <w:p w14:paraId="5895B9F3">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支持按门店、时间段（月数）筛选，以列表或图表形式展示具体房间的租金、管理费变化趋势。</w:t>
            </w:r>
          </w:p>
        </w:tc>
      </w:tr>
      <w:tr w14:paraId="117C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6C48ED83">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w:t>
            </w:r>
          </w:p>
        </w:tc>
        <w:tc>
          <w:tcPr>
            <w:tcW w:w="2126" w:type="dxa"/>
            <w:vAlign w:val="center"/>
          </w:tcPr>
          <w:p w14:paraId="44CCBB18">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明细数据导出</w:t>
            </w:r>
          </w:p>
        </w:tc>
        <w:tc>
          <w:tcPr>
            <w:tcW w:w="5812" w:type="dxa"/>
            <w:vAlign w:val="center"/>
          </w:tcPr>
          <w:p w14:paraId="7D3265E6">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支持导出各门店租金变化明细数据（Excel格式）。</w:t>
            </w:r>
          </w:p>
        </w:tc>
      </w:tr>
    </w:tbl>
    <w:p w14:paraId="18EC51AE">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5.5.3 技术要求</w:t>
      </w:r>
    </w:p>
    <w:p w14:paraId="3D064B4A">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（1）对比数据须基于新旧合同信息自动关联；</w:t>
      </w:r>
    </w:p>
    <w:p w14:paraId="35832FDF">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（2）导出格式须符合采购人运营分析报表模板要求。</w:t>
      </w:r>
    </w:p>
    <w:p w14:paraId="04D05DA0">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5.6 新签合同管理费减免配置</w:t>
      </w:r>
    </w:p>
    <w:p w14:paraId="48A46DE9">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5.6.1 功能概述</w:t>
      </w:r>
    </w:p>
    <w:p w14:paraId="6719529E">
      <w:pPr>
        <w:pStyle w:val="17"/>
        <w:keepNext w:val="0"/>
        <w:keepLines w:val="0"/>
        <w:pageBreakBefore w:val="0"/>
        <w:widowControl w:val="0"/>
        <w:tabs>
          <w:tab w:val="left" w:pos="540"/>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在个人合同续签、新签界面增加管理费减免配置功能，支持自动生成减免账单。</w:t>
      </w:r>
    </w:p>
    <w:p w14:paraId="51836278">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5.6.2 详细功能需求</w:t>
      </w:r>
    </w:p>
    <w:tbl>
      <w:tblPr>
        <w:tblStyle w:val="35"/>
        <w:tblW w:w="8789"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126"/>
        <w:gridCol w:w="5812"/>
      </w:tblGrid>
      <w:tr w14:paraId="20FB0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35D623A7">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2126" w:type="dxa"/>
            <w:vAlign w:val="center"/>
          </w:tcPr>
          <w:p w14:paraId="73228D77">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功能点</w:t>
            </w:r>
          </w:p>
        </w:tc>
        <w:tc>
          <w:tcPr>
            <w:tcW w:w="5812" w:type="dxa"/>
            <w:vAlign w:val="center"/>
          </w:tcPr>
          <w:p w14:paraId="0F99F93B">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需求描述</w:t>
            </w:r>
          </w:p>
        </w:tc>
      </w:tr>
      <w:tr w14:paraId="66FAD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5A6BC5F8">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w:t>
            </w:r>
          </w:p>
        </w:tc>
        <w:tc>
          <w:tcPr>
            <w:tcW w:w="2126" w:type="dxa"/>
            <w:vAlign w:val="center"/>
          </w:tcPr>
          <w:p w14:paraId="73969262">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减免配置</w:t>
            </w:r>
          </w:p>
        </w:tc>
        <w:tc>
          <w:tcPr>
            <w:tcW w:w="5812" w:type="dxa"/>
            <w:vAlign w:val="center"/>
          </w:tcPr>
          <w:p w14:paraId="727AAAE4">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在合同签订界面增加“管理费减免”选项，可选“是”或“否”；选择“是”后出现减免月数选项（1-12月整数），减免月数不可超过合同租期。</w:t>
            </w:r>
          </w:p>
        </w:tc>
      </w:tr>
      <w:tr w14:paraId="4D3F8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41533573">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w:t>
            </w:r>
          </w:p>
        </w:tc>
        <w:tc>
          <w:tcPr>
            <w:tcW w:w="2126" w:type="dxa"/>
            <w:vAlign w:val="center"/>
          </w:tcPr>
          <w:p w14:paraId="30365425">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减免账单自动生成</w:t>
            </w:r>
          </w:p>
        </w:tc>
        <w:tc>
          <w:tcPr>
            <w:tcW w:w="5812" w:type="dxa"/>
            <w:vAlign w:val="center"/>
          </w:tcPr>
          <w:p w14:paraId="2F46E157">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减免月数设置后，从合同第一个月起顺延减免管理费（管理费为0）；减免月数过后自动恢复原价。示例：租户签约12个月，管理费100元/月，减免3个月，则前3个月管理费为0元，后9个月为100元/月。</w:t>
            </w:r>
          </w:p>
        </w:tc>
      </w:tr>
    </w:tbl>
    <w:p w14:paraId="0D6844C3">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5.6.3 技术要求</w:t>
      </w:r>
    </w:p>
    <w:p w14:paraId="74229DD7">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（1）减免配置须与现有合同签订流程无缝集成；</w:t>
      </w:r>
    </w:p>
    <w:p w14:paraId="6F0E395D">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（2）减免账单生成逻辑须支持跨月、跨年场景。</w:t>
      </w:r>
    </w:p>
    <w:p w14:paraId="0FBB9328">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5.7 企业商铺一键出账单</w:t>
      </w:r>
    </w:p>
    <w:p w14:paraId="2A092E70">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5.7.1 功能概述</w:t>
      </w:r>
    </w:p>
    <w:p w14:paraId="3D474E69">
      <w:pPr>
        <w:pStyle w:val="17"/>
        <w:keepNext w:val="0"/>
        <w:keepLines w:val="0"/>
        <w:pageBreakBefore w:val="0"/>
        <w:widowControl w:val="0"/>
        <w:tabs>
          <w:tab w:val="left" w:pos="540"/>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在企业、商铺账单页面增加账单汇总功能，支持多维度筛选汇总及模板化导出。</w:t>
      </w:r>
    </w:p>
    <w:p w14:paraId="7397F62C">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5.7.2 详细功能需求</w:t>
      </w:r>
    </w:p>
    <w:tbl>
      <w:tblPr>
        <w:tblStyle w:val="35"/>
        <w:tblW w:w="8789"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126"/>
        <w:gridCol w:w="5812"/>
      </w:tblGrid>
      <w:tr w14:paraId="2DC64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vAlign w:val="center"/>
          </w:tcPr>
          <w:p w14:paraId="63CED3B8">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2126" w:type="dxa"/>
            <w:vAlign w:val="center"/>
          </w:tcPr>
          <w:p w14:paraId="109D2A2A">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功能点</w:t>
            </w:r>
          </w:p>
        </w:tc>
        <w:tc>
          <w:tcPr>
            <w:tcW w:w="5812" w:type="dxa"/>
            <w:vAlign w:val="center"/>
          </w:tcPr>
          <w:p w14:paraId="78674B72">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需求描述</w:t>
            </w:r>
          </w:p>
        </w:tc>
      </w:tr>
      <w:tr w14:paraId="58B0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2B4A52ED">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w:t>
            </w:r>
          </w:p>
        </w:tc>
        <w:tc>
          <w:tcPr>
            <w:tcW w:w="2126" w:type="dxa"/>
            <w:vAlign w:val="center"/>
          </w:tcPr>
          <w:p w14:paraId="5D5C0C23">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账单汇总</w:t>
            </w:r>
          </w:p>
        </w:tc>
        <w:tc>
          <w:tcPr>
            <w:tcW w:w="5812" w:type="dxa"/>
            <w:vAlign w:val="center"/>
          </w:tcPr>
          <w:p w14:paraId="2F4A83D7">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在企业、商铺账单页面增加“账单汇总”按键，支持按企业名称、日期、门店等维度筛选，汇总展示住房情况及账单明细。</w:t>
            </w:r>
          </w:p>
        </w:tc>
      </w:tr>
      <w:tr w14:paraId="4AE37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0B654811">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w:t>
            </w:r>
          </w:p>
        </w:tc>
        <w:tc>
          <w:tcPr>
            <w:tcW w:w="2126" w:type="dxa"/>
            <w:vAlign w:val="center"/>
          </w:tcPr>
          <w:p w14:paraId="478A5BBD">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模板化导出</w:t>
            </w:r>
          </w:p>
        </w:tc>
        <w:tc>
          <w:tcPr>
            <w:tcW w:w="5812" w:type="dxa"/>
            <w:vAlign w:val="center"/>
          </w:tcPr>
          <w:p w14:paraId="21EE37E8">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支持按采购人提供的模板格式导出账单明细及收款通知单（Excel格式）。</w:t>
            </w:r>
          </w:p>
        </w:tc>
      </w:tr>
    </w:tbl>
    <w:p w14:paraId="09542FEE">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5.8 实收账单导出格式适配</w:t>
      </w:r>
    </w:p>
    <w:p w14:paraId="7DBF6B2A">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5.8.1 功能概述</w:t>
      </w:r>
    </w:p>
    <w:p w14:paraId="337F22D2">
      <w:pPr>
        <w:pStyle w:val="17"/>
        <w:keepNext w:val="0"/>
        <w:keepLines w:val="0"/>
        <w:pageBreakBefore w:val="0"/>
        <w:widowControl w:val="0"/>
        <w:tabs>
          <w:tab w:val="left" w:pos="540"/>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根据采购人财务部门要求，调整企业及个人实收账单的Excel导出格式。</w:t>
      </w:r>
    </w:p>
    <w:p w14:paraId="2F678FCE">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5.8.2 详细功能需求</w:t>
      </w:r>
    </w:p>
    <w:tbl>
      <w:tblPr>
        <w:tblStyle w:val="35"/>
        <w:tblW w:w="8789"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552"/>
        <w:gridCol w:w="5386"/>
      </w:tblGrid>
      <w:tr w14:paraId="7E2AA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04635064">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2552" w:type="dxa"/>
            <w:vAlign w:val="center"/>
          </w:tcPr>
          <w:p w14:paraId="710FB815">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功能点</w:t>
            </w:r>
          </w:p>
        </w:tc>
        <w:tc>
          <w:tcPr>
            <w:tcW w:w="5386" w:type="dxa"/>
            <w:vAlign w:val="center"/>
          </w:tcPr>
          <w:p w14:paraId="031600D5">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需求描述</w:t>
            </w:r>
          </w:p>
        </w:tc>
      </w:tr>
      <w:tr w14:paraId="7E391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446D859D">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w:t>
            </w:r>
          </w:p>
        </w:tc>
        <w:tc>
          <w:tcPr>
            <w:tcW w:w="2552" w:type="dxa"/>
            <w:vAlign w:val="center"/>
          </w:tcPr>
          <w:p w14:paraId="38ABA1D7">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企业实收账单格式调整</w:t>
            </w:r>
          </w:p>
        </w:tc>
        <w:tc>
          <w:tcPr>
            <w:tcW w:w="5386" w:type="dxa"/>
            <w:vAlign w:val="center"/>
          </w:tcPr>
          <w:p w14:paraId="2B6C8BB9">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按采购人财务要求调整企业实收账单导出格式，包括但不限于列字段、数据排列、汇总方式等。</w:t>
            </w:r>
          </w:p>
        </w:tc>
      </w:tr>
      <w:tr w14:paraId="17B47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6E53A995">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w:t>
            </w:r>
          </w:p>
        </w:tc>
        <w:tc>
          <w:tcPr>
            <w:tcW w:w="2552" w:type="dxa"/>
            <w:vAlign w:val="center"/>
          </w:tcPr>
          <w:p w14:paraId="1A9D9DC3">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个人实收账单格式调整</w:t>
            </w:r>
          </w:p>
        </w:tc>
        <w:tc>
          <w:tcPr>
            <w:tcW w:w="5386" w:type="dxa"/>
            <w:vAlign w:val="center"/>
          </w:tcPr>
          <w:p w14:paraId="2BB9F338">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按采购人财务要求调整个人实收账单导出格式。</w:t>
            </w:r>
          </w:p>
        </w:tc>
      </w:tr>
    </w:tbl>
    <w:p w14:paraId="6FBE483A">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5.8.3 技术要求</w:t>
      </w:r>
    </w:p>
    <w:p w14:paraId="71E5D42D">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（1）导出格式须经采购人财务部门书面确认后方可定稿；</w:t>
      </w:r>
    </w:p>
    <w:p w14:paraId="1909ACF9">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（2）格式调整不得影响数据完整性。</w:t>
      </w:r>
    </w:p>
    <w:p w14:paraId="233D9238">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5.9 小程序全场景消息推送引擎</w:t>
      </w:r>
    </w:p>
    <w:p w14:paraId="0C1F25F2">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5.9.1 功能概述</w:t>
      </w:r>
    </w:p>
    <w:p w14:paraId="21FF5FDA">
      <w:pPr>
        <w:pStyle w:val="17"/>
        <w:keepNext w:val="0"/>
        <w:keepLines w:val="0"/>
        <w:pageBreakBefore w:val="0"/>
        <w:widowControl w:val="0"/>
        <w:tabs>
          <w:tab w:val="left" w:pos="540"/>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通过微信服务号实现全场景消息推送，包括账单提醒、问卷调研、文字消息等，并重新配置极光推送相关文件。</w:t>
      </w:r>
    </w:p>
    <w:p w14:paraId="5D0CE4BE">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5.9.2 详细功能需求</w:t>
      </w:r>
    </w:p>
    <w:p w14:paraId="52B02FDA">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（一）账单提醒</w:t>
      </w:r>
    </w:p>
    <w:tbl>
      <w:tblPr>
        <w:tblStyle w:val="35"/>
        <w:tblW w:w="8789"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126"/>
        <w:gridCol w:w="5812"/>
      </w:tblGrid>
      <w:tr w14:paraId="144BC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61CD069A">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2126" w:type="dxa"/>
            <w:vAlign w:val="center"/>
          </w:tcPr>
          <w:p w14:paraId="11833A95">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功能点</w:t>
            </w:r>
          </w:p>
        </w:tc>
        <w:tc>
          <w:tcPr>
            <w:tcW w:w="5812" w:type="dxa"/>
            <w:vAlign w:val="center"/>
          </w:tcPr>
          <w:p w14:paraId="726B2A89">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需求描述</w:t>
            </w:r>
          </w:p>
        </w:tc>
      </w:tr>
      <w:tr w14:paraId="1DF18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39A191DD">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w:t>
            </w:r>
          </w:p>
        </w:tc>
        <w:tc>
          <w:tcPr>
            <w:tcW w:w="2126" w:type="dxa"/>
            <w:vAlign w:val="center"/>
          </w:tcPr>
          <w:p w14:paraId="0665A175">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账单提醒规则配置</w:t>
            </w:r>
          </w:p>
        </w:tc>
        <w:tc>
          <w:tcPr>
            <w:tcW w:w="5812" w:type="dxa"/>
            <w:vAlign w:val="center"/>
          </w:tcPr>
          <w:p w14:paraId="03EFB4A3">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支持分门店设置账单提醒日期和提醒次数，如：X店每月20日出账提醒一次、月末提醒一次、次月8日再次提醒。</w:t>
            </w:r>
          </w:p>
        </w:tc>
      </w:tr>
      <w:tr w14:paraId="1C916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56EF1B4A">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w:t>
            </w:r>
          </w:p>
        </w:tc>
        <w:tc>
          <w:tcPr>
            <w:tcW w:w="2126" w:type="dxa"/>
            <w:vAlign w:val="center"/>
          </w:tcPr>
          <w:p w14:paraId="2DF6C4BE">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账单提醒推送</w:t>
            </w:r>
          </w:p>
        </w:tc>
        <w:tc>
          <w:tcPr>
            <w:tcW w:w="5812" w:type="dxa"/>
            <w:vAlign w:val="center"/>
          </w:tcPr>
          <w:p w14:paraId="6EE68536">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按配置规则通过微信服务号向租户推送账单提醒消息。</w:t>
            </w:r>
          </w:p>
        </w:tc>
      </w:tr>
    </w:tbl>
    <w:p w14:paraId="203F2F37">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（二）问卷调研</w:t>
      </w:r>
    </w:p>
    <w:tbl>
      <w:tblPr>
        <w:tblStyle w:val="35"/>
        <w:tblW w:w="8789"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126"/>
        <w:gridCol w:w="5812"/>
      </w:tblGrid>
      <w:tr w14:paraId="4D449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35834B25">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2126" w:type="dxa"/>
            <w:vAlign w:val="center"/>
          </w:tcPr>
          <w:p w14:paraId="08E69AD8">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功能点</w:t>
            </w:r>
          </w:p>
        </w:tc>
        <w:tc>
          <w:tcPr>
            <w:tcW w:w="5812" w:type="dxa"/>
            <w:vAlign w:val="center"/>
          </w:tcPr>
          <w:p w14:paraId="11CF0020">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需求描述</w:t>
            </w:r>
          </w:p>
        </w:tc>
      </w:tr>
      <w:tr w14:paraId="1504F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5ACF3775">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w:t>
            </w:r>
          </w:p>
        </w:tc>
        <w:tc>
          <w:tcPr>
            <w:tcW w:w="2126" w:type="dxa"/>
            <w:vAlign w:val="center"/>
          </w:tcPr>
          <w:p w14:paraId="5A8F64FC">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满意度调研</w:t>
            </w:r>
          </w:p>
        </w:tc>
        <w:tc>
          <w:tcPr>
            <w:tcW w:w="5812" w:type="dxa"/>
            <w:vAlign w:val="center"/>
          </w:tcPr>
          <w:p w14:paraId="4A21FD73">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支持设置单选、多选、评分、文字等多种题型问卷；可设置推送规则，按门店、租期阶段（如入住第7天、在住3个月、退租前3天）自动触发推送；参与人数、满意度得分须在经营数据驾驶舱展示。</w:t>
            </w:r>
          </w:p>
        </w:tc>
      </w:tr>
      <w:tr w14:paraId="66251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221EEA78">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w:t>
            </w:r>
          </w:p>
        </w:tc>
        <w:tc>
          <w:tcPr>
            <w:tcW w:w="2126" w:type="dxa"/>
            <w:vAlign w:val="center"/>
          </w:tcPr>
          <w:p w14:paraId="1715B232">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其他问卷</w:t>
            </w:r>
          </w:p>
        </w:tc>
        <w:tc>
          <w:tcPr>
            <w:tcW w:w="5812" w:type="dxa"/>
            <w:vAlign w:val="center"/>
          </w:tcPr>
          <w:p w14:paraId="3661EF46">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支持设置单选、多选、评分、文字等多种题型问卷；支持按门店、推送时间配置推送规则。</w:t>
            </w:r>
          </w:p>
        </w:tc>
      </w:tr>
      <w:tr w14:paraId="28AA1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7BD6C2FF">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3</w:t>
            </w:r>
          </w:p>
        </w:tc>
        <w:tc>
          <w:tcPr>
            <w:tcW w:w="2126" w:type="dxa"/>
            <w:vAlign w:val="center"/>
          </w:tcPr>
          <w:p w14:paraId="7903BB2D">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问卷结果管理</w:t>
            </w:r>
          </w:p>
        </w:tc>
        <w:tc>
          <w:tcPr>
            <w:tcW w:w="5812" w:type="dxa"/>
            <w:vAlign w:val="center"/>
          </w:tcPr>
          <w:p w14:paraId="1F30A802">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支持按门店、时间、问卷模板等条件导出推送明细及调研内容。</w:t>
            </w:r>
          </w:p>
        </w:tc>
      </w:tr>
    </w:tbl>
    <w:p w14:paraId="30A076E6">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（三）文字消息推送</w:t>
      </w:r>
    </w:p>
    <w:tbl>
      <w:tblPr>
        <w:tblStyle w:val="35"/>
        <w:tblW w:w="883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2137"/>
        <w:gridCol w:w="5842"/>
      </w:tblGrid>
      <w:tr w14:paraId="77E7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855" w:type="dxa"/>
            <w:vAlign w:val="center"/>
          </w:tcPr>
          <w:p w14:paraId="6AF06289">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2137" w:type="dxa"/>
            <w:vAlign w:val="center"/>
          </w:tcPr>
          <w:p w14:paraId="230105BA">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功能点</w:t>
            </w:r>
          </w:p>
        </w:tc>
        <w:tc>
          <w:tcPr>
            <w:tcW w:w="5842" w:type="dxa"/>
            <w:vAlign w:val="center"/>
          </w:tcPr>
          <w:p w14:paraId="79457008">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需求描述</w:t>
            </w:r>
          </w:p>
        </w:tc>
      </w:tr>
      <w:tr w14:paraId="59033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855" w:type="dxa"/>
            <w:vAlign w:val="center"/>
          </w:tcPr>
          <w:p w14:paraId="152324F4">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w:t>
            </w:r>
          </w:p>
        </w:tc>
        <w:tc>
          <w:tcPr>
            <w:tcW w:w="2137" w:type="dxa"/>
            <w:vAlign w:val="center"/>
          </w:tcPr>
          <w:p w14:paraId="004D7019">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文字消息配置</w:t>
            </w:r>
          </w:p>
        </w:tc>
        <w:tc>
          <w:tcPr>
            <w:tcW w:w="5842" w:type="dxa"/>
            <w:vAlign w:val="center"/>
          </w:tcPr>
          <w:p w14:paraId="35D21F30">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支持配置文字消息内容及推送时间，实现个性化消息推送。</w:t>
            </w:r>
          </w:p>
        </w:tc>
      </w:tr>
    </w:tbl>
    <w:p w14:paraId="69CBDB93">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（四）推送配置与数据管理</w:t>
      </w:r>
    </w:p>
    <w:tbl>
      <w:tblPr>
        <w:tblStyle w:val="35"/>
        <w:tblW w:w="8789"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126"/>
        <w:gridCol w:w="5812"/>
      </w:tblGrid>
      <w:tr w14:paraId="6C36E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4E546975">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2126" w:type="dxa"/>
            <w:vAlign w:val="center"/>
          </w:tcPr>
          <w:p w14:paraId="175E974E">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功能点</w:t>
            </w:r>
          </w:p>
        </w:tc>
        <w:tc>
          <w:tcPr>
            <w:tcW w:w="5812" w:type="dxa"/>
            <w:vAlign w:val="center"/>
          </w:tcPr>
          <w:p w14:paraId="22DF5119">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需求描述</w:t>
            </w:r>
          </w:p>
        </w:tc>
      </w:tr>
      <w:tr w14:paraId="0948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10C95B83">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w:t>
            </w:r>
          </w:p>
        </w:tc>
        <w:tc>
          <w:tcPr>
            <w:tcW w:w="2126" w:type="dxa"/>
            <w:vAlign w:val="center"/>
          </w:tcPr>
          <w:p w14:paraId="17C86737">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极光推送重新配置</w:t>
            </w:r>
          </w:p>
        </w:tc>
        <w:tc>
          <w:tcPr>
            <w:tcW w:w="5812" w:type="dxa"/>
            <w:vAlign w:val="center"/>
          </w:tcPr>
          <w:p w14:paraId="7E2C6C6A">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原极光推送账号和配置已无法获取，须重新配置极光推送相关文件及参数。</w:t>
            </w:r>
          </w:p>
        </w:tc>
      </w:tr>
      <w:tr w14:paraId="0D3B7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2BCCA086">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w:t>
            </w:r>
          </w:p>
        </w:tc>
        <w:tc>
          <w:tcPr>
            <w:tcW w:w="2126" w:type="dxa"/>
            <w:vAlign w:val="center"/>
          </w:tcPr>
          <w:p w14:paraId="64370CF1">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推送数据管理</w:t>
            </w:r>
          </w:p>
        </w:tc>
        <w:tc>
          <w:tcPr>
            <w:tcW w:w="5812" w:type="dxa"/>
            <w:vAlign w:val="center"/>
          </w:tcPr>
          <w:p w14:paraId="2EF878B5">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支持按门店、时间、消息推送模板等条件批量导出推送明细及调研内容。</w:t>
            </w:r>
          </w:p>
        </w:tc>
      </w:tr>
    </w:tbl>
    <w:p w14:paraId="3A631214">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5.9.3 技术要求</w:t>
      </w:r>
    </w:p>
    <w:p w14:paraId="05B96F79">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（1）消息推送须通过微信服务号模板消息实现；</w:t>
      </w:r>
    </w:p>
    <w:p w14:paraId="35F61F25">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（2）推送任务须支持定时、触发两种模式；</w:t>
      </w:r>
    </w:p>
    <w:p w14:paraId="3E158C08">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（3）推送记录须完整留存，支持事后追溯与统计分析。</w:t>
      </w:r>
    </w:p>
    <w:p w14:paraId="5BA9F495">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5.10 全页面筛选下拉多选改造</w:t>
      </w:r>
    </w:p>
    <w:p w14:paraId="2218E4A1">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5.10.1 功能概述</w:t>
      </w:r>
    </w:p>
    <w:p w14:paraId="3007A891">
      <w:pPr>
        <w:pStyle w:val="17"/>
        <w:keepNext w:val="0"/>
        <w:keepLines w:val="0"/>
        <w:pageBreakBefore w:val="0"/>
        <w:widowControl w:val="0"/>
        <w:tabs>
          <w:tab w:val="left" w:pos="540"/>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对智慧安居2.0系统合同模块、账单模块、工单模块的关键筛选项进行改造，将单选改为多选。</w:t>
      </w:r>
    </w:p>
    <w:p w14:paraId="30DA7F5E">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5.10.2 详细功能需求</w:t>
      </w:r>
    </w:p>
    <w:tbl>
      <w:tblPr>
        <w:tblStyle w:val="35"/>
        <w:tblW w:w="8789"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126"/>
        <w:gridCol w:w="5812"/>
      </w:tblGrid>
      <w:tr w14:paraId="3FDBE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453C388A">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bookmarkStart w:id="16" w:name="OLE_LINK7"/>
            <w:r>
              <w:rPr>
                <w:rFonts w:hint="eastAsia" w:ascii="宋体" w:hAnsi="宋体" w:eastAsia="宋体" w:cs="宋体"/>
                <w:color w:val="auto"/>
                <w:sz w:val="21"/>
                <w:szCs w:val="21"/>
              </w:rPr>
              <w:t>序号</w:t>
            </w:r>
          </w:p>
        </w:tc>
        <w:tc>
          <w:tcPr>
            <w:tcW w:w="2126" w:type="dxa"/>
            <w:vAlign w:val="center"/>
          </w:tcPr>
          <w:p w14:paraId="3251F0C2">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功能点</w:t>
            </w:r>
          </w:p>
        </w:tc>
        <w:tc>
          <w:tcPr>
            <w:tcW w:w="5812" w:type="dxa"/>
            <w:vAlign w:val="center"/>
          </w:tcPr>
          <w:p w14:paraId="0C8E082A">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需求描述</w:t>
            </w:r>
          </w:p>
        </w:tc>
      </w:tr>
      <w:tr w14:paraId="16543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71C250E1">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w:t>
            </w:r>
          </w:p>
        </w:tc>
        <w:tc>
          <w:tcPr>
            <w:tcW w:w="2126" w:type="dxa"/>
            <w:vAlign w:val="center"/>
          </w:tcPr>
          <w:p w14:paraId="46A5CAA3">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合同模块多选筛选</w:t>
            </w:r>
          </w:p>
        </w:tc>
        <w:tc>
          <w:tcPr>
            <w:tcW w:w="5812" w:type="dxa"/>
            <w:vAlign w:val="center"/>
          </w:tcPr>
          <w:p w14:paraId="615BB5A4">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个人合同、企业合同、商铺合同列表页面的关键筛选项支持多选查询。</w:t>
            </w:r>
          </w:p>
        </w:tc>
      </w:tr>
      <w:tr w14:paraId="47FDA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38431C80">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w:t>
            </w:r>
          </w:p>
        </w:tc>
        <w:tc>
          <w:tcPr>
            <w:tcW w:w="2126" w:type="dxa"/>
            <w:vAlign w:val="center"/>
          </w:tcPr>
          <w:p w14:paraId="01A91AF1">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账单模块多选筛选</w:t>
            </w:r>
          </w:p>
        </w:tc>
        <w:tc>
          <w:tcPr>
            <w:tcW w:w="5812" w:type="dxa"/>
            <w:vAlign w:val="center"/>
          </w:tcPr>
          <w:p w14:paraId="4F7B4B1E">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个人账单、企业账单、商铺账单列表页面的关键筛选项支持多选查询。</w:t>
            </w:r>
          </w:p>
        </w:tc>
      </w:tr>
      <w:tr w14:paraId="51344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69061006">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3</w:t>
            </w:r>
          </w:p>
        </w:tc>
        <w:tc>
          <w:tcPr>
            <w:tcW w:w="2126" w:type="dxa"/>
            <w:vAlign w:val="center"/>
          </w:tcPr>
          <w:p w14:paraId="28A1A4DA">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工单模块多选筛选</w:t>
            </w:r>
          </w:p>
        </w:tc>
        <w:tc>
          <w:tcPr>
            <w:tcW w:w="5812" w:type="dxa"/>
            <w:vAlign w:val="center"/>
          </w:tcPr>
          <w:p w14:paraId="5C3DFD89">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维修工单、投诉工单、建议工单列表页面的关键筛选项支持多选查询。</w:t>
            </w:r>
          </w:p>
        </w:tc>
      </w:tr>
      <w:bookmarkEnd w:id="16"/>
    </w:tbl>
    <w:p w14:paraId="4980FA90">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5.10.3 技术要求</w:t>
      </w:r>
    </w:p>
    <w:p w14:paraId="74193B6E">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bookmarkStart w:id="17" w:name="OLE_LINK6"/>
      <w:r>
        <w:rPr>
          <w:rFonts w:hint="eastAsia" w:ascii="宋体" w:hAnsi="宋体" w:eastAsia="宋体" w:cs="宋体"/>
          <w:b w:val="0"/>
          <w:bCs/>
          <w:color w:val="auto"/>
          <w:sz w:val="21"/>
          <w:szCs w:val="21"/>
        </w:rPr>
        <w:t>（1）</w:t>
      </w:r>
      <w:bookmarkEnd w:id="17"/>
      <w:r>
        <w:rPr>
          <w:rFonts w:hint="eastAsia" w:ascii="宋体" w:hAnsi="宋体" w:eastAsia="宋体" w:cs="宋体"/>
          <w:b w:val="0"/>
          <w:bCs/>
          <w:color w:val="auto"/>
          <w:sz w:val="21"/>
          <w:szCs w:val="21"/>
        </w:rPr>
        <w:t>多选筛选组件须具备良好的用户体验，支持全选、清空等快捷操作；</w:t>
      </w:r>
    </w:p>
    <w:p w14:paraId="0709D1FE">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（2）多选筛选结果须与现有列表数据分页、排序功能兼容。</w:t>
      </w:r>
    </w:p>
    <w:p w14:paraId="1EC9A776">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5.11 经营数据驾驶舱可视化看板</w:t>
      </w:r>
    </w:p>
    <w:p w14:paraId="392A1776">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5.11.1 功能概述</w:t>
      </w:r>
    </w:p>
    <w:p w14:paraId="1ED2C92F">
      <w:pPr>
        <w:pStyle w:val="17"/>
        <w:keepNext w:val="0"/>
        <w:keepLines w:val="0"/>
        <w:pageBreakBefore w:val="0"/>
        <w:widowControl w:val="0"/>
        <w:tabs>
          <w:tab w:val="left" w:pos="540"/>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设计并实现经营数据驾驶舱，展示出租率、收缴率、续租率等核心经营指标，支持多维度数据可视化。</w:t>
      </w:r>
    </w:p>
    <w:p w14:paraId="177CD636">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5.11.2 详细功能需求</w:t>
      </w:r>
    </w:p>
    <w:tbl>
      <w:tblPr>
        <w:tblStyle w:val="35"/>
        <w:tblW w:w="8789"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985"/>
        <w:gridCol w:w="5953"/>
      </w:tblGrid>
      <w:tr w14:paraId="2DAF4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5168C531">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1985" w:type="dxa"/>
            <w:vAlign w:val="center"/>
          </w:tcPr>
          <w:p w14:paraId="3B61D573">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功能点</w:t>
            </w:r>
          </w:p>
        </w:tc>
        <w:tc>
          <w:tcPr>
            <w:tcW w:w="5953" w:type="dxa"/>
            <w:vAlign w:val="center"/>
          </w:tcPr>
          <w:p w14:paraId="33465ECA">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需求描述</w:t>
            </w:r>
          </w:p>
        </w:tc>
      </w:tr>
      <w:tr w14:paraId="6310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3824CBB3">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w:t>
            </w:r>
          </w:p>
        </w:tc>
        <w:tc>
          <w:tcPr>
            <w:tcW w:w="1985" w:type="dxa"/>
            <w:vAlign w:val="center"/>
          </w:tcPr>
          <w:p w14:paraId="76A75C34">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驾驶舱界面设计</w:t>
            </w:r>
          </w:p>
        </w:tc>
        <w:tc>
          <w:tcPr>
            <w:tcW w:w="5953" w:type="dxa"/>
            <w:vAlign w:val="center"/>
          </w:tcPr>
          <w:p w14:paraId="0D89305A">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根据采购人业务需求设计经营数据驾驶舱的整体界面风格与布局。</w:t>
            </w:r>
          </w:p>
        </w:tc>
      </w:tr>
      <w:tr w14:paraId="46D6E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12672C6F">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w:t>
            </w:r>
          </w:p>
        </w:tc>
        <w:tc>
          <w:tcPr>
            <w:tcW w:w="1985" w:type="dxa"/>
            <w:vAlign w:val="center"/>
          </w:tcPr>
          <w:p w14:paraId="1B2046B7">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经营指标展示</w:t>
            </w:r>
          </w:p>
        </w:tc>
        <w:tc>
          <w:tcPr>
            <w:tcW w:w="5953" w:type="dxa"/>
            <w:vAlign w:val="center"/>
          </w:tcPr>
          <w:p w14:paraId="40458A49">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展示出租率、新签合同数、续签合同数、退租合同数、收缴率等核心经营指标。</w:t>
            </w:r>
          </w:p>
        </w:tc>
      </w:tr>
      <w:tr w14:paraId="71D4D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32F884C5">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3</w:t>
            </w:r>
          </w:p>
        </w:tc>
        <w:tc>
          <w:tcPr>
            <w:tcW w:w="1985" w:type="dxa"/>
            <w:vAlign w:val="center"/>
          </w:tcPr>
          <w:p w14:paraId="030A5056">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后台指标配置</w:t>
            </w:r>
          </w:p>
        </w:tc>
        <w:tc>
          <w:tcPr>
            <w:tcW w:w="5953" w:type="dxa"/>
            <w:vAlign w:val="center"/>
          </w:tcPr>
          <w:p w14:paraId="3DB8B3C2">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支持后台配置需要展示的经营指标及显示范围。</w:t>
            </w:r>
          </w:p>
        </w:tc>
      </w:tr>
      <w:tr w14:paraId="61212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0A914DF3">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4</w:t>
            </w:r>
          </w:p>
        </w:tc>
        <w:tc>
          <w:tcPr>
            <w:tcW w:w="1985" w:type="dxa"/>
            <w:vAlign w:val="center"/>
          </w:tcPr>
          <w:p w14:paraId="03681B54">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多维度筛选</w:t>
            </w:r>
          </w:p>
        </w:tc>
        <w:tc>
          <w:tcPr>
            <w:tcW w:w="5953" w:type="dxa"/>
            <w:vAlign w:val="center"/>
          </w:tcPr>
          <w:p w14:paraId="4BED13E5">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前端支持按时间段、门店范围等维度筛选展示数据。</w:t>
            </w:r>
          </w:p>
        </w:tc>
      </w:tr>
      <w:tr w14:paraId="7F7F7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05A8435C">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w:t>
            </w:r>
          </w:p>
        </w:tc>
        <w:tc>
          <w:tcPr>
            <w:tcW w:w="1985" w:type="dxa"/>
            <w:vAlign w:val="center"/>
          </w:tcPr>
          <w:p w14:paraId="232CD8EB">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多维度图表展示</w:t>
            </w:r>
          </w:p>
        </w:tc>
        <w:tc>
          <w:tcPr>
            <w:tcW w:w="5953" w:type="dxa"/>
            <w:vAlign w:val="center"/>
          </w:tcPr>
          <w:p w14:paraId="0A8A8791">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支持以趋势图、对比图等多种图表形式展示经营数据。</w:t>
            </w:r>
          </w:p>
        </w:tc>
      </w:tr>
      <w:tr w14:paraId="47F37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3D8F9E98">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6</w:t>
            </w:r>
          </w:p>
        </w:tc>
        <w:tc>
          <w:tcPr>
            <w:tcW w:w="1985" w:type="dxa"/>
            <w:vAlign w:val="center"/>
          </w:tcPr>
          <w:p w14:paraId="49C40F73">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指标下钻</w:t>
            </w:r>
          </w:p>
        </w:tc>
        <w:tc>
          <w:tcPr>
            <w:tcW w:w="5953" w:type="dxa"/>
            <w:vAlign w:val="center"/>
          </w:tcPr>
          <w:p w14:paraId="01918DA4">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支持点击指标查看明细数据。</w:t>
            </w:r>
          </w:p>
        </w:tc>
      </w:tr>
    </w:tbl>
    <w:p w14:paraId="1DB5764C">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5.11.3 技术要求</w:t>
      </w:r>
    </w:p>
    <w:p w14:paraId="5587F083">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（1）驾驶舱数据须与业务系统数据实时同步；</w:t>
      </w:r>
    </w:p>
    <w:p w14:paraId="5B22C68D">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（2）图表展示须采用成熟的可视化组件，保证图表渲染性能与交互流畅度；</w:t>
      </w:r>
    </w:p>
    <w:p w14:paraId="6027FDD1">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（3）驾驶舱须支持大屏展示场景。</w:t>
      </w:r>
    </w:p>
    <w:p w14:paraId="794118A8">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六、项目实施要求</w:t>
      </w:r>
    </w:p>
    <w:p w14:paraId="515BEE26">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6.1 项目阶段划分</w:t>
      </w:r>
    </w:p>
    <w:p w14:paraId="4ECC113A">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本项目划分为以下阶段：</w:t>
      </w:r>
    </w:p>
    <w:tbl>
      <w:tblPr>
        <w:tblStyle w:val="35"/>
        <w:tblW w:w="8789"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3686"/>
        <w:gridCol w:w="3118"/>
      </w:tblGrid>
      <w:tr w14:paraId="46B3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5A696864">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b w:val="0"/>
                <w:bCs/>
                <w:color w:val="auto"/>
                <w:sz w:val="21"/>
                <w:szCs w:val="21"/>
              </w:rPr>
              <w:t>阶段</w:t>
            </w:r>
          </w:p>
        </w:tc>
        <w:tc>
          <w:tcPr>
            <w:tcW w:w="3686" w:type="dxa"/>
            <w:vAlign w:val="center"/>
          </w:tcPr>
          <w:p w14:paraId="18D6AECE">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b w:val="0"/>
                <w:bCs/>
                <w:color w:val="auto"/>
                <w:sz w:val="21"/>
                <w:szCs w:val="21"/>
              </w:rPr>
              <w:t>工作内容</w:t>
            </w:r>
          </w:p>
        </w:tc>
        <w:tc>
          <w:tcPr>
            <w:tcW w:w="3118" w:type="dxa"/>
            <w:vAlign w:val="center"/>
          </w:tcPr>
          <w:p w14:paraId="7EFCE395">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b w:val="0"/>
                <w:bCs/>
                <w:color w:val="auto"/>
                <w:sz w:val="21"/>
                <w:szCs w:val="21"/>
              </w:rPr>
              <w:t>交付物</w:t>
            </w:r>
          </w:p>
        </w:tc>
      </w:tr>
      <w:tr w14:paraId="7EE1A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79FF7409">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前置准备阶段</w:t>
            </w:r>
          </w:p>
        </w:tc>
        <w:tc>
          <w:tcPr>
            <w:tcW w:w="3686" w:type="dxa"/>
            <w:vAlign w:val="center"/>
          </w:tcPr>
          <w:p w14:paraId="58136EB6">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研读遗留代码、梳理数据库结构、盘点历史BUG、搭建开发/测试/生产环境。</w:t>
            </w:r>
          </w:p>
        </w:tc>
        <w:tc>
          <w:tcPr>
            <w:tcW w:w="3118" w:type="dxa"/>
            <w:vAlign w:val="center"/>
          </w:tcPr>
          <w:p w14:paraId="7C8B1641">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代码研读报告、数据库结构文档、环境部署确认单。</w:t>
            </w:r>
          </w:p>
        </w:tc>
      </w:tr>
      <w:tr w14:paraId="063D4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322352F3">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模块开发阶段（1-11项）</w:t>
            </w:r>
          </w:p>
        </w:tc>
        <w:tc>
          <w:tcPr>
            <w:tcW w:w="3686" w:type="dxa"/>
            <w:vAlign w:val="center"/>
          </w:tcPr>
          <w:p w14:paraId="10321204">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按功能模块依次完成设计、开发、单元测试。</w:t>
            </w:r>
          </w:p>
        </w:tc>
        <w:tc>
          <w:tcPr>
            <w:tcW w:w="3118" w:type="dxa"/>
            <w:vAlign w:val="center"/>
          </w:tcPr>
          <w:p w14:paraId="6BE9DFD8">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各模块设计文档、源码、单元测试报告。</w:t>
            </w:r>
          </w:p>
        </w:tc>
      </w:tr>
      <w:tr w14:paraId="2D482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78693CCD">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潜在功能调整阶段</w:t>
            </w:r>
          </w:p>
        </w:tc>
        <w:tc>
          <w:tcPr>
            <w:tcW w:w="3686" w:type="dxa"/>
            <w:vAlign w:val="center"/>
          </w:tcPr>
          <w:p w14:paraId="784E863F">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处理11项大功能中未详细列明的细项功能调整。</w:t>
            </w:r>
          </w:p>
        </w:tc>
        <w:tc>
          <w:tcPr>
            <w:tcW w:w="3118" w:type="dxa"/>
            <w:vAlign w:val="center"/>
          </w:tcPr>
          <w:p w14:paraId="77810FCD">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功能调整确认单。</w:t>
            </w:r>
          </w:p>
        </w:tc>
      </w:tr>
      <w:tr w14:paraId="23CC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43396F2F">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集成与交付阶段</w:t>
            </w:r>
          </w:p>
        </w:tc>
        <w:tc>
          <w:tcPr>
            <w:tcW w:w="3686" w:type="dxa"/>
            <w:vAlign w:val="center"/>
          </w:tcPr>
          <w:p w14:paraId="0D6B2F73">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全系统集成回归测试、UAT验收、BUG闭环、生产环境部署、操作培训、文档交付。</w:t>
            </w:r>
          </w:p>
        </w:tc>
        <w:tc>
          <w:tcPr>
            <w:tcW w:w="3118" w:type="dxa"/>
            <w:vAlign w:val="center"/>
          </w:tcPr>
          <w:p w14:paraId="64080C4B">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集成测试报告、UAT验收报告、部署手册、用户操作手册、全套源码。</w:t>
            </w:r>
          </w:p>
        </w:tc>
      </w:tr>
    </w:tbl>
    <w:p w14:paraId="0D556B4B">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6.2 工期要求</w:t>
      </w:r>
    </w:p>
    <w:p w14:paraId="4AA2007D">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（1）项目总开发周期为5个月（自合同签订之日起计算）；</w:t>
      </w:r>
    </w:p>
    <w:p w14:paraId="00315BB7">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（2）供应商须在合同签订后7个日历日内完成前置准备阶段全部工作；</w:t>
      </w:r>
    </w:p>
    <w:p w14:paraId="790A6002">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（3）各阶段具体进度计划须在项目启动后3个工作日内提交采购人审核确认。</w:t>
      </w:r>
    </w:p>
    <w:p w14:paraId="43824959">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6.3 部署与上线要求</w:t>
      </w:r>
    </w:p>
    <w:p w14:paraId="7844B1F2">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6.3.1 测试环境部署</w:t>
      </w:r>
    </w:p>
    <w:p w14:paraId="7E6B9037">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（1）采购人负责租用两台8核32G 300G硬盘的云主机作为测试服务器（首年费用2.4万元由采购人承担）；</w:t>
      </w:r>
    </w:p>
    <w:p w14:paraId="7F887F32">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（2）供应商负责在测试服务器上完成系统部署、数据库初始化及配置。</w:t>
      </w:r>
    </w:p>
    <w:p w14:paraId="32848CB0">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6.3.2 用户验收测试（UAT）</w:t>
      </w:r>
    </w:p>
    <w:p w14:paraId="22160897">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（1）全部功能开发完成后，供应商提交UAT测试申请；</w:t>
      </w:r>
    </w:p>
    <w:p w14:paraId="42545BBA">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（2）采购人在测试环境完成UAT验收测试；</w:t>
      </w:r>
    </w:p>
    <w:p w14:paraId="394FC45D">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（3）UAT测试期间发现的BUG须在约定时间内完成修复并回归验证。</w:t>
      </w:r>
    </w:p>
    <w:p w14:paraId="442CFCCD">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6.3.3 生产环境部署</w:t>
      </w:r>
    </w:p>
    <w:p w14:paraId="0CEB1639">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（1）UAT验收通过后，采购人提供生产服务器，由供应商完成新版系统部署；</w:t>
      </w:r>
    </w:p>
    <w:p w14:paraId="31C042B4">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（2）部署完成后须对接采购人真实生产业务数据进行验证。</w:t>
      </w:r>
    </w:p>
    <w:p w14:paraId="37CBBD7F">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6.3.4 双轨试运行</w:t>
      </w:r>
    </w:p>
    <w:p w14:paraId="1E317D44">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bookmarkStart w:id="18" w:name="OLE_LINK8"/>
      <w:r>
        <w:rPr>
          <w:rFonts w:hint="eastAsia" w:ascii="宋体" w:hAnsi="宋体" w:eastAsia="宋体" w:cs="宋体"/>
          <w:b w:val="0"/>
          <w:bCs/>
          <w:color w:val="auto"/>
          <w:sz w:val="21"/>
          <w:szCs w:val="21"/>
        </w:rPr>
        <w:t>（1）</w:t>
      </w:r>
      <w:bookmarkEnd w:id="18"/>
      <w:r>
        <w:rPr>
          <w:rFonts w:hint="eastAsia" w:ascii="宋体" w:hAnsi="宋体" w:eastAsia="宋体" w:cs="宋体"/>
          <w:b w:val="0"/>
          <w:bCs/>
          <w:color w:val="auto"/>
          <w:sz w:val="21"/>
          <w:szCs w:val="21"/>
        </w:rPr>
        <w:t>生产环境部署完成后进入30个自然日的双轨试运行期；</w:t>
      </w:r>
    </w:p>
    <w:p w14:paraId="6B9F6228">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（2）试运行期间：原有存量业务仍在旧系统操作；新系统仅做数据查看，不支持修改原有业务数据；本合同约定的全部新增功能统一在新版系统操作试用；</w:t>
      </w:r>
    </w:p>
    <w:p w14:paraId="5C858B2C">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（3）试运行满30日，双方核对全周期业务数据无误后，整体切换至新版系统作为唯一业务运营系统；</w:t>
      </w:r>
    </w:p>
    <w:p w14:paraId="0A38ED88">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（4）旧系统调整为只读归档模式，仅留存历史数据查询功能。</w:t>
      </w:r>
    </w:p>
    <w:p w14:paraId="44FD2604">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6.4 培训要求</w:t>
      </w:r>
    </w:p>
    <w:p w14:paraId="3EA8365A">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bookmarkStart w:id="19" w:name="OLE_LINK9"/>
      <w:r>
        <w:rPr>
          <w:rFonts w:hint="eastAsia" w:ascii="宋体" w:hAnsi="宋体" w:eastAsia="宋体" w:cs="宋体"/>
          <w:b w:val="0"/>
          <w:bCs/>
          <w:color w:val="auto"/>
          <w:sz w:val="21"/>
          <w:szCs w:val="21"/>
        </w:rPr>
        <w:t>（1）</w:t>
      </w:r>
      <w:bookmarkEnd w:id="19"/>
      <w:r>
        <w:rPr>
          <w:rFonts w:hint="eastAsia" w:ascii="宋体" w:hAnsi="宋体" w:eastAsia="宋体" w:cs="宋体"/>
          <w:b w:val="0"/>
          <w:bCs/>
          <w:color w:val="auto"/>
          <w:sz w:val="21"/>
          <w:szCs w:val="21"/>
        </w:rPr>
        <w:t>系统上线完成后，供应商须提供5天现场或远程操作培训；</w:t>
      </w:r>
    </w:p>
    <w:p w14:paraId="5639FECC">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（2）培训对象为采购人系统管理员及关键业务操作人员；</w:t>
      </w:r>
    </w:p>
    <w:p w14:paraId="09F0CBBA">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（3）培训内容须覆盖全部新增功能的操作使用。</w:t>
      </w:r>
    </w:p>
    <w:p w14:paraId="75C45C75">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6.5 交付物要求</w:t>
      </w:r>
    </w:p>
    <w:p w14:paraId="028C2D81">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项目终验后，供应商须完整交付以下成果物：全套项目源代码（含采购人原有代码及供应商新增代码）；数据库脚本及数据库设计文档；系统部署手册；产品PRD（产品需求文档）；交互原型设计文件；用户操作培训手册。</w:t>
      </w:r>
    </w:p>
    <w:p w14:paraId="56BA543A">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七、验收标准</w:t>
      </w:r>
    </w:p>
    <w:p w14:paraId="0E03BCF1">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7.1 分阶段验收</w:t>
      </w:r>
    </w:p>
    <w:p w14:paraId="40741C5A">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本项目采用分阶段验收方式：</w:t>
      </w:r>
    </w:p>
    <w:tbl>
      <w:tblPr>
        <w:tblStyle w:val="35"/>
        <w:tblW w:w="8789"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2977"/>
        <w:gridCol w:w="3827"/>
      </w:tblGrid>
      <w:tr w14:paraId="5AD3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523CC13E">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b w:val="0"/>
                <w:bCs/>
                <w:color w:val="auto"/>
                <w:sz w:val="21"/>
                <w:szCs w:val="21"/>
              </w:rPr>
              <w:t>阶段</w:t>
            </w:r>
          </w:p>
        </w:tc>
        <w:tc>
          <w:tcPr>
            <w:tcW w:w="2977" w:type="dxa"/>
            <w:vAlign w:val="center"/>
          </w:tcPr>
          <w:p w14:paraId="7FCE4E8C">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b w:val="0"/>
                <w:bCs/>
                <w:color w:val="auto"/>
                <w:sz w:val="21"/>
                <w:szCs w:val="21"/>
              </w:rPr>
              <w:t>工作内容</w:t>
            </w:r>
          </w:p>
        </w:tc>
        <w:tc>
          <w:tcPr>
            <w:tcW w:w="3827" w:type="dxa"/>
            <w:vAlign w:val="center"/>
          </w:tcPr>
          <w:p w14:paraId="28A847B3">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b w:val="0"/>
                <w:bCs/>
                <w:color w:val="auto"/>
                <w:sz w:val="21"/>
                <w:szCs w:val="21"/>
              </w:rPr>
              <w:t>交付物</w:t>
            </w:r>
          </w:p>
        </w:tc>
      </w:tr>
      <w:tr w14:paraId="78ECA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78690DD7">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需求评审验收</w:t>
            </w:r>
          </w:p>
        </w:tc>
        <w:tc>
          <w:tcPr>
            <w:tcW w:w="2977" w:type="dxa"/>
            <w:vAlign w:val="center"/>
          </w:tcPr>
          <w:p w14:paraId="7144FB58">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PRD、原型设计</w:t>
            </w:r>
          </w:p>
        </w:tc>
        <w:tc>
          <w:tcPr>
            <w:tcW w:w="3827" w:type="dxa"/>
            <w:vAlign w:val="center"/>
          </w:tcPr>
          <w:p w14:paraId="7E6B641D">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采购人业务部门书面确认</w:t>
            </w:r>
          </w:p>
        </w:tc>
      </w:tr>
      <w:tr w14:paraId="3F203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2963EF27">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开发UAT测试验收</w:t>
            </w:r>
          </w:p>
        </w:tc>
        <w:tc>
          <w:tcPr>
            <w:tcW w:w="2977" w:type="dxa"/>
            <w:vAlign w:val="center"/>
          </w:tcPr>
          <w:p w14:paraId="79DA6EAD">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全部功能模块</w:t>
            </w:r>
          </w:p>
        </w:tc>
        <w:tc>
          <w:tcPr>
            <w:tcW w:w="3827" w:type="dxa"/>
            <w:vAlign w:val="center"/>
          </w:tcPr>
          <w:p w14:paraId="4BD4D5F0">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测试环境功能验证通过，无阻断性BUG</w:t>
            </w:r>
          </w:p>
        </w:tc>
      </w:tr>
      <w:tr w14:paraId="0A1D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512C0837">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生产环境上线终验</w:t>
            </w:r>
          </w:p>
        </w:tc>
        <w:tc>
          <w:tcPr>
            <w:tcW w:w="2977" w:type="dxa"/>
            <w:vAlign w:val="center"/>
          </w:tcPr>
          <w:p w14:paraId="2143FF5F">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生产环境部署、双轨试运行</w:t>
            </w:r>
          </w:p>
        </w:tc>
        <w:tc>
          <w:tcPr>
            <w:tcW w:w="3827" w:type="dxa"/>
            <w:vAlign w:val="center"/>
          </w:tcPr>
          <w:p w14:paraId="48A8ADBD">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全部需求功能正常运行、数据准确</w:t>
            </w:r>
          </w:p>
        </w:tc>
      </w:tr>
    </w:tbl>
    <w:p w14:paraId="297614FF">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7.2终验标准</w:t>
      </w:r>
    </w:p>
    <w:p w14:paraId="2BE06AF3">
      <w:pPr>
        <w:pStyle w:val="17"/>
        <w:keepNext w:val="0"/>
        <w:keepLines w:val="0"/>
        <w:pageBreakBefore w:val="0"/>
        <w:widowControl w:val="0"/>
        <w:tabs>
          <w:tab w:val="left" w:pos="540"/>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项目终验须满足以下全部标准：全部需求功能正常运行；系统无阻断性BUG（P0/P1级别缺陷为零）；各类报表导出符合采购人财务及运营规范；消息推送全场景可用（账单提醒、问卷推送等）；驾驶舱指标数据计算准确、与业务数据一致。</w:t>
      </w:r>
    </w:p>
    <w:p w14:paraId="5B73BC99">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7.3验收时限</w:t>
      </w:r>
    </w:p>
    <w:p w14:paraId="02172F00">
      <w:pPr>
        <w:pStyle w:val="17"/>
        <w:keepNext w:val="0"/>
        <w:keepLines w:val="0"/>
        <w:pageBreakBefore w:val="0"/>
        <w:widowControl w:val="0"/>
        <w:tabs>
          <w:tab w:val="left" w:pos="540"/>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采购人在收到供应商提交的正式验收申请后，须在30个工作日内完成验收。逾期未提出书面异议的，视为自动验收通过。</w:t>
      </w:r>
    </w:p>
    <w:p w14:paraId="4E72B850">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八、质量保证与售后服务</w:t>
      </w:r>
    </w:p>
    <w:p w14:paraId="2215C070">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8.1 质保期</w:t>
      </w:r>
    </w:p>
    <w:p w14:paraId="37845E55">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（1）本项目免费质保期为系统正式上线终验通过之日起12个月；</w:t>
      </w:r>
    </w:p>
    <w:p w14:paraId="6C23ADF4">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（2）质保期内，供应商负责修复本合同约定范围内新增或修改功能的BUG。</w:t>
      </w:r>
    </w:p>
    <w:p w14:paraId="2FD569FE">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8.2 质保范围说明</w:t>
      </w:r>
    </w:p>
    <w:p w14:paraId="02B39EFD">
      <w:pPr>
        <w:pStyle w:val="17"/>
        <w:keepNext w:val="0"/>
        <w:keepLines w:val="0"/>
        <w:pageBreakBefore w:val="0"/>
        <w:widowControl w:val="0"/>
        <w:tabs>
          <w:tab w:val="left" w:pos="540"/>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质保期服务范围限定于：本项目新增开发的功能模块；本项目修改优化的既有功能模块；因上述新增或修改功能引发的系统运行异常。</w:t>
      </w:r>
    </w:p>
    <w:p w14:paraId="3FE6FD8B">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8.3 故障响应要求</w:t>
      </w:r>
    </w:p>
    <w:p w14:paraId="1B9988BB">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质保期内，供应商须按以下标准提供技术支持服务：</w:t>
      </w:r>
    </w:p>
    <w:tbl>
      <w:tblPr>
        <w:tblStyle w:val="35"/>
        <w:tblW w:w="8080"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03"/>
        <w:gridCol w:w="4677"/>
      </w:tblGrid>
      <w:tr w14:paraId="6C4A0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403" w:type="dxa"/>
            <w:vAlign w:val="center"/>
          </w:tcPr>
          <w:p w14:paraId="11BBF0E5">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b w:val="0"/>
                <w:bCs/>
                <w:color w:val="auto"/>
                <w:sz w:val="21"/>
                <w:szCs w:val="21"/>
              </w:rPr>
              <w:t>故障等级</w:t>
            </w:r>
          </w:p>
        </w:tc>
        <w:tc>
          <w:tcPr>
            <w:tcW w:w="4677" w:type="dxa"/>
            <w:vAlign w:val="center"/>
          </w:tcPr>
          <w:p w14:paraId="72152B39">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b w:val="0"/>
                <w:bCs/>
                <w:color w:val="auto"/>
                <w:sz w:val="21"/>
                <w:szCs w:val="21"/>
              </w:rPr>
              <w:t>响应要求</w:t>
            </w:r>
          </w:p>
        </w:tc>
      </w:tr>
      <w:tr w14:paraId="73E03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center"/>
          </w:tcPr>
          <w:p w14:paraId="6F1E6164">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常规问题</w:t>
            </w:r>
          </w:p>
        </w:tc>
        <w:tc>
          <w:tcPr>
            <w:tcW w:w="4677" w:type="dxa"/>
            <w:vAlign w:val="center"/>
          </w:tcPr>
          <w:p w14:paraId="7B8B1AF5">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24小时内远程响应</w:t>
            </w:r>
          </w:p>
        </w:tc>
      </w:tr>
      <w:tr w14:paraId="2156B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center"/>
          </w:tcPr>
          <w:p w14:paraId="7C991249">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系统瘫痪等紧急故障</w:t>
            </w:r>
          </w:p>
        </w:tc>
        <w:tc>
          <w:tcPr>
            <w:tcW w:w="4677" w:type="dxa"/>
            <w:vAlign w:val="center"/>
          </w:tcPr>
          <w:p w14:paraId="175F7A6D">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4小时内工程师介入排查</w:t>
            </w:r>
          </w:p>
        </w:tc>
      </w:tr>
      <w:tr w14:paraId="120C9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vAlign w:val="center"/>
          </w:tcPr>
          <w:p w14:paraId="167B524C">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故障等级</w:t>
            </w:r>
          </w:p>
        </w:tc>
        <w:tc>
          <w:tcPr>
            <w:tcW w:w="4677" w:type="dxa"/>
            <w:vAlign w:val="center"/>
          </w:tcPr>
          <w:p w14:paraId="1410E176">
            <w:pPr>
              <w:pStyle w:val="17"/>
              <w:keepNext w:val="0"/>
              <w:keepLines w:val="0"/>
              <w:pageBreakBefore w:val="0"/>
              <w:widowControl w:val="0"/>
              <w:tabs>
                <w:tab w:val="left" w:pos="540"/>
              </w:tabs>
              <w:kinsoku/>
              <w:wordWrap/>
              <w:overflowPunct/>
              <w:topLinePunct w:val="0"/>
              <w:autoSpaceDE/>
              <w:autoSpaceDN/>
              <w:bidi w:val="0"/>
              <w:adjustRightInd/>
              <w:snapToGrid/>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响应要求</w:t>
            </w:r>
          </w:p>
        </w:tc>
      </w:tr>
    </w:tbl>
    <w:p w14:paraId="778440B8">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8.4 质保期外服务</w:t>
      </w:r>
    </w:p>
    <w:p w14:paraId="27B3C483">
      <w:pPr>
        <w:pStyle w:val="17"/>
        <w:keepNext w:val="0"/>
        <w:keepLines w:val="0"/>
        <w:pageBreakBefore w:val="0"/>
        <w:widowControl w:val="0"/>
        <w:tabs>
          <w:tab w:val="left" w:pos="540"/>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质保期满后，如采购人需要继续获得系统维护服务，双方另行协商签订维护服务合同。</w:t>
      </w:r>
    </w:p>
    <w:p w14:paraId="36869E32">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九、 知识产权</w:t>
      </w:r>
    </w:p>
    <w:p w14:paraId="656FBE60">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9.1 知识产权归属</w:t>
      </w:r>
    </w:p>
    <w:p w14:paraId="0AE75D64">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（1）本项目开发完成后，由采购人提供的源代码及基于采购人源代码开发的业务功能，其著作权归采购人所有；</w:t>
      </w:r>
    </w:p>
    <w:p w14:paraId="68F68A1C">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（2）供应商在开发前已具备的通用开发框架、公共工具类、通用组件、算法等，迁移至本项目或用于本项目优化的，其知识产权仍归供应商所有，不受采购人著作权约束。</w:t>
      </w:r>
    </w:p>
    <w:p w14:paraId="551D4AA2">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9.2 使用限制</w:t>
      </w:r>
    </w:p>
    <w:p w14:paraId="5FC5095C">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（1）供应商可复用通用底层工具、公共组件，但不得将采购人业务专属代码、租户数据、财务逻辑用于其他第三方项目；</w:t>
      </w:r>
    </w:p>
    <w:p w14:paraId="2504E677">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（2）采购人不得将供应商交付的新增源码用于合同约定范围外的商业分发或转售。</w:t>
      </w:r>
    </w:p>
    <w:p w14:paraId="480A271E">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十、保密条款</w:t>
      </w:r>
    </w:p>
    <w:p w14:paraId="2594B18B">
      <w:pPr>
        <w:pStyle w:val="17"/>
        <w:keepNext w:val="0"/>
        <w:keepLines w:val="0"/>
        <w:pageBreakBefore w:val="0"/>
        <w:widowControl w:val="0"/>
        <w:tabs>
          <w:tab w:val="left" w:pos="540"/>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采购人、供应商双方对合作过程中获取的对方业务数据、代码、财务信息、客户资料等承担永久保密义务；未经对方书面许可，不得向任何第三方泄露上述保密信息；合同终止后，保密义务持续有效。</w:t>
      </w:r>
    </w:p>
    <w:p w14:paraId="546BE947">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十一、其他说明</w:t>
      </w:r>
    </w:p>
    <w:p w14:paraId="4AE12315">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11.1 第三方费用说明</w:t>
      </w:r>
    </w:p>
    <w:p w14:paraId="5415CF52">
      <w:pPr>
        <w:pStyle w:val="17"/>
        <w:keepNext w:val="0"/>
        <w:keepLines w:val="0"/>
        <w:pageBreakBefore w:val="0"/>
        <w:widowControl w:val="0"/>
        <w:tabs>
          <w:tab w:val="left" w:pos="540"/>
        </w:tabs>
        <w:kinsoku/>
        <w:wordWrap/>
        <w:overflowPunct/>
        <w:topLinePunct w:val="0"/>
        <w:autoSpaceDE/>
        <w:autoSpaceDN/>
        <w:bidi w:val="0"/>
        <w:adjustRightInd/>
        <w:snapToGrid/>
        <w:ind w:firstLine="420" w:firstLineChars="2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以下费用由采购人另行承担，不包含在本项目开发费用中：服务器硬件、带宽等基础设施费用；微信认证、电子签章等第三方平台费用；电子开票系统（诺诺、航天信息）年费，单个公司税号不高于1万元/年，次年续费不高于3000元/年。</w:t>
      </w:r>
    </w:p>
    <w:p w14:paraId="63BF4E29">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11.2 投标报价要求</w:t>
      </w:r>
    </w:p>
    <w:p w14:paraId="398D2765">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（1）本项目为基于存量系统的二次开发项目，投标人须充分评估遗留代码研读与技术债务处理的复杂度；</w:t>
      </w:r>
    </w:p>
    <w:p w14:paraId="0B0C5CFC">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（2）投标人须基于本项目功能需求及工作量参考进行合理报价；报价须包含软件开发费、实施服务费（含部署、培训、文档交付等）；硬件租赁费等所有费用，采购人不再另行支付任费用。</w:t>
      </w:r>
    </w:p>
    <w:p w14:paraId="3EC1FAE9">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十二、变更</w:t>
      </w:r>
    </w:p>
    <w:p w14:paraId="4E50C521">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12.1变更流程</w:t>
      </w:r>
    </w:p>
    <w:p w14:paraId="2D567190">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（1）书面提出：任何一方提出变更请求，均须提交书面《需求变更说明书》。</w:t>
      </w:r>
    </w:p>
    <w:p w14:paraId="684F61E6">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（2）限期评估：收到说明书后，应在约定时间内（3个工作日）评估其对工作量、工期、费用、技术架构的影响，并书面回复。</w:t>
      </w:r>
    </w:p>
    <w:p w14:paraId="486BA46C">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（3）书面确认：双方就评估结果达成一致后，签署书面变更协议或确认函，作为后续开发和计费的依据。</w:t>
      </w:r>
    </w:p>
    <w:p w14:paraId="648FA457">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（4）继续履行：在变更达成一致前，双方应继续履行原合同义务。</w:t>
      </w:r>
    </w:p>
    <w:p w14:paraId="2A690730">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12.2计价模型</w:t>
      </w:r>
    </w:p>
    <w:p w14:paraId="4EE0814D">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（1）阈值内免费：约定一个小幅变更阈值，例如，累计变更工作量在原项目总人天（584人天）的10%以内（约58人天），乙方免费配合修改，不增加费用。</w:t>
      </w:r>
    </w:p>
    <w:p w14:paraId="125D530E">
      <w:pPr>
        <w:pStyle w:val="17"/>
        <w:keepNext w:val="0"/>
        <w:keepLines w:val="0"/>
        <w:pageBreakBefore w:val="0"/>
        <w:widowControl w:val="0"/>
        <w:tabs>
          <w:tab w:val="left" w:pos="540"/>
        </w:tabs>
        <w:kinsoku/>
        <w:wordWrap/>
        <w:overflowPunct/>
        <w:topLinePunct w:val="0"/>
        <w:autoSpaceDE/>
        <w:autoSpaceDN/>
        <w:bidi w:val="0"/>
        <w:adjustRightInd/>
        <w:snapToGrid/>
        <w:textAlignment w:val="auto"/>
        <w:rPr>
          <w:rFonts w:hint="eastAsia" w:ascii="宋体" w:hAnsi="宋体" w:eastAsia="宋体" w:cs="宋体"/>
          <w:b w:val="0"/>
          <w:bCs/>
          <w:color w:val="auto"/>
        </w:rPr>
      </w:pPr>
      <w:r>
        <w:rPr>
          <w:rFonts w:hint="eastAsia" w:ascii="宋体" w:hAnsi="宋体" w:eastAsia="宋体" w:cs="宋体"/>
          <w:b w:val="0"/>
          <w:bCs/>
          <w:color w:val="auto"/>
          <w:sz w:val="21"/>
          <w:szCs w:val="21"/>
        </w:rPr>
        <w:t>（2）超出部分计费：超出阈值部分，按双方确认的新增人天 × 约定人天单价进行计费。人天单价可参考合同总价的人天单价（约 942元/人天，计算自55万/584人天）。</w:t>
      </w:r>
    </w:p>
    <w:p w14:paraId="2B68AAA7">
      <w:pPr>
        <w:rPr>
          <w:rFonts w:hint="eastAsia" w:ascii="宋体" w:hAnsi="宋体" w:eastAsia="宋体" w:cs="宋体"/>
          <w:color w:val="auto"/>
          <w:sz w:val="28"/>
          <w:szCs w:val="28"/>
        </w:rPr>
      </w:pPr>
      <w:r>
        <w:rPr>
          <w:rFonts w:hint="eastAsia" w:ascii="宋体" w:hAnsi="宋体" w:eastAsia="宋体" w:cs="宋体"/>
          <w:color w:val="auto"/>
          <w:sz w:val="28"/>
          <w:szCs w:val="28"/>
        </w:rPr>
        <w:br w:type="page"/>
      </w:r>
    </w:p>
    <w:p w14:paraId="4682284F">
      <w:pPr>
        <w:pStyle w:val="3"/>
        <w:spacing w:before="0" w:after="0" w:line="240" w:lineRule="auto"/>
        <w:jc w:val="center"/>
        <w:rPr>
          <w:rFonts w:hint="eastAsia" w:ascii="宋体" w:hAnsi="宋体" w:eastAsia="宋体" w:cs="宋体"/>
          <w:color w:val="auto"/>
          <w:sz w:val="24"/>
          <w:szCs w:val="24"/>
        </w:rPr>
      </w:pPr>
      <w:bookmarkStart w:id="20" w:name="_Toc31686"/>
      <w:r>
        <w:rPr>
          <w:rFonts w:hint="eastAsia" w:ascii="宋体" w:hAnsi="宋体" w:eastAsia="宋体" w:cs="宋体"/>
          <w:color w:val="auto"/>
          <w:sz w:val="28"/>
          <w:szCs w:val="28"/>
        </w:rPr>
        <w:t>第四部分投标人须知</w:t>
      </w:r>
      <w:bookmarkEnd w:id="20"/>
    </w:p>
    <w:p w14:paraId="0A51335F">
      <w:pPr>
        <w:pStyle w:val="4"/>
        <w:numPr>
          <w:ilvl w:val="0"/>
          <w:numId w:val="1"/>
        </w:numPr>
        <w:spacing w:line="480" w:lineRule="auto"/>
        <w:jc w:val="center"/>
        <w:rPr>
          <w:rFonts w:hint="eastAsia" w:ascii="宋体" w:hAnsi="宋体" w:eastAsia="宋体" w:cs="宋体"/>
          <w:color w:val="auto"/>
        </w:rPr>
      </w:pPr>
      <w:bookmarkStart w:id="21" w:name="_Toc18524"/>
      <w:r>
        <w:rPr>
          <w:rFonts w:hint="eastAsia" w:ascii="宋体" w:hAnsi="宋体" w:eastAsia="宋体" w:cs="宋体"/>
          <w:color w:val="auto"/>
        </w:rPr>
        <w:t>说明</w:t>
      </w:r>
      <w:bookmarkEnd w:id="21"/>
    </w:p>
    <w:p w14:paraId="682C80BA">
      <w:pPr>
        <w:pStyle w:val="5"/>
        <w:widowControl w:val="0"/>
        <w:numPr>
          <w:ilvl w:val="0"/>
          <w:numId w:val="2"/>
        </w:numPr>
        <w:overflowPunct w:val="0"/>
        <w:rPr>
          <w:rFonts w:hint="eastAsia" w:ascii="宋体" w:hAnsi="宋体" w:eastAsia="宋体" w:cs="宋体"/>
          <w:color w:val="auto"/>
          <w:sz w:val="21"/>
          <w:szCs w:val="21"/>
        </w:rPr>
      </w:pPr>
      <w:bookmarkStart w:id="22" w:name="_Toc3534"/>
      <w:bookmarkStart w:id="23" w:name="_Toc9037"/>
      <w:r>
        <w:rPr>
          <w:rFonts w:hint="eastAsia" w:ascii="宋体" w:hAnsi="宋体" w:eastAsia="宋体" w:cs="宋体"/>
          <w:color w:val="auto"/>
          <w:sz w:val="21"/>
          <w:szCs w:val="21"/>
        </w:rPr>
        <w:t>适用范围</w:t>
      </w:r>
      <w:bookmarkEnd w:id="22"/>
      <w:bookmarkEnd w:id="23"/>
    </w:p>
    <w:p w14:paraId="0E5348C6">
      <w:pPr>
        <w:rPr>
          <w:rFonts w:hint="eastAsia" w:ascii="宋体" w:hAnsi="宋体" w:eastAsia="宋体" w:cs="宋体"/>
          <w:color w:val="auto"/>
        </w:rPr>
      </w:pPr>
    </w:p>
    <w:p w14:paraId="2C1B884E">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采购范围：见本文件《用户需求书》</w:t>
      </w:r>
    </w:p>
    <w:p w14:paraId="3748F0E7">
      <w:pPr>
        <w:rPr>
          <w:rFonts w:hint="eastAsia" w:ascii="宋体" w:hAnsi="宋体" w:eastAsia="宋体" w:cs="宋体"/>
          <w:color w:val="auto"/>
        </w:rPr>
      </w:pPr>
    </w:p>
    <w:p w14:paraId="044E9C39">
      <w:pPr>
        <w:pStyle w:val="5"/>
        <w:widowControl w:val="0"/>
        <w:numPr>
          <w:ilvl w:val="0"/>
          <w:numId w:val="2"/>
        </w:numPr>
        <w:overflowPunct w:val="0"/>
        <w:rPr>
          <w:rFonts w:hint="eastAsia" w:ascii="宋体" w:hAnsi="宋体" w:eastAsia="宋体" w:cs="宋体"/>
          <w:color w:val="auto"/>
          <w:sz w:val="21"/>
          <w:szCs w:val="21"/>
        </w:rPr>
      </w:pPr>
      <w:bookmarkStart w:id="24" w:name="_Toc1530"/>
      <w:bookmarkStart w:id="25" w:name="_Toc303084246"/>
      <w:bookmarkStart w:id="26" w:name="_Toc30994"/>
      <w:bookmarkStart w:id="27" w:name="_Toc20286"/>
      <w:bookmarkStart w:id="28" w:name="_Toc298847174"/>
      <w:bookmarkStart w:id="29" w:name="_Toc382049092"/>
      <w:r>
        <w:rPr>
          <w:rFonts w:hint="eastAsia" w:ascii="宋体" w:hAnsi="宋体" w:eastAsia="宋体" w:cs="宋体"/>
          <w:color w:val="auto"/>
          <w:sz w:val="21"/>
          <w:szCs w:val="21"/>
        </w:rPr>
        <w:t>定义</w:t>
      </w:r>
      <w:bookmarkEnd w:id="24"/>
      <w:bookmarkEnd w:id="25"/>
      <w:bookmarkEnd w:id="26"/>
      <w:bookmarkEnd w:id="27"/>
      <w:bookmarkEnd w:id="28"/>
      <w:bookmarkEnd w:id="29"/>
    </w:p>
    <w:p w14:paraId="56CBE310">
      <w:pPr>
        <w:pStyle w:val="47"/>
        <w:widowControl w:val="0"/>
        <w:adjustRightInd/>
        <w:snapToGrid/>
        <w:ind w:left="425" w:hanging="425" w:firstLineChars="0"/>
        <w:jc w:val="both"/>
        <w:rPr>
          <w:rFonts w:hint="eastAsia" w:ascii="宋体" w:hAnsi="宋体" w:eastAsia="宋体" w:cs="宋体"/>
          <w:vanish/>
          <w:color w:val="auto"/>
          <w:szCs w:val="21"/>
        </w:rPr>
      </w:pPr>
    </w:p>
    <w:p w14:paraId="66D2CB08">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采购人：见投标邀请书。</w:t>
      </w:r>
    </w:p>
    <w:p w14:paraId="3FC3D32A">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投标人：响应采购并且符合采购文件规定资格条件和参加投标竞争的法人、其他组织或者自然人。</w:t>
      </w:r>
    </w:p>
    <w:p w14:paraId="5688C341">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法人：法人是依法在国内进行注册并具有民事权利能力和民事行为能力，依法独立享有民事权利和承担民事义务的组织。</w:t>
      </w:r>
    </w:p>
    <w:p w14:paraId="57B77C03">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中标人：指经评标委员会评审推荐、采购人确认的获得本项目中标资格的投标人。</w:t>
      </w:r>
    </w:p>
    <w:p w14:paraId="351D7268">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采购代理机构：见投标邀请书。</w:t>
      </w:r>
    </w:p>
    <w:p w14:paraId="45BAC829">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评标委员会：评标委员会是依据相关规定组建的专门负责本次采购其评标工作的临时性机构。</w:t>
      </w:r>
    </w:p>
    <w:p w14:paraId="299DB891">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合同：指由本次采购所产生的合同或合约文件。</w:t>
      </w:r>
    </w:p>
    <w:p w14:paraId="22BE6D31">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公章：公章是指经过正规的法定程序并备案的法人公章与投标专用章。（投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p>
    <w:p w14:paraId="7E6FB475">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时间：本文件规定按日计算期间的，开始当天不计入，从次日开始计算。期限的最后一日是国家法定节假日的，顺延到节假日后的次日为期限的最后一日。</w:t>
      </w:r>
    </w:p>
    <w:p w14:paraId="1E6AED88">
      <w:pPr>
        <w:rPr>
          <w:rFonts w:hint="eastAsia" w:ascii="宋体" w:hAnsi="宋体" w:eastAsia="宋体" w:cs="宋体"/>
          <w:color w:val="auto"/>
        </w:rPr>
      </w:pPr>
    </w:p>
    <w:p w14:paraId="07274C28">
      <w:pPr>
        <w:pStyle w:val="5"/>
        <w:widowControl w:val="0"/>
        <w:numPr>
          <w:ilvl w:val="0"/>
          <w:numId w:val="2"/>
        </w:numPr>
        <w:overflowPunct w:val="0"/>
        <w:rPr>
          <w:rFonts w:hint="eastAsia" w:ascii="宋体" w:hAnsi="宋体" w:eastAsia="宋体" w:cs="宋体"/>
          <w:color w:val="auto"/>
          <w:sz w:val="21"/>
          <w:szCs w:val="21"/>
        </w:rPr>
      </w:pPr>
      <w:bookmarkStart w:id="30" w:name="_Toc11624"/>
      <w:bookmarkStart w:id="31" w:name="_Toc2535"/>
      <w:r>
        <w:rPr>
          <w:rFonts w:hint="eastAsia" w:ascii="宋体" w:hAnsi="宋体" w:eastAsia="宋体" w:cs="宋体"/>
          <w:color w:val="auto"/>
          <w:sz w:val="21"/>
          <w:szCs w:val="21"/>
        </w:rPr>
        <w:t>货物和服务</w:t>
      </w:r>
      <w:bookmarkEnd w:id="30"/>
      <w:bookmarkEnd w:id="31"/>
    </w:p>
    <w:p w14:paraId="09A15488">
      <w:pPr>
        <w:pStyle w:val="47"/>
        <w:widowControl w:val="0"/>
        <w:adjustRightInd/>
        <w:snapToGrid/>
        <w:ind w:left="425" w:hanging="425" w:firstLineChars="0"/>
        <w:jc w:val="both"/>
        <w:rPr>
          <w:rFonts w:hint="eastAsia" w:ascii="宋体" w:hAnsi="宋体" w:eastAsia="宋体" w:cs="宋体"/>
          <w:vanish/>
          <w:color w:val="auto"/>
          <w:szCs w:val="21"/>
        </w:rPr>
      </w:pPr>
    </w:p>
    <w:p w14:paraId="0D348927">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货物是指各种形态和种类的物品，包括原材料、燃料、设备、产品等。</w:t>
      </w:r>
    </w:p>
    <w:p w14:paraId="337E42EF">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服务是指除货物和工程以外的其他采购对象。</w:t>
      </w:r>
    </w:p>
    <w:p w14:paraId="0DDA9349">
      <w:pPr>
        <w:rPr>
          <w:rFonts w:hint="eastAsia" w:ascii="宋体" w:hAnsi="宋体" w:eastAsia="宋体" w:cs="宋体"/>
          <w:color w:val="auto"/>
        </w:rPr>
      </w:pPr>
    </w:p>
    <w:p w14:paraId="1550FD70">
      <w:pPr>
        <w:pStyle w:val="5"/>
        <w:widowControl w:val="0"/>
        <w:numPr>
          <w:ilvl w:val="0"/>
          <w:numId w:val="2"/>
        </w:numPr>
        <w:overflowPunct w:val="0"/>
        <w:rPr>
          <w:rFonts w:hint="eastAsia" w:ascii="宋体" w:hAnsi="宋体" w:eastAsia="宋体" w:cs="宋体"/>
          <w:color w:val="auto"/>
          <w:sz w:val="21"/>
          <w:szCs w:val="21"/>
        </w:rPr>
      </w:pPr>
      <w:bookmarkStart w:id="32" w:name="_Toc15719"/>
      <w:bookmarkStart w:id="33" w:name="_Toc3881"/>
      <w:r>
        <w:rPr>
          <w:rFonts w:hint="eastAsia" w:ascii="宋体" w:hAnsi="宋体" w:eastAsia="宋体" w:cs="宋体"/>
          <w:color w:val="auto"/>
          <w:sz w:val="21"/>
          <w:szCs w:val="21"/>
        </w:rPr>
        <w:t>投标费用</w:t>
      </w:r>
      <w:bookmarkEnd w:id="32"/>
      <w:bookmarkEnd w:id="33"/>
    </w:p>
    <w:p w14:paraId="5F1761B7">
      <w:pPr>
        <w:pStyle w:val="47"/>
        <w:widowControl w:val="0"/>
        <w:adjustRightInd/>
        <w:snapToGrid/>
        <w:ind w:left="425" w:hanging="425" w:firstLineChars="0"/>
        <w:jc w:val="both"/>
        <w:rPr>
          <w:rFonts w:hint="eastAsia" w:ascii="宋体" w:hAnsi="宋体" w:eastAsia="宋体" w:cs="宋体"/>
          <w:vanish/>
          <w:color w:val="auto"/>
          <w:szCs w:val="21"/>
        </w:rPr>
      </w:pPr>
    </w:p>
    <w:p w14:paraId="1F0C93E2">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投标人应承担所有与编写投标文件和参加投标有关的自身的所有费用，不论投标的结果如何，采购代理机构和采购人在任何情况下均无义务和责任承担这些费用。</w:t>
      </w:r>
    </w:p>
    <w:p w14:paraId="4091F5E1">
      <w:pPr>
        <w:widowControl w:val="0"/>
        <w:adjustRightInd/>
        <w:snapToGrid/>
        <w:jc w:val="both"/>
        <w:rPr>
          <w:rFonts w:hint="eastAsia" w:ascii="宋体" w:hAnsi="宋体" w:eastAsia="宋体" w:cs="宋体"/>
          <w:color w:val="auto"/>
          <w:szCs w:val="21"/>
        </w:rPr>
      </w:pPr>
    </w:p>
    <w:p w14:paraId="3A929C18">
      <w:pPr>
        <w:pStyle w:val="5"/>
        <w:widowControl w:val="0"/>
        <w:numPr>
          <w:ilvl w:val="0"/>
          <w:numId w:val="2"/>
        </w:numPr>
        <w:overflowPunct w:val="0"/>
        <w:rPr>
          <w:rFonts w:hint="eastAsia" w:ascii="宋体" w:hAnsi="宋体" w:eastAsia="宋体" w:cs="宋体"/>
          <w:color w:val="auto"/>
          <w:sz w:val="21"/>
          <w:szCs w:val="21"/>
        </w:rPr>
      </w:pPr>
      <w:bookmarkStart w:id="34" w:name="_Toc6180"/>
      <w:bookmarkStart w:id="35" w:name="_Toc19863"/>
      <w:r>
        <w:rPr>
          <w:rFonts w:hint="eastAsia" w:ascii="宋体" w:hAnsi="宋体" w:eastAsia="宋体" w:cs="宋体"/>
          <w:color w:val="auto"/>
          <w:sz w:val="21"/>
          <w:szCs w:val="21"/>
        </w:rPr>
        <w:t>知识产权</w:t>
      </w:r>
      <w:bookmarkEnd w:id="34"/>
      <w:bookmarkEnd w:id="35"/>
    </w:p>
    <w:p w14:paraId="257B1904">
      <w:pPr>
        <w:pStyle w:val="47"/>
        <w:widowControl w:val="0"/>
        <w:adjustRightInd/>
        <w:snapToGrid/>
        <w:ind w:left="425" w:hanging="425" w:firstLineChars="0"/>
        <w:jc w:val="both"/>
        <w:rPr>
          <w:rFonts w:hint="eastAsia" w:ascii="宋体" w:hAnsi="宋体" w:eastAsia="宋体" w:cs="宋体"/>
          <w:vanish/>
          <w:color w:val="auto"/>
          <w:szCs w:val="21"/>
        </w:rPr>
      </w:pPr>
    </w:p>
    <w:p w14:paraId="7E7B6F30">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6065823E">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采购人享有本项目实施过程中产生的知识成果及知识产权。</w:t>
      </w:r>
    </w:p>
    <w:p w14:paraId="31425D77">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投标人如欲在项目实施过程中采用自有知识成果，需在投标文件中声明，并提供相关知识产权证明文件。使用该知识成果后，投标人需提供开发接口和开发手册等技术文档。</w:t>
      </w:r>
    </w:p>
    <w:p w14:paraId="5A086902">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采购货物为计算机办公设备时，投标人提供的产品必须是预装正版操作系统软件的计算机产品。</w:t>
      </w:r>
    </w:p>
    <w:p w14:paraId="0FB15635">
      <w:pPr>
        <w:widowControl w:val="0"/>
        <w:adjustRightInd/>
        <w:snapToGrid/>
        <w:ind w:left="567"/>
        <w:jc w:val="both"/>
        <w:rPr>
          <w:rFonts w:hint="eastAsia" w:ascii="宋体" w:hAnsi="宋体" w:eastAsia="宋体" w:cs="宋体"/>
          <w:color w:val="auto"/>
          <w:szCs w:val="21"/>
        </w:rPr>
      </w:pPr>
    </w:p>
    <w:p w14:paraId="2144F8FC">
      <w:pPr>
        <w:pStyle w:val="5"/>
        <w:widowControl w:val="0"/>
        <w:numPr>
          <w:ilvl w:val="0"/>
          <w:numId w:val="2"/>
        </w:numPr>
        <w:overflowPunct w:val="0"/>
        <w:rPr>
          <w:rFonts w:hint="eastAsia" w:ascii="宋体" w:hAnsi="宋体" w:eastAsia="宋体" w:cs="宋体"/>
          <w:color w:val="auto"/>
          <w:sz w:val="21"/>
          <w:szCs w:val="21"/>
        </w:rPr>
      </w:pPr>
      <w:bookmarkStart w:id="36" w:name="_Toc2352"/>
      <w:bookmarkStart w:id="37" w:name="_Toc1886"/>
      <w:r>
        <w:rPr>
          <w:rFonts w:hint="eastAsia" w:ascii="宋体" w:hAnsi="宋体" w:eastAsia="宋体" w:cs="宋体"/>
          <w:color w:val="auto"/>
          <w:sz w:val="21"/>
          <w:szCs w:val="21"/>
        </w:rPr>
        <w:t>关于联合体投标</w:t>
      </w:r>
      <w:bookmarkEnd w:id="36"/>
      <w:bookmarkEnd w:id="37"/>
    </w:p>
    <w:p w14:paraId="6E10AB31">
      <w:pPr>
        <w:pStyle w:val="47"/>
        <w:widowControl w:val="0"/>
        <w:adjustRightInd/>
        <w:snapToGrid/>
        <w:ind w:left="425" w:hanging="425" w:firstLineChars="0"/>
        <w:jc w:val="both"/>
        <w:rPr>
          <w:rFonts w:hint="eastAsia" w:ascii="宋体" w:hAnsi="宋体" w:eastAsia="宋体" w:cs="宋体"/>
          <w:vanish/>
          <w:color w:val="auto"/>
          <w:szCs w:val="21"/>
        </w:rPr>
      </w:pPr>
    </w:p>
    <w:p w14:paraId="10847A3A">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对接受联合体投标的项目：两个以上的自然人、法人或者其他组织可以组成一个联合体，以一个投标人的身份共同参加采购活动。</w:t>
      </w:r>
    </w:p>
    <w:p w14:paraId="4551CDA0">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以联合体形式参与项目的供应商在领购采购文件时，应提供所有联合体组成成员的营业执照复印件，并加盖各联合体组成成员的公章。</w:t>
      </w:r>
    </w:p>
    <w:p w14:paraId="6E4A42B2">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联合体各方均应具有独立承担民事责任能力的法人或其他组织。</w:t>
      </w:r>
    </w:p>
    <w:p w14:paraId="31EDA31F">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两个以上的自然人、法人或者其他组织组成一个联合体，以一个供应商的身份共同参加采购活动的，应当对所有联合体成员进行信用记录查询，联合体成员存在不良信用记录的，视同联合体存在不良信用记录。</w:t>
      </w:r>
    </w:p>
    <w:p w14:paraId="0497AADE">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采购文件对投标人资格条件有规定的，联合体各方均应当具备规定的相应资格条件。由同一专业的单位组成的联合体，按照资质等级较低的单位确定资质等级。</w:t>
      </w:r>
    </w:p>
    <w:p w14:paraId="4982A884">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联合体各方之间应当签订共同投标协议并在投标文件内提交，明确约定联合体各方承担的工作和相应的责任。联合体各方签订共同投标协议后，不得再以自己名义单独在同一项目中投标，也不得组成新的联合体参加同一项目投标。</w:t>
      </w:r>
    </w:p>
    <w:p w14:paraId="3487ADB0">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供应商为联合体的，可以由联合体中的任意一方交纳保证金，其交纳的保证金对联合体各方均具有约束力。</w:t>
      </w:r>
    </w:p>
    <w:p w14:paraId="541F1BB1">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除联合体协议明确授权盖章单位外，联合体投标时投标文件中所有要求盖章的地方均须加盖联合体所有组成成员的公章，否则该处盖章无效。</w:t>
      </w:r>
    </w:p>
    <w:p w14:paraId="48763E93">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联合体进行评分时，业绩、奖项等的认定和评分根据共同投标协议约定的各方承担的工作和相应责任，确定一方打分，不累加打分；评审标准不明确或难以明确以哪一方计算评分情况时，则按主体方情况评分。</w:t>
      </w:r>
    </w:p>
    <w:p w14:paraId="7B4B6F1B">
      <w:pPr>
        <w:widowControl w:val="0"/>
        <w:adjustRightInd/>
        <w:snapToGrid/>
        <w:ind w:left="567"/>
        <w:jc w:val="both"/>
        <w:rPr>
          <w:rFonts w:hint="eastAsia" w:ascii="宋体" w:hAnsi="宋体" w:eastAsia="宋体" w:cs="宋体"/>
          <w:color w:val="auto"/>
          <w:szCs w:val="21"/>
        </w:rPr>
      </w:pPr>
    </w:p>
    <w:p w14:paraId="17F2599E">
      <w:pPr>
        <w:pStyle w:val="5"/>
        <w:widowControl w:val="0"/>
        <w:numPr>
          <w:ilvl w:val="0"/>
          <w:numId w:val="2"/>
        </w:numPr>
        <w:overflowPunct w:val="0"/>
        <w:rPr>
          <w:rFonts w:hint="eastAsia" w:ascii="宋体" w:hAnsi="宋体" w:eastAsia="宋体" w:cs="宋体"/>
          <w:color w:val="auto"/>
          <w:sz w:val="21"/>
          <w:szCs w:val="21"/>
        </w:rPr>
      </w:pPr>
      <w:bookmarkStart w:id="38" w:name="_Toc7103"/>
      <w:bookmarkStart w:id="39" w:name="_Toc3572"/>
      <w:r>
        <w:rPr>
          <w:rFonts w:hint="eastAsia" w:ascii="宋体" w:hAnsi="宋体" w:eastAsia="宋体" w:cs="宋体"/>
          <w:color w:val="auto"/>
          <w:sz w:val="21"/>
          <w:szCs w:val="21"/>
        </w:rPr>
        <w:t>关于分支机构投标</w:t>
      </w:r>
      <w:bookmarkEnd w:id="38"/>
      <w:bookmarkEnd w:id="39"/>
    </w:p>
    <w:p w14:paraId="4764D126">
      <w:pPr>
        <w:pStyle w:val="47"/>
        <w:widowControl w:val="0"/>
        <w:adjustRightInd/>
        <w:snapToGrid/>
        <w:ind w:left="425" w:hanging="425" w:firstLineChars="0"/>
        <w:jc w:val="both"/>
        <w:rPr>
          <w:rFonts w:hint="eastAsia" w:ascii="宋体" w:hAnsi="宋体" w:eastAsia="宋体" w:cs="宋体"/>
          <w:vanish/>
          <w:color w:val="auto"/>
          <w:szCs w:val="21"/>
        </w:rPr>
      </w:pPr>
      <w:bookmarkStart w:id="40" w:name="EB389f116341dd4693875bc7987e7327f3"/>
    </w:p>
    <w:p w14:paraId="01B874FA">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对可接受分支机构投标的项目，分支机构投标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40"/>
    </w:p>
    <w:p w14:paraId="1C6C49F4">
      <w:pPr>
        <w:widowControl w:val="0"/>
        <w:adjustRightInd/>
        <w:snapToGrid/>
        <w:ind w:left="567"/>
        <w:jc w:val="both"/>
        <w:rPr>
          <w:rFonts w:hint="eastAsia" w:ascii="宋体" w:hAnsi="宋体" w:eastAsia="宋体" w:cs="宋体"/>
          <w:color w:val="auto"/>
          <w:szCs w:val="21"/>
        </w:rPr>
      </w:pPr>
    </w:p>
    <w:p w14:paraId="015DD2CA">
      <w:pPr>
        <w:pStyle w:val="5"/>
        <w:widowControl w:val="0"/>
        <w:numPr>
          <w:ilvl w:val="0"/>
          <w:numId w:val="2"/>
        </w:numPr>
        <w:overflowPunct w:val="0"/>
        <w:rPr>
          <w:rFonts w:hint="eastAsia" w:ascii="宋体" w:hAnsi="宋体" w:eastAsia="宋体" w:cs="宋体"/>
          <w:color w:val="auto"/>
          <w:sz w:val="21"/>
          <w:szCs w:val="21"/>
        </w:rPr>
      </w:pPr>
      <w:bookmarkStart w:id="41" w:name="_Toc30380"/>
      <w:r>
        <w:rPr>
          <w:rFonts w:hint="eastAsia" w:ascii="宋体" w:hAnsi="宋体" w:eastAsia="宋体" w:cs="宋体"/>
          <w:color w:val="auto"/>
          <w:sz w:val="21"/>
          <w:szCs w:val="21"/>
        </w:rPr>
        <w:t>踏勘现场</w:t>
      </w:r>
      <w:bookmarkEnd w:id="41"/>
    </w:p>
    <w:p w14:paraId="076C3BE5">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《投标资料表》规定组织踏勘现场的，采购人按《投标资料表》规定的时间、地点组织响应人踏勘项目现场；</w:t>
      </w:r>
    </w:p>
    <w:p w14:paraId="5E426F9F">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响应人踏勘现场发生的费用自理；</w:t>
      </w:r>
    </w:p>
    <w:p w14:paraId="35C10B47">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除采购人的原因外，响应人自行负责在踏勘现场中所发生的人员伤亡和财产损失；</w:t>
      </w:r>
    </w:p>
    <w:p w14:paraId="49DA8327">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采购人在踏勘现场中介绍的实施地点和相关的周边环境情况，供响应人在编制响应文件时参考，采购人不对响应人据此作出的判断和决策负责；</w:t>
      </w:r>
    </w:p>
    <w:p w14:paraId="5EE63945">
      <w:pPr>
        <w:rPr>
          <w:rFonts w:hint="eastAsia" w:ascii="宋体" w:hAnsi="宋体" w:eastAsia="宋体" w:cs="宋体"/>
          <w:color w:val="auto"/>
        </w:rPr>
      </w:pPr>
    </w:p>
    <w:p w14:paraId="412FFE8F">
      <w:pPr>
        <w:pStyle w:val="4"/>
        <w:numPr>
          <w:ilvl w:val="0"/>
          <w:numId w:val="1"/>
        </w:numPr>
        <w:spacing w:line="360" w:lineRule="auto"/>
        <w:jc w:val="center"/>
        <w:rPr>
          <w:rFonts w:hint="eastAsia" w:ascii="宋体" w:hAnsi="宋体" w:eastAsia="宋体" w:cs="宋体"/>
          <w:color w:val="auto"/>
        </w:rPr>
      </w:pPr>
      <w:bookmarkStart w:id="42" w:name="_Toc17958"/>
      <w:bookmarkStart w:id="43" w:name="_Toc9444"/>
      <w:r>
        <w:rPr>
          <w:rFonts w:hint="eastAsia" w:ascii="宋体" w:hAnsi="宋体" w:eastAsia="宋体" w:cs="宋体"/>
          <w:color w:val="auto"/>
        </w:rPr>
        <w:t>采购文件</w:t>
      </w:r>
      <w:bookmarkEnd w:id="42"/>
      <w:bookmarkEnd w:id="43"/>
    </w:p>
    <w:p w14:paraId="69457C67">
      <w:pPr>
        <w:pStyle w:val="5"/>
        <w:widowControl w:val="0"/>
        <w:numPr>
          <w:ilvl w:val="0"/>
          <w:numId w:val="2"/>
        </w:numPr>
        <w:overflowPunct w:val="0"/>
        <w:rPr>
          <w:rFonts w:hint="eastAsia" w:ascii="宋体" w:hAnsi="宋体" w:eastAsia="宋体" w:cs="宋体"/>
          <w:color w:val="auto"/>
          <w:sz w:val="21"/>
          <w:szCs w:val="21"/>
        </w:rPr>
      </w:pPr>
      <w:bookmarkStart w:id="44" w:name="_Toc32163"/>
      <w:bookmarkStart w:id="45" w:name="_Toc10638"/>
      <w:r>
        <w:rPr>
          <w:rFonts w:hint="eastAsia" w:ascii="宋体" w:hAnsi="宋体" w:eastAsia="宋体" w:cs="宋体"/>
          <w:color w:val="auto"/>
          <w:sz w:val="21"/>
          <w:szCs w:val="21"/>
        </w:rPr>
        <w:t>采购文件的组成</w:t>
      </w:r>
      <w:bookmarkEnd w:id="44"/>
      <w:bookmarkEnd w:id="45"/>
    </w:p>
    <w:p w14:paraId="29C26E0F">
      <w:pPr>
        <w:pStyle w:val="47"/>
        <w:widowControl w:val="0"/>
        <w:numPr>
          <w:ilvl w:val="0"/>
          <w:numId w:val="3"/>
        </w:numPr>
        <w:adjustRightInd/>
        <w:snapToGrid/>
        <w:ind w:firstLineChars="0"/>
        <w:jc w:val="both"/>
        <w:rPr>
          <w:rFonts w:hint="eastAsia" w:ascii="宋体" w:hAnsi="宋体" w:eastAsia="宋体" w:cs="宋体"/>
          <w:vanish/>
          <w:color w:val="auto"/>
          <w:szCs w:val="21"/>
        </w:rPr>
      </w:pPr>
    </w:p>
    <w:p w14:paraId="23050BD8">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采购文件包括：</w:t>
      </w:r>
    </w:p>
    <w:p w14:paraId="13A42182">
      <w:pPr>
        <w:widowControl w:val="0"/>
        <w:overflowPunct w:val="0"/>
        <w:rPr>
          <w:rFonts w:hint="eastAsia" w:ascii="宋体" w:hAnsi="宋体" w:eastAsia="宋体" w:cs="宋体"/>
          <w:color w:val="auto"/>
          <w:szCs w:val="21"/>
        </w:rPr>
      </w:pPr>
      <w:r>
        <w:rPr>
          <w:rFonts w:hint="eastAsia" w:ascii="宋体" w:hAnsi="宋体" w:eastAsia="宋体" w:cs="宋体"/>
          <w:color w:val="auto"/>
          <w:szCs w:val="21"/>
        </w:rPr>
        <w:t>（1）投标邀请书；</w:t>
      </w:r>
    </w:p>
    <w:p w14:paraId="1AA62902">
      <w:pPr>
        <w:widowControl w:val="0"/>
        <w:overflowPunct w:val="0"/>
        <w:rPr>
          <w:rFonts w:hint="eastAsia" w:ascii="宋体" w:hAnsi="宋体" w:eastAsia="宋体" w:cs="宋体"/>
          <w:color w:val="auto"/>
          <w:szCs w:val="21"/>
        </w:rPr>
      </w:pPr>
      <w:r>
        <w:rPr>
          <w:rFonts w:hint="eastAsia" w:ascii="宋体" w:hAnsi="宋体" w:eastAsia="宋体" w:cs="宋体"/>
          <w:color w:val="auto"/>
          <w:szCs w:val="21"/>
        </w:rPr>
        <w:t>（2）投标资料表；</w:t>
      </w:r>
    </w:p>
    <w:p w14:paraId="737FEEB7">
      <w:pPr>
        <w:widowControl w:val="0"/>
        <w:overflowPunct w:val="0"/>
        <w:rPr>
          <w:rFonts w:hint="eastAsia" w:ascii="宋体" w:hAnsi="宋体" w:eastAsia="宋体" w:cs="宋体"/>
          <w:color w:val="auto"/>
          <w:szCs w:val="21"/>
        </w:rPr>
      </w:pPr>
      <w:r>
        <w:rPr>
          <w:rFonts w:hint="eastAsia" w:ascii="宋体" w:hAnsi="宋体" w:eastAsia="宋体" w:cs="宋体"/>
          <w:color w:val="auto"/>
          <w:szCs w:val="21"/>
        </w:rPr>
        <w:t>（3）用户需求书；</w:t>
      </w:r>
    </w:p>
    <w:p w14:paraId="0DF5DD24">
      <w:pPr>
        <w:widowControl w:val="0"/>
        <w:overflowPunct w:val="0"/>
        <w:rPr>
          <w:rFonts w:hint="eastAsia" w:ascii="宋体" w:hAnsi="宋体" w:eastAsia="宋体" w:cs="宋体"/>
          <w:color w:val="auto"/>
          <w:szCs w:val="21"/>
        </w:rPr>
      </w:pPr>
      <w:r>
        <w:rPr>
          <w:rFonts w:hint="eastAsia" w:ascii="宋体" w:hAnsi="宋体" w:eastAsia="宋体" w:cs="宋体"/>
          <w:color w:val="auto"/>
          <w:szCs w:val="21"/>
        </w:rPr>
        <w:t>（4）投标人须知；</w:t>
      </w:r>
    </w:p>
    <w:p w14:paraId="2C316EE5">
      <w:pPr>
        <w:widowControl w:val="0"/>
        <w:overflowPunct w:val="0"/>
        <w:rPr>
          <w:rFonts w:hint="eastAsia" w:ascii="宋体" w:hAnsi="宋体" w:eastAsia="宋体" w:cs="宋体"/>
          <w:color w:val="auto"/>
          <w:szCs w:val="21"/>
        </w:rPr>
      </w:pPr>
      <w:r>
        <w:rPr>
          <w:rFonts w:hint="eastAsia" w:ascii="宋体" w:hAnsi="宋体" w:eastAsia="宋体" w:cs="宋体"/>
          <w:color w:val="auto"/>
          <w:szCs w:val="21"/>
        </w:rPr>
        <w:t>（5）拟签订的合同文本；</w:t>
      </w:r>
    </w:p>
    <w:p w14:paraId="7F77FF3C">
      <w:pPr>
        <w:widowControl w:val="0"/>
        <w:overflowPunct w:val="0"/>
        <w:rPr>
          <w:rFonts w:hint="eastAsia" w:ascii="宋体" w:hAnsi="宋体" w:eastAsia="宋体" w:cs="宋体"/>
          <w:color w:val="auto"/>
          <w:szCs w:val="21"/>
        </w:rPr>
      </w:pPr>
      <w:r>
        <w:rPr>
          <w:rFonts w:hint="eastAsia" w:ascii="宋体" w:hAnsi="宋体" w:eastAsia="宋体" w:cs="宋体"/>
          <w:color w:val="auto"/>
          <w:szCs w:val="21"/>
        </w:rPr>
        <w:t>（6）投标文件格式；</w:t>
      </w:r>
    </w:p>
    <w:p w14:paraId="39879BE8">
      <w:pPr>
        <w:widowControl w:val="0"/>
        <w:overflowPunct w:val="0"/>
        <w:rPr>
          <w:rFonts w:hint="eastAsia" w:ascii="宋体" w:hAnsi="宋体" w:eastAsia="宋体" w:cs="宋体"/>
          <w:color w:val="auto"/>
          <w:szCs w:val="21"/>
        </w:rPr>
      </w:pPr>
      <w:r>
        <w:rPr>
          <w:rFonts w:hint="eastAsia" w:ascii="宋体" w:hAnsi="宋体" w:eastAsia="宋体" w:cs="宋体"/>
          <w:color w:val="auto"/>
          <w:szCs w:val="21"/>
        </w:rPr>
        <w:t>（7）在采购过程中由采购代理机构发出的澄清更正文件等。</w:t>
      </w:r>
    </w:p>
    <w:p w14:paraId="2274D78B">
      <w:pPr>
        <w:rPr>
          <w:rFonts w:hint="eastAsia" w:ascii="宋体" w:hAnsi="宋体" w:eastAsia="宋体" w:cs="宋体"/>
          <w:color w:val="auto"/>
        </w:rPr>
      </w:pPr>
    </w:p>
    <w:p w14:paraId="777DB52D">
      <w:pPr>
        <w:pStyle w:val="5"/>
        <w:widowControl w:val="0"/>
        <w:numPr>
          <w:ilvl w:val="0"/>
          <w:numId w:val="2"/>
        </w:numPr>
        <w:overflowPunct w:val="0"/>
        <w:rPr>
          <w:rFonts w:hint="eastAsia" w:ascii="宋体" w:hAnsi="宋体" w:eastAsia="宋体" w:cs="宋体"/>
          <w:color w:val="auto"/>
          <w:sz w:val="21"/>
          <w:szCs w:val="21"/>
        </w:rPr>
      </w:pPr>
      <w:bookmarkStart w:id="46" w:name="_Toc21392"/>
      <w:bookmarkStart w:id="47" w:name="_Toc20829"/>
      <w:r>
        <w:rPr>
          <w:rFonts w:hint="eastAsia" w:ascii="宋体" w:hAnsi="宋体" w:eastAsia="宋体" w:cs="宋体"/>
          <w:color w:val="auto"/>
          <w:sz w:val="21"/>
          <w:szCs w:val="21"/>
        </w:rPr>
        <w:t>采购文件的澄清或修改</w:t>
      </w:r>
      <w:bookmarkEnd w:id="46"/>
      <w:bookmarkEnd w:id="47"/>
    </w:p>
    <w:p w14:paraId="2C9C7CB4">
      <w:pPr>
        <w:pStyle w:val="47"/>
        <w:widowControl w:val="0"/>
        <w:numPr>
          <w:ilvl w:val="0"/>
          <w:numId w:val="3"/>
        </w:numPr>
        <w:adjustRightInd/>
        <w:snapToGrid/>
        <w:ind w:firstLineChars="0"/>
        <w:jc w:val="both"/>
        <w:rPr>
          <w:rFonts w:hint="eastAsia" w:ascii="宋体" w:hAnsi="宋体" w:eastAsia="宋体" w:cs="宋体"/>
          <w:vanish/>
          <w:color w:val="auto"/>
          <w:szCs w:val="21"/>
        </w:rPr>
      </w:pPr>
    </w:p>
    <w:p w14:paraId="0A68DAE3">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采购人或者采购代理机构可以对已发出的采购文件、资格预审文件、投标邀请书进行必要的澄清或者修改。澄清或者修改的内容为采购文件、资格预审文件、投标邀请书的组成部分，具有约束作用。当采购文件、采购文件的澄清或修改等在同一内容的表述上不一致时，以最后发出的书面文件及公告为准。</w:t>
      </w:r>
    </w:p>
    <w:p w14:paraId="73A1F39A">
      <w:pPr>
        <w:widowControl w:val="0"/>
        <w:numPr>
          <w:ilvl w:val="1"/>
          <w:numId w:val="2"/>
        </w:numPr>
        <w:overflowPunct w:val="0"/>
        <w:rPr>
          <w:rFonts w:hint="eastAsia" w:ascii="宋体" w:hAnsi="宋体" w:eastAsia="宋体" w:cs="宋体"/>
          <w:b/>
          <w:bCs/>
          <w:color w:val="auto"/>
          <w:szCs w:val="21"/>
        </w:rPr>
      </w:pPr>
      <w:r>
        <w:rPr>
          <w:rFonts w:hint="eastAsia" w:ascii="宋体" w:hAnsi="宋体" w:eastAsia="宋体" w:cs="宋体"/>
          <w:b/>
          <w:bCs/>
          <w:color w:val="auto"/>
          <w:szCs w:val="21"/>
        </w:rPr>
        <w:t>采购期间，投标人有义务上网查看，公告一经上网发布，即视为送达。因投标人未及时上网查看而造成的所有后果，由投标人自行承担。</w:t>
      </w:r>
    </w:p>
    <w:p w14:paraId="270B638B">
      <w:pPr>
        <w:widowControl w:val="0"/>
        <w:adjustRightInd/>
        <w:snapToGrid/>
        <w:ind w:left="567"/>
        <w:jc w:val="both"/>
        <w:rPr>
          <w:rFonts w:hint="eastAsia" w:ascii="宋体" w:hAnsi="宋体" w:eastAsia="宋体" w:cs="宋体"/>
          <w:color w:val="auto"/>
          <w:szCs w:val="21"/>
        </w:rPr>
      </w:pPr>
    </w:p>
    <w:p w14:paraId="7AF68410">
      <w:pPr>
        <w:pStyle w:val="4"/>
        <w:numPr>
          <w:ilvl w:val="0"/>
          <w:numId w:val="1"/>
        </w:numPr>
        <w:spacing w:line="360" w:lineRule="auto"/>
        <w:jc w:val="center"/>
        <w:rPr>
          <w:rFonts w:hint="eastAsia" w:ascii="宋体" w:hAnsi="宋体" w:eastAsia="宋体" w:cs="宋体"/>
          <w:color w:val="auto"/>
        </w:rPr>
      </w:pPr>
      <w:bookmarkStart w:id="48" w:name="_Toc12343"/>
      <w:bookmarkStart w:id="49" w:name="_Toc25549"/>
      <w:r>
        <w:rPr>
          <w:rFonts w:hint="eastAsia" w:ascii="宋体" w:hAnsi="宋体" w:eastAsia="宋体" w:cs="宋体"/>
          <w:color w:val="auto"/>
        </w:rPr>
        <w:t>投标文件的编制</w:t>
      </w:r>
      <w:bookmarkEnd w:id="48"/>
      <w:bookmarkEnd w:id="49"/>
    </w:p>
    <w:p w14:paraId="5E355F55">
      <w:pPr>
        <w:pStyle w:val="5"/>
        <w:widowControl w:val="0"/>
        <w:numPr>
          <w:ilvl w:val="0"/>
          <w:numId w:val="2"/>
        </w:numPr>
        <w:overflowPunct w:val="0"/>
        <w:rPr>
          <w:rFonts w:hint="eastAsia" w:ascii="宋体" w:hAnsi="宋体" w:eastAsia="宋体" w:cs="宋体"/>
          <w:color w:val="auto"/>
          <w:sz w:val="21"/>
          <w:szCs w:val="21"/>
        </w:rPr>
      </w:pPr>
      <w:bookmarkStart w:id="50" w:name="_Toc16938"/>
      <w:bookmarkStart w:id="51" w:name="_Toc20247"/>
      <w:r>
        <w:rPr>
          <w:rFonts w:hint="eastAsia" w:ascii="宋体" w:hAnsi="宋体" w:eastAsia="宋体" w:cs="宋体"/>
          <w:color w:val="auto"/>
          <w:sz w:val="21"/>
          <w:szCs w:val="21"/>
        </w:rPr>
        <w:t>投标文件的语言及度量衡单位</w:t>
      </w:r>
      <w:bookmarkEnd w:id="50"/>
      <w:bookmarkEnd w:id="51"/>
    </w:p>
    <w:p w14:paraId="40973418">
      <w:pPr>
        <w:pStyle w:val="47"/>
        <w:widowControl w:val="0"/>
        <w:numPr>
          <w:ilvl w:val="0"/>
          <w:numId w:val="3"/>
        </w:numPr>
        <w:adjustRightInd/>
        <w:snapToGrid/>
        <w:ind w:firstLineChars="0"/>
        <w:jc w:val="both"/>
        <w:rPr>
          <w:rFonts w:hint="eastAsia" w:ascii="宋体" w:hAnsi="宋体" w:eastAsia="宋体" w:cs="宋体"/>
          <w:vanish/>
          <w:color w:val="auto"/>
          <w:szCs w:val="21"/>
        </w:rPr>
      </w:pPr>
    </w:p>
    <w:p w14:paraId="03B64BFF">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人提交的投标文件以及投标人与采购代理机构就有关投标的所有来往函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14:paraId="038E2FDC">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除非采购文件在技术规格中另有规定，投标人在投标文件中及其与采购代理机构和采购人所有往来文件中的所有计量单位均应采用中华人民共和国法定计量单位。</w:t>
      </w:r>
    </w:p>
    <w:p w14:paraId="00CEC392">
      <w:pPr>
        <w:widowControl w:val="0"/>
        <w:adjustRightInd/>
        <w:snapToGrid/>
        <w:ind w:left="567"/>
        <w:jc w:val="both"/>
        <w:rPr>
          <w:rFonts w:hint="eastAsia" w:ascii="宋体" w:hAnsi="宋体" w:eastAsia="宋体" w:cs="宋体"/>
          <w:color w:val="auto"/>
          <w:szCs w:val="21"/>
        </w:rPr>
      </w:pPr>
    </w:p>
    <w:p w14:paraId="173177CE">
      <w:pPr>
        <w:pStyle w:val="5"/>
        <w:widowControl w:val="0"/>
        <w:numPr>
          <w:ilvl w:val="0"/>
          <w:numId w:val="2"/>
        </w:numPr>
        <w:overflowPunct w:val="0"/>
        <w:rPr>
          <w:rFonts w:hint="eastAsia" w:ascii="宋体" w:hAnsi="宋体" w:eastAsia="宋体" w:cs="宋体"/>
          <w:color w:val="auto"/>
          <w:sz w:val="21"/>
          <w:szCs w:val="21"/>
        </w:rPr>
      </w:pPr>
      <w:bookmarkStart w:id="52" w:name="_Toc307934854"/>
      <w:bookmarkStart w:id="53" w:name="_Toc382049103"/>
      <w:bookmarkStart w:id="54" w:name="_Toc11466"/>
      <w:bookmarkStart w:id="55" w:name="_Toc303084256"/>
      <w:bookmarkStart w:id="56" w:name="_Toc28866"/>
      <w:bookmarkStart w:id="57" w:name="_Toc791"/>
      <w:r>
        <w:rPr>
          <w:rFonts w:hint="eastAsia" w:ascii="宋体" w:hAnsi="宋体" w:eastAsia="宋体" w:cs="宋体"/>
          <w:color w:val="auto"/>
          <w:sz w:val="21"/>
          <w:szCs w:val="21"/>
        </w:rPr>
        <w:t>投标文件的组成</w:t>
      </w:r>
      <w:bookmarkEnd w:id="52"/>
      <w:bookmarkEnd w:id="53"/>
      <w:bookmarkEnd w:id="54"/>
      <w:bookmarkEnd w:id="55"/>
      <w:bookmarkEnd w:id="56"/>
      <w:bookmarkEnd w:id="57"/>
    </w:p>
    <w:p w14:paraId="5FCDE36A">
      <w:pPr>
        <w:pStyle w:val="47"/>
        <w:widowControl w:val="0"/>
        <w:numPr>
          <w:ilvl w:val="0"/>
          <w:numId w:val="3"/>
        </w:numPr>
        <w:adjustRightInd/>
        <w:snapToGrid/>
        <w:ind w:firstLineChars="0"/>
        <w:jc w:val="both"/>
        <w:rPr>
          <w:rFonts w:hint="eastAsia" w:ascii="宋体" w:hAnsi="宋体" w:eastAsia="宋体" w:cs="宋体"/>
          <w:vanish/>
          <w:color w:val="auto"/>
          <w:szCs w:val="21"/>
        </w:rPr>
      </w:pPr>
    </w:p>
    <w:p w14:paraId="789A4D15">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包括但不限于采购文件附件格式中要求提供的表格。</w:t>
      </w:r>
    </w:p>
    <w:p w14:paraId="528C129E">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上述文件须按顺序装订成册，并编制投标文件目录。除上述文件资料外投标人还须按投标人须知的要求制作“唱标信封”。“唱标信封”作为投标文件的一部分，但须单独密封。</w:t>
      </w:r>
    </w:p>
    <w:p w14:paraId="62B31821">
      <w:pPr>
        <w:rPr>
          <w:rFonts w:hint="eastAsia" w:ascii="宋体" w:hAnsi="宋体" w:eastAsia="宋体" w:cs="宋体"/>
          <w:color w:val="auto"/>
        </w:rPr>
      </w:pPr>
    </w:p>
    <w:p w14:paraId="0BB196F0">
      <w:pPr>
        <w:pStyle w:val="5"/>
        <w:widowControl w:val="0"/>
        <w:numPr>
          <w:ilvl w:val="0"/>
          <w:numId w:val="2"/>
        </w:numPr>
        <w:overflowPunct w:val="0"/>
        <w:rPr>
          <w:rFonts w:hint="eastAsia" w:ascii="宋体" w:hAnsi="宋体" w:eastAsia="宋体" w:cs="宋体"/>
          <w:color w:val="auto"/>
          <w:sz w:val="21"/>
          <w:szCs w:val="21"/>
        </w:rPr>
      </w:pPr>
      <w:bookmarkStart w:id="58" w:name="_Toc755"/>
      <w:bookmarkStart w:id="59" w:name="_Toc11375"/>
      <w:r>
        <w:rPr>
          <w:rFonts w:hint="eastAsia" w:ascii="宋体" w:hAnsi="宋体" w:eastAsia="宋体" w:cs="宋体"/>
          <w:color w:val="auto"/>
          <w:sz w:val="21"/>
          <w:szCs w:val="21"/>
        </w:rPr>
        <w:t>投标文件编制</w:t>
      </w:r>
      <w:bookmarkEnd w:id="58"/>
      <w:bookmarkEnd w:id="59"/>
    </w:p>
    <w:p w14:paraId="36F82CB6">
      <w:pPr>
        <w:pStyle w:val="47"/>
        <w:widowControl w:val="0"/>
        <w:numPr>
          <w:ilvl w:val="0"/>
          <w:numId w:val="3"/>
        </w:numPr>
        <w:adjustRightInd/>
        <w:snapToGrid/>
        <w:ind w:firstLineChars="0"/>
        <w:jc w:val="both"/>
        <w:rPr>
          <w:rFonts w:hint="eastAsia" w:ascii="宋体" w:hAnsi="宋体" w:eastAsia="宋体" w:cs="宋体"/>
          <w:vanish/>
          <w:color w:val="auto"/>
          <w:szCs w:val="21"/>
        </w:rPr>
      </w:pPr>
      <w:bookmarkStart w:id="60" w:name="_Toc303084258"/>
    </w:p>
    <w:p w14:paraId="69D80C72">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人应按采购文件的规定以及附件要求的内容和格式完整地填写（表格可以按同样格式扩展）和提供资料，投标人必须对投标文件所提供的全部材料的真实性承担法律责任，并无条件接受采购人或采购代理机构对其中任何资料进行核实的要求。</w:t>
      </w:r>
      <w:r>
        <w:rPr>
          <w:rFonts w:hint="eastAsia" w:ascii="宋体" w:hAnsi="宋体" w:eastAsia="宋体" w:cs="宋体"/>
          <w:b/>
          <w:bCs/>
          <w:color w:val="auto"/>
          <w:szCs w:val="21"/>
        </w:rPr>
        <w:t>（参投多个包组的投标人每个包组分别编制投标文件）</w:t>
      </w:r>
      <w:r>
        <w:rPr>
          <w:rFonts w:hint="eastAsia" w:ascii="宋体" w:hAnsi="宋体" w:eastAsia="宋体" w:cs="宋体"/>
          <w:color w:val="auto"/>
          <w:szCs w:val="21"/>
        </w:rPr>
        <w:t>。</w:t>
      </w:r>
    </w:p>
    <w:p w14:paraId="20625273">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因投标文件编制存在歧义对投标人产生负面影响的，投标人自行承担后果。</w:t>
      </w:r>
    </w:p>
    <w:p w14:paraId="7701C1DE">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投标单位名称与投标人公章不一致，若投标单位名称已进行变更，应在投标文件中提供相应的证明材料并加盖公章，否则投标文件无效。</w:t>
      </w:r>
    </w:p>
    <w:p w14:paraId="1977556A">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投标文件密封、标记及内容与本项目采购信息不符，导致无法分辨所投项目为本项目的，投标文件无效。</w:t>
      </w:r>
    </w:p>
    <w:p w14:paraId="12148F6A">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投标人须客观撰写投标人简介（格式自理，并提供相关证明）以及所投的产品或服务说明。</w:t>
      </w:r>
    </w:p>
    <w:p w14:paraId="39CE890F">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投标文件若出现以下内容，经评标委员会认定有可能间接影响评审秩序，作废标处理。</w:t>
      </w:r>
    </w:p>
    <w:p w14:paraId="436CDD17">
      <w:pPr>
        <w:widowControl w:val="0"/>
        <w:overflowPunct w:val="0"/>
        <w:ind w:left="840" w:leftChars="200" w:hanging="420" w:hangingChars="200"/>
        <w:rPr>
          <w:rFonts w:hint="eastAsia" w:ascii="宋体" w:hAnsi="宋体" w:eastAsia="宋体" w:cs="宋体"/>
          <w:color w:val="auto"/>
          <w:szCs w:val="21"/>
        </w:rPr>
      </w:pPr>
      <w:r>
        <w:rPr>
          <w:rFonts w:hint="eastAsia" w:ascii="宋体" w:hAnsi="宋体" w:eastAsia="宋体" w:cs="宋体"/>
          <w:color w:val="auto"/>
          <w:szCs w:val="21"/>
        </w:rPr>
        <w:t>（1）投标文件内出现无官方证明文件的行业地域排名或使用“国家级”、“最高级”、“最佳”等用语字眼的。</w:t>
      </w:r>
    </w:p>
    <w:p w14:paraId="426A90A0">
      <w:pPr>
        <w:widowControl w:val="0"/>
        <w:overflowPunct w:val="0"/>
        <w:ind w:firstLine="420" w:firstLineChars="200"/>
        <w:rPr>
          <w:rFonts w:hint="eastAsia" w:ascii="宋体" w:hAnsi="宋体" w:eastAsia="宋体" w:cs="宋体"/>
          <w:color w:val="auto"/>
          <w:szCs w:val="21"/>
        </w:rPr>
      </w:pPr>
      <w:r>
        <w:rPr>
          <w:rFonts w:hint="eastAsia" w:ascii="宋体" w:hAnsi="宋体" w:eastAsia="宋体" w:cs="宋体"/>
          <w:color w:val="auto"/>
          <w:szCs w:val="21"/>
        </w:rPr>
        <w:t>（2）投标文件内出现恶意诋毁、贬低其他生产经营者的商品或者服务的内容。</w:t>
      </w:r>
    </w:p>
    <w:p w14:paraId="0D3B18BA">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有下列情形之一的，视为投标人串通投标，其投标无效：</w:t>
      </w:r>
    </w:p>
    <w:p w14:paraId="2F305FCD">
      <w:pPr>
        <w:widowControl w:val="0"/>
        <w:overflowPunct w:val="0"/>
        <w:ind w:firstLine="420" w:firstLineChars="200"/>
        <w:rPr>
          <w:rFonts w:hint="eastAsia" w:ascii="宋体" w:hAnsi="宋体" w:eastAsia="宋体" w:cs="宋体"/>
          <w:color w:val="auto"/>
          <w:szCs w:val="21"/>
        </w:rPr>
      </w:pPr>
      <w:r>
        <w:rPr>
          <w:rFonts w:hint="eastAsia" w:ascii="宋体" w:hAnsi="宋体" w:eastAsia="宋体" w:cs="宋体"/>
          <w:color w:val="auto"/>
          <w:szCs w:val="21"/>
        </w:rPr>
        <w:t>（1）不同投标人的投标文件由同一单位或者个人编制；</w:t>
      </w:r>
    </w:p>
    <w:p w14:paraId="6DD81935">
      <w:pPr>
        <w:widowControl w:val="0"/>
        <w:overflowPunct w:val="0"/>
        <w:ind w:firstLine="420" w:firstLineChars="200"/>
        <w:rPr>
          <w:rFonts w:hint="eastAsia" w:ascii="宋体" w:hAnsi="宋体" w:eastAsia="宋体" w:cs="宋体"/>
          <w:color w:val="auto"/>
          <w:szCs w:val="21"/>
        </w:rPr>
      </w:pPr>
      <w:r>
        <w:rPr>
          <w:rFonts w:hint="eastAsia" w:ascii="宋体" w:hAnsi="宋体" w:eastAsia="宋体" w:cs="宋体"/>
          <w:color w:val="auto"/>
          <w:szCs w:val="21"/>
        </w:rPr>
        <w:t>（2）不同投标人委托同一单位或者个人办理投标事宜；</w:t>
      </w:r>
    </w:p>
    <w:p w14:paraId="164BE903">
      <w:pPr>
        <w:widowControl w:val="0"/>
        <w:overflowPunct w:val="0"/>
        <w:ind w:firstLine="420" w:firstLineChars="200"/>
        <w:rPr>
          <w:rFonts w:hint="eastAsia" w:ascii="宋体" w:hAnsi="宋体" w:eastAsia="宋体" w:cs="宋体"/>
          <w:color w:val="auto"/>
          <w:szCs w:val="21"/>
        </w:rPr>
      </w:pPr>
      <w:r>
        <w:rPr>
          <w:rFonts w:hint="eastAsia" w:ascii="宋体" w:hAnsi="宋体" w:eastAsia="宋体" w:cs="宋体"/>
          <w:color w:val="auto"/>
          <w:szCs w:val="21"/>
        </w:rPr>
        <w:t>（3）不同投标人的投标文件载明的项目管理成员或者联系人员为同一人；</w:t>
      </w:r>
    </w:p>
    <w:p w14:paraId="7936DB26">
      <w:pPr>
        <w:widowControl w:val="0"/>
        <w:overflowPunct w:val="0"/>
        <w:ind w:firstLine="420" w:firstLineChars="200"/>
        <w:rPr>
          <w:rFonts w:hint="eastAsia" w:ascii="宋体" w:hAnsi="宋体" w:eastAsia="宋体" w:cs="宋体"/>
          <w:color w:val="auto"/>
          <w:szCs w:val="21"/>
        </w:rPr>
      </w:pPr>
      <w:r>
        <w:rPr>
          <w:rFonts w:hint="eastAsia" w:ascii="宋体" w:hAnsi="宋体" w:eastAsia="宋体" w:cs="宋体"/>
          <w:color w:val="auto"/>
          <w:szCs w:val="21"/>
        </w:rPr>
        <w:t>（4）不同投标人的投标文件异常一致或者投标报价呈规律性差异；</w:t>
      </w:r>
    </w:p>
    <w:p w14:paraId="48823073">
      <w:pPr>
        <w:widowControl w:val="0"/>
        <w:overflowPunct w:val="0"/>
        <w:ind w:firstLine="420" w:firstLineChars="200"/>
        <w:rPr>
          <w:rFonts w:hint="eastAsia" w:ascii="宋体" w:hAnsi="宋体" w:eastAsia="宋体" w:cs="宋体"/>
          <w:color w:val="auto"/>
          <w:szCs w:val="21"/>
        </w:rPr>
      </w:pPr>
      <w:r>
        <w:rPr>
          <w:rFonts w:hint="eastAsia" w:ascii="宋体" w:hAnsi="宋体" w:eastAsia="宋体" w:cs="宋体"/>
          <w:color w:val="auto"/>
          <w:szCs w:val="21"/>
        </w:rPr>
        <w:t>（5）不同投标人的投标文件相互混装；</w:t>
      </w:r>
    </w:p>
    <w:p w14:paraId="45897821">
      <w:pPr>
        <w:widowControl w:val="0"/>
        <w:overflowPunct w:val="0"/>
        <w:ind w:firstLine="420" w:firstLineChars="200"/>
        <w:rPr>
          <w:rFonts w:hint="eastAsia" w:ascii="宋体" w:hAnsi="宋体" w:eastAsia="宋体" w:cs="宋体"/>
          <w:color w:val="auto"/>
          <w:szCs w:val="21"/>
        </w:rPr>
      </w:pPr>
      <w:r>
        <w:rPr>
          <w:rFonts w:hint="eastAsia" w:ascii="宋体" w:hAnsi="宋体" w:eastAsia="宋体" w:cs="宋体"/>
          <w:color w:val="auto"/>
          <w:szCs w:val="21"/>
        </w:rPr>
        <w:t>（6）不同投标人的投标保证金从同一单位或者个人的账户转出。</w:t>
      </w:r>
    </w:p>
    <w:bookmarkEnd w:id="60"/>
    <w:p w14:paraId="45D26759">
      <w:pPr>
        <w:rPr>
          <w:rFonts w:hint="eastAsia" w:ascii="宋体" w:hAnsi="宋体" w:eastAsia="宋体" w:cs="宋体"/>
          <w:color w:val="auto"/>
        </w:rPr>
      </w:pPr>
    </w:p>
    <w:p w14:paraId="33D3A79C">
      <w:pPr>
        <w:pStyle w:val="5"/>
        <w:widowControl w:val="0"/>
        <w:numPr>
          <w:ilvl w:val="0"/>
          <w:numId w:val="2"/>
        </w:numPr>
        <w:overflowPunct w:val="0"/>
        <w:rPr>
          <w:rFonts w:hint="eastAsia" w:ascii="宋体" w:hAnsi="宋体" w:eastAsia="宋体" w:cs="宋体"/>
          <w:color w:val="auto"/>
          <w:sz w:val="21"/>
          <w:szCs w:val="21"/>
        </w:rPr>
      </w:pPr>
      <w:bookmarkStart w:id="61" w:name="_Toc6154"/>
      <w:bookmarkStart w:id="62" w:name="_Toc11149"/>
      <w:r>
        <w:rPr>
          <w:rFonts w:hint="eastAsia" w:ascii="宋体" w:hAnsi="宋体" w:eastAsia="宋体" w:cs="宋体"/>
          <w:color w:val="auto"/>
          <w:sz w:val="21"/>
          <w:szCs w:val="21"/>
        </w:rPr>
        <w:t>投标报价说明</w:t>
      </w:r>
      <w:bookmarkEnd w:id="61"/>
      <w:bookmarkEnd w:id="62"/>
    </w:p>
    <w:p w14:paraId="59D1E330">
      <w:pPr>
        <w:pStyle w:val="47"/>
        <w:widowControl w:val="0"/>
        <w:numPr>
          <w:ilvl w:val="0"/>
          <w:numId w:val="3"/>
        </w:numPr>
        <w:adjustRightInd/>
        <w:snapToGrid/>
        <w:ind w:firstLineChars="0"/>
        <w:jc w:val="both"/>
        <w:rPr>
          <w:rFonts w:hint="eastAsia" w:ascii="宋体" w:hAnsi="宋体" w:eastAsia="宋体" w:cs="宋体"/>
          <w:vanish/>
          <w:color w:val="auto"/>
          <w:szCs w:val="21"/>
        </w:rPr>
      </w:pPr>
    </w:p>
    <w:p w14:paraId="64058845">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本次采购，投标人应按用户需求中的要求进行投标报价，少报无效。</w:t>
      </w:r>
    </w:p>
    <w:p w14:paraId="4349A51E">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投标人所提供的货物或服务均以人民币（或相关费率）报价。</w:t>
      </w:r>
    </w:p>
    <w:p w14:paraId="7B5058DF">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投标报价应包含完成本次采购所有服务内容的费用，包含各种税务费及合同实施过程中的全部费用和售后服务费等。</w:t>
      </w:r>
    </w:p>
    <w:p w14:paraId="546E4F35">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6E1892F">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中标后开出的所有发票必须与中标人的名称一致。</w:t>
      </w:r>
    </w:p>
    <w:p w14:paraId="35589D40">
      <w:pPr>
        <w:rPr>
          <w:rFonts w:hint="eastAsia" w:ascii="宋体" w:hAnsi="宋体" w:eastAsia="宋体" w:cs="宋体"/>
          <w:color w:val="auto"/>
        </w:rPr>
      </w:pPr>
    </w:p>
    <w:p w14:paraId="23957D8A">
      <w:pPr>
        <w:pStyle w:val="5"/>
        <w:widowControl w:val="0"/>
        <w:numPr>
          <w:ilvl w:val="0"/>
          <w:numId w:val="2"/>
        </w:numPr>
        <w:overflowPunct w:val="0"/>
        <w:rPr>
          <w:rFonts w:hint="eastAsia" w:ascii="宋体" w:hAnsi="宋体" w:eastAsia="宋体" w:cs="宋体"/>
          <w:color w:val="auto"/>
          <w:sz w:val="21"/>
          <w:szCs w:val="21"/>
        </w:rPr>
      </w:pPr>
      <w:bookmarkStart w:id="63" w:name="_Toc17669"/>
      <w:bookmarkStart w:id="64" w:name="_Toc6963"/>
      <w:r>
        <w:rPr>
          <w:rFonts w:hint="eastAsia" w:ascii="宋体" w:hAnsi="宋体" w:eastAsia="宋体" w:cs="宋体"/>
          <w:color w:val="auto"/>
          <w:sz w:val="21"/>
          <w:szCs w:val="21"/>
        </w:rPr>
        <w:t>投标人所提供的服务或货物的证明文件</w:t>
      </w:r>
      <w:bookmarkEnd w:id="63"/>
      <w:bookmarkEnd w:id="64"/>
    </w:p>
    <w:p w14:paraId="38FDD014">
      <w:pPr>
        <w:pStyle w:val="47"/>
        <w:widowControl w:val="0"/>
        <w:numPr>
          <w:ilvl w:val="0"/>
          <w:numId w:val="3"/>
        </w:numPr>
        <w:adjustRightInd/>
        <w:snapToGrid/>
        <w:ind w:firstLineChars="0"/>
        <w:jc w:val="both"/>
        <w:rPr>
          <w:rFonts w:hint="eastAsia" w:ascii="宋体" w:hAnsi="宋体" w:eastAsia="宋体" w:cs="宋体"/>
          <w:vanish/>
          <w:color w:val="auto"/>
          <w:szCs w:val="21"/>
        </w:rPr>
      </w:pPr>
    </w:p>
    <w:p w14:paraId="7C246AE6">
      <w:pPr>
        <w:widowControl w:val="0"/>
        <w:numPr>
          <w:ilvl w:val="1"/>
          <w:numId w:val="2"/>
        </w:numPr>
        <w:overflowPunct w:val="0"/>
        <w:rPr>
          <w:rFonts w:hint="eastAsia" w:ascii="宋体" w:hAnsi="宋体" w:eastAsia="宋体" w:cs="宋体"/>
          <w:color w:val="auto"/>
          <w:szCs w:val="21"/>
        </w:rPr>
      </w:pPr>
      <w:bookmarkStart w:id="65" w:name="_Hlt107925638"/>
      <w:bookmarkEnd w:id="65"/>
      <w:bookmarkStart w:id="66" w:name="_Hlt107925668"/>
      <w:bookmarkEnd w:id="66"/>
      <w:r>
        <w:rPr>
          <w:rFonts w:hint="eastAsia" w:ascii="宋体" w:hAnsi="宋体" w:eastAsia="宋体" w:cs="宋体"/>
          <w:color w:val="auto"/>
          <w:szCs w:val="21"/>
        </w:rPr>
        <w:t>证明服务或货物的文件，它可以是文字资料、图纸和数据包括但不限于：服务主要内容、标准、质量、人员资质、计划安排、报告审核等的详细说明；对采购文件第三部分《用户需求书》中规定的要求进行详细应答和说明。</w:t>
      </w:r>
    </w:p>
    <w:p w14:paraId="1C25FF61">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有下列情形之一的，视为投标人弄虚作假，其投标无效：</w:t>
      </w:r>
    </w:p>
    <w:p w14:paraId="78C2EF98">
      <w:pPr>
        <w:widowControl w:val="0"/>
        <w:overflowPunct w:val="0"/>
        <w:ind w:firstLine="420" w:firstLineChars="200"/>
        <w:rPr>
          <w:rFonts w:hint="eastAsia" w:ascii="宋体" w:hAnsi="宋体" w:eastAsia="宋体" w:cs="宋体"/>
          <w:color w:val="auto"/>
        </w:rPr>
      </w:pPr>
      <w:r>
        <w:rPr>
          <w:rFonts w:hint="eastAsia" w:ascii="宋体" w:hAnsi="宋体" w:eastAsia="宋体" w:cs="宋体"/>
          <w:color w:val="auto"/>
        </w:rPr>
        <w:t>1、使用</w:t>
      </w:r>
      <w:r>
        <w:rPr>
          <w:rFonts w:hint="eastAsia" w:ascii="宋体" w:hAnsi="宋体" w:eastAsia="宋体" w:cs="宋体"/>
          <w:color w:val="auto"/>
          <w:szCs w:val="21"/>
        </w:rPr>
        <w:t>通过</w:t>
      </w:r>
      <w:r>
        <w:rPr>
          <w:rFonts w:hint="eastAsia" w:ascii="宋体" w:hAnsi="宋体" w:eastAsia="宋体" w:cs="宋体"/>
          <w:color w:val="auto"/>
        </w:rPr>
        <w:t>受让或者租借等方式获取的资格、资质证书投标的，属于以他人名义投标。</w:t>
      </w:r>
    </w:p>
    <w:p w14:paraId="696EA5BC">
      <w:pPr>
        <w:widowControl w:val="0"/>
        <w:overflowPunct w:val="0"/>
        <w:ind w:firstLine="420" w:firstLineChars="200"/>
        <w:rPr>
          <w:rFonts w:hint="eastAsia" w:ascii="宋体" w:hAnsi="宋体" w:eastAsia="宋体" w:cs="宋体"/>
          <w:color w:val="auto"/>
        </w:rPr>
      </w:pPr>
      <w:r>
        <w:rPr>
          <w:rFonts w:hint="eastAsia" w:ascii="宋体" w:hAnsi="宋体" w:eastAsia="宋体" w:cs="宋体"/>
          <w:color w:val="auto"/>
        </w:rPr>
        <w:t>2、投标人有下列情形之一的，属于以其他方式弄虚作假的行为：</w:t>
      </w:r>
    </w:p>
    <w:p w14:paraId="54D8FF87">
      <w:pPr>
        <w:widowControl w:val="0"/>
        <w:overflowPunct w:val="0"/>
        <w:ind w:firstLine="420" w:firstLineChars="200"/>
        <w:rPr>
          <w:rFonts w:hint="eastAsia" w:ascii="宋体" w:hAnsi="宋体" w:eastAsia="宋体" w:cs="宋体"/>
          <w:color w:val="auto"/>
        </w:rPr>
      </w:pPr>
      <w:r>
        <w:rPr>
          <w:rFonts w:hint="eastAsia" w:ascii="宋体" w:hAnsi="宋体" w:eastAsia="宋体" w:cs="宋体"/>
          <w:color w:val="auto"/>
        </w:rPr>
        <w:t>（1）使用伪造、变造的许可证件；</w:t>
      </w:r>
    </w:p>
    <w:p w14:paraId="23CFBCE7">
      <w:pPr>
        <w:widowControl w:val="0"/>
        <w:overflowPunct w:val="0"/>
        <w:ind w:firstLine="420" w:firstLineChars="200"/>
        <w:rPr>
          <w:rFonts w:hint="eastAsia" w:ascii="宋体" w:hAnsi="宋体" w:eastAsia="宋体" w:cs="宋体"/>
          <w:color w:val="auto"/>
        </w:rPr>
      </w:pPr>
      <w:r>
        <w:rPr>
          <w:rFonts w:hint="eastAsia" w:ascii="宋体" w:hAnsi="宋体" w:eastAsia="宋体" w:cs="宋体"/>
          <w:color w:val="auto"/>
        </w:rPr>
        <w:t>（2）提供虚假的财务状况或者业绩；</w:t>
      </w:r>
    </w:p>
    <w:p w14:paraId="738EC21B">
      <w:pPr>
        <w:widowControl w:val="0"/>
        <w:overflowPunct w:val="0"/>
        <w:ind w:firstLine="420" w:firstLineChars="200"/>
        <w:rPr>
          <w:rFonts w:hint="eastAsia" w:ascii="宋体" w:hAnsi="宋体" w:eastAsia="宋体" w:cs="宋体"/>
          <w:color w:val="auto"/>
        </w:rPr>
      </w:pPr>
      <w:r>
        <w:rPr>
          <w:rFonts w:hint="eastAsia" w:ascii="宋体" w:hAnsi="宋体" w:eastAsia="宋体" w:cs="宋体"/>
          <w:color w:val="auto"/>
        </w:rPr>
        <w:t>（3）提供虚假的项目负责人或者主要技术人员简历、劳动关系证明；</w:t>
      </w:r>
    </w:p>
    <w:p w14:paraId="46B97DFE">
      <w:pPr>
        <w:widowControl w:val="0"/>
        <w:overflowPunct w:val="0"/>
        <w:ind w:firstLine="420" w:firstLineChars="200"/>
        <w:rPr>
          <w:rFonts w:hint="eastAsia" w:ascii="宋体" w:hAnsi="宋体" w:eastAsia="宋体" w:cs="宋体"/>
          <w:color w:val="auto"/>
        </w:rPr>
      </w:pPr>
      <w:r>
        <w:rPr>
          <w:rFonts w:hint="eastAsia" w:ascii="宋体" w:hAnsi="宋体" w:eastAsia="宋体" w:cs="宋体"/>
          <w:color w:val="auto"/>
        </w:rPr>
        <w:t>（4）提供</w:t>
      </w:r>
      <w:r>
        <w:rPr>
          <w:rFonts w:hint="eastAsia" w:ascii="宋体" w:hAnsi="宋体" w:eastAsia="宋体" w:cs="宋体"/>
          <w:color w:val="auto"/>
          <w:szCs w:val="21"/>
        </w:rPr>
        <w:t>虚假</w:t>
      </w:r>
      <w:r>
        <w:rPr>
          <w:rFonts w:hint="eastAsia" w:ascii="宋体" w:hAnsi="宋体" w:eastAsia="宋体" w:cs="宋体"/>
          <w:color w:val="auto"/>
        </w:rPr>
        <w:t>的信用状况；</w:t>
      </w:r>
    </w:p>
    <w:p w14:paraId="55236099">
      <w:pPr>
        <w:widowControl w:val="0"/>
        <w:overflowPunct w:val="0"/>
        <w:ind w:firstLine="420" w:firstLineChars="200"/>
        <w:rPr>
          <w:rFonts w:hint="eastAsia" w:ascii="宋体" w:hAnsi="宋体" w:eastAsia="宋体" w:cs="宋体"/>
          <w:color w:val="auto"/>
        </w:rPr>
      </w:pPr>
      <w:r>
        <w:rPr>
          <w:rFonts w:hint="eastAsia" w:ascii="宋体" w:hAnsi="宋体" w:eastAsia="宋体" w:cs="宋体"/>
          <w:color w:val="auto"/>
        </w:rPr>
        <w:t>（5）其他</w:t>
      </w:r>
      <w:r>
        <w:rPr>
          <w:rFonts w:hint="eastAsia" w:ascii="宋体" w:hAnsi="宋体" w:eastAsia="宋体" w:cs="宋体"/>
          <w:color w:val="auto"/>
          <w:szCs w:val="21"/>
        </w:rPr>
        <w:t>弄虚作假</w:t>
      </w:r>
      <w:r>
        <w:rPr>
          <w:rFonts w:hint="eastAsia" w:ascii="宋体" w:hAnsi="宋体" w:eastAsia="宋体" w:cs="宋体"/>
          <w:color w:val="auto"/>
        </w:rPr>
        <w:t>的行为。</w:t>
      </w:r>
    </w:p>
    <w:p w14:paraId="493DB9EE">
      <w:pPr>
        <w:pStyle w:val="5"/>
        <w:widowControl w:val="0"/>
        <w:numPr>
          <w:ilvl w:val="0"/>
          <w:numId w:val="2"/>
        </w:numPr>
        <w:overflowPunct w:val="0"/>
        <w:rPr>
          <w:rFonts w:hint="eastAsia" w:ascii="宋体" w:hAnsi="宋体" w:eastAsia="宋体" w:cs="宋体"/>
          <w:color w:val="auto"/>
          <w:sz w:val="21"/>
          <w:szCs w:val="21"/>
        </w:rPr>
      </w:pPr>
      <w:bookmarkStart w:id="67" w:name="_Toc8324"/>
      <w:bookmarkStart w:id="68" w:name="_Toc10734"/>
      <w:r>
        <w:rPr>
          <w:rFonts w:hint="eastAsia" w:ascii="宋体" w:hAnsi="宋体" w:eastAsia="宋体" w:cs="宋体"/>
          <w:color w:val="auto"/>
          <w:sz w:val="21"/>
          <w:szCs w:val="21"/>
        </w:rPr>
        <w:t>投标有效期</w:t>
      </w:r>
      <w:bookmarkEnd w:id="67"/>
      <w:bookmarkEnd w:id="68"/>
    </w:p>
    <w:p w14:paraId="6012ABF6">
      <w:pPr>
        <w:pStyle w:val="47"/>
        <w:widowControl w:val="0"/>
        <w:numPr>
          <w:ilvl w:val="0"/>
          <w:numId w:val="3"/>
        </w:numPr>
        <w:adjustRightInd/>
        <w:snapToGrid/>
        <w:ind w:firstLineChars="0"/>
        <w:jc w:val="both"/>
        <w:rPr>
          <w:rFonts w:hint="eastAsia" w:ascii="宋体" w:hAnsi="宋体" w:eastAsia="宋体" w:cs="宋体"/>
          <w:vanish/>
          <w:color w:val="auto"/>
          <w:szCs w:val="21"/>
        </w:rPr>
      </w:pPr>
    </w:p>
    <w:p w14:paraId="475BE7AA">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投标文件应根据投标人须知的规定在投标截止日后的90天内保持有效。</w:t>
      </w:r>
    </w:p>
    <w:p w14:paraId="2BD342CB">
      <w:pPr>
        <w:widowControl w:val="0"/>
        <w:adjustRightInd/>
        <w:snapToGrid/>
        <w:ind w:left="567"/>
        <w:jc w:val="both"/>
        <w:rPr>
          <w:rFonts w:hint="eastAsia" w:ascii="宋体" w:hAnsi="宋体" w:eastAsia="宋体" w:cs="宋体"/>
          <w:color w:val="auto"/>
        </w:rPr>
      </w:pPr>
    </w:p>
    <w:p w14:paraId="62B63E03">
      <w:pPr>
        <w:pStyle w:val="5"/>
        <w:widowControl w:val="0"/>
        <w:numPr>
          <w:ilvl w:val="0"/>
          <w:numId w:val="2"/>
        </w:numPr>
        <w:overflowPunct w:val="0"/>
        <w:rPr>
          <w:rFonts w:hint="eastAsia" w:ascii="宋体" w:hAnsi="宋体" w:eastAsia="宋体" w:cs="宋体"/>
          <w:color w:val="auto"/>
          <w:sz w:val="21"/>
          <w:szCs w:val="21"/>
        </w:rPr>
      </w:pPr>
      <w:bookmarkStart w:id="69" w:name="_Toc12582"/>
      <w:bookmarkStart w:id="70" w:name="_Toc13994"/>
      <w:r>
        <w:rPr>
          <w:rFonts w:hint="eastAsia" w:ascii="宋体" w:hAnsi="宋体" w:eastAsia="宋体" w:cs="宋体"/>
          <w:color w:val="auto"/>
          <w:sz w:val="21"/>
          <w:szCs w:val="21"/>
        </w:rPr>
        <w:t>投标保证金</w:t>
      </w:r>
      <w:bookmarkEnd w:id="69"/>
      <w:bookmarkEnd w:id="70"/>
    </w:p>
    <w:p w14:paraId="0475D1E2">
      <w:pPr>
        <w:pStyle w:val="47"/>
        <w:widowControl w:val="0"/>
        <w:numPr>
          <w:ilvl w:val="0"/>
          <w:numId w:val="3"/>
        </w:numPr>
        <w:adjustRightInd/>
        <w:snapToGrid/>
        <w:ind w:firstLineChars="0"/>
        <w:jc w:val="both"/>
        <w:rPr>
          <w:rFonts w:hint="eastAsia" w:ascii="宋体" w:hAnsi="宋体" w:eastAsia="宋体" w:cs="宋体"/>
          <w:vanish/>
          <w:color w:val="auto"/>
          <w:szCs w:val="21"/>
        </w:rPr>
      </w:pPr>
      <w:bookmarkStart w:id="71" w:name="_Ref179619405"/>
    </w:p>
    <w:p w14:paraId="370187F2">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投标人应在投标文件递交截止前提交相应的投标保证金，并作为其投标的一部分。</w:t>
      </w:r>
      <w:bookmarkEnd w:id="71"/>
    </w:p>
    <w:p w14:paraId="50C91545">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投标保证金是为了保护采购代理机构和采购人免遭因投标人的行为而蒙受的损失。采购代理机构和采购人在因投标人的行为受到损害时可根据本须知（17.7）的规定没收投标人的投标保证金。</w:t>
      </w:r>
    </w:p>
    <w:p w14:paraId="4D41E769">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保证金采用转账、电汇方式方式提交，应符合以下要求：采用银行转账、电汇方式提交的，保证金汇入《投标资料表》中投标保证金专用账户，不接收由以投标人分支机构、私人账户和其他单位转入的保证金。投标保证金必须在投标文件递交截止前到账，投标保证金未按规定时间到达指定账户或提交金额不足的，将被视为无效投标。且在备注或用途中注明本项目的项目编号。</w:t>
      </w:r>
    </w:p>
    <w:p w14:paraId="74577DD5">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凡没有根据本须知（17.1和17.3）的规定随附有效的投标保证金的投标，将被视为非响应性投标予以拒绝。</w:t>
      </w:r>
    </w:p>
    <w:p w14:paraId="5B835AA6">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投标保证金有效期应当与投标有效期一致。采购人如果按照采购文件另外规定延长了投标文件有效期，则投标担保的有效期也相应延长。</w:t>
      </w:r>
    </w:p>
    <w:p w14:paraId="59397F53">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中标人在签订采购合同并按采购文件第（33）条规定提交履约担保金后，携带退保证金声明函、投标保证金汇款单复印件（加盖公章）和合同正本到采购人处办理投标保证金（无息）退回手续。</w:t>
      </w:r>
    </w:p>
    <w:p w14:paraId="0DD67802">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下列任何情况发生时，投标保证金将不予退还：</w:t>
      </w:r>
    </w:p>
    <w:p w14:paraId="77C6AAEE">
      <w:pPr>
        <w:widowControl w:val="0"/>
        <w:overflowPunct w:val="0"/>
        <w:ind w:firstLine="420" w:firstLineChars="200"/>
        <w:rPr>
          <w:rFonts w:hint="eastAsia" w:ascii="宋体" w:hAnsi="宋体" w:eastAsia="宋体" w:cs="宋体"/>
          <w:color w:val="auto"/>
          <w:szCs w:val="21"/>
        </w:rPr>
      </w:pPr>
      <w:r>
        <w:rPr>
          <w:rFonts w:hint="eastAsia" w:ascii="宋体" w:hAnsi="宋体" w:eastAsia="宋体" w:cs="宋体"/>
          <w:color w:val="auto"/>
          <w:szCs w:val="21"/>
        </w:rPr>
        <w:t>（1）投标人在采购文件中规定的投标有效期内撤回其投标；</w:t>
      </w:r>
    </w:p>
    <w:p w14:paraId="1B98743C">
      <w:pPr>
        <w:widowControl w:val="0"/>
        <w:overflowPunct w:val="0"/>
        <w:ind w:left="1050" w:leftChars="200" w:hanging="630" w:hangingChars="300"/>
        <w:rPr>
          <w:rFonts w:hint="eastAsia" w:ascii="宋体" w:hAnsi="宋体" w:eastAsia="宋体" w:cs="宋体"/>
          <w:color w:val="auto"/>
          <w:szCs w:val="21"/>
        </w:rPr>
      </w:pPr>
      <w:r>
        <w:rPr>
          <w:rFonts w:hint="eastAsia" w:ascii="宋体" w:hAnsi="宋体" w:eastAsia="宋体" w:cs="宋体"/>
          <w:color w:val="auto"/>
          <w:szCs w:val="21"/>
        </w:rPr>
        <w:t>（2）中标人无正当理由不与采购人订立合同，在签订合同时向采购人提出附加条件，或者不按照采购文件要求提交履约保证金的；</w:t>
      </w:r>
    </w:p>
    <w:p w14:paraId="42AFDA5E">
      <w:pPr>
        <w:widowControl w:val="0"/>
        <w:overflowPunct w:val="0"/>
        <w:ind w:left="840" w:leftChars="200" w:hanging="420" w:hangingChars="200"/>
        <w:rPr>
          <w:rFonts w:hint="eastAsia" w:ascii="宋体" w:hAnsi="宋体" w:eastAsia="宋体" w:cs="宋体"/>
          <w:color w:val="auto"/>
          <w:szCs w:val="21"/>
        </w:rPr>
      </w:pPr>
      <w:r>
        <w:rPr>
          <w:rFonts w:hint="eastAsia" w:ascii="宋体" w:hAnsi="宋体" w:eastAsia="宋体" w:cs="宋体"/>
          <w:color w:val="auto"/>
          <w:szCs w:val="21"/>
        </w:rPr>
        <w:t>（3）中标人将本项目转让给他人，或者在投标文件中未说明，且未经采购人同意，将中标项目分包给他人的；</w:t>
      </w:r>
    </w:p>
    <w:p w14:paraId="6F59274E">
      <w:pPr>
        <w:widowControl w:val="0"/>
        <w:overflowPunct w:val="0"/>
        <w:ind w:firstLine="420" w:firstLineChars="200"/>
        <w:rPr>
          <w:rFonts w:hint="eastAsia" w:ascii="宋体" w:hAnsi="宋体" w:eastAsia="宋体" w:cs="宋体"/>
          <w:color w:val="auto"/>
          <w:szCs w:val="21"/>
        </w:rPr>
      </w:pPr>
      <w:r>
        <w:rPr>
          <w:rFonts w:hint="eastAsia" w:ascii="宋体" w:hAnsi="宋体" w:eastAsia="宋体" w:cs="宋体"/>
          <w:color w:val="auto"/>
          <w:szCs w:val="21"/>
        </w:rPr>
        <w:t>（4）投标人提供虚假投标文件或虚假补充文件的。</w:t>
      </w:r>
    </w:p>
    <w:p w14:paraId="4A45CF66">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在中标通知书发出后，未中标投标人的投标保证金，由采购人自行返还至投标人的原转出账户。</w:t>
      </w:r>
    </w:p>
    <w:p w14:paraId="733263D4">
      <w:pPr>
        <w:rPr>
          <w:rFonts w:hint="eastAsia" w:ascii="宋体" w:hAnsi="宋体" w:eastAsia="宋体" w:cs="宋体"/>
          <w:color w:val="auto"/>
        </w:rPr>
      </w:pPr>
    </w:p>
    <w:p w14:paraId="6F2CABCE">
      <w:pPr>
        <w:pStyle w:val="4"/>
        <w:numPr>
          <w:ilvl w:val="0"/>
          <w:numId w:val="1"/>
        </w:numPr>
        <w:spacing w:line="360" w:lineRule="auto"/>
        <w:jc w:val="center"/>
        <w:rPr>
          <w:rFonts w:hint="eastAsia" w:ascii="宋体" w:hAnsi="宋体" w:eastAsia="宋体" w:cs="宋体"/>
          <w:color w:val="auto"/>
        </w:rPr>
      </w:pPr>
      <w:bookmarkStart w:id="72" w:name="_Toc12255"/>
      <w:bookmarkStart w:id="73" w:name="_Toc30352"/>
      <w:r>
        <w:rPr>
          <w:rFonts w:hint="eastAsia" w:ascii="宋体" w:hAnsi="宋体" w:eastAsia="宋体" w:cs="宋体"/>
          <w:color w:val="auto"/>
        </w:rPr>
        <w:t>投标文件的递交</w:t>
      </w:r>
      <w:bookmarkEnd w:id="72"/>
      <w:bookmarkEnd w:id="73"/>
    </w:p>
    <w:p w14:paraId="1FC7FE57">
      <w:pPr>
        <w:pStyle w:val="5"/>
        <w:widowControl w:val="0"/>
        <w:numPr>
          <w:ilvl w:val="0"/>
          <w:numId w:val="2"/>
        </w:numPr>
        <w:overflowPunct w:val="0"/>
        <w:rPr>
          <w:rFonts w:hint="eastAsia" w:ascii="宋体" w:hAnsi="宋体" w:eastAsia="宋体" w:cs="宋体"/>
          <w:color w:val="auto"/>
          <w:sz w:val="21"/>
          <w:szCs w:val="21"/>
        </w:rPr>
      </w:pPr>
      <w:bookmarkStart w:id="74" w:name="_Toc24150"/>
      <w:bookmarkStart w:id="75" w:name="_Toc382049111"/>
      <w:bookmarkStart w:id="76" w:name="_Toc18291"/>
      <w:bookmarkStart w:id="77" w:name="_Toc303084264"/>
      <w:bookmarkStart w:id="78" w:name="_Toc24997"/>
      <w:r>
        <w:rPr>
          <w:rFonts w:hint="eastAsia" w:ascii="宋体" w:hAnsi="宋体" w:eastAsia="宋体" w:cs="宋体"/>
          <w:color w:val="auto"/>
          <w:sz w:val="21"/>
          <w:szCs w:val="21"/>
        </w:rPr>
        <w:t>投标文件的装订，签署，密封和标记</w:t>
      </w:r>
      <w:bookmarkEnd w:id="74"/>
      <w:bookmarkEnd w:id="75"/>
      <w:bookmarkEnd w:id="76"/>
      <w:bookmarkEnd w:id="77"/>
      <w:bookmarkEnd w:id="78"/>
    </w:p>
    <w:p w14:paraId="567516DC">
      <w:pPr>
        <w:pStyle w:val="47"/>
        <w:widowControl w:val="0"/>
        <w:numPr>
          <w:ilvl w:val="0"/>
          <w:numId w:val="3"/>
        </w:numPr>
        <w:adjustRightInd/>
        <w:snapToGrid/>
        <w:ind w:firstLineChars="0"/>
        <w:jc w:val="both"/>
        <w:rPr>
          <w:rFonts w:hint="eastAsia" w:ascii="宋体" w:hAnsi="宋体" w:eastAsia="宋体" w:cs="宋体"/>
          <w:vanish/>
          <w:color w:val="auto"/>
          <w:szCs w:val="21"/>
        </w:rPr>
      </w:pPr>
    </w:p>
    <w:p w14:paraId="64FAEC28">
      <w:pPr>
        <w:widowControl w:val="0"/>
        <w:numPr>
          <w:ilvl w:val="1"/>
          <w:numId w:val="2"/>
        </w:numPr>
        <w:overflowPunct w:val="0"/>
        <w:rPr>
          <w:rFonts w:hint="eastAsia" w:ascii="宋体" w:hAnsi="宋体" w:eastAsia="宋体" w:cs="宋体"/>
          <w:b/>
          <w:bCs/>
          <w:color w:val="auto"/>
          <w:szCs w:val="21"/>
        </w:rPr>
      </w:pPr>
      <w:r>
        <w:rPr>
          <w:rFonts w:hint="eastAsia" w:ascii="宋体" w:hAnsi="宋体" w:eastAsia="宋体" w:cs="宋体"/>
          <w:color w:val="auto"/>
          <w:szCs w:val="21"/>
        </w:rPr>
        <w:t>投标人应按《投标资料表》的份数准备价格文件、商务文件、技术文件、唱标信封和电子文件（</w:t>
      </w:r>
      <w:r>
        <w:rPr>
          <w:rFonts w:hint="eastAsia" w:ascii="宋体" w:hAnsi="宋体" w:eastAsia="宋体" w:cs="宋体"/>
          <w:b/>
          <w:color w:val="auto"/>
          <w:szCs w:val="21"/>
        </w:rPr>
        <w:t>价格文件、商务文件、技术文件分别单独装订成册</w:t>
      </w:r>
      <w:r>
        <w:rPr>
          <w:rFonts w:hint="eastAsia" w:ascii="宋体" w:hAnsi="宋体" w:eastAsia="宋体" w:cs="宋体"/>
          <w:color w:val="auto"/>
          <w:szCs w:val="21"/>
        </w:rPr>
        <w:t>），每一份投标文件均需编上页次，装订成册（不允许使用活页夹，否则由此产生的风险由投标人自行承担）。所有投标文件必须封入密封完好的信封或包装，封口加盖公章。</w:t>
      </w:r>
      <w:r>
        <w:rPr>
          <w:rFonts w:hint="eastAsia" w:ascii="宋体" w:hAnsi="宋体" w:eastAsia="宋体" w:cs="宋体"/>
          <w:b/>
          <w:bCs/>
          <w:color w:val="auto"/>
          <w:szCs w:val="21"/>
        </w:rPr>
        <w:t>（参投多个包组的投标人每个包组分别递交投标文件）</w:t>
      </w:r>
    </w:p>
    <w:p w14:paraId="0942AC80">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文件正本均须用不褪色墨水书写或打印。投标文件的副本可采用投标文件的正本复印件，每套投标文件应当标明“正本”、“副本”的字样。投标文件的【正本】及所有【副本】的封面及骑缝均须加盖投标人公章（文件每页盖章等同于盖骑缝章）。若正本与副本不符，以正本为准。</w:t>
      </w:r>
    </w:p>
    <w:p w14:paraId="5DE0688A">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联合体投标文件的【正本】及【副本】的封面及骑缝均须加盖所有联合体组成成员的公章。（文件每页盖章等同于盖骑缝章）</w:t>
      </w:r>
    </w:p>
    <w:p w14:paraId="05175F43">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电子文件内容包括：由投标人自行制作的与正本文件一致的所有文件。电子文件由光盘或U盘储存，并注明投标人名称及项目名称、采购项目编号，随投标文件一同密封提交。</w:t>
      </w:r>
    </w:p>
    <w:p w14:paraId="6CAE3ABE">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除投标人对错误处修改外，全套投标文件应无涂改或行间插字和增删。如有修改，修改处须由法定代表人或其正式授权代表在旁边签字及盖章。</w:t>
      </w:r>
    </w:p>
    <w:p w14:paraId="73108E12">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投标人应将投标文件进行非透明的封装，以防止投标文件内容的泄露。采购代理机构将拒绝接收采用透明包装进行密封的投标文件。</w:t>
      </w:r>
    </w:p>
    <w:p w14:paraId="5D273CE7">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密封破损导致投标文件内容直接或间接泄露的投标文件，采购代理机构将拒绝接收。</w:t>
      </w:r>
    </w:p>
    <w:p w14:paraId="45584734">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为方便开标唱标，投标人应将开标一览表和授权委托书单独密封提交，并在信封上标明“唱标信封”字样。唱标信封内还须包括并不限于：投标保证金支付凭证银行汇款底单（复印件加盖公章，原件随身携带，以备查核）和投标保证金汇入情况说明（加盖公章）。投标人的法定代表人参加投标时，须开具法定代表人证明书，按上述要求与开标一览表一并密封提交。“唱标信封”份数及签章等要求与投标文件正本相同（1份）。</w:t>
      </w:r>
    </w:p>
    <w:p w14:paraId="66B07533">
      <w:pPr>
        <w:widowControl w:val="0"/>
        <w:numPr>
          <w:ilvl w:val="1"/>
          <w:numId w:val="2"/>
        </w:numPr>
        <w:overflowPunct w:val="0"/>
        <w:rPr>
          <w:rFonts w:hint="eastAsia" w:ascii="宋体" w:hAnsi="宋体" w:eastAsia="宋体" w:cs="宋体"/>
          <w:b/>
          <w:bCs/>
          <w:color w:val="auto"/>
          <w:szCs w:val="21"/>
        </w:rPr>
      </w:pPr>
      <w:r>
        <w:rPr>
          <w:rFonts w:hint="eastAsia" w:ascii="宋体" w:hAnsi="宋体" w:eastAsia="宋体" w:cs="宋体"/>
          <w:b/>
          <w:bCs/>
          <w:color w:val="auto"/>
          <w:szCs w:val="21"/>
        </w:rPr>
        <w:t>未单独提交唱标信封的投标人投标文件不进行唱标，投标文件作无效处理。</w:t>
      </w:r>
    </w:p>
    <w:p w14:paraId="1A8D012B">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 xml:space="preserve">所有的信封均应注明： </w:t>
      </w:r>
    </w:p>
    <w:p w14:paraId="2E7287B8">
      <w:pPr>
        <w:widowControl w:val="0"/>
        <w:overflowPunct w:val="0"/>
        <w:ind w:firstLine="420" w:firstLineChars="200"/>
        <w:rPr>
          <w:rFonts w:hint="eastAsia" w:ascii="宋体" w:hAnsi="宋体" w:eastAsia="宋体" w:cs="宋体"/>
          <w:color w:val="auto"/>
          <w:szCs w:val="21"/>
        </w:rPr>
      </w:pPr>
      <w:r>
        <w:rPr>
          <w:rFonts w:hint="eastAsia" w:ascii="宋体" w:hAnsi="宋体" w:eastAsia="宋体" w:cs="宋体"/>
          <w:color w:val="auto"/>
          <w:szCs w:val="21"/>
        </w:rPr>
        <w:t xml:space="preserve">（1）收件人： </w:t>
      </w:r>
    </w:p>
    <w:p w14:paraId="7ACD610D">
      <w:pPr>
        <w:widowControl w:val="0"/>
        <w:overflowPunct w:val="0"/>
        <w:ind w:firstLine="420" w:firstLineChars="200"/>
        <w:rPr>
          <w:rFonts w:hint="eastAsia" w:ascii="宋体" w:hAnsi="宋体" w:eastAsia="宋体" w:cs="宋体"/>
          <w:color w:val="auto"/>
          <w:szCs w:val="21"/>
        </w:rPr>
      </w:pPr>
      <w:r>
        <w:rPr>
          <w:rFonts w:hint="eastAsia" w:ascii="宋体" w:hAnsi="宋体" w:eastAsia="宋体" w:cs="宋体"/>
          <w:color w:val="auto"/>
          <w:szCs w:val="21"/>
        </w:rPr>
        <w:t>（2）投标单位名称：</w:t>
      </w:r>
    </w:p>
    <w:p w14:paraId="34112D4E">
      <w:pPr>
        <w:widowControl w:val="0"/>
        <w:overflowPunct w:val="0"/>
        <w:ind w:firstLine="420" w:firstLineChars="200"/>
        <w:rPr>
          <w:rFonts w:hint="eastAsia" w:ascii="宋体" w:hAnsi="宋体" w:eastAsia="宋体" w:cs="宋体"/>
          <w:color w:val="auto"/>
          <w:szCs w:val="21"/>
        </w:rPr>
      </w:pPr>
      <w:r>
        <w:rPr>
          <w:rFonts w:hint="eastAsia" w:ascii="宋体" w:hAnsi="宋体" w:eastAsia="宋体" w:cs="宋体"/>
          <w:color w:val="auto"/>
          <w:szCs w:val="21"/>
        </w:rPr>
        <w:t>（3）项目名称：</w:t>
      </w:r>
    </w:p>
    <w:p w14:paraId="1203CD4D">
      <w:pPr>
        <w:widowControl w:val="0"/>
        <w:overflowPunct w:val="0"/>
        <w:ind w:firstLine="420" w:firstLineChars="200"/>
        <w:rPr>
          <w:rFonts w:hint="eastAsia" w:ascii="宋体" w:hAnsi="宋体" w:eastAsia="宋体" w:cs="宋体"/>
          <w:color w:val="auto"/>
          <w:szCs w:val="21"/>
        </w:rPr>
      </w:pPr>
      <w:r>
        <w:rPr>
          <w:rFonts w:hint="eastAsia" w:ascii="宋体" w:hAnsi="宋体" w:eastAsia="宋体" w:cs="宋体"/>
          <w:color w:val="auto"/>
          <w:szCs w:val="21"/>
        </w:rPr>
        <w:t>（4）项目采购项目编号：</w:t>
      </w:r>
    </w:p>
    <w:p w14:paraId="36E7ACC9">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密封信封上的项目编号错误或项目名称出现严重歧义的（包括采购内容不符），采购代理机构将拒绝接收。</w:t>
      </w:r>
    </w:p>
    <w:p w14:paraId="70DC5C21">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采购代理机构对所有投标文件的误投或提前启封概不负责。</w:t>
      </w:r>
    </w:p>
    <w:p w14:paraId="50C75845">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投标人同时参加几个包投标时必须按采购文件要求按包号分别制作投标文件，分别密封递交。</w:t>
      </w:r>
    </w:p>
    <w:p w14:paraId="0A9239B1">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传真、电传的投标文件将被拒绝。</w:t>
      </w:r>
    </w:p>
    <w:p w14:paraId="26BC00FC">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递交的投标文件中所提供的通讯方式应保持联络畅通，因联系不上而导致的所有后果由投标人自行承担。</w:t>
      </w:r>
    </w:p>
    <w:p w14:paraId="157E9A8B">
      <w:pPr>
        <w:rPr>
          <w:rFonts w:hint="eastAsia" w:ascii="宋体" w:hAnsi="宋体" w:eastAsia="宋体" w:cs="宋体"/>
          <w:color w:val="auto"/>
        </w:rPr>
      </w:pPr>
    </w:p>
    <w:p w14:paraId="34FB758D">
      <w:pPr>
        <w:pStyle w:val="5"/>
        <w:widowControl w:val="0"/>
        <w:numPr>
          <w:ilvl w:val="0"/>
          <w:numId w:val="2"/>
        </w:numPr>
        <w:overflowPunct w:val="0"/>
        <w:rPr>
          <w:rFonts w:hint="eastAsia" w:ascii="宋体" w:hAnsi="宋体" w:eastAsia="宋体" w:cs="宋体"/>
          <w:color w:val="auto"/>
          <w:sz w:val="21"/>
          <w:szCs w:val="21"/>
        </w:rPr>
      </w:pPr>
      <w:bookmarkStart w:id="79" w:name="_Toc4813"/>
      <w:bookmarkStart w:id="80" w:name="_Toc25895"/>
      <w:r>
        <w:rPr>
          <w:rFonts w:hint="eastAsia" w:ascii="宋体" w:hAnsi="宋体" w:eastAsia="宋体" w:cs="宋体"/>
          <w:color w:val="auto"/>
          <w:sz w:val="21"/>
          <w:szCs w:val="21"/>
        </w:rPr>
        <w:t>迟交的投标文件</w:t>
      </w:r>
      <w:bookmarkEnd w:id="79"/>
      <w:bookmarkEnd w:id="80"/>
    </w:p>
    <w:p w14:paraId="2DD97EC3">
      <w:pPr>
        <w:pStyle w:val="47"/>
        <w:widowControl w:val="0"/>
        <w:numPr>
          <w:ilvl w:val="0"/>
          <w:numId w:val="3"/>
        </w:numPr>
        <w:adjustRightInd/>
        <w:snapToGrid/>
        <w:ind w:firstLineChars="0"/>
        <w:jc w:val="both"/>
        <w:rPr>
          <w:rFonts w:hint="eastAsia" w:ascii="宋体" w:hAnsi="宋体" w:eastAsia="宋体" w:cs="宋体"/>
          <w:vanish/>
          <w:color w:val="auto"/>
          <w:szCs w:val="21"/>
        </w:rPr>
      </w:pPr>
    </w:p>
    <w:p w14:paraId="0BE0BED5">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投标人在投标截止时间之后提交的投标文件，采购代理机构将拒绝接收。</w:t>
      </w:r>
    </w:p>
    <w:p w14:paraId="4805A980">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有违反其他法律规定情形的，采购代理机构将拒绝接收。</w:t>
      </w:r>
    </w:p>
    <w:p w14:paraId="1C446F37">
      <w:pPr>
        <w:rPr>
          <w:rFonts w:hint="eastAsia" w:ascii="宋体" w:hAnsi="宋体" w:eastAsia="宋体" w:cs="宋体"/>
          <w:color w:val="auto"/>
        </w:rPr>
      </w:pPr>
    </w:p>
    <w:p w14:paraId="086B510C">
      <w:pPr>
        <w:pStyle w:val="5"/>
        <w:widowControl w:val="0"/>
        <w:numPr>
          <w:ilvl w:val="0"/>
          <w:numId w:val="2"/>
        </w:numPr>
        <w:overflowPunct w:val="0"/>
        <w:rPr>
          <w:rFonts w:hint="eastAsia" w:ascii="宋体" w:hAnsi="宋体" w:eastAsia="宋体" w:cs="宋体"/>
          <w:color w:val="auto"/>
          <w:sz w:val="21"/>
          <w:szCs w:val="21"/>
        </w:rPr>
      </w:pPr>
      <w:bookmarkStart w:id="81" w:name="_Toc26476"/>
      <w:bookmarkStart w:id="82" w:name="_Toc9143"/>
      <w:r>
        <w:rPr>
          <w:rFonts w:hint="eastAsia" w:ascii="宋体" w:hAnsi="宋体" w:eastAsia="宋体" w:cs="宋体"/>
          <w:color w:val="auto"/>
          <w:sz w:val="21"/>
          <w:szCs w:val="21"/>
        </w:rPr>
        <w:t>投标样品（如需提交）</w:t>
      </w:r>
      <w:bookmarkEnd w:id="81"/>
      <w:bookmarkEnd w:id="82"/>
    </w:p>
    <w:p w14:paraId="1810F874">
      <w:pPr>
        <w:pStyle w:val="47"/>
        <w:widowControl w:val="0"/>
        <w:numPr>
          <w:ilvl w:val="0"/>
          <w:numId w:val="3"/>
        </w:numPr>
        <w:adjustRightInd/>
        <w:snapToGrid/>
        <w:ind w:firstLineChars="0"/>
        <w:jc w:val="both"/>
        <w:rPr>
          <w:rFonts w:hint="eastAsia" w:ascii="宋体" w:hAnsi="宋体" w:eastAsia="宋体" w:cs="宋体"/>
          <w:vanish/>
          <w:color w:val="auto"/>
          <w:szCs w:val="21"/>
        </w:rPr>
      </w:pPr>
    </w:p>
    <w:p w14:paraId="5E182B5E">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如有必要，采购代理机构可以要求投标人提供本服务项目涉及的部分设备或产品样品，投标人在投标时应提交《样品清单》。</w:t>
      </w:r>
    </w:p>
    <w:p w14:paraId="60449BF3">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为方便评标，投标人在提供样品时，应在所提供的样品表面显著位置标注投标人的名称、包号、样品名称、采购文件规定的服务或货物编号。</w:t>
      </w:r>
    </w:p>
    <w:p w14:paraId="431F9B35">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样品作为投标文件的一部分，除非另有说明，中标单位的样品将作为履约验收标准的参考不再退还，未中标单位须在中标公告发布后五个工作日内，前往采购代理机构领取投标样品，逾期不领，采购代理机构将不承担样品的保管责任，由此引发的样品丢失、毁损，采购代理机构不予负责。</w:t>
      </w:r>
    </w:p>
    <w:p w14:paraId="2E92299B">
      <w:pPr>
        <w:rPr>
          <w:rFonts w:hint="eastAsia" w:ascii="宋体" w:hAnsi="宋体" w:eastAsia="宋体" w:cs="宋体"/>
          <w:color w:val="auto"/>
        </w:rPr>
      </w:pPr>
    </w:p>
    <w:p w14:paraId="3852E19F">
      <w:pPr>
        <w:pStyle w:val="5"/>
        <w:widowControl w:val="0"/>
        <w:numPr>
          <w:ilvl w:val="0"/>
          <w:numId w:val="2"/>
        </w:numPr>
        <w:overflowPunct w:val="0"/>
        <w:rPr>
          <w:rFonts w:hint="eastAsia" w:ascii="宋体" w:hAnsi="宋体" w:eastAsia="宋体" w:cs="宋体"/>
          <w:color w:val="auto"/>
          <w:sz w:val="21"/>
          <w:szCs w:val="21"/>
        </w:rPr>
      </w:pPr>
      <w:bookmarkStart w:id="83" w:name="_Toc16057"/>
      <w:bookmarkStart w:id="84" w:name="_Toc9777"/>
      <w:bookmarkStart w:id="85" w:name="_Toc382049112"/>
      <w:bookmarkStart w:id="86" w:name="_Toc303084265"/>
      <w:bookmarkStart w:id="87" w:name="_Toc1712"/>
      <w:r>
        <w:rPr>
          <w:rFonts w:hint="eastAsia" w:ascii="宋体" w:hAnsi="宋体" w:eastAsia="宋体" w:cs="宋体"/>
          <w:color w:val="auto"/>
          <w:sz w:val="21"/>
          <w:szCs w:val="21"/>
        </w:rPr>
        <w:t>投标截止期</w:t>
      </w:r>
      <w:bookmarkEnd w:id="83"/>
      <w:bookmarkEnd w:id="84"/>
      <w:bookmarkEnd w:id="85"/>
      <w:bookmarkEnd w:id="86"/>
      <w:bookmarkEnd w:id="87"/>
    </w:p>
    <w:p w14:paraId="5EA66115">
      <w:pPr>
        <w:pStyle w:val="47"/>
        <w:widowControl w:val="0"/>
        <w:numPr>
          <w:ilvl w:val="0"/>
          <w:numId w:val="3"/>
        </w:numPr>
        <w:adjustRightInd/>
        <w:snapToGrid/>
        <w:ind w:firstLineChars="0"/>
        <w:jc w:val="both"/>
        <w:rPr>
          <w:rFonts w:hint="eastAsia" w:ascii="宋体" w:hAnsi="宋体" w:eastAsia="宋体" w:cs="宋体"/>
          <w:vanish/>
          <w:color w:val="auto"/>
          <w:szCs w:val="21"/>
        </w:rPr>
      </w:pPr>
    </w:p>
    <w:p w14:paraId="2FE7580B">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投标人应在采购文件规定的截止日期和时间内，将投标文件送达到指定地点。</w:t>
      </w:r>
    </w:p>
    <w:p w14:paraId="592969AC">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采购代理机构可按本须知规定以澄清或修改通知的方式，酌情延长递交投标文件的截止时间。在此情况下，投标人的所有权利和义务以及投标人受制约的截止时间，均以延长后新的投标截止时间为准。</w:t>
      </w:r>
    </w:p>
    <w:p w14:paraId="24C7D6DC">
      <w:pPr>
        <w:rPr>
          <w:rFonts w:hint="eastAsia" w:ascii="宋体" w:hAnsi="宋体" w:eastAsia="宋体" w:cs="宋体"/>
          <w:color w:val="auto"/>
        </w:rPr>
      </w:pPr>
    </w:p>
    <w:p w14:paraId="218A7490">
      <w:pPr>
        <w:pStyle w:val="5"/>
        <w:widowControl w:val="0"/>
        <w:numPr>
          <w:ilvl w:val="0"/>
          <w:numId w:val="2"/>
        </w:numPr>
        <w:overflowPunct w:val="0"/>
        <w:rPr>
          <w:rFonts w:hint="eastAsia" w:ascii="宋体" w:hAnsi="宋体" w:eastAsia="宋体" w:cs="宋体"/>
          <w:color w:val="auto"/>
          <w:sz w:val="21"/>
          <w:szCs w:val="21"/>
        </w:rPr>
      </w:pPr>
      <w:bookmarkStart w:id="88" w:name="_Toc31417"/>
      <w:bookmarkStart w:id="89" w:name="_Toc3523"/>
      <w:r>
        <w:rPr>
          <w:rFonts w:hint="eastAsia" w:ascii="宋体" w:hAnsi="宋体" w:eastAsia="宋体" w:cs="宋体"/>
          <w:color w:val="auto"/>
          <w:sz w:val="21"/>
          <w:szCs w:val="21"/>
        </w:rPr>
        <w:t>投标文件的补充、修改与撤回</w:t>
      </w:r>
      <w:bookmarkEnd w:id="88"/>
      <w:bookmarkEnd w:id="89"/>
    </w:p>
    <w:p w14:paraId="57A68C75">
      <w:pPr>
        <w:pStyle w:val="47"/>
        <w:widowControl w:val="0"/>
        <w:numPr>
          <w:ilvl w:val="0"/>
          <w:numId w:val="3"/>
        </w:numPr>
        <w:adjustRightInd/>
        <w:snapToGrid/>
        <w:ind w:firstLineChars="0"/>
        <w:jc w:val="both"/>
        <w:rPr>
          <w:rFonts w:hint="eastAsia" w:ascii="宋体" w:hAnsi="宋体" w:eastAsia="宋体" w:cs="宋体"/>
          <w:vanish/>
          <w:color w:val="auto"/>
          <w:szCs w:val="21"/>
        </w:rPr>
      </w:pPr>
    </w:p>
    <w:p w14:paraId="2B673DAC">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投标人在提交投标文件截止时间前，可以对所提交的投标文件进行补充、修改或撤回，并以纸质版形式通知采购代理机构。在提交投标文件截止时间之后，投标人不得对其投标文件做出任何的补充和修改。</w:t>
      </w:r>
    </w:p>
    <w:p w14:paraId="32B5A8CE">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投标人对投标文件的补充、修改的内容应当按采购文件要求的签署、盖章、密封后，作为投标文件的组成部分。并按照采购文件规定密封和标记的要求提交，并在投标文件密封袋上标明“补充、修改”字样。</w:t>
      </w:r>
    </w:p>
    <w:p w14:paraId="7E19BEF3">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投标文件一经递交不予退还。</w:t>
      </w:r>
    </w:p>
    <w:p w14:paraId="3CBF617F">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在提交投标文件截止时间至投标有效期满之前，投标人不得撤回其投标，否则其投标保证金将不予退还。</w:t>
      </w:r>
    </w:p>
    <w:p w14:paraId="150C0A4C">
      <w:pPr>
        <w:pStyle w:val="11"/>
        <w:rPr>
          <w:rFonts w:hint="eastAsia" w:ascii="宋体" w:hAnsi="宋体" w:eastAsia="宋体" w:cs="宋体"/>
          <w:color w:val="auto"/>
        </w:rPr>
      </w:pPr>
    </w:p>
    <w:p w14:paraId="09F3D231">
      <w:pPr>
        <w:pStyle w:val="4"/>
        <w:numPr>
          <w:ilvl w:val="0"/>
          <w:numId w:val="1"/>
        </w:numPr>
        <w:spacing w:line="360" w:lineRule="auto"/>
        <w:jc w:val="center"/>
        <w:rPr>
          <w:rFonts w:hint="eastAsia" w:ascii="宋体" w:hAnsi="宋体" w:eastAsia="宋体" w:cs="宋体"/>
          <w:color w:val="auto"/>
        </w:rPr>
      </w:pPr>
      <w:bookmarkStart w:id="90" w:name="_Toc7410"/>
      <w:bookmarkStart w:id="91" w:name="_Toc25729"/>
      <w:r>
        <w:rPr>
          <w:rFonts w:hint="eastAsia" w:ascii="宋体" w:hAnsi="宋体" w:eastAsia="宋体" w:cs="宋体"/>
          <w:color w:val="auto"/>
        </w:rPr>
        <w:t>开标与评标</w:t>
      </w:r>
      <w:bookmarkEnd w:id="90"/>
      <w:bookmarkEnd w:id="91"/>
    </w:p>
    <w:p w14:paraId="69D34756">
      <w:pPr>
        <w:pStyle w:val="5"/>
        <w:widowControl w:val="0"/>
        <w:numPr>
          <w:ilvl w:val="0"/>
          <w:numId w:val="2"/>
        </w:numPr>
        <w:overflowPunct w:val="0"/>
        <w:rPr>
          <w:rFonts w:hint="eastAsia" w:ascii="宋体" w:hAnsi="宋体" w:eastAsia="宋体" w:cs="宋体"/>
          <w:color w:val="auto"/>
          <w:sz w:val="21"/>
          <w:szCs w:val="21"/>
        </w:rPr>
      </w:pPr>
      <w:bookmarkStart w:id="92" w:name="_Toc31671"/>
      <w:bookmarkStart w:id="93" w:name="_Toc3232"/>
      <w:r>
        <w:rPr>
          <w:rFonts w:hint="eastAsia" w:ascii="宋体" w:hAnsi="宋体" w:eastAsia="宋体" w:cs="宋体"/>
          <w:color w:val="auto"/>
          <w:sz w:val="21"/>
          <w:szCs w:val="21"/>
        </w:rPr>
        <w:t>开标</w:t>
      </w:r>
      <w:bookmarkEnd w:id="92"/>
      <w:bookmarkEnd w:id="93"/>
    </w:p>
    <w:p w14:paraId="6964AE84">
      <w:pPr>
        <w:pStyle w:val="47"/>
        <w:widowControl w:val="0"/>
        <w:numPr>
          <w:ilvl w:val="0"/>
          <w:numId w:val="3"/>
        </w:numPr>
        <w:adjustRightInd/>
        <w:snapToGrid/>
        <w:ind w:firstLineChars="0"/>
        <w:jc w:val="both"/>
        <w:rPr>
          <w:rFonts w:hint="eastAsia" w:ascii="宋体" w:hAnsi="宋体" w:eastAsia="宋体" w:cs="宋体"/>
          <w:vanish/>
          <w:color w:val="auto"/>
          <w:szCs w:val="21"/>
        </w:rPr>
      </w:pPr>
    </w:p>
    <w:p w14:paraId="5687FCF5">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采购代理机构按本采购文件所规定的时间和地点公开开标，并邀请所有投标人代表参加。</w:t>
      </w:r>
    </w:p>
    <w:p w14:paraId="3A001846">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开标程序：</w:t>
      </w:r>
    </w:p>
    <w:p w14:paraId="30B00408">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开标会由采购代理机构主持，投标人的法定代表人或其授权代表携带有效身份证明准时参加开标会并签名报到。</w:t>
      </w:r>
    </w:p>
    <w:p w14:paraId="6B976F23">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开标时，由投标人或者其推选的代表检查投标文件的密封情况；经确认无误后，由采购人或者采购代理机构工作人员当众拆封，宣布投标人名称、投标价格和采购文件规定的需要宣布的其他内容；</w:t>
      </w:r>
    </w:p>
    <w:p w14:paraId="2B8F6F74">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人代表对开标过程和开标记录有异议，以及认为采购人、采购代理机构相关工作人员有需要回避的情形的，应当场提出询问或者回避申请。开标现场未提出异议的视为认同开标结果。开标结束后，投标人对开标过程和开标记录不得再提出异议。</w:t>
      </w:r>
    </w:p>
    <w:p w14:paraId="38B3719C">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投标人未参加开标的，视同认可开标结果。</w:t>
      </w:r>
    </w:p>
    <w:p w14:paraId="571A378D">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合格投标人不足3家的，不得开标；</w:t>
      </w:r>
    </w:p>
    <w:p w14:paraId="23D1F9CF">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开标过程应当由采购人或者采购代理机构负责记录，由参加开标的各投标人代表和相关工作人员签字确认。</w:t>
      </w:r>
    </w:p>
    <w:p w14:paraId="49694F05">
      <w:pPr>
        <w:widowControl w:val="0"/>
        <w:adjustRightInd/>
        <w:snapToGrid/>
        <w:ind w:left="567"/>
        <w:jc w:val="both"/>
        <w:rPr>
          <w:rFonts w:hint="eastAsia" w:ascii="宋体" w:hAnsi="宋体" w:eastAsia="宋体" w:cs="宋体"/>
          <w:color w:val="auto"/>
        </w:rPr>
      </w:pPr>
    </w:p>
    <w:p w14:paraId="68093DF8">
      <w:pPr>
        <w:pStyle w:val="5"/>
        <w:widowControl w:val="0"/>
        <w:numPr>
          <w:ilvl w:val="0"/>
          <w:numId w:val="2"/>
        </w:numPr>
        <w:overflowPunct w:val="0"/>
        <w:rPr>
          <w:rFonts w:hint="eastAsia" w:ascii="宋体" w:hAnsi="宋体" w:eastAsia="宋体" w:cs="宋体"/>
          <w:color w:val="auto"/>
          <w:sz w:val="21"/>
          <w:szCs w:val="21"/>
        </w:rPr>
      </w:pPr>
      <w:bookmarkStart w:id="94" w:name="_Toc3528"/>
      <w:bookmarkStart w:id="95" w:name="_Toc26474"/>
      <w:r>
        <w:rPr>
          <w:rFonts w:hint="eastAsia" w:ascii="宋体" w:hAnsi="宋体" w:eastAsia="宋体" w:cs="宋体"/>
          <w:color w:val="auto"/>
          <w:sz w:val="21"/>
          <w:szCs w:val="21"/>
        </w:rPr>
        <w:t>评标委员会及评标方法</w:t>
      </w:r>
      <w:bookmarkEnd w:id="94"/>
      <w:bookmarkEnd w:id="95"/>
    </w:p>
    <w:p w14:paraId="459B340D">
      <w:pPr>
        <w:pStyle w:val="47"/>
        <w:widowControl w:val="0"/>
        <w:numPr>
          <w:ilvl w:val="0"/>
          <w:numId w:val="3"/>
        </w:numPr>
        <w:adjustRightInd/>
        <w:snapToGrid/>
        <w:ind w:firstLineChars="0"/>
        <w:jc w:val="both"/>
        <w:rPr>
          <w:rFonts w:hint="eastAsia" w:ascii="宋体" w:hAnsi="宋体" w:eastAsia="宋体" w:cs="宋体"/>
          <w:vanish/>
          <w:color w:val="auto"/>
          <w:szCs w:val="21"/>
        </w:rPr>
      </w:pPr>
    </w:p>
    <w:p w14:paraId="6E28B235">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依法组成评标委员会，评标委员会由采购人和有关技术、经济等方面的专家组成，成员人数为五人或五人以上单数，其中技术、经济等方面的专家不少于成员总数的三分之二，并负责评标工作。</w:t>
      </w:r>
    </w:p>
    <w:p w14:paraId="2A499324">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评审方法：本次采购的评审方法采用综合评分法。</w:t>
      </w:r>
    </w:p>
    <w:p w14:paraId="639E9787">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定标原则：在最大限度满足采购文件实质性要求前提下，按照采购文件规定的各项评价因素进行量化打分，以评标总得分最高的投标人作为中标候选人或中标人。</w:t>
      </w:r>
    </w:p>
    <w:p w14:paraId="562812DF">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评标委员会对投标文件的评审内容，分为商务评议、技术评议和价格评议。评审流程包括符合性检查、澄清问题、比较与评价、推荐中标候选人或确定中标人、编写评标报告等步骤。</w:t>
      </w:r>
    </w:p>
    <w:p w14:paraId="5A68E660">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行澄清的要求，所造成的后果由投标人自行承担。</w:t>
      </w:r>
    </w:p>
    <w:p w14:paraId="055AEA43">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评标委员会和采购人在评审过程中有权核对投标文件中相关材料的原件，投标人在接到通知后应在评标委员会规定的时间内提交原件核查。</w:t>
      </w:r>
    </w:p>
    <w:p w14:paraId="0BD9C9B6">
      <w:pPr>
        <w:rPr>
          <w:rFonts w:hint="eastAsia" w:ascii="宋体" w:hAnsi="宋体" w:eastAsia="宋体" w:cs="宋体"/>
          <w:color w:val="auto"/>
        </w:rPr>
      </w:pPr>
    </w:p>
    <w:p w14:paraId="3D1BF587">
      <w:pPr>
        <w:pStyle w:val="5"/>
        <w:widowControl w:val="0"/>
        <w:numPr>
          <w:ilvl w:val="0"/>
          <w:numId w:val="2"/>
        </w:numPr>
        <w:overflowPunct w:val="0"/>
        <w:rPr>
          <w:rFonts w:hint="eastAsia" w:ascii="宋体" w:hAnsi="宋体" w:eastAsia="宋体" w:cs="宋体"/>
          <w:color w:val="auto"/>
          <w:sz w:val="21"/>
          <w:szCs w:val="21"/>
        </w:rPr>
      </w:pPr>
      <w:bookmarkStart w:id="96" w:name="_Toc5383"/>
      <w:bookmarkStart w:id="97" w:name="_Toc4198"/>
      <w:r>
        <w:rPr>
          <w:rFonts w:hint="eastAsia" w:ascii="宋体" w:hAnsi="宋体" w:eastAsia="宋体" w:cs="宋体"/>
          <w:color w:val="auto"/>
          <w:sz w:val="21"/>
          <w:szCs w:val="21"/>
        </w:rPr>
        <w:t>评审原则及评标过程的保密</w:t>
      </w:r>
      <w:bookmarkEnd w:id="96"/>
      <w:bookmarkEnd w:id="97"/>
    </w:p>
    <w:p w14:paraId="74A70E89">
      <w:pPr>
        <w:pStyle w:val="47"/>
        <w:widowControl w:val="0"/>
        <w:numPr>
          <w:ilvl w:val="0"/>
          <w:numId w:val="3"/>
        </w:numPr>
        <w:adjustRightInd/>
        <w:snapToGrid/>
        <w:ind w:firstLineChars="0"/>
        <w:jc w:val="both"/>
        <w:rPr>
          <w:rFonts w:hint="eastAsia" w:ascii="宋体" w:hAnsi="宋体" w:eastAsia="宋体" w:cs="宋体"/>
          <w:vanish/>
          <w:color w:val="auto"/>
          <w:szCs w:val="21"/>
        </w:rPr>
      </w:pPr>
    </w:p>
    <w:p w14:paraId="47E59D72">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评审的基本原则：评标委员会将依据采购文件的规定，遵循“公开、公平、公正、择优、信用”的原则进行评审工作。</w:t>
      </w:r>
    </w:p>
    <w:p w14:paraId="4ED60C09">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从公开开标到签订合同，凡与审查、澄清、评审和投标有关的资料以及定标意见相关的事项，均不得向投标人及与评标无关的其他人透露。</w:t>
      </w:r>
    </w:p>
    <w:p w14:paraId="04988526">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任何单位和个人不得非法干预、影响评标的过程和结果。</w:t>
      </w:r>
    </w:p>
    <w:p w14:paraId="6A38A80B">
      <w:pPr>
        <w:rPr>
          <w:rFonts w:hint="eastAsia" w:ascii="宋体" w:hAnsi="宋体" w:eastAsia="宋体" w:cs="宋体"/>
          <w:color w:val="auto"/>
        </w:rPr>
      </w:pPr>
    </w:p>
    <w:p w14:paraId="1A939267">
      <w:pPr>
        <w:pStyle w:val="5"/>
        <w:widowControl w:val="0"/>
        <w:numPr>
          <w:ilvl w:val="0"/>
          <w:numId w:val="2"/>
        </w:numPr>
        <w:overflowPunct w:val="0"/>
        <w:rPr>
          <w:rFonts w:hint="eastAsia" w:ascii="宋体" w:hAnsi="宋体" w:eastAsia="宋体" w:cs="宋体"/>
          <w:color w:val="auto"/>
          <w:sz w:val="21"/>
          <w:szCs w:val="21"/>
        </w:rPr>
      </w:pPr>
      <w:bookmarkStart w:id="98" w:name="_Toc27633"/>
      <w:r>
        <w:rPr>
          <w:rFonts w:hint="eastAsia" w:ascii="宋体" w:hAnsi="宋体" w:eastAsia="宋体" w:cs="宋体"/>
          <w:color w:val="auto"/>
          <w:sz w:val="21"/>
          <w:szCs w:val="21"/>
        </w:rPr>
        <w:t>评标程序</w:t>
      </w:r>
      <w:bookmarkEnd w:id="98"/>
    </w:p>
    <w:p w14:paraId="2A643C2E">
      <w:pPr>
        <w:widowControl w:val="0"/>
        <w:numPr>
          <w:ilvl w:val="1"/>
          <w:numId w:val="2"/>
        </w:numPr>
        <w:overflowPunct w:val="0"/>
        <w:rPr>
          <w:rFonts w:hint="eastAsia" w:ascii="宋体" w:hAnsi="宋体" w:eastAsia="宋体" w:cs="宋体"/>
          <w:b/>
          <w:bCs/>
          <w:color w:val="auto"/>
          <w:szCs w:val="21"/>
        </w:rPr>
      </w:pPr>
      <w:r>
        <w:rPr>
          <w:rFonts w:hint="eastAsia" w:ascii="宋体" w:hAnsi="宋体" w:eastAsia="宋体" w:cs="宋体"/>
          <w:b/>
          <w:bCs/>
          <w:color w:val="auto"/>
          <w:szCs w:val="21"/>
        </w:rPr>
        <w:t>资格性、符合性审查</w:t>
      </w:r>
    </w:p>
    <w:p w14:paraId="6265847B">
      <w:pPr>
        <w:widowControl w:val="0"/>
        <w:overflowPunct w:val="0"/>
        <w:ind w:firstLine="420" w:firstLineChars="200"/>
        <w:rPr>
          <w:rFonts w:hint="eastAsia" w:ascii="宋体" w:hAnsi="宋体" w:eastAsia="宋体" w:cs="宋体"/>
          <w:color w:val="auto"/>
          <w:szCs w:val="21"/>
        </w:rPr>
      </w:pPr>
      <w:r>
        <w:rPr>
          <w:rFonts w:hint="eastAsia" w:ascii="宋体" w:hAnsi="宋体" w:eastAsia="宋体" w:cs="宋体"/>
          <w:color w:val="auto"/>
          <w:szCs w:val="21"/>
        </w:rPr>
        <w:t>公开采购项目开标结束后，评标委员会根据《资格性、符合性审查表》将依法对投标人进行资格性、符合性审查。投标人必须严格按照《资格性、符合性审查表》的评审内容的要求如实提供证明材料并应加盖投标人公章，对缺漏或不符合项将直接导致无效投标。合格投标人不足3家的，不得评标。未通过资格性、符合性审查的投标人不进入评标阶段的评审。</w:t>
      </w:r>
    </w:p>
    <w:p w14:paraId="6B983F5E">
      <w:pPr>
        <w:jc w:val="center"/>
        <w:rPr>
          <w:rFonts w:hint="eastAsia" w:ascii="宋体" w:hAnsi="宋体" w:eastAsia="宋体" w:cs="宋体"/>
          <w:b/>
          <w:bCs/>
          <w:color w:val="auto"/>
        </w:rPr>
      </w:pPr>
      <w:r>
        <w:rPr>
          <w:rFonts w:hint="eastAsia" w:ascii="宋体" w:hAnsi="宋体" w:eastAsia="宋体" w:cs="宋体"/>
          <w:b/>
          <w:bCs/>
          <w:color w:val="auto"/>
        </w:rPr>
        <w:t>《资格性、符合性审查表》</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7832"/>
      </w:tblGrid>
      <w:tr w14:paraId="07350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4AC3ED70">
            <w:pPr>
              <w:jc w:val="center"/>
              <w:rPr>
                <w:rFonts w:hint="eastAsia" w:ascii="宋体" w:hAnsi="宋体" w:eastAsia="宋体" w:cs="宋体"/>
                <w:b/>
                <w:color w:val="auto"/>
                <w:szCs w:val="21"/>
              </w:rPr>
            </w:pPr>
            <w:r>
              <w:rPr>
                <w:rFonts w:hint="eastAsia" w:ascii="宋体" w:hAnsi="宋体" w:eastAsia="宋体" w:cs="宋体"/>
                <w:b/>
                <w:color w:val="auto"/>
                <w:szCs w:val="21"/>
              </w:rPr>
              <w:t>序号</w:t>
            </w: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5978B7EE">
            <w:pPr>
              <w:jc w:val="center"/>
              <w:rPr>
                <w:rFonts w:hint="eastAsia" w:ascii="宋体" w:hAnsi="宋体" w:eastAsia="宋体" w:cs="宋体"/>
                <w:b/>
                <w:color w:val="auto"/>
                <w:szCs w:val="21"/>
              </w:rPr>
            </w:pPr>
            <w:r>
              <w:rPr>
                <w:rFonts w:hint="eastAsia" w:ascii="宋体" w:hAnsi="宋体" w:eastAsia="宋体" w:cs="宋体"/>
                <w:b/>
                <w:color w:val="auto"/>
                <w:szCs w:val="21"/>
              </w:rPr>
              <w:t>评 审 内 容</w:t>
            </w:r>
          </w:p>
        </w:tc>
      </w:tr>
      <w:tr w14:paraId="5D905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vMerge w:val="restart"/>
            <w:tcBorders>
              <w:top w:val="single" w:color="auto" w:sz="4" w:space="0"/>
              <w:left w:val="single" w:color="auto" w:sz="4" w:space="0"/>
              <w:right w:val="single" w:color="auto" w:sz="4" w:space="0"/>
              <w:tl2br w:val="nil"/>
              <w:tr2bl w:val="nil"/>
            </w:tcBorders>
            <w:vAlign w:val="center"/>
          </w:tcPr>
          <w:p w14:paraId="17979A1F">
            <w:pPr>
              <w:numPr>
                <w:ilvl w:val="0"/>
                <w:numId w:val="4"/>
              </w:numPr>
              <w:tabs>
                <w:tab w:val="left" w:pos="176"/>
                <w:tab w:val="left" w:pos="612"/>
              </w:tabs>
              <w:jc w:val="center"/>
              <w:rPr>
                <w:rFonts w:hint="eastAsia" w:ascii="宋体" w:hAnsi="宋体" w:eastAsia="宋体" w:cs="宋体"/>
                <w:color w:val="auto"/>
                <w:szCs w:val="21"/>
              </w:rPr>
            </w:pP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2E005381">
            <w:pPr>
              <w:tabs>
                <w:tab w:val="left" w:pos="612"/>
              </w:tabs>
              <w:rPr>
                <w:rFonts w:hint="eastAsia" w:ascii="宋体" w:hAnsi="宋体" w:eastAsia="宋体" w:cs="宋体"/>
                <w:color w:val="auto"/>
                <w:szCs w:val="21"/>
              </w:rPr>
            </w:pPr>
            <w:r>
              <w:rPr>
                <w:rFonts w:hint="eastAsia" w:ascii="宋体" w:hAnsi="宋体" w:eastAsia="宋体" w:cs="宋体"/>
                <w:color w:val="auto"/>
                <w:szCs w:val="21"/>
              </w:rPr>
              <w:t>（1）投标人须为在中华人民共和国境内登记注册的具有独立承担民事责任能力的法人或其他组织【提供《营业执照》复印件（加盖公章）或《事业单位法人证书》复印件（加盖公章）或其他主体证书复印件（加盖公章）】。</w:t>
            </w:r>
          </w:p>
        </w:tc>
      </w:tr>
      <w:tr w14:paraId="4245C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vMerge w:val="continue"/>
            <w:tcBorders>
              <w:left w:val="single" w:color="auto" w:sz="4" w:space="0"/>
              <w:right w:val="single" w:color="auto" w:sz="4" w:space="0"/>
              <w:tl2br w:val="nil"/>
              <w:tr2bl w:val="nil"/>
            </w:tcBorders>
            <w:vAlign w:val="center"/>
          </w:tcPr>
          <w:p w14:paraId="056E297B">
            <w:pPr>
              <w:tabs>
                <w:tab w:val="left" w:pos="176"/>
                <w:tab w:val="left" w:pos="420"/>
                <w:tab w:val="left" w:pos="612"/>
              </w:tabs>
              <w:jc w:val="center"/>
              <w:rPr>
                <w:rFonts w:hint="eastAsia" w:ascii="宋体" w:hAnsi="宋体" w:eastAsia="宋体" w:cs="宋体"/>
                <w:color w:val="auto"/>
                <w:szCs w:val="21"/>
              </w:rPr>
            </w:pP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6E3A0103">
            <w:pPr>
              <w:tabs>
                <w:tab w:val="left" w:pos="612"/>
              </w:tabs>
              <w:rPr>
                <w:rFonts w:hint="eastAsia" w:ascii="宋体" w:hAnsi="宋体" w:eastAsia="宋体" w:cs="宋体"/>
                <w:color w:val="auto"/>
                <w:szCs w:val="21"/>
              </w:rPr>
            </w:pPr>
            <w:r>
              <w:rPr>
                <w:rFonts w:hint="eastAsia" w:ascii="宋体" w:hAnsi="宋体" w:eastAsia="宋体" w:cs="宋体"/>
                <w:color w:val="auto"/>
                <w:szCs w:val="21"/>
              </w:rPr>
              <w:t>（2）参加采购活动前三年内，在经营活动中没有重大违法记录（须提供书面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如有最新发文通知，按最新文件执行）。</w:t>
            </w:r>
          </w:p>
        </w:tc>
      </w:tr>
      <w:tr w14:paraId="28B0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vMerge w:val="continue"/>
            <w:tcBorders>
              <w:left w:val="single" w:color="auto" w:sz="4" w:space="0"/>
              <w:right w:val="single" w:color="auto" w:sz="4" w:space="0"/>
              <w:tl2br w:val="nil"/>
              <w:tr2bl w:val="nil"/>
            </w:tcBorders>
            <w:vAlign w:val="center"/>
          </w:tcPr>
          <w:p w14:paraId="0AB68609">
            <w:pPr>
              <w:tabs>
                <w:tab w:val="left" w:pos="176"/>
                <w:tab w:val="left" w:pos="420"/>
                <w:tab w:val="left" w:pos="612"/>
              </w:tabs>
              <w:jc w:val="center"/>
              <w:rPr>
                <w:rFonts w:hint="eastAsia" w:ascii="宋体" w:hAnsi="宋体" w:eastAsia="宋体" w:cs="宋体"/>
                <w:color w:val="auto"/>
                <w:szCs w:val="21"/>
              </w:rPr>
            </w:pP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1740B6C7">
            <w:pPr>
              <w:tabs>
                <w:tab w:val="left" w:pos="612"/>
              </w:tabs>
              <w:rPr>
                <w:rFonts w:hint="eastAsia" w:ascii="宋体" w:hAnsi="宋体" w:eastAsia="宋体" w:cs="宋体"/>
                <w:color w:val="auto"/>
                <w:szCs w:val="21"/>
              </w:rPr>
            </w:pPr>
            <w:r>
              <w:rPr>
                <w:rFonts w:hint="eastAsia" w:ascii="宋体" w:hAnsi="宋体" w:eastAsia="宋体" w:cs="宋体"/>
                <w:color w:val="auto"/>
                <w:szCs w:val="21"/>
              </w:rPr>
              <w:t>（3）投标人的单位负责人为同一人或者存在直接控股、管理关系的不同投标人，不得参加同一合同项下的采购活动。</w:t>
            </w:r>
          </w:p>
        </w:tc>
      </w:tr>
      <w:tr w14:paraId="67630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vMerge w:val="continue"/>
            <w:tcBorders>
              <w:left w:val="single" w:color="auto" w:sz="4" w:space="0"/>
              <w:right w:val="single" w:color="auto" w:sz="4" w:space="0"/>
              <w:tl2br w:val="nil"/>
              <w:tr2bl w:val="nil"/>
            </w:tcBorders>
            <w:vAlign w:val="center"/>
          </w:tcPr>
          <w:p w14:paraId="1C7343A3">
            <w:pPr>
              <w:tabs>
                <w:tab w:val="left" w:pos="176"/>
                <w:tab w:val="left" w:pos="420"/>
                <w:tab w:val="left" w:pos="612"/>
              </w:tabs>
              <w:jc w:val="center"/>
              <w:rPr>
                <w:rFonts w:hint="eastAsia" w:ascii="宋体" w:hAnsi="宋体" w:eastAsia="宋体" w:cs="宋体"/>
                <w:color w:val="auto"/>
                <w:szCs w:val="21"/>
              </w:rPr>
            </w:pP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0CF67E96">
            <w:pPr>
              <w:tabs>
                <w:tab w:val="left" w:pos="612"/>
              </w:tabs>
              <w:rPr>
                <w:rFonts w:hint="eastAsia" w:ascii="宋体" w:hAnsi="宋体" w:eastAsia="宋体" w:cs="宋体"/>
                <w:color w:val="auto"/>
                <w:szCs w:val="21"/>
              </w:rPr>
            </w:pPr>
            <w:r>
              <w:rPr>
                <w:rFonts w:hint="eastAsia" w:ascii="宋体" w:hAnsi="宋体" w:eastAsia="宋体" w:cs="宋体"/>
                <w:color w:val="auto"/>
                <w:szCs w:val="21"/>
              </w:rPr>
              <w:t>（4）未被列入“信用中国”网站(www.creditchina.gov.cn )“记录失信被执行人或重大税收违法失信主体或政府采购严重违法失信行为”记录名单。以代理机构于投标截止日当天在“信用中国”网站查询结果为准，如相关失信记录已失效，投标人需提供相关证明资料。</w:t>
            </w:r>
          </w:p>
        </w:tc>
      </w:tr>
      <w:tr w14:paraId="2821A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vMerge w:val="continue"/>
            <w:tcBorders>
              <w:left w:val="single" w:color="auto" w:sz="4" w:space="0"/>
              <w:right w:val="single" w:color="auto" w:sz="4" w:space="0"/>
              <w:tl2br w:val="nil"/>
              <w:tr2bl w:val="nil"/>
            </w:tcBorders>
            <w:vAlign w:val="center"/>
          </w:tcPr>
          <w:p w14:paraId="5D1341C9">
            <w:pPr>
              <w:tabs>
                <w:tab w:val="left" w:pos="176"/>
                <w:tab w:val="left" w:pos="420"/>
                <w:tab w:val="left" w:pos="612"/>
              </w:tabs>
              <w:jc w:val="center"/>
              <w:rPr>
                <w:rFonts w:hint="eastAsia" w:ascii="宋体" w:hAnsi="宋体" w:eastAsia="宋体" w:cs="宋体"/>
                <w:color w:val="auto"/>
                <w:szCs w:val="21"/>
              </w:rPr>
            </w:pP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46CFACB6">
            <w:pPr>
              <w:tabs>
                <w:tab w:val="left" w:pos="612"/>
              </w:tabs>
              <w:rPr>
                <w:rFonts w:hint="eastAsia" w:ascii="宋体" w:hAnsi="宋体" w:eastAsia="宋体" w:cs="宋体"/>
                <w:color w:val="auto"/>
                <w:szCs w:val="21"/>
              </w:rPr>
            </w:pPr>
            <w:r>
              <w:rPr>
                <w:rFonts w:hint="eastAsia" w:ascii="宋体" w:hAnsi="宋体" w:eastAsia="宋体" w:cs="宋体"/>
                <w:color w:val="auto"/>
                <w:szCs w:val="21"/>
              </w:rPr>
              <w:t>（5）未被列入东实集团及下属企业相关领域黑名单。【以东莞实业投资控股集团有限公司发文（东实通〔2021〕44号）、（东实通〔2021〕98号）、（东实通〔2022〕75号）、（东实通〔2023〕37号）、（东实通〔2024〕163号）、（东实通〔2024〕195号）、（东实通〔2025〕157号）为准，如有最新发文通知，按最新文件执行。】。</w:t>
            </w:r>
          </w:p>
        </w:tc>
      </w:tr>
      <w:tr w14:paraId="45F1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vMerge w:val="continue"/>
            <w:tcBorders>
              <w:left w:val="single" w:color="auto" w:sz="4" w:space="0"/>
              <w:bottom w:val="single" w:color="auto" w:sz="4" w:space="0"/>
              <w:right w:val="single" w:color="auto" w:sz="4" w:space="0"/>
              <w:tl2br w:val="nil"/>
              <w:tr2bl w:val="nil"/>
            </w:tcBorders>
            <w:vAlign w:val="center"/>
          </w:tcPr>
          <w:p w14:paraId="2D7CCB43">
            <w:pPr>
              <w:tabs>
                <w:tab w:val="left" w:pos="176"/>
                <w:tab w:val="left" w:pos="420"/>
                <w:tab w:val="left" w:pos="612"/>
              </w:tabs>
              <w:jc w:val="center"/>
              <w:rPr>
                <w:rFonts w:hint="eastAsia" w:ascii="宋体" w:hAnsi="宋体" w:eastAsia="宋体" w:cs="宋体"/>
                <w:color w:val="auto"/>
                <w:szCs w:val="21"/>
              </w:rPr>
            </w:pP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58E39828">
            <w:pPr>
              <w:tabs>
                <w:tab w:val="left" w:pos="612"/>
              </w:tabs>
              <w:rPr>
                <w:rFonts w:hint="eastAsia" w:ascii="宋体" w:hAnsi="宋体" w:eastAsia="宋体" w:cs="宋体"/>
                <w:color w:val="auto"/>
                <w:szCs w:val="21"/>
              </w:rPr>
            </w:pPr>
            <w:r>
              <w:rPr>
                <w:rFonts w:hint="eastAsia" w:ascii="宋体" w:hAnsi="宋体" w:eastAsia="宋体" w:cs="宋体"/>
                <w:color w:val="auto"/>
                <w:szCs w:val="21"/>
              </w:rPr>
              <w:t>（6）</w:t>
            </w:r>
            <w:r>
              <w:rPr>
                <w:rFonts w:hint="eastAsia" w:ascii="宋体" w:hAnsi="宋体" w:eastAsia="宋体" w:cs="宋体"/>
                <w:color w:val="auto"/>
                <w:szCs w:val="21"/>
                <w:lang w:val="en-US" w:eastAsia="zh-CN"/>
              </w:rPr>
              <w:t>投标人</w:t>
            </w:r>
            <w:r>
              <w:rPr>
                <w:rFonts w:hint="eastAsia" w:ascii="宋体" w:hAnsi="宋体" w:eastAsia="宋体" w:cs="宋体"/>
                <w:color w:val="auto"/>
                <w:szCs w:val="21"/>
              </w:rPr>
              <w:t>为非分公司投标。</w:t>
            </w:r>
          </w:p>
        </w:tc>
      </w:tr>
      <w:tr w14:paraId="2439C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vMerge w:val="continue"/>
            <w:tcBorders>
              <w:left w:val="single" w:color="auto" w:sz="4" w:space="0"/>
              <w:bottom w:val="single" w:color="auto" w:sz="4" w:space="0"/>
              <w:right w:val="single" w:color="auto" w:sz="4" w:space="0"/>
              <w:tl2br w:val="nil"/>
              <w:tr2bl w:val="nil"/>
            </w:tcBorders>
            <w:vAlign w:val="center"/>
          </w:tcPr>
          <w:p w14:paraId="770FB622">
            <w:pPr>
              <w:tabs>
                <w:tab w:val="left" w:pos="176"/>
                <w:tab w:val="left" w:pos="420"/>
                <w:tab w:val="left" w:pos="612"/>
              </w:tabs>
              <w:jc w:val="center"/>
              <w:rPr>
                <w:rFonts w:hint="eastAsia" w:ascii="宋体" w:hAnsi="宋体" w:eastAsia="宋体" w:cs="宋体"/>
                <w:color w:val="auto"/>
                <w:szCs w:val="21"/>
              </w:rPr>
            </w:pP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278E96BE">
            <w:pPr>
              <w:tabs>
                <w:tab w:val="left" w:pos="612"/>
              </w:tabs>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7</w:t>
            </w:r>
            <w:r>
              <w:rPr>
                <w:rFonts w:hint="eastAsia" w:ascii="宋体" w:hAnsi="宋体" w:eastAsia="宋体" w:cs="宋体"/>
                <w:color w:val="auto"/>
                <w:szCs w:val="21"/>
              </w:rPr>
              <w:t>）</w:t>
            </w:r>
            <w:r>
              <w:rPr>
                <w:rFonts w:hint="eastAsia" w:ascii="宋体" w:hAnsi="宋体" w:eastAsia="宋体" w:cs="宋体"/>
                <w:color w:val="auto"/>
                <w:szCs w:val="21"/>
                <w:lang w:val="en-US" w:eastAsia="zh-CN"/>
              </w:rPr>
              <w:t>投标人</w:t>
            </w:r>
            <w:r>
              <w:rPr>
                <w:rFonts w:hint="eastAsia" w:ascii="宋体" w:hAnsi="宋体" w:eastAsia="宋体" w:cs="宋体"/>
                <w:color w:val="auto"/>
                <w:szCs w:val="21"/>
              </w:rPr>
              <w:t>为非联合体投标。</w:t>
            </w:r>
          </w:p>
        </w:tc>
      </w:tr>
      <w:tr w14:paraId="4FE36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56F4F824">
            <w:pPr>
              <w:numPr>
                <w:ilvl w:val="0"/>
                <w:numId w:val="4"/>
              </w:numPr>
              <w:tabs>
                <w:tab w:val="left" w:pos="176"/>
                <w:tab w:val="left" w:pos="612"/>
              </w:tabs>
              <w:jc w:val="center"/>
              <w:rPr>
                <w:rFonts w:hint="eastAsia" w:ascii="宋体" w:hAnsi="宋体" w:eastAsia="宋体" w:cs="宋体"/>
                <w:color w:val="auto"/>
                <w:szCs w:val="21"/>
              </w:rPr>
            </w:pP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0EE059D8">
            <w:pPr>
              <w:textAlignment w:val="center"/>
              <w:rPr>
                <w:rFonts w:hint="eastAsia" w:ascii="宋体" w:hAnsi="宋体" w:eastAsia="宋体" w:cs="宋体"/>
                <w:color w:val="auto"/>
                <w:szCs w:val="21"/>
                <w:lang w:bidi="ar"/>
              </w:rPr>
            </w:pPr>
            <w:r>
              <w:rPr>
                <w:rFonts w:hint="eastAsia" w:ascii="宋体" w:hAnsi="宋体" w:eastAsia="宋体" w:cs="宋体"/>
                <w:color w:val="auto"/>
                <w:szCs w:val="21"/>
                <w:lang w:bidi="ar"/>
              </w:rPr>
              <w:t>投标人按照采购文件要求提交投标保证金。</w:t>
            </w:r>
          </w:p>
        </w:tc>
      </w:tr>
      <w:tr w14:paraId="65D4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61336C1F">
            <w:pPr>
              <w:numPr>
                <w:ilvl w:val="0"/>
                <w:numId w:val="4"/>
              </w:numPr>
              <w:tabs>
                <w:tab w:val="left" w:pos="176"/>
                <w:tab w:val="left" w:pos="612"/>
              </w:tabs>
              <w:jc w:val="center"/>
              <w:rPr>
                <w:rFonts w:hint="eastAsia" w:ascii="宋体" w:hAnsi="宋体" w:eastAsia="宋体" w:cs="宋体"/>
                <w:color w:val="auto"/>
                <w:szCs w:val="21"/>
              </w:rPr>
            </w:pP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0CC7BE1A">
            <w:pPr>
              <w:textAlignment w:val="center"/>
              <w:rPr>
                <w:rFonts w:hint="eastAsia" w:ascii="宋体" w:hAnsi="宋体" w:eastAsia="宋体" w:cs="宋体"/>
                <w:color w:val="auto"/>
                <w:szCs w:val="21"/>
              </w:rPr>
            </w:pPr>
            <w:r>
              <w:rPr>
                <w:rFonts w:hint="eastAsia" w:ascii="宋体" w:hAnsi="宋体" w:eastAsia="宋体" w:cs="宋体"/>
                <w:color w:val="auto"/>
                <w:szCs w:val="21"/>
                <w:lang w:bidi="ar"/>
              </w:rPr>
              <w:t>投标文件按照采购文件要求签署盖章。</w:t>
            </w:r>
          </w:p>
        </w:tc>
      </w:tr>
      <w:tr w14:paraId="550D2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292F31EB">
            <w:pPr>
              <w:numPr>
                <w:ilvl w:val="0"/>
                <w:numId w:val="4"/>
              </w:numPr>
              <w:tabs>
                <w:tab w:val="left" w:pos="176"/>
                <w:tab w:val="left" w:pos="612"/>
              </w:tabs>
              <w:jc w:val="center"/>
              <w:rPr>
                <w:rFonts w:hint="eastAsia" w:ascii="宋体" w:hAnsi="宋体" w:eastAsia="宋体" w:cs="宋体"/>
                <w:color w:val="auto"/>
                <w:szCs w:val="21"/>
              </w:rPr>
            </w:pP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129ABB39">
            <w:pPr>
              <w:textAlignment w:val="center"/>
              <w:rPr>
                <w:rFonts w:hint="eastAsia" w:ascii="宋体" w:hAnsi="宋体" w:eastAsia="宋体" w:cs="宋体"/>
                <w:color w:val="auto"/>
                <w:szCs w:val="21"/>
              </w:rPr>
            </w:pPr>
            <w:r>
              <w:rPr>
                <w:rFonts w:hint="eastAsia" w:ascii="宋体" w:hAnsi="宋体" w:eastAsia="宋体" w:cs="宋体"/>
                <w:color w:val="auto"/>
                <w:szCs w:val="21"/>
                <w:lang w:bidi="ar"/>
              </w:rPr>
              <w:t>投标总价未超出采购预算或最高限价或单价最高限价。</w:t>
            </w:r>
          </w:p>
        </w:tc>
      </w:tr>
      <w:tr w14:paraId="7A829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7551B854">
            <w:pPr>
              <w:tabs>
                <w:tab w:val="left" w:pos="176"/>
                <w:tab w:val="left" w:pos="612"/>
              </w:tabs>
              <w:ind w:firstLine="210" w:firstLineChars="100"/>
              <w:jc w:val="both"/>
              <w:rPr>
                <w:rFonts w:hint="eastAsia" w:ascii="宋体" w:hAnsi="宋体" w:eastAsia="宋体" w:cs="宋体"/>
                <w:color w:val="auto"/>
                <w:szCs w:val="21"/>
              </w:rPr>
            </w:pPr>
            <w:r>
              <w:rPr>
                <w:rFonts w:hint="eastAsia" w:ascii="宋体" w:hAnsi="宋体" w:eastAsia="宋体" w:cs="宋体"/>
                <w:color w:val="auto"/>
                <w:szCs w:val="21"/>
              </w:rPr>
              <w:t>5</w:t>
            </w: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5B1973F6">
            <w:pPr>
              <w:textAlignment w:val="center"/>
              <w:rPr>
                <w:rFonts w:hint="eastAsia" w:ascii="宋体" w:hAnsi="宋体" w:eastAsia="宋体" w:cs="宋体"/>
                <w:color w:val="auto"/>
                <w:szCs w:val="21"/>
                <w:lang w:bidi="ar"/>
              </w:rPr>
            </w:pPr>
            <w:r>
              <w:rPr>
                <w:rFonts w:hint="eastAsia" w:ascii="宋体" w:hAnsi="宋体" w:eastAsia="宋体" w:cs="宋体"/>
                <w:color w:val="auto"/>
                <w:szCs w:val="21"/>
                <w:lang w:bidi="ar"/>
              </w:rPr>
              <w:t>投标文件未含有采购人不能接受的附加条件。</w:t>
            </w:r>
          </w:p>
        </w:tc>
      </w:tr>
      <w:tr w14:paraId="01EAE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7E16278E">
            <w:pPr>
              <w:tabs>
                <w:tab w:val="left" w:pos="176"/>
                <w:tab w:val="left" w:pos="612"/>
              </w:tabs>
              <w:ind w:firstLine="210" w:firstLineChars="100"/>
              <w:jc w:val="both"/>
              <w:rPr>
                <w:rFonts w:hint="eastAsia" w:ascii="宋体" w:hAnsi="宋体" w:eastAsia="宋体" w:cs="宋体"/>
                <w:color w:val="auto"/>
                <w:szCs w:val="21"/>
              </w:rPr>
            </w:pPr>
            <w:r>
              <w:rPr>
                <w:rFonts w:hint="eastAsia" w:ascii="宋体" w:hAnsi="宋体" w:eastAsia="宋体" w:cs="宋体"/>
                <w:color w:val="auto"/>
                <w:szCs w:val="21"/>
              </w:rPr>
              <w:t>6</w:t>
            </w: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32F87D48">
            <w:pPr>
              <w:textAlignment w:val="center"/>
              <w:rPr>
                <w:rFonts w:hint="eastAsia" w:ascii="宋体" w:hAnsi="宋体" w:eastAsia="宋体" w:cs="宋体"/>
                <w:color w:val="auto"/>
                <w:szCs w:val="21"/>
              </w:rPr>
            </w:pPr>
            <w:r>
              <w:rPr>
                <w:rFonts w:hint="eastAsia" w:ascii="宋体" w:hAnsi="宋体" w:eastAsia="宋体" w:cs="宋体"/>
                <w:color w:val="auto"/>
                <w:szCs w:val="21"/>
                <w:lang w:bidi="ar"/>
              </w:rPr>
              <w:t>无负偏离标注“★”符号的条款。</w:t>
            </w:r>
          </w:p>
        </w:tc>
      </w:tr>
      <w:tr w14:paraId="04DB7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8" w:type="pct"/>
            <w:tcBorders>
              <w:top w:val="single" w:color="auto" w:sz="4" w:space="0"/>
              <w:left w:val="single" w:color="auto" w:sz="4" w:space="0"/>
              <w:bottom w:val="single" w:color="auto" w:sz="4" w:space="0"/>
              <w:right w:val="single" w:color="auto" w:sz="4" w:space="0"/>
              <w:tl2br w:val="nil"/>
              <w:tr2bl w:val="nil"/>
            </w:tcBorders>
            <w:vAlign w:val="center"/>
          </w:tcPr>
          <w:p w14:paraId="2CE0980A">
            <w:pPr>
              <w:tabs>
                <w:tab w:val="left" w:pos="176"/>
                <w:tab w:val="left" w:pos="612"/>
              </w:tabs>
              <w:ind w:firstLine="210" w:firstLineChars="100"/>
              <w:jc w:val="both"/>
              <w:rPr>
                <w:rFonts w:hint="eastAsia" w:ascii="宋体" w:hAnsi="宋体" w:eastAsia="宋体" w:cs="宋体"/>
                <w:color w:val="auto"/>
                <w:szCs w:val="21"/>
              </w:rPr>
            </w:pPr>
            <w:r>
              <w:rPr>
                <w:rFonts w:hint="eastAsia" w:ascii="宋体" w:hAnsi="宋体" w:eastAsia="宋体" w:cs="宋体"/>
                <w:color w:val="auto"/>
                <w:szCs w:val="21"/>
              </w:rPr>
              <w:t>7</w:t>
            </w:r>
          </w:p>
        </w:tc>
        <w:tc>
          <w:tcPr>
            <w:tcW w:w="4591" w:type="pct"/>
            <w:tcBorders>
              <w:top w:val="single" w:color="auto" w:sz="4" w:space="0"/>
              <w:left w:val="single" w:color="auto" w:sz="4" w:space="0"/>
              <w:bottom w:val="single" w:color="auto" w:sz="4" w:space="0"/>
              <w:right w:val="single" w:color="auto" w:sz="4" w:space="0"/>
              <w:tl2br w:val="nil"/>
              <w:tr2bl w:val="nil"/>
            </w:tcBorders>
            <w:vAlign w:val="center"/>
          </w:tcPr>
          <w:p w14:paraId="3F358FD3">
            <w:pPr>
              <w:textAlignment w:val="center"/>
              <w:rPr>
                <w:rFonts w:hint="eastAsia" w:ascii="宋体" w:hAnsi="宋体" w:eastAsia="宋体" w:cs="宋体"/>
                <w:color w:val="auto"/>
                <w:szCs w:val="21"/>
                <w:lang w:bidi="ar"/>
              </w:rPr>
            </w:pPr>
            <w:r>
              <w:rPr>
                <w:rFonts w:hint="eastAsia" w:ascii="宋体" w:hAnsi="宋体" w:eastAsia="宋体" w:cs="宋体"/>
                <w:color w:val="auto"/>
                <w:szCs w:val="21"/>
              </w:rPr>
              <w:t>未出现</w:t>
            </w:r>
            <w:r>
              <w:rPr>
                <w:rFonts w:hint="eastAsia" w:ascii="宋体" w:hAnsi="宋体" w:eastAsia="宋体" w:cs="宋体"/>
                <w:color w:val="auto"/>
                <w:szCs w:val="21"/>
                <w:lang w:bidi="ar"/>
              </w:rPr>
              <w:t>法律、法规和采购文件规定的其他无效情形。</w:t>
            </w:r>
          </w:p>
        </w:tc>
      </w:tr>
    </w:tbl>
    <w:p w14:paraId="72F67894">
      <w:pPr>
        <w:widowControl w:val="0"/>
        <w:overflowPunct w:val="0"/>
        <w:ind w:firstLine="420" w:firstLineChars="200"/>
        <w:rPr>
          <w:rFonts w:hint="eastAsia" w:ascii="宋体" w:hAnsi="宋体" w:eastAsia="宋体" w:cs="宋体"/>
          <w:color w:val="auto"/>
          <w:szCs w:val="21"/>
        </w:rPr>
      </w:pPr>
      <w:r>
        <w:rPr>
          <w:rFonts w:hint="eastAsia" w:ascii="宋体" w:hAnsi="宋体" w:eastAsia="宋体" w:cs="宋体"/>
          <w:color w:val="auto"/>
          <w:szCs w:val="21"/>
        </w:rPr>
        <w:t>以上资格性、符合性审查中带有不合格分项的投标文件，将作无效标处理。经评标委员会确认的无效投标文件，采购人和采购代理机构将予以拒绝，并且不允许通过修正或撤消其不符合要求的差异，使之成为具有符合性的投标文件。经评标委员会资格性、符合性审查确认具有有效投标文件的投标人不足三家时将重新组织采购</w:t>
      </w:r>
    </w:p>
    <w:p w14:paraId="747CB2EF">
      <w:pPr>
        <w:widowControl w:val="0"/>
        <w:numPr>
          <w:ilvl w:val="1"/>
          <w:numId w:val="2"/>
        </w:numPr>
        <w:overflowPunct w:val="0"/>
        <w:rPr>
          <w:rFonts w:hint="eastAsia" w:ascii="宋体" w:hAnsi="宋体" w:eastAsia="宋体" w:cs="宋体"/>
          <w:b/>
          <w:bCs/>
          <w:color w:val="auto"/>
          <w:szCs w:val="21"/>
        </w:rPr>
      </w:pPr>
      <w:r>
        <w:rPr>
          <w:rFonts w:hint="eastAsia" w:ascii="宋体" w:hAnsi="宋体" w:eastAsia="宋体" w:cs="宋体"/>
          <w:b/>
          <w:bCs/>
          <w:color w:val="auto"/>
          <w:szCs w:val="21"/>
        </w:rPr>
        <w:t>投标文件报价出现前后不一致的，评标委员会按照下列规定修正：</w:t>
      </w:r>
    </w:p>
    <w:p w14:paraId="6EE96DB0">
      <w:pPr>
        <w:widowControl w:val="0"/>
        <w:numPr>
          <w:ilvl w:val="0"/>
          <w:numId w:val="5"/>
        </w:numPr>
        <w:overflowPunct w:val="0"/>
        <w:rPr>
          <w:rFonts w:hint="eastAsia" w:ascii="宋体" w:hAnsi="宋体" w:eastAsia="宋体" w:cs="宋体"/>
          <w:color w:val="auto"/>
          <w:szCs w:val="21"/>
        </w:rPr>
      </w:pPr>
      <w:r>
        <w:rPr>
          <w:rFonts w:hint="eastAsia" w:ascii="宋体" w:hAnsi="宋体" w:eastAsia="宋体" w:cs="宋体"/>
          <w:color w:val="auto"/>
          <w:szCs w:val="21"/>
        </w:rPr>
        <w:t>投标文件中开标一览表（报价表）内容与投标文件中相应内容不一致的，以开标一览表（报价表）为准；</w:t>
      </w:r>
    </w:p>
    <w:p w14:paraId="0C21E450">
      <w:pPr>
        <w:widowControl w:val="0"/>
        <w:numPr>
          <w:ilvl w:val="0"/>
          <w:numId w:val="5"/>
        </w:numPr>
        <w:overflowPunct w:val="0"/>
        <w:rPr>
          <w:rFonts w:hint="eastAsia" w:ascii="宋体" w:hAnsi="宋体" w:eastAsia="宋体" w:cs="宋体"/>
          <w:color w:val="auto"/>
          <w:szCs w:val="21"/>
        </w:rPr>
      </w:pPr>
      <w:r>
        <w:rPr>
          <w:rFonts w:hint="eastAsia" w:ascii="宋体" w:hAnsi="宋体" w:eastAsia="宋体" w:cs="宋体"/>
          <w:color w:val="auto"/>
          <w:szCs w:val="21"/>
        </w:rPr>
        <w:t>大写金额和小写金额不一致的，以大写金额为准；</w:t>
      </w:r>
    </w:p>
    <w:p w14:paraId="0B408FC8">
      <w:pPr>
        <w:widowControl w:val="0"/>
        <w:numPr>
          <w:ilvl w:val="0"/>
          <w:numId w:val="5"/>
        </w:numPr>
        <w:overflowPunct w:val="0"/>
        <w:rPr>
          <w:rFonts w:hint="eastAsia" w:ascii="宋体" w:hAnsi="宋体" w:eastAsia="宋体" w:cs="宋体"/>
          <w:color w:val="auto"/>
          <w:szCs w:val="21"/>
        </w:rPr>
      </w:pPr>
      <w:r>
        <w:rPr>
          <w:rFonts w:hint="eastAsia" w:ascii="宋体" w:hAnsi="宋体" w:eastAsia="宋体" w:cs="宋体"/>
          <w:color w:val="auto"/>
          <w:szCs w:val="21"/>
        </w:rPr>
        <w:t>单价金额小数点或者百分比有明显错位的，以开标一览表的总价为准，并修改单价；</w:t>
      </w:r>
    </w:p>
    <w:p w14:paraId="46D8A068">
      <w:pPr>
        <w:widowControl w:val="0"/>
        <w:numPr>
          <w:ilvl w:val="0"/>
          <w:numId w:val="5"/>
        </w:numPr>
        <w:overflowPunct w:val="0"/>
        <w:rPr>
          <w:rFonts w:hint="eastAsia" w:ascii="宋体" w:hAnsi="宋体" w:eastAsia="宋体" w:cs="宋体"/>
          <w:color w:val="auto"/>
          <w:szCs w:val="21"/>
        </w:rPr>
      </w:pPr>
      <w:r>
        <w:rPr>
          <w:rFonts w:hint="eastAsia" w:ascii="宋体" w:hAnsi="宋体" w:eastAsia="宋体" w:cs="宋体"/>
          <w:color w:val="auto"/>
          <w:szCs w:val="21"/>
        </w:rPr>
        <w:t>总价金额与按单价汇总金额不一致的，以单价金额计算结果为准。</w:t>
      </w:r>
    </w:p>
    <w:p w14:paraId="7F8E8AD2">
      <w:pPr>
        <w:widowControl w:val="0"/>
        <w:numPr>
          <w:ilvl w:val="0"/>
          <w:numId w:val="5"/>
        </w:numPr>
        <w:overflowPunct w:val="0"/>
        <w:rPr>
          <w:rFonts w:hint="eastAsia" w:ascii="宋体" w:hAnsi="宋体" w:eastAsia="宋体" w:cs="宋体"/>
          <w:color w:val="auto"/>
          <w:szCs w:val="21"/>
        </w:rPr>
      </w:pPr>
      <w:r>
        <w:rPr>
          <w:rFonts w:hint="eastAsia" w:ascii="宋体" w:hAnsi="宋体" w:eastAsia="宋体" w:cs="宋体"/>
          <w:color w:val="auto"/>
          <w:szCs w:val="21"/>
        </w:rPr>
        <w:t>同时出现两种以上不一致的，按照前款规定的顺序修正。修正后的报价按照经投标人确认后产生约束力，投标人不确认的，其投标无效。</w:t>
      </w:r>
    </w:p>
    <w:p w14:paraId="1A70A0B7">
      <w:pPr>
        <w:widowControl w:val="0"/>
        <w:overflowPunct w:val="0"/>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26.3  评标委员会认为投标人的报价明显低于其他通过符合性审查投标人的报价，有可能影响产品质量或者不能诚信履约的，应当要求其在评标现场合理的时间内提供书面说明（以现场通知时间为准），必要时提交相关证明材料；投标人不能证明其报价合理性的，评标委员会应当将其作为无效投标处理。</w:t>
      </w:r>
    </w:p>
    <w:p w14:paraId="6DD23ADC">
      <w:pPr>
        <w:widowControl w:val="0"/>
        <w:overflowPunct w:val="0"/>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26.4  对于投标文件中不构成实质性偏差的不正规、不一致或不规则，评标委员会可以接受，但这种接受不能损害或影响任何投标人的相对排序。</w:t>
      </w:r>
    </w:p>
    <w:p w14:paraId="3528F479">
      <w:pPr>
        <w:widowControl w:val="0"/>
        <w:overflowPunct w:val="0"/>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26.5  在详细评标之前，评标委员会要审查每份投标文件是否实质上响应了采购文件的要求。实质上响应的投标应该是与采购文件要求的全部主要条款（加“★”号）、条件和规格相符，没有重大偏离的投标。对关键条文的偏离、保留或反对，例如关于投标保证金、合同条款的重大偏离将被认为是实质上的偏离。评标委员会决定投标文件的响应性只根据投标文件本身的内容，而不寻求外部的证据。</w:t>
      </w:r>
    </w:p>
    <w:p w14:paraId="7F3784D1">
      <w:pPr>
        <w:pStyle w:val="11"/>
        <w:rPr>
          <w:rFonts w:hint="eastAsia" w:ascii="宋体" w:hAnsi="宋体" w:eastAsia="宋体" w:cs="宋体"/>
          <w:color w:val="auto"/>
        </w:rPr>
      </w:pPr>
    </w:p>
    <w:p w14:paraId="0FEF5558">
      <w:pPr>
        <w:pStyle w:val="5"/>
        <w:widowControl w:val="0"/>
        <w:numPr>
          <w:ilvl w:val="0"/>
          <w:numId w:val="2"/>
        </w:numPr>
        <w:overflowPunct w:val="0"/>
        <w:rPr>
          <w:rFonts w:hint="eastAsia" w:ascii="宋体" w:hAnsi="宋体" w:eastAsia="宋体" w:cs="宋体"/>
          <w:color w:val="auto"/>
          <w:sz w:val="21"/>
          <w:szCs w:val="21"/>
        </w:rPr>
      </w:pPr>
      <w:bookmarkStart w:id="99" w:name="_Toc4799"/>
      <w:bookmarkStart w:id="100" w:name="_Toc15075"/>
      <w:r>
        <w:rPr>
          <w:rFonts w:hint="eastAsia" w:ascii="宋体" w:hAnsi="宋体" w:eastAsia="宋体" w:cs="宋体"/>
          <w:color w:val="auto"/>
          <w:sz w:val="21"/>
          <w:szCs w:val="21"/>
        </w:rPr>
        <w:t>商务、技术、价格评审（具体评审项目详见投标资料表）</w:t>
      </w:r>
      <w:bookmarkEnd w:id="99"/>
      <w:bookmarkEnd w:id="100"/>
    </w:p>
    <w:p w14:paraId="6BA9B78E">
      <w:pPr>
        <w:pStyle w:val="47"/>
        <w:widowControl w:val="0"/>
        <w:numPr>
          <w:ilvl w:val="0"/>
          <w:numId w:val="3"/>
        </w:numPr>
        <w:tabs>
          <w:tab w:val="left" w:pos="907"/>
        </w:tabs>
        <w:adjustRightInd/>
        <w:snapToGrid/>
        <w:ind w:firstLineChars="0"/>
        <w:jc w:val="both"/>
        <w:rPr>
          <w:rFonts w:hint="eastAsia" w:ascii="宋体" w:hAnsi="宋体" w:eastAsia="宋体" w:cs="宋体"/>
          <w:vanish/>
          <w:color w:val="auto"/>
          <w:szCs w:val="21"/>
        </w:rPr>
      </w:pPr>
    </w:p>
    <w:p w14:paraId="68F3B154">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 xml:space="preserve">对通过资格性、符合性审查的有效供应商方有资格进入综合评审。采购文件中要求投标人提供的相关资质证书证明材料因国家政策变动导致新旧证书名称不一致，旧证书未取消且新旧证书具有同等效力的，投标人提供新证书与提供在有效期内的旧证书给予同等认可。 </w:t>
      </w:r>
    </w:p>
    <w:p w14:paraId="67E6CF56">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评标委员会对通过资格性、符合性审查的投标文件进行详细评审。评标委员会对每一投标文件进行详细的商务评审、技术评审。按照评审程序的规定和依据评分标准，各位评委就每个投标人的技术、商务状况及其对采购文件要求的响应情况进行评议和比较，评出其技术评分和商务评分。根据采购文件规定评出得分，将价格得分、商务得分、技术得分相加得出最终评标得分。</w:t>
      </w:r>
    </w:p>
    <w:p w14:paraId="1CACFEB2">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采用综合评分法的，评标结果按评审后得分由高到低顺序排列。综合得分相同的，按价格评分由高到低顺序排列。综合得分相同且价格评分相同的，按商务评分由高到低顺序排列，得分高的排前，得分低的排后；按上述环节依然存在同分情形而不能确认排名顺序时，由评标委员会进行投票，得票多的排名在先。当第一轮投票结果为投标人得票数相同时，再次进行投票，如此类推，直到能确定排序次序为止。</w:t>
      </w:r>
    </w:p>
    <w:p w14:paraId="33B3AE15">
      <w:pPr>
        <w:widowControl w:val="0"/>
        <w:tabs>
          <w:tab w:val="left" w:pos="907"/>
        </w:tabs>
        <w:adjustRightInd/>
        <w:snapToGrid/>
        <w:ind w:left="567"/>
        <w:jc w:val="both"/>
        <w:rPr>
          <w:rFonts w:hint="eastAsia" w:ascii="宋体" w:hAnsi="宋体" w:eastAsia="宋体" w:cs="宋体"/>
          <w:color w:val="auto"/>
          <w:szCs w:val="21"/>
        </w:rPr>
      </w:pPr>
    </w:p>
    <w:p w14:paraId="0F2A370B">
      <w:pPr>
        <w:pStyle w:val="5"/>
        <w:widowControl w:val="0"/>
        <w:numPr>
          <w:ilvl w:val="0"/>
          <w:numId w:val="2"/>
        </w:numPr>
        <w:overflowPunct w:val="0"/>
        <w:rPr>
          <w:rFonts w:hint="eastAsia" w:ascii="宋体" w:hAnsi="宋体" w:eastAsia="宋体" w:cs="宋体"/>
          <w:color w:val="auto"/>
          <w:sz w:val="21"/>
          <w:szCs w:val="21"/>
        </w:rPr>
      </w:pPr>
      <w:bookmarkStart w:id="101" w:name="_Toc316375620"/>
      <w:bookmarkStart w:id="102" w:name="_Toc21663"/>
      <w:bookmarkStart w:id="103" w:name="_Toc14894"/>
      <w:bookmarkStart w:id="104" w:name="_Toc382049120"/>
      <w:bookmarkStart w:id="105" w:name="_Toc20328"/>
      <w:r>
        <w:rPr>
          <w:rFonts w:hint="eastAsia" w:ascii="宋体" w:hAnsi="宋体" w:eastAsia="宋体" w:cs="宋体"/>
          <w:color w:val="auto"/>
          <w:sz w:val="21"/>
          <w:szCs w:val="21"/>
        </w:rPr>
        <w:t>纪律和保密</w:t>
      </w:r>
      <w:bookmarkEnd w:id="101"/>
      <w:r>
        <w:rPr>
          <w:rFonts w:hint="eastAsia" w:ascii="宋体" w:hAnsi="宋体" w:eastAsia="宋体" w:cs="宋体"/>
          <w:color w:val="auto"/>
          <w:sz w:val="21"/>
          <w:szCs w:val="21"/>
        </w:rPr>
        <w:t>事项</w:t>
      </w:r>
      <w:bookmarkEnd w:id="102"/>
      <w:bookmarkEnd w:id="103"/>
      <w:bookmarkEnd w:id="104"/>
      <w:bookmarkEnd w:id="105"/>
    </w:p>
    <w:p w14:paraId="618E6B8C">
      <w:pPr>
        <w:pStyle w:val="47"/>
        <w:widowControl w:val="0"/>
        <w:numPr>
          <w:ilvl w:val="0"/>
          <w:numId w:val="3"/>
        </w:numPr>
        <w:tabs>
          <w:tab w:val="left" w:pos="907"/>
        </w:tabs>
        <w:adjustRightInd/>
        <w:snapToGrid/>
        <w:ind w:firstLineChars="0"/>
        <w:jc w:val="both"/>
        <w:rPr>
          <w:rFonts w:hint="eastAsia" w:ascii="宋体" w:hAnsi="宋体" w:eastAsia="宋体" w:cs="宋体"/>
          <w:vanish/>
          <w:color w:val="auto"/>
          <w:szCs w:val="21"/>
        </w:rPr>
      </w:pPr>
    </w:p>
    <w:p w14:paraId="2FC0CFCC">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从开标之日起至授予合同期间，在投标文件的审查、澄清、比较和评价阶段，投标人试图对评标委员会和采购代理机构施加任何影响或对采购人的比较及授予合同的决定产生影响，都可能导致其投标文件被拒绝。</w:t>
      </w:r>
    </w:p>
    <w:p w14:paraId="12F09B34">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投标人不得串通作弊，以不正当的手段妨碍、排挤其他投标人，扰乱采购市场，破坏公平竞争原则。否则将按相关法律规定严肃处理。</w:t>
      </w:r>
    </w:p>
    <w:p w14:paraId="337EE86B">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获得本采购文件的投标人，应对文件进行保密，不得用作本次投标以外的任何用途。开标后，投标人应归还采购文件中要求保密的文件和资料。</w:t>
      </w:r>
    </w:p>
    <w:p w14:paraId="26A71223">
      <w:pPr>
        <w:rPr>
          <w:rFonts w:hint="eastAsia" w:ascii="宋体" w:hAnsi="宋体" w:eastAsia="宋体" w:cs="宋体"/>
          <w:color w:val="auto"/>
        </w:rPr>
      </w:pPr>
    </w:p>
    <w:p w14:paraId="726F8435">
      <w:pPr>
        <w:pStyle w:val="4"/>
        <w:numPr>
          <w:ilvl w:val="0"/>
          <w:numId w:val="1"/>
        </w:numPr>
        <w:spacing w:line="360" w:lineRule="auto"/>
        <w:jc w:val="center"/>
        <w:rPr>
          <w:rFonts w:hint="eastAsia" w:ascii="宋体" w:hAnsi="宋体" w:eastAsia="宋体" w:cs="宋体"/>
          <w:color w:val="auto"/>
        </w:rPr>
      </w:pPr>
      <w:bookmarkStart w:id="106" w:name="_Toc1109"/>
      <w:bookmarkStart w:id="107" w:name="_Toc604"/>
      <w:r>
        <w:rPr>
          <w:rFonts w:hint="eastAsia" w:ascii="宋体" w:hAnsi="宋体" w:eastAsia="宋体" w:cs="宋体"/>
          <w:color w:val="auto"/>
        </w:rPr>
        <w:t>授予合同</w:t>
      </w:r>
      <w:bookmarkEnd w:id="106"/>
      <w:bookmarkEnd w:id="107"/>
    </w:p>
    <w:p w14:paraId="3B2FC7A3">
      <w:pPr>
        <w:pStyle w:val="5"/>
        <w:widowControl w:val="0"/>
        <w:numPr>
          <w:ilvl w:val="0"/>
          <w:numId w:val="2"/>
        </w:numPr>
        <w:overflowPunct w:val="0"/>
        <w:rPr>
          <w:rFonts w:hint="eastAsia" w:ascii="宋体" w:hAnsi="宋体" w:eastAsia="宋体" w:cs="宋体"/>
          <w:color w:val="auto"/>
          <w:sz w:val="21"/>
          <w:szCs w:val="21"/>
        </w:rPr>
      </w:pPr>
      <w:bookmarkStart w:id="108" w:name="_Toc22623"/>
      <w:bookmarkStart w:id="109" w:name="_Toc508284011"/>
      <w:bookmarkStart w:id="110" w:name="_Toc30801"/>
      <w:r>
        <w:rPr>
          <w:rFonts w:hint="eastAsia" w:ascii="宋体" w:hAnsi="宋体" w:eastAsia="宋体" w:cs="宋体"/>
          <w:color w:val="auto"/>
          <w:sz w:val="21"/>
          <w:szCs w:val="21"/>
        </w:rPr>
        <w:t>合同授予标准</w:t>
      </w:r>
      <w:bookmarkEnd w:id="108"/>
      <w:bookmarkEnd w:id="109"/>
      <w:bookmarkEnd w:id="110"/>
    </w:p>
    <w:p w14:paraId="330A7EB9">
      <w:pPr>
        <w:pStyle w:val="47"/>
        <w:widowControl w:val="0"/>
        <w:numPr>
          <w:ilvl w:val="0"/>
          <w:numId w:val="3"/>
        </w:numPr>
        <w:tabs>
          <w:tab w:val="left" w:pos="907"/>
        </w:tabs>
        <w:adjustRightInd/>
        <w:snapToGrid/>
        <w:ind w:firstLineChars="0"/>
        <w:jc w:val="both"/>
        <w:rPr>
          <w:rFonts w:hint="eastAsia" w:ascii="宋体" w:hAnsi="宋体" w:eastAsia="宋体" w:cs="宋体"/>
          <w:vanish/>
          <w:color w:val="auto"/>
          <w:szCs w:val="21"/>
        </w:rPr>
      </w:pPr>
    </w:p>
    <w:p w14:paraId="34AC5620">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根据评标委员会的评审结果，采购人按照评审报告推荐的中标候选人中按顺序依法确定中标人。</w:t>
      </w:r>
    </w:p>
    <w:p w14:paraId="5270D813">
      <w:pPr>
        <w:rPr>
          <w:rFonts w:hint="eastAsia" w:ascii="宋体" w:hAnsi="宋体" w:eastAsia="宋体" w:cs="宋体"/>
          <w:color w:val="auto"/>
        </w:rPr>
      </w:pPr>
    </w:p>
    <w:p w14:paraId="4E1E318F">
      <w:pPr>
        <w:pStyle w:val="5"/>
        <w:widowControl w:val="0"/>
        <w:numPr>
          <w:ilvl w:val="0"/>
          <w:numId w:val="2"/>
        </w:numPr>
        <w:overflowPunct w:val="0"/>
        <w:rPr>
          <w:rFonts w:hint="eastAsia" w:ascii="宋体" w:hAnsi="宋体" w:eastAsia="宋体" w:cs="宋体"/>
          <w:color w:val="auto"/>
          <w:sz w:val="21"/>
          <w:szCs w:val="21"/>
        </w:rPr>
      </w:pPr>
      <w:bookmarkStart w:id="111" w:name="_Toc2276"/>
      <w:bookmarkStart w:id="112" w:name="_Toc508284013"/>
      <w:bookmarkStart w:id="113" w:name="_Toc10545"/>
      <w:r>
        <w:rPr>
          <w:rFonts w:hint="eastAsia" w:ascii="宋体" w:hAnsi="宋体" w:eastAsia="宋体" w:cs="宋体"/>
          <w:color w:val="auto"/>
          <w:sz w:val="21"/>
          <w:szCs w:val="21"/>
        </w:rPr>
        <w:t>发布中标结果</w:t>
      </w:r>
      <w:bookmarkEnd w:id="111"/>
      <w:bookmarkEnd w:id="112"/>
      <w:bookmarkEnd w:id="113"/>
    </w:p>
    <w:p w14:paraId="776020EC">
      <w:pPr>
        <w:pStyle w:val="47"/>
        <w:widowControl w:val="0"/>
        <w:numPr>
          <w:ilvl w:val="0"/>
          <w:numId w:val="3"/>
        </w:numPr>
        <w:tabs>
          <w:tab w:val="left" w:pos="907"/>
        </w:tabs>
        <w:adjustRightInd/>
        <w:snapToGrid/>
        <w:ind w:firstLineChars="0"/>
        <w:jc w:val="both"/>
        <w:rPr>
          <w:rFonts w:hint="eastAsia" w:ascii="宋体" w:hAnsi="宋体" w:eastAsia="宋体" w:cs="宋体"/>
          <w:vanish/>
          <w:color w:val="auto"/>
          <w:szCs w:val="21"/>
        </w:rPr>
      </w:pPr>
    </w:p>
    <w:p w14:paraId="3DDC061B">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评标委员会提出评标书面报告和推荐中标意见报采购人确认后，采购代理机构将在指定的信息发布媒体上发布公告。</w:t>
      </w:r>
    </w:p>
    <w:p w14:paraId="3CE303C3">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中标公告期限为3个日历日。</w:t>
      </w:r>
    </w:p>
    <w:p w14:paraId="6C143464">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《中标通知书》是合同的一个组成部分，《中标通知书》对采购人和中标人均具有同等法律效力。</w:t>
      </w:r>
    </w:p>
    <w:p w14:paraId="5E2AD763">
      <w:pPr>
        <w:widowControl w:val="0"/>
        <w:tabs>
          <w:tab w:val="left" w:pos="907"/>
        </w:tabs>
        <w:adjustRightInd/>
        <w:snapToGrid/>
        <w:jc w:val="both"/>
        <w:rPr>
          <w:rFonts w:hint="eastAsia" w:ascii="宋体" w:hAnsi="宋体" w:eastAsia="宋体" w:cs="宋体"/>
          <w:color w:val="auto"/>
          <w:szCs w:val="21"/>
        </w:rPr>
      </w:pPr>
    </w:p>
    <w:p w14:paraId="2C95E2EF">
      <w:pPr>
        <w:pStyle w:val="5"/>
        <w:widowControl w:val="0"/>
        <w:numPr>
          <w:ilvl w:val="0"/>
          <w:numId w:val="2"/>
        </w:numPr>
        <w:overflowPunct w:val="0"/>
        <w:rPr>
          <w:rFonts w:hint="eastAsia" w:ascii="宋体" w:hAnsi="宋体" w:eastAsia="宋体" w:cs="宋体"/>
          <w:color w:val="auto"/>
          <w:sz w:val="21"/>
          <w:szCs w:val="21"/>
        </w:rPr>
      </w:pPr>
      <w:bookmarkStart w:id="114" w:name="_Toc11420"/>
      <w:bookmarkStart w:id="115" w:name="_Toc9728"/>
      <w:r>
        <w:rPr>
          <w:rFonts w:hint="eastAsia" w:ascii="宋体" w:hAnsi="宋体" w:eastAsia="宋体" w:cs="宋体"/>
          <w:color w:val="auto"/>
          <w:sz w:val="21"/>
          <w:szCs w:val="21"/>
        </w:rPr>
        <w:t>资格后审</w:t>
      </w:r>
      <w:bookmarkEnd w:id="114"/>
      <w:bookmarkEnd w:id="115"/>
    </w:p>
    <w:p w14:paraId="0D2FA8DE">
      <w:pPr>
        <w:pStyle w:val="47"/>
        <w:widowControl w:val="0"/>
        <w:numPr>
          <w:ilvl w:val="0"/>
          <w:numId w:val="3"/>
        </w:numPr>
        <w:tabs>
          <w:tab w:val="left" w:pos="567"/>
          <w:tab w:val="left" w:pos="907"/>
        </w:tabs>
        <w:adjustRightInd/>
        <w:snapToGrid/>
        <w:ind w:firstLineChars="0"/>
        <w:jc w:val="both"/>
        <w:rPr>
          <w:rFonts w:hint="eastAsia" w:ascii="宋体" w:hAnsi="宋体" w:eastAsia="宋体" w:cs="宋体"/>
          <w:vanish/>
          <w:color w:val="auto"/>
          <w:szCs w:val="21"/>
        </w:rPr>
      </w:pPr>
    </w:p>
    <w:p w14:paraId="786E0F68">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采购人将有权根据本文件中的要求，对评委会推荐的中标候选人进行资格后审。</w:t>
      </w:r>
    </w:p>
    <w:p w14:paraId="315202EA">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中标候选人须无条件配合资格后审，否则采购人有权取消其中标资格，且投标保证金可不予退还。</w:t>
      </w:r>
    </w:p>
    <w:p w14:paraId="3246A7D8">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资格后审须提供包括但不限于营业执照、税务登记证和在投标文件中提供的资质证明文件、业绩等重要证明文件的原件进行核对，综合考察中标人的履约能力。如采购人要求还须提供业绩证明的其他材料,中标候选人须配合提供。如授权其分支机构进行项目实施或提供售后服务的，亦应提供其与分支机构关系的法律证明材料。</w:t>
      </w:r>
    </w:p>
    <w:p w14:paraId="5BA1E554">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如发现中标候选人以他人名义投标或者以其他方式弄虚作假，骗取中标的，采购人有权取消其中标资格，且投标保证金可不予退还；给采购人造成损失的，应依法承担赔偿责任。</w:t>
      </w:r>
    </w:p>
    <w:p w14:paraId="6CE7BBE0">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采购人有权审查中标候选人是否具备履行合同的能力，包括但不限于对其规模、人员、场地、生产能力、供货能力等方面的核实或现场考察。如果审查通过，采购人将把合同授予该中标人；如果审查没有通过，采购人有权取消其中标资格，且投标保证金可不予退还，并依次审查下一名中标候选人是否具备履行合同的能力或重新采购。</w:t>
      </w:r>
    </w:p>
    <w:p w14:paraId="111F83F4">
      <w:pPr>
        <w:rPr>
          <w:rFonts w:hint="eastAsia" w:ascii="宋体" w:hAnsi="宋体" w:eastAsia="宋体" w:cs="宋体"/>
          <w:color w:val="auto"/>
        </w:rPr>
      </w:pPr>
    </w:p>
    <w:p w14:paraId="0115D99F">
      <w:pPr>
        <w:pStyle w:val="5"/>
        <w:widowControl w:val="0"/>
        <w:numPr>
          <w:ilvl w:val="0"/>
          <w:numId w:val="2"/>
        </w:numPr>
        <w:overflowPunct w:val="0"/>
        <w:rPr>
          <w:rFonts w:hint="eastAsia" w:ascii="宋体" w:hAnsi="宋体" w:eastAsia="宋体" w:cs="宋体"/>
          <w:color w:val="auto"/>
          <w:sz w:val="21"/>
          <w:szCs w:val="21"/>
        </w:rPr>
      </w:pPr>
      <w:bookmarkStart w:id="116" w:name="_Toc12192"/>
      <w:bookmarkStart w:id="117" w:name="_Toc27302"/>
      <w:r>
        <w:rPr>
          <w:rFonts w:hint="eastAsia" w:ascii="宋体" w:hAnsi="宋体" w:eastAsia="宋体" w:cs="宋体"/>
          <w:color w:val="auto"/>
          <w:sz w:val="21"/>
          <w:szCs w:val="21"/>
        </w:rPr>
        <w:t>合同的签订与履行</w:t>
      </w:r>
      <w:bookmarkEnd w:id="116"/>
      <w:bookmarkEnd w:id="117"/>
    </w:p>
    <w:p w14:paraId="3E4A6228">
      <w:pPr>
        <w:pStyle w:val="47"/>
        <w:widowControl w:val="0"/>
        <w:numPr>
          <w:ilvl w:val="0"/>
          <w:numId w:val="3"/>
        </w:numPr>
        <w:tabs>
          <w:tab w:val="left" w:pos="907"/>
        </w:tabs>
        <w:adjustRightInd/>
        <w:snapToGrid/>
        <w:ind w:firstLineChars="0"/>
        <w:jc w:val="both"/>
        <w:rPr>
          <w:rFonts w:hint="eastAsia" w:ascii="宋体" w:hAnsi="宋体" w:eastAsia="宋体" w:cs="宋体"/>
          <w:vanish/>
          <w:color w:val="auto"/>
          <w:szCs w:val="21"/>
        </w:rPr>
      </w:pPr>
    </w:p>
    <w:p w14:paraId="46A4779E">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中标人应当自采购人发出中标通知书之日起30日内，按照采购文件和中标人投标文件的规定，与采购人签订书面合同，否则采购人有权取消其中标资格。所签订的合同不得对采购文件确定的事项和中标人投标文件作实质性修改。在合同签订时，应注意合同中约定的工期开始时间不得早于合同签订时间。</w:t>
      </w:r>
    </w:p>
    <w:p w14:paraId="2E8DBA99">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采购人与中标人应当根据合同的约定依法履行合同义务。</w:t>
      </w:r>
    </w:p>
    <w:p w14:paraId="0E3C3D07">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采购合同的履行、违约责任和解决争议的方法等适用《中华人民共和国民法典》。</w:t>
      </w:r>
    </w:p>
    <w:p w14:paraId="37FDE6EC">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中标人在评审结束当天至合同履行结束，若因不可抗力的因素（如国家出台新法律法规等）造成投标人资质的变动，投标人应以纸质版形式通知采购人。若资质变动导致中标人不再具备履行合同资质要求，采购人有权中止合同。</w:t>
      </w:r>
    </w:p>
    <w:p w14:paraId="2290BA1D">
      <w:pPr>
        <w:widowControl w:val="0"/>
        <w:tabs>
          <w:tab w:val="left" w:pos="907"/>
        </w:tabs>
        <w:adjustRightInd/>
        <w:snapToGrid/>
        <w:jc w:val="both"/>
        <w:rPr>
          <w:rFonts w:hint="eastAsia" w:ascii="宋体" w:hAnsi="宋体" w:eastAsia="宋体" w:cs="宋体"/>
          <w:color w:val="auto"/>
        </w:rPr>
      </w:pPr>
    </w:p>
    <w:p w14:paraId="25409DDD">
      <w:pPr>
        <w:pStyle w:val="5"/>
        <w:widowControl w:val="0"/>
        <w:numPr>
          <w:ilvl w:val="0"/>
          <w:numId w:val="2"/>
        </w:numPr>
        <w:overflowPunct w:val="0"/>
        <w:rPr>
          <w:rFonts w:hint="eastAsia" w:ascii="宋体" w:hAnsi="宋体" w:eastAsia="宋体" w:cs="宋体"/>
          <w:color w:val="auto"/>
          <w:sz w:val="21"/>
          <w:szCs w:val="21"/>
        </w:rPr>
      </w:pPr>
      <w:bookmarkStart w:id="118" w:name="_Toc303084277"/>
      <w:bookmarkStart w:id="119" w:name="_Toc382049124"/>
      <w:bookmarkStart w:id="120" w:name="_Toc29009"/>
      <w:bookmarkStart w:id="121" w:name="_Toc18329"/>
      <w:bookmarkStart w:id="122" w:name="_Toc6617"/>
      <w:r>
        <w:rPr>
          <w:rFonts w:hint="eastAsia" w:ascii="宋体" w:hAnsi="宋体" w:eastAsia="宋体" w:cs="宋体"/>
          <w:color w:val="auto"/>
          <w:sz w:val="21"/>
          <w:szCs w:val="21"/>
        </w:rPr>
        <w:t>履约</w:t>
      </w:r>
      <w:bookmarkEnd w:id="118"/>
      <w:bookmarkEnd w:id="119"/>
      <w:bookmarkEnd w:id="120"/>
      <w:r>
        <w:rPr>
          <w:rFonts w:hint="eastAsia" w:ascii="宋体" w:hAnsi="宋体" w:eastAsia="宋体" w:cs="宋体"/>
          <w:color w:val="auto"/>
          <w:sz w:val="21"/>
          <w:szCs w:val="21"/>
        </w:rPr>
        <w:t>担保</w:t>
      </w:r>
      <w:bookmarkEnd w:id="121"/>
      <w:bookmarkEnd w:id="122"/>
    </w:p>
    <w:p w14:paraId="3AF4EB05">
      <w:pPr>
        <w:pStyle w:val="47"/>
        <w:widowControl w:val="0"/>
        <w:numPr>
          <w:ilvl w:val="0"/>
          <w:numId w:val="3"/>
        </w:numPr>
        <w:tabs>
          <w:tab w:val="left" w:pos="907"/>
        </w:tabs>
        <w:adjustRightInd/>
        <w:snapToGrid/>
        <w:ind w:firstLineChars="0"/>
        <w:jc w:val="both"/>
        <w:rPr>
          <w:rFonts w:hint="eastAsia" w:ascii="宋体" w:hAnsi="宋体" w:eastAsia="宋体" w:cs="宋体"/>
          <w:vanish/>
          <w:color w:val="auto"/>
          <w:szCs w:val="21"/>
        </w:rPr>
      </w:pPr>
    </w:p>
    <w:p w14:paraId="60E90072">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中标人在采购（合同签署）时提交履约担保，履约担保金额不超过中标合同金额的10%，如果中标人提交的履约保函的有效期先于合同要求的履约保函有效期到达，中标人应在原提交的履约保函有效期满前15天，无条件办理保函延期手续。否则，视中标人违约，采购人可在保函到期前将保函金额转为现金存入履约保证金账户。</w:t>
      </w:r>
    </w:p>
    <w:p w14:paraId="65C30940">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履约担保期限从合同签订之日起至项目服务期结束验收合格并结算完毕后，经双方签字7天内保持有效。</w:t>
      </w:r>
    </w:p>
    <w:p w14:paraId="0646D56A">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履约担保可以采用下列任何一种形式：</w:t>
      </w:r>
    </w:p>
    <w:p w14:paraId="6675EBF8">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（1）履约保函。如果中标人的履约担保是以银行保函形式提供的，则该银行保函应：</w:t>
      </w:r>
    </w:p>
    <w:p w14:paraId="54EA663B">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①保函应由银行支行或以上银行机构开具，非东莞市行政区内的银行开具的保函要由银行所在地公证部门出具的公证书。</w:t>
      </w:r>
    </w:p>
    <w:p w14:paraId="3F60B6CE">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②保函的格式参考投标文件附件中提供的无条件不可撤销履约保函格式，保函担保期内若项目未能按期竣工，保函必须延期，办理延期手续时在银行方面所产生费用由中标人负责。</w:t>
      </w:r>
    </w:p>
    <w:p w14:paraId="7C51E0B6">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③履约保函必须打印，手写、涂改无效。</w:t>
      </w:r>
    </w:p>
    <w:p w14:paraId="6C26AB30">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2）履约保证金。可采用电汇、银行汇票等银行转账方式提交，但不可以采用现金方式提交。履约保证金金额为中标价的10%。中标人人必须保证履约保证金以中标人的名称在（合同约定的日期）前提交至采购人指定账户。</w:t>
      </w:r>
    </w:p>
    <w:p w14:paraId="2282410F">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若中标人不能按本采购文件（33.1至33.3）的规定提交履约保证金的，采购人将有权取消中标人的中标资格（采购人可以按照评标委员会提出的中标候选人名单排序依次确定其他中标候选人为中标人，也可以重新采购），投标保证金不予退还，给采购人造成的损失如果超过投标保证金数额的，还应当对超过部分予以赔偿。</w:t>
      </w:r>
    </w:p>
    <w:p w14:paraId="7A069039">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为取得履约担保所需的费用，由中标人承担；若工期延误，履约担保时间延长，延长费用由中标人承担。</w:t>
      </w:r>
    </w:p>
    <w:p w14:paraId="68D7C840">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若中标人在合同履行过程中出现项目质量事故、工期拖延、欠付工人工资、欠付材料款等情况，采购人在经核查属实后，有权将履约保函金额转为现金存入履约保证金账户；中标人造成采购人损失的，采购人有权立即没收其履约担保，若造成损失超过履约担保的，还应当对超过部分予以赔偿。</w:t>
      </w:r>
    </w:p>
    <w:p w14:paraId="392A2EAB">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下列任何情况发生时，采购人有权行使享有的担保权利：</w:t>
      </w:r>
    </w:p>
    <w:p w14:paraId="224D33C9">
      <w:pPr>
        <w:widowControl w:val="0"/>
        <w:overflowPunct w:val="0"/>
        <w:ind w:firstLine="420" w:firstLineChars="200"/>
        <w:rPr>
          <w:rFonts w:hint="eastAsia" w:ascii="宋体" w:hAnsi="宋体" w:eastAsia="宋体" w:cs="宋体"/>
          <w:color w:val="auto"/>
          <w:szCs w:val="21"/>
        </w:rPr>
      </w:pPr>
      <w:r>
        <w:rPr>
          <w:rFonts w:hint="eastAsia" w:ascii="宋体" w:hAnsi="宋体" w:eastAsia="宋体" w:cs="宋体"/>
          <w:color w:val="auto"/>
          <w:szCs w:val="21"/>
        </w:rPr>
        <w:t>（1）中标人将本项目转让给他人，或者在投标文件中未说明，且未经采购人同意，将中标项目分包给他人的；</w:t>
      </w:r>
    </w:p>
    <w:p w14:paraId="06C85B72">
      <w:pPr>
        <w:widowControl w:val="0"/>
        <w:overflowPunct w:val="0"/>
        <w:ind w:firstLine="420" w:firstLineChars="200"/>
        <w:rPr>
          <w:rFonts w:hint="eastAsia" w:ascii="宋体" w:hAnsi="宋体" w:eastAsia="宋体" w:cs="宋体"/>
          <w:color w:val="auto"/>
          <w:szCs w:val="21"/>
        </w:rPr>
      </w:pPr>
      <w:r>
        <w:rPr>
          <w:rFonts w:hint="eastAsia" w:ascii="宋体" w:hAnsi="宋体" w:eastAsia="宋体" w:cs="宋体"/>
          <w:color w:val="auto"/>
          <w:szCs w:val="21"/>
        </w:rPr>
        <w:t>（2）中标人在履行采购合同期间，违反有关法律法规的规定及合同约定的条款，损害了采购人的利益。</w:t>
      </w:r>
    </w:p>
    <w:p w14:paraId="4F68EB72">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在整个项目验收合格后，中标人向采购人提交退回履约担保的申请，采购人办理履约担保退还手续。</w:t>
      </w:r>
    </w:p>
    <w:p w14:paraId="071D55C0">
      <w:pPr>
        <w:widowControl w:val="0"/>
        <w:tabs>
          <w:tab w:val="left" w:pos="907"/>
        </w:tabs>
        <w:adjustRightInd/>
        <w:snapToGrid/>
        <w:jc w:val="both"/>
        <w:rPr>
          <w:rFonts w:hint="eastAsia" w:ascii="宋体" w:hAnsi="宋体" w:eastAsia="宋体" w:cs="宋体"/>
          <w:color w:val="auto"/>
        </w:rPr>
      </w:pPr>
    </w:p>
    <w:p w14:paraId="0B6F585B">
      <w:pPr>
        <w:pStyle w:val="5"/>
        <w:widowControl w:val="0"/>
        <w:numPr>
          <w:ilvl w:val="0"/>
          <w:numId w:val="2"/>
        </w:numPr>
        <w:overflowPunct w:val="0"/>
        <w:rPr>
          <w:rFonts w:hint="eastAsia" w:ascii="宋体" w:hAnsi="宋体" w:eastAsia="宋体" w:cs="宋体"/>
          <w:color w:val="auto"/>
          <w:sz w:val="21"/>
          <w:szCs w:val="21"/>
        </w:rPr>
      </w:pPr>
      <w:bookmarkStart w:id="123" w:name="_Toc18880"/>
      <w:bookmarkStart w:id="124" w:name="_Toc6673"/>
      <w:r>
        <w:rPr>
          <w:rFonts w:hint="eastAsia" w:ascii="宋体" w:hAnsi="宋体" w:eastAsia="宋体" w:cs="宋体"/>
          <w:color w:val="auto"/>
          <w:sz w:val="21"/>
          <w:szCs w:val="21"/>
        </w:rPr>
        <w:t>预付款保函（适用于预付款支付）</w:t>
      </w:r>
      <w:bookmarkEnd w:id="123"/>
      <w:bookmarkEnd w:id="124"/>
    </w:p>
    <w:p w14:paraId="499D57FA">
      <w:pPr>
        <w:pStyle w:val="47"/>
        <w:widowControl w:val="0"/>
        <w:numPr>
          <w:ilvl w:val="0"/>
          <w:numId w:val="3"/>
        </w:numPr>
        <w:tabs>
          <w:tab w:val="left" w:pos="567"/>
          <w:tab w:val="left" w:pos="907"/>
        </w:tabs>
        <w:adjustRightInd/>
        <w:snapToGrid/>
        <w:ind w:firstLineChars="0"/>
        <w:jc w:val="both"/>
        <w:rPr>
          <w:rFonts w:hint="eastAsia" w:ascii="宋体" w:hAnsi="宋体" w:eastAsia="宋体" w:cs="宋体"/>
          <w:vanish/>
          <w:color w:val="auto"/>
          <w:szCs w:val="21"/>
        </w:rPr>
      </w:pPr>
    </w:p>
    <w:p w14:paraId="3444DF26">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在签订合同时，中标人应按本须知规定向采购人提交一份合同预付款等额有效的预付款保函。预付款保函有效期从保函开立之日起至采购人向中标人抵扣完所有预付款之日止。如果中标人提交的预付款保函的有效期先于采购文件要求的预付款保函有效期到达，中标人应在原提交的预付款保函有效期前15日内，无条件办理预付款保函延期手续。否则视为中标人违约，采购人可在预付款保函到期前将未抵扣的预付款转为现金存入采购人账户</w:t>
      </w:r>
    </w:p>
    <w:p w14:paraId="513179AA">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预付款保函应：</w:t>
      </w:r>
    </w:p>
    <w:p w14:paraId="721545D2">
      <w:pPr>
        <w:widowControl w:val="0"/>
        <w:overflowPunct w:val="0"/>
        <w:ind w:firstLine="420" w:firstLineChars="200"/>
        <w:rPr>
          <w:rFonts w:hint="eastAsia" w:ascii="宋体" w:hAnsi="宋体" w:eastAsia="宋体" w:cs="宋体"/>
          <w:color w:val="auto"/>
          <w:szCs w:val="21"/>
        </w:rPr>
      </w:pPr>
      <w:r>
        <w:rPr>
          <w:rFonts w:hint="eastAsia" w:ascii="宋体" w:hAnsi="宋体" w:eastAsia="宋体" w:cs="宋体"/>
          <w:color w:val="auto"/>
          <w:szCs w:val="21"/>
        </w:rPr>
        <w:t>（1）由东莞市行政区域内的银行支行及以上银行机构开具。非东莞市行政区内的银行开具的保函要由银行所在地公证部门出具的公证书。</w:t>
      </w:r>
    </w:p>
    <w:p w14:paraId="35248C0A">
      <w:pPr>
        <w:widowControl w:val="0"/>
        <w:overflowPunct w:val="0"/>
        <w:ind w:firstLine="420" w:firstLineChars="200"/>
        <w:rPr>
          <w:rFonts w:hint="eastAsia" w:ascii="宋体" w:hAnsi="宋体" w:eastAsia="宋体" w:cs="宋体"/>
          <w:color w:val="auto"/>
          <w:szCs w:val="21"/>
        </w:rPr>
      </w:pPr>
      <w:r>
        <w:rPr>
          <w:rFonts w:hint="eastAsia" w:ascii="宋体" w:hAnsi="宋体" w:eastAsia="宋体" w:cs="宋体"/>
          <w:color w:val="auto"/>
          <w:szCs w:val="21"/>
        </w:rPr>
        <w:t>（2）必须打印，手写、涂改无效</w:t>
      </w:r>
    </w:p>
    <w:p w14:paraId="561D341F">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若中标人不能按本须知（34.1至34.2）的规定执行，采购人将不予支付预付款。</w:t>
      </w:r>
    </w:p>
    <w:p w14:paraId="396576F5">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如果中标人提交的预付款保函的有效期先于采购文件要求的预付款保函有效期到达，中标人应在原提交的预付款保函有效期满前15天内，无条件办理预付款保函延期手续。否则视为中标人违约，采购人可在预付款保函到期前将未抵扣的预付款金额转为现金存入采购人账户。</w:t>
      </w:r>
    </w:p>
    <w:p w14:paraId="04916BDA">
      <w:pPr>
        <w:rPr>
          <w:rFonts w:hint="eastAsia" w:ascii="宋体" w:hAnsi="宋体" w:eastAsia="宋体" w:cs="宋体"/>
          <w:color w:val="auto"/>
        </w:rPr>
      </w:pPr>
    </w:p>
    <w:p w14:paraId="59E32B50">
      <w:pPr>
        <w:pStyle w:val="4"/>
        <w:numPr>
          <w:ilvl w:val="0"/>
          <w:numId w:val="1"/>
        </w:numPr>
        <w:spacing w:line="360" w:lineRule="auto"/>
        <w:jc w:val="center"/>
        <w:rPr>
          <w:rFonts w:hint="eastAsia" w:ascii="宋体" w:hAnsi="宋体" w:eastAsia="宋体" w:cs="宋体"/>
          <w:color w:val="auto"/>
        </w:rPr>
      </w:pPr>
      <w:bookmarkStart w:id="125" w:name="_Toc21814"/>
      <w:bookmarkStart w:id="126" w:name="_Toc26799"/>
      <w:r>
        <w:rPr>
          <w:rFonts w:hint="eastAsia" w:ascii="宋体" w:hAnsi="宋体" w:eastAsia="宋体" w:cs="宋体"/>
          <w:color w:val="auto"/>
        </w:rPr>
        <w:t>异议</w:t>
      </w:r>
      <w:bookmarkEnd w:id="125"/>
      <w:bookmarkEnd w:id="126"/>
    </w:p>
    <w:p w14:paraId="7B0180D6">
      <w:pPr>
        <w:pStyle w:val="5"/>
        <w:widowControl w:val="0"/>
        <w:numPr>
          <w:ilvl w:val="0"/>
          <w:numId w:val="2"/>
        </w:numPr>
        <w:overflowPunct w:val="0"/>
        <w:rPr>
          <w:rFonts w:hint="eastAsia" w:ascii="宋体" w:hAnsi="宋体" w:eastAsia="宋体" w:cs="宋体"/>
          <w:color w:val="auto"/>
          <w:sz w:val="21"/>
          <w:szCs w:val="21"/>
        </w:rPr>
      </w:pPr>
      <w:bookmarkStart w:id="127" w:name="_Toc11060"/>
      <w:bookmarkStart w:id="128" w:name="_Toc9791"/>
      <w:r>
        <w:rPr>
          <w:rFonts w:hint="eastAsia" w:ascii="宋体" w:hAnsi="宋体" w:eastAsia="宋体" w:cs="宋体"/>
          <w:color w:val="auto"/>
          <w:sz w:val="21"/>
          <w:szCs w:val="21"/>
        </w:rPr>
        <w:t>异议</w:t>
      </w:r>
      <w:bookmarkEnd w:id="127"/>
      <w:bookmarkEnd w:id="128"/>
    </w:p>
    <w:p w14:paraId="03B89DB6">
      <w:pPr>
        <w:pStyle w:val="47"/>
        <w:widowControl w:val="0"/>
        <w:numPr>
          <w:ilvl w:val="0"/>
          <w:numId w:val="3"/>
        </w:numPr>
        <w:tabs>
          <w:tab w:val="left" w:pos="907"/>
        </w:tabs>
        <w:adjustRightInd/>
        <w:snapToGrid/>
        <w:ind w:firstLineChars="0"/>
        <w:jc w:val="both"/>
        <w:rPr>
          <w:rFonts w:hint="eastAsia" w:ascii="宋体" w:hAnsi="宋体" w:eastAsia="宋体" w:cs="宋体"/>
          <w:vanish/>
          <w:color w:val="auto"/>
          <w:szCs w:val="21"/>
        </w:rPr>
      </w:pPr>
    </w:p>
    <w:p w14:paraId="5C870E48">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lang w:val="zh-CN"/>
        </w:rPr>
        <w:t>采购文件的异议</w:t>
      </w:r>
    </w:p>
    <w:p w14:paraId="443BBEB7">
      <w:pPr>
        <w:widowControl w:val="0"/>
        <w:overflowPunct w:val="0"/>
        <w:ind w:firstLine="420" w:firstLineChars="200"/>
        <w:rPr>
          <w:rFonts w:hint="eastAsia" w:ascii="宋体" w:hAnsi="宋体" w:eastAsia="宋体" w:cs="宋体"/>
          <w:color w:val="auto"/>
          <w:szCs w:val="21"/>
        </w:rPr>
      </w:pPr>
      <w:r>
        <w:rPr>
          <w:rFonts w:hint="eastAsia" w:ascii="宋体" w:hAnsi="宋体" w:eastAsia="宋体" w:cs="宋体"/>
          <w:bCs/>
          <w:color w:val="auto"/>
          <w:kern w:val="2"/>
          <w:szCs w:val="21"/>
          <w:lang w:val="zh-CN"/>
        </w:rPr>
        <w:t>投标人或者其他利害关系人对采购文件有异议的，应当在投标截止时间10日前</w:t>
      </w:r>
      <w:r>
        <w:rPr>
          <w:rFonts w:hint="eastAsia" w:ascii="宋体" w:hAnsi="宋体" w:eastAsia="宋体" w:cs="宋体"/>
          <w:color w:val="auto"/>
          <w:kern w:val="2"/>
          <w:szCs w:val="21"/>
          <w:lang w:val="zh-CN"/>
        </w:rPr>
        <w:t>以书面形式向采购代理机构提出，并将材料原件送达采购代理机构，逾期则视为对采购文件所有内容无异议。</w:t>
      </w:r>
      <w:r>
        <w:rPr>
          <w:rFonts w:hint="eastAsia" w:ascii="宋体" w:hAnsi="宋体" w:eastAsia="宋体" w:cs="宋体"/>
          <w:bCs/>
          <w:color w:val="auto"/>
          <w:kern w:val="2"/>
          <w:szCs w:val="21"/>
          <w:lang w:val="zh-CN"/>
        </w:rPr>
        <w:t>异议</w:t>
      </w:r>
      <w:r>
        <w:rPr>
          <w:rFonts w:hint="eastAsia" w:ascii="宋体" w:hAnsi="宋体" w:eastAsia="宋体" w:cs="宋体"/>
          <w:color w:val="auto"/>
          <w:kern w:val="2"/>
          <w:szCs w:val="21"/>
          <w:lang w:val="zh-CN"/>
        </w:rPr>
        <w:t>书面材料必须加盖投标人法人公章，并注明联系人、联系电话、联系地址。</w:t>
      </w:r>
      <w:r>
        <w:rPr>
          <w:rFonts w:hint="eastAsia" w:ascii="宋体" w:hAnsi="宋体" w:eastAsia="宋体" w:cs="宋体"/>
          <w:bCs/>
          <w:color w:val="auto"/>
          <w:kern w:val="2"/>
          <w:szCs w:val="21"/>
          <w:lang w:val="zh-CN"/>
        </w:rPr>
        <w:t>超出</w:t>
      </w:r>
      <w:r>
        <w:rPr>
          <w:rFonts w:hint="eastAsia" w:ascii="宋体" w:hAnsi="宋体" w:eastAsia="宋体" w:cs="宋体"/>
          <w:color w:val="auto"/>
          <w:kern w:val="2"/>
          <w:szCs w:val="21"/>
          <w:lang w:val="zh-CN"/>
        </w:rPr>
        <w:t>提交接收异议截止时间而</w:t>
      </w:r>
      <w:r>
        <w:rPr>
          <w:rFonts w:hint="eastAsia" w:ascii="宋体" w:hAnsi="宋体" w:eastAsia="宋体" w:cs="宋体"/>
          <w:bCs/>
          <w:color w:val="auto"/>
          <w:kern w:val="2"/>
          <w:szCs w:val="21"/>
          <w:lang w:val="zh-CN"/>
        </w:rPr>
        <w:t>提出的任何疑问，</w:t>
      </w:r>
      <w:r>
        <w:rPr>
          <w:rFonts w:hint="eastAsia" w:ascii="宋体" w:hAnsi="宋体" w:eastAsia="宋体" w:cs="宋体"/>
          <w:bCs/>
          <w:color w:val="auto"/>
          <w:kern w:val="2"/>
          <w:szCs w:val="21"/>
        </w:rPr>
        <w:t>采购人或</w:t>
      </w:r>
      <w:r>
        <w:rPr>
          <w:rFonts w:hint="eastAsia" w:ascii="宋体" w:hAnsi="宋体" w:eastAsia="宋体" w:cs="宋体"/>
          <w:bCs/>
          <w:color w:val="auto"/>
          <w:kern w:val="2"/>
          <w:szCs w:val="21"/>
          <w:lang w:val="zh-CN"/>
        </w:rPr>
        <w:t>采购代理机构可不予答复。</w:t>
      </w:r>
    </w:p>
    <w:p w14:paraId="43105529">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lang w:val="zh-CN"/>
        </w:rPr>
        <w:t>评标结果异议</w:t>
      </w:r>
      <w:r>
        <w:rPr>
          <w:rFonts w:hint="eastAsia" w:ascii="宋体" w:hAnsi="宋体" w:eastAsia="宋体" w:cs="宋体"/>
          <w:color w:val="auto"/>
          <w:szCs w:val="21"/>
        </w:rPr>
        <w:t xml:space="preserve">   </w:t>
      </w:r>
    </w:p>
    <w:p w14:paraId="649FE833">
      <w:pPr>
        <w:widowControl w:val="0"/>
        <w:overflowPunct w:val="0"/>
        <w:ind w:firstLine="420" w:firstLineChars="200"/>
        <w:rPr>
          <w:rFonts w:hint="eastAsia" w:ascii="宋体" w:hAnsi="宋体" w:eastAsia="宋体" w:cs="宋体"/>
          <w:color w:val="auto"/>
          <w:kern w:val="2"/>
          <w:szCs w:val="21"/>
          <w:lang w:val="zh-CN"/>
        </w:rPr>
      </w:pPr>
      <w:r>
        <w:rPr>
          <w:rFonts w:hint="eastAsia" w:ascii="宋体" w:hAnsi="宋体" w:eastAsia="宋体" w:cs="宋体"/>
          <w:color w:val="auto"/>
          <w:kern w:val="2"/>
          <w:szCs w:val="21"/>
          <w:lang w:val="zh-CN"/>
        </w:rPr>
        <w:t>投标人或者其他利害关系人对评标结果有异议的，应当在中标候选人公示期间向采购代理机构以书面的形式提出，并将完整的异议书面材料原件送达采购代理机构，逾期则视为对评标结果无异议。超出提交异议截止时间而提出的任何疑问，采购代理机构可不予答复。</w:t>
      </w:r>
    </w:p>
    <w:p w14:paraId="659BD25A">
      <w:pPr>
        <w:widowControl w:val="0"/>
        <w:overflowPunct w:val="0"/>
        <w:ind w:firstLine="420" w:firstLineChars="200"/>
        <w:rPr>
          <w:rFonts w:hint="eastAsia" w:ascii="宋体" w:hAnsi="宋体" w:eastAsia="宋体" w:cs="宋体"/>
          <w:color w:val="auto"/>
          <w:kern w:val="2"/>
          <w:szCs w:val="21"/>
          <w:lang w:val="zh-CN"/>
        </w:rPr>
      </w:pPr>
      <w:r>
        <w:rPr>
          <w:rFonts w:hint="eastAsia" w:ascii="宋体" w:hAnsi="宋体" w:eastAsia="宋体" w:cs="宋体"/>
          <w:color w:val="auto"/>
          <w:kern w:val="2"/>
          <w:szCs w:val="21"/>
          <w:lang w:val="zh-CN"/>
        </w:rPr>
        <w:t>采购代理</w:t>
      </w:r>
      <w:r>
        <w:rPr>
          <w:rFonts w:hint="eastAsia" w:ascii="宋体" w:hAnsi="宋体" w:eastAsia="宋体" w:cs="宋体"/>
          <w:color w:val="auto"/>
          <w:szCs w:val="21"/>
          <w:lang w:val="zh-CN"/>
        </w:rPr>
        <w:t>机构</w:t>
      </w:r>
      <w:r>
        <w:rPr>
          <w:rFonts w:hint="eastAsia" w:ascii="宋体" w:hAnsi="宋体" w:eastAsia="宋体" w:cs="宋体"/>
          <w:color w:val="auto"/>
          <w:kern w:val="2"/>
          <w:szCs w:val="21"/>
          <w:lang w:val="zh-CN"/>
        </w:rPr>
        <w:t>将拒收未能提供完整异议书面材料的异议，完整的异议书面材料必须同时包含：异议书（加盖法人公章，并注明联系人、联系电话、联系地址）、授权提交异议的法定代表人授权书原件、反映异议人主体资格的营业执照复印件（加盖法人公章）、以及合法来源的证据证明材料。</w:t>
      </w:r>
    </w:p>
    <w:p w14:paraId="25E1C121">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以联合体形式参加采购活动的，其异议应当由组成联合体的所有投标人共同提出。</w:t>
      </w:r>
    </w:p>
    <w:p w14:paraId="60BAE12F">
      <w:pPr>
        <w:rPr>
          <w:rFonts w:hint="eastAsia" w:ascii="宋体" w:hAnsi="宋体" w:eastAsia="宋体" w:cs="宋体"/>
          <w:color w:val="auto"/>
        </w:rPr>
      </w:pPr>
    </w:p>
    <w:p w14:paraId="7C5DABE0">
      <w:pPr>
        <w:pStyle w:val="4"/>
        <w:numPr>
          <w:ilvl w:val="0"/>
          <w:numId w:val="1"/>
        </w:numPr>
        <w:spacing w:line="360" w:lineRule="auto"/>
        <w:jc w:val="center"/>
        <w:rPr>
          <w:rFonts w:hint="eastAsia" w:ascii="宋体" w:hAnsi="宋体" w:eastAsia="宋体" w:cs="宋体"/>
          <w:color w:val="auto"/>
        </w:rPr>
      </w:pPr>
      <w:bookmarkStart w:id="129" w:name="_Toc5942"/>
      <w:bookmarkStart w:id="130" w:name="_Toc18965"/>
      <w:r>
        <w:rPr>
          <w:rFonts w:hint="eastAsia" w:ascii="宋体" w:hAnsi="宋体" w:eastAsia="宋体" w:cs="宋体"/>
          <w:color w:val="auto"/>
        </w:rPr>
        <w:t>其他</w:t>
      </w:r>
      <w:bookmarkEnd w:id="129"/>
      <w:bookmarkEnd w:id="130"/>
    </w:p>
    <w:p w14:paraId="3097AE7B">
      <w:pPr>
        <w:pStyle w:val="5"/>
        <w:widowControl w:val="0"/>
        <w:numPr>
          <w:ilvl w:val="0"/>
          <w:numId w:val="2"/>
        </w:numPr>
        <w:overflowPunct w:val="0"/>
        <w:rPr>
          <w:rFonts w:hint="eastAsia" w:ascii="宋体" w:hAnsi="宋体" w:eastAsia="宋体" w:cs="宋体"/>
          <w:color w:val="auto"/>
          <w:sz w:val="21"/>
          <w:szCs w:val="21"/>
        </w:rPr>
      </w:pPr>
      <w:bookmarkStart w:id="131" w:name="_Toc1587"/>
      <w:bookmarkStart w:id="132" w:name="_Toc15472"/>
      <w:r>
        <w:rPr>
          <w:rFonts w:hint="eastAsia" w:ascii="宋体" w:hAnsi="宋体" w:eastAsia="宋体" w:cs="宋体"/>
          <w:color w:val="auto"/>
          <w:sz w:val="21"/>
          <w:szCs w:val="21"/>
        </w:rPr>
        <w:t>采购文件的解释权</w:t>
      </w:r>
      <w:bookmarkEnd w:id="131"/>
      <w:bookmarkEnd w:id="132"/>
    </w:p>
    <w:p w14:paraId="460D7322">
      <w:pPr>
        <w:pStyle w:val="47"/>
        <w:widowControl w:val="0"/>
        <w:numPr>
          <w:ilvl w:val="0"/>
          <w:numId w:val="3"/>
        </w:numPr>
        <w:tabs>
          <w:tab w:val="left" w:pos="907"/>
        </w:tabs>
        <w:adjustRightInd/>
        <w:snapToGrid/>
        <w:ind w:firstLineChars="0"/>
        <w:jc w:val="both"/>
        <w:rPr>
          <w:rFonts w:hint="eastAsia" w:ascii="宋体" w:hAnsi="宋体" w:eastAsia="宋体" w:cs="宋体"/>
          <w:vanish/>
          <w:color w:val="auto"/>
          <w:szCs w:val="21"/>
        </w:rPr>
      </w:pPr>
    </w:p>
    <w:p w14:paraId="0D06C003">
      <w:pPr>
        <w:widowControl w:val="0"/>
        <w:numPr>
          <w:ilvl w:val="1"/>
          <w:numId w:val="2"/>
        </w:numPr>
        <w:overflowPunct w:val="0"/>
        <w:rPr>
          <w:rFonts w:hint="eastAsia" w:ascii="宋体" w:hAnsi="宋体" w:eastAsia="宋体" w:cs="宋体"/>
          <w:color w:val="auto"/>
          <w:szCs w:val="21"/>
        </w:rPr>
      </w:pPr>
      <w:r>
        <w:rPr>
          <w:rFonts w:hint="eastAsia" w:ascii="宋体" w:hAnsi="宋体" w:eastAsia="宋体" w:cs="宋体"/>
          <w:color w:val="auto"/>
          <w:szCs w:val="21"/>
        </w:rPr>
        <w:t>本采购文件是根据国家有关法律、法规以及采购管理有关规定和参照国际惯例编制，解释权属本采购代理机构。</w:t>
      </w:r>
    </w:p>
    <w:p w14:paraId="5700F2B4">
      <w:pPr>
        <w:widowControl w:val="0"/>
        <w:numPr>
          <w:ilvl w:val="1"/>
          <w:numId w:val="6"/>
        </w:numPr>
        <w:tabs>
          <w:tab w:val="left" w:pos="907"/>
        </w:tabs>
        <w:adjustRightInd/>
        <w:snapToGrid/>
        <w:spacing w:line="360" w:lineRule="exact"/>
        <w:jc w:val="both"/>
        <w:rPr>
          <w:rFonts w:hint="eastAsia" w:ascii="宋体" w:hAnsi="宋体" w:eastAsia="宋体" w:cs="宋体"/>
          <w:color w:val="auto"/>
          <w:szCs w:val="21"/>
        </w:rPr>
      </w:pPr>
      <w:r>
        <w:rPr>
          <w:rFonts w:hint="eastAsia" w:ascii="宋体" w:hAnsi="宋体" w:eastAsia="宋体" w:cs="宋体"/>
          <w:color w:val="auto"/>
          <w:szCs w:val="21"/>
        </w:rPr>
        <w:br w:type="page"/>
      </w:r>
    </w:p>
    <w:p w14:paraId="5A6BC565">
      <w:pPr>
        <w:pStyle w:val="3"/>
        <w:spacing w:before="0" w:after="0" w:line="240" w:lineRule="auto"/>
        <w:rPr>
          <w:rFonts w:hint="eastAsia" w:ascii="宋体" w:hAnsi="宋体" w:eastAsia="宋体" w:cs="宋体"/>
          <w:color w:val="auto"/>
          <w:sz w:val="28"/>
          <w:szCs w:val="28"/>
        </w:rPr>
      </w:pPr>
      <w:bookmarkStart w:id="133" w:name="_Toc17716"/>
      <w:r>
        <w:rPr>
          <w:rFonts w:hint="eastAsia" w:ascii="宋体" w:hAnsi="宋体" w:eastAsia="宋体" w:cs="宋体"/>
          <w:color w:val="auto"/>
          <w:sz w:val="28"/>
          <w:szCs w:val="28"/>
        </w:rPr>
        <w:t>第五部分  合同条款格式</w:t>
      </w:r>
      <w:bookmarkEnd w:id="133"/>
      <w:bookmarkStart w:id="134" w:name="_Toc15636"/>
    </w:p>
    <w:bookmarkEnd w:id="134"/>
    <w:p w14:paraId="7380A402">
      <w:pPr>
        <w:rPr>
          <w:rFonts w:hint="eastAsia" w:ascii="宋体" w:hAnsi="宋体" w:eastAsia="宋体" w:cs="宋体"/>
          <w:color w:val="auto"/>
          <w:lang w:bidi="zh-CN"/>
        </w:rPr>
      </w:pPr>
      <w:bookmarkStart w:id="135" w:name="_Hlt109815959"/>
      <w:bookmarkEnd w:id="135"/>
    </w:p>
    <w:p w14:paraId="067A49E5">
      <w:pPr>
        <w:rPr>
          <w:rFonts w:hint="eastAsia" w:ascii="宋体" w:hAnsi="宋体" w:eastAsia="宋体" w:cs="宋体"/>
          <w:bCs/>
          <w:color w:val="auto"/>
          <w:sz w:val="22"/>
          <w:szCs w:val="20"/>
          <w:u w:val="single"/>
        </w:rPr>
      </w:pPr>
      <w:r>
        <w:rPr>
          <w:rFonts w:hint="eastAsia" w:ascii="宋体" w:hAnsi="宋体" w:eastAsia="宋体" w:cs="宋体"/>
          <w:bCs/>
          <w:color w:val="auto"/>
          <w:sz w:val="22"/>
          <w:szCs w:val="20"/>
        </w:rPr>
        <w:t>合同编号：</w:t>
      </w:r>
      <w:r>
        <w:rPr>
          <w:rFonts w:hint="eastAsia" w:ascii="宋体" w:hAnsi="宋体" w:eastAsia="宋体" w:cs="宋体"/>
          <w:bCs/>
          <w:color w:val="auto"/>
          <w:sz w:val="22"/>
          <w:szCs w:val="20"/>
          <w:u w:val="single"/>
          <w:lang w:val="en-US" w:eastAsia="zh-CN"/>
        </w:rPr>
        <w:t xml:space="preserve">      </w:t>
      </w:r>
      <w:r>
        <w:rPr>
          <w:rFonts w:hint="eastAsia" w:ascii="宋体" w:hAnsi="宋体" w:eastAsia="宋体" w:cs="宋体"/>
          <w:bCs/>
          <w:color w:val="auto"/>
          <w:sz w:val="22"/>
          <w:szCs w:val="20"/>
          <w:u w:val="single"/>
        </w:rPr>
        <w:t xml:space="preserve">            </w:t>
      </w:r>
    </w:p>
    <w:p w14:paraId="1C718FF7">
      <w:pPr>
        <w:spacing w:line="360" w:lineRule="auto"/>
        <w:ind w:left="-210" w:leftChars="-100"/>
        <w:jc w:val="center"/>
        <w:rPr>
          <w:rFonts w:hint="eastAsia" w:ascii="宋体" w:hAnsi="宋体" w:eastAsia="宋体" w:cs="宋体"/>
          <w:color w:val="auto"/>
        </w:rPr>
      </w:pPr>
    </w:p>
    <w:p w14:paraId="4BACABEE">
      <w:pPr>
        <w:spacing w:line="360" w:lineRule="auto"/>
        <w:ind w:left="-210" w:leftChars="-100"/>
        <w:jc w:val="center"/>
        <w:rPr>
          <w:rFonts w:hint="eastAsia" w:ascii="宋体" w:hAnsi="宋体" w:eastAsia="宋体" w:cs="宋体"/>
          <w:b/>
          <w:color w:val="auto"/>
          <w:sz w:val="40"/>
          <w:szCs w:val="32"/>
        </w:rPr>
      </w:pPr>
    </w:p>
    <w:p w14:paraId="3A4CA1F4">
      <w:pPr>
        <w:spacing w:line="360" w:lineRule="auto"/>
        <w:ind w:left="-210" w:leftChars="-100"/>
        <w:jc w:val="center"/>
        <w:rPr>
          <w:rFonts w:hint="eastAsia" w:ascii="宋体" w:hAnsi="宋体" w:eastAsia="宋体" w:cs="宋体"/>
          <w:b/>
          <w:color w:val="auto"/>
          <w:sz w:val="40"/>
          <w:szCs w:val="32"/>
        </w:rPr>
      </w:pPr>
    </w:p>
    <w:p w14:paraId="28EDD4F9">
      <w:pPr>
        <w:spacing w:line="360" w:lineRule="auto"/>
        <w:ind w:left="-210" w:leftChars="-100"/>
        <w:jc w:val="center"/>
        <w:rPr>
          <w:rFonts w:hint="eastAsia" w:ascii="宋体" w:hAnsi="宋体" w:eastAsia="宋体" w:cs="宋体"/>
          <w:b/>
          <w:color w:val="auto"/>
          <w:sz w:val="84"/>
          <w:szCs w:val="84"/>
        </w:rPr>
      </w:pPr>
      <w:r>
        <w:rPr>
          <w:rFonts w:hint="eastAsia" w:ascii="宋体" w:hAnsi="宋体" w:eastAsia="宋体" w:cs="宋体"/>
          <w:b/>
          <w:color w:val="auto"/>
          <w:sz w:val="40"/>
          <w:szCs w:val="32"/>
        </w:rPr>
        <w:t>2026年东莞市安居建设投资有限公司莞寓2.0系统功能开发项目合同</w:t>
      </w:r>
    </w:p>
    <w:p w14:paraId="47102B4C">
      <w:pPr>
        <w:rPr>
          <w:rFonts w:hint="eastAsia" w:ascii="宋体" w:hAnsi="宋体" w:eastAsia="宋体" w:cs="宋体"/>
          <w:color w:val="auto"/>
        </w:rPr>
      </w:pPr>
    </w:p>
    <w:p w14:paraId="5259F074">
      <w:pPr>
        <w:rPr>
          <w:rFonts w:hint="eastAsia" w:ascii="宋体" w:hAnsi="宋体" w:eastAsia="宋体" w:cs="宋体"/>
          <w:color w:val="auto"/>
        </w:rPr>
      </w:pPr>
    </w:p>
    <w:p w14:paraId="5F6A76EB">
      <w:pPr>
        <w:rPr>
          <w:rFonts w:hint="eastAsia" w:ascii="宋体" w:hAnsi="宋体" w:eastAsia="宋体" w:cs="宋体"/>
          <w:color w:val="auto"/>
        </w:rPr>
      </w:pPr>
    </w:p>
    <w:p w14:paraId="1260FAFA">
      <w:pPr>
        <w:rPr>
          <w:rFonts w:hint="eastAsia" w:ascii="宋体" w:hAnsi="宋体" w:eastAsia="宋体" w:cs="宋体"/>
          <w:color w:val="auto"/>
        </w:rPr>
      </w:pPr>
    </w:p>
    <w:p w14:paraId="2D8907FC">
      <w:pPr>
        <w:rPr>
          <w:rFonts w:hint="eastAsia" w:ascii="宋体" w:hAnsi="宋体" w:eastAsia="宋体" w:cs="宋体"/>
          <w:color w:val="auto"/>
        </w:rPr>
      </w:pPr>
    </w:p>
    <w:p w14:paraId="7D042D1A">
      <w:pPr>
        <w:pStyle w:val="74"/>
        <w:spacing w:line="360" w:lineRule="auto"/>
        <w:rPr>
          <w:rFonts w:hint="eastAsia" w:ascii="宋体" w:hAnsi="宋体" w:eastAsia="宋体" w:cs="宋体"/>
          <w:color w:val="auto"/>
        </w:rPr>
      </w:pPr>
    </w:p>
    <w:p w14:paraId="2443477E">
      <w:pPr>
        <w:pStyle w:val="74"/>
        <w:spacing w:line="360" w:lineRule="auto"/>
        <w:ind w:firstLine="420" w:firstLineChars="200"/>
        <w:rPr>
          <w:rFonts w:hint="eastAsia" w:ascii="宋体" w:hAnsi="宋体" w:eastAsia="宋体" w:cs="宋体"/>
          <w:bCs/>
          <w:color w:val="auto"/>
        </w:rPr>
      </w:pPr>
    </w:p>
    <w:p w14:paraId="441A68CB">
      <w:pPr>
        <w:spacing w:line="360" w:lineRule="auto"/>
        <w:ind w:left="2394" w:leftChars="426" w:hanging="1500" w:hangingChars="500"/>
        <w:jc w:val="both"/>
        <w:rPr>
          <w:rFonts w:hint="eastAsia" w:ascii="宋体" w:hAnsi="宋体" w:eastAsia="宋体" w:cs="宋体"/>
          <w:b/>
          <w:color w:val="auto"/>
          <w:sz w:val="30"/>
          <w:szCs w:val="30"/>
        </w:rPr>
      </w:pPr>
    </w:p>
    <w:p w14:paraId="4432FA2E">
      <w:pPr>
        <w:spacing w:line="360" w:lineRule="auto"/>
        <w:ind w:left="2394" w:leftChars="426" w:hanging="1500" w:hangingChars="500"/>
        <w:jc w:val="both"/>
        <w:rPr>
          <w:rFonts w:hint="eastAsia" w:ascii="宋体" w:hAnsi="宋体" w:eastAsia="宋体" w:cs="宋体"/>
          <w:b/>
          <w:color w:val="auto"/>
          <w:sz w:val="30"/>
          <w:szCs w:val="30"/>
        </w:rPr>
      </w:pPr>
    </w:p>
    <w:p w14:paraId="72B486A8">
      <w:pPr>
        <w:spacing w:line="360" w:lineRule="auto"/>
        <w:ind w:left="2394" w:leftChars="426" w:hanging="1500" w:hangingChars="500"/>
        <w:jc w:val="both"/>
        <w:rPr>
          <w:rFonts w:hint="eastAsia" w:ascii="宋体" w:hAnsi="宋体" w:eastAsia="宋体" w:cs="宋体"/>
          <w:b/>
          <w:color w:val="auto"/>
          <w:sz w:val="30"/>
          <w:szCs w:val="30"/>
        </w:rPr>
      </w:pPr>
    </w:p>
    <w:p w14:paraId="129ED3F8">
      <w:pPr>
        <w:spacing w:line="360" w:lineRule="auto"/>
        <w:ind w:left="2394" w:leftChars="426" w:hanging="1500" w:hangingChars="500"/>
        <w:jc w:val="both"/>
        <w:rPr>
          <w:rFonts w:hint="eastAsia" w:ascii="宋体" w:hAnsi="宋体" w:eastAsia="宋体" w:cs="宋体"/>
          <w:b/>
          <w:color w:val="auto"/>
          <w:sz w:val="30"/>
          <w:szCs w:val="30"/>
        </w:rPr>
      </w:pPr>
    </w:p>
    <w:p w14:paraId="7C42D7A7">
      <w:pPr>
        <w:spacing w:line="360" w:lineRule="auto"/>
        <w:ind w:firstLine="280" w:firstLineChars="100"/>
        <w:jc w:val="center"/>
        <w:rPr>
          <w:rFonts w:hint="eastAsia" w:ascii="宋体" w:hAnsi="宋体" w:eastAsia="宋体" w:cs="宋体"/>
          <w:b/>
          <w:color w:val="auto"/>
          <w:sz w:val="28"/>
          <w:szCs w:val="28"/>
        </w:rPr>
      </w:pPr>
      <w:r>
        <w:rPr>
          <w:rFonts w:hint="eastAsia" w:ascii="宋体" w:hAnsi="宋体" w:eastAsia="宋体" w:cs="宋体"/>
          <w:b/>
          <w:color w:val="auto"/>
          <w:sz w:val="28"/>
          <w:szCs w:val="28"/>
          <w:lang w:val="en-US" w:eastAsia="zh-CN"/>
        </w:rPr>
        <w:t xml:space="preserve">   </w:t>
      </w:r>
      <w:r>
        <w:rPr>
          <w:rFonts w:hint="eastAsia" w:ascii="宋体" w:hAnsi="宋体" w:eastAsia="宋体" w:cs="宋体"/>
          <w:b/>
          <w:color w:val="auto"/>
          <w:sz w:val="28"/>
          <w:szCs w:val="28"/>
        </w:rPr>
        <w:t>项目名称：2026年东莞市安居建设投资有限公司莞寓2.0系统功能开发项目</w:t>
      </w:r>
    </w:p>
    <w:p w14:paraId="6DA4D408">
      <w:pPr>
        <w:spacing w:line="360" w:lineRule="auto"/>
        <w:ind w:firstLine="840" w:firstLineChars="300"/>
        <w:textAlignment w:val="baseline"/>
        <w:rPr>
          <w:rFonts w:hint="eastAsia" w:ascii="宋体" w:hAnsi="宋体" w:eastAsia="宋体" w:cs="宋体"/>
          <w:b/>
          <w:color w:val="auto"/>
          <w:sz w:val="28"/>
          <w:szCs w:val="28"/>
          <w:u w:val="single"/>
        </w:rPr>
      </w:pPr>
      <w:r>
        <w:rPr>
          <w:rFonts w:hint="eastAsia" w:ascii="宋体" w:hAnsi="宋体" w:eastAsia="宋体" w:cs="宋体"/>
          <w:b/>
          <w:color w:val="auto"/>
          <w:sz w:val="28"/>
          <w:szCs w:val="28"/>
        </w:rPr>
        <w:t>甲方（全称）：</w:t>
      </w:r>
      <w:r>
        <w:rPr>
          <w:rFonts w:hint="eastAsia" w:ascii="宋体" w:hAnsi="宋体" w:eastAsia="宋体" w:cs="宋体"/>
          <w:b/>
          <w:color w:val="auto"/>
          <w:sz w:val="28"/>
          <w:szCs w:val="28"/>
          <w:u w:val="single" w:color="000000"/>
        </w:rPr>
        <w:t xml:space="preserve">东莞市安居建设投资有限公司 </w:t>
      </w:r>
    </w:p>
    <w:p w14:paraId="67673409">
      <w:pPr>
        <w:spacing w:line="360" w:lineRule="auto"/>
        <w:ind w:firstLine="840" w:firstLineChars="300"/>
        <w:rPr>
          <w:rFonts w:hint="eastAsia" w:ascii="宋体" w:hAnsi="宋体" w:eastAsia="宋体" w:cs="宋体"/>
          <w:b/>
          <w:color w:val="auto"/>
          <w:sz w:val="30"/>
          <w:szCs w:val="30"/>
          <w:u w:val="single" w:color="000000"/>
        </w:rPr>
      </w:pPr>
      <w:r>
        <w:rPr>
          <w:rFonts w:hint="eastAsia" w:ascii="宋体" w:hAnsi="宋体" w:eastAsia="宋体" w:cs="宋体"/>
          <w:b/>
          <w:color w:val="auto"/>
          <w:sz w:val="28"/>
          <w:szCs w:val="28"/>
        </w:rPr>
        <w:t>乙方（全称）：</w:t>
      </w:r>
      <w:r>
        <w:rPr>
          <w:rFonts w:hint="eastAsia" w:ascii="宋体" w:hAnsi="宋体" w:eastAsia="宋体" w:cs="宋体"/>
          <w:b/>
          <w:color w:val="auto"/>
          <w:sz w:val="28"/>
          <w:szCs w:val="28"/>
          <w:u w:val="single" w:color="000000"/>
        </w:rPr>
        <w:t xml:space="preserve">    </w:t>
      </w:r>
      <w:r>
        <w:rPr>
          <w:rFonts w:hint="eastAsia" w:ascii="宋体" w:hAnsi="宋体" w:eastAsia="宋体" w:cs="宋体"/>
          <w:b/>
          <w:color w:val="auto"/>
          <w:sz w:val="30"/>
          <w:szCs w:val="30"/>
          <w:u w:val="single" w:color="000000"/>
        </w:rPr>
        <w:t xml:space="preserve">   </w:t>
      </w:r>
      <w:r>
        <w:rPr>
          <w:rFonts w:hint="eastAsia" w:ascii="宋体" w:hAnsi="宋体" w:eastAsia="宋体" w:cs="宋体"/>
          <w:b/>
          <w:color w:val="auto"/>
          <w:sz w:val="30"/>
          <w:szCs w:val="30"/>
          <w:u w:val="single" w:color="000000"/>
          <w:lang w:val="en-US" w:eastAsia="zh-CN"/>
        </w:rPr>
        <w:t xml:space="preserve">                </w:t>
      </w:r>
      <w:r>
        <w:rPr>
          <w:rFonts w:hint="eastAsia" w:ascii="宋体" w:hAnsi="宋体" w:eastAsia="宋体" w:cs="宋体"/>
          <w:b/>
          <w:color w:val="auto"/>
          <w:sz w:val="30"/>
          <w:szCs w:val="30"/>
          <w:u w:val="single" w:color="000000"/>
        </w:rPr>
        <w:t xml:space="preserve">  </w:t>
      </w:r>
    </w:p>
    <w:p w14:paraId="464B707A">
      <w:pPr>
        <w:rPr>
          <w:rFonts w:hint="eastAsia" w:ascii="宋体" w:hAnsi="宋体" w:eastAsia="宋体" w:cs="宋体"/>
          <w:color w:val="auto"/>
          <w:lang w:bidi="zh-CN"/>
        </w:rPr>
      </w:pPr>
      <w:r>
        <w:rPr>
          <w:rFonts w:hint="eastAsia" w:ascii="宋体" w:hAnsi="宋体" w:eastAsia="宋体" w:cs="宋体"/>
          <w:color w:val="auto"/>
          <w:lang w:bidi="zh-CN"/>
        </w:rPr>
        <w:br w:type="page"/>
      </w:r>
    </w:p>
    <w:p w14:paraId="6A42E5FB">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 xml:space="preserve">甲   方： </w:t>
      </w:r>
    </w:p>
    <w:p w14:paraId="237DCD44">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统一社会信用代码：</w:t>
      </w:r>
    </w:p>
    <w:p w14:paraId="2C385F94">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 xml:space="preserve">法定代表人： </w:t>
      </w:r>
    </w:p>
    <w:p w14:paraId="09B77B3F">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 xml:space="preserve">地   址： </w:t>
      </w:r>
    </w:p>
    <w:p w14:paraId="5EFFE87E">
      <w:pPr>
        <w:snapToGrid w:val="0"/>
        <w:spacing w:line="348" w:lineRule="auto"/>
        <w:rPr>
          <w:rFonts w:hint="eastAsia" w:ascii="宋体" w:hAnsi="宋体" w:eastAsia="宋体" w:cs="宋体"/>
          <w:bCs/>
          <w:color w:val="auto"/>
          <w:sz w:val="21"/>
          <w:szCs w:val="21"/>
          <w:lang w:val="zh-CN"/>
        </w:rPr>
      </w:pPr>
    </w:p>
    <w:p w14:paraId="1A8703FD">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 xml:space="preserve">乙    方： </w:t>
      </w:r>
    </w:p>
    <w:p w14:paraId="48B0CF0F">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统一社会信用代码：</w:t>
      </w:r>
    </w:p>
    <w:p w14:paraId="42045D99">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 xml:space="preserve">法定代表人： </w:t>
      </w:r>
    </w:p>
    <w:p w14:paraId="3C8786AE">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 xml:space="preserve">地   址： </w:t>
      </w:r>
    </w:p>
    <w:p w14:paraId="77F23DB4">
      <w:pPr>
        <w:snapToGrid w:val="0"/>
        <w:spacing w:line="348" w:lineRule="auto"/>
        <w:ind w:firstLine="420" w:firstLineChars="200"/>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根据《中华人民共和国民法典》等相关法律法规，甲乙双方在平等、自愿、公平和诚实信用的基础上，按照采购文件确定的事项签订本合同。</w:t>
      </w:r>
    </w:p>
    <w:p w14:paraId="23361FD3">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第一部分 合同书</w:t>
      </w:r>
    </w:p>
    <w:p w14:paraId="6E6F97D3">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第一条 项目概况</w:t>
      </w:r>
    </w:p>
    <w:p w14:paraId="4A206001">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1.1 项目名称： </w:t>
      </w:r>
    </w:p>
    <w:p w14:paraId="570FE4FF">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1.2 项目编号： </w:t>
      </w:r>
    </w:p>
    <w:p w14:paraId="17D0F44A">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1.3 项目背景：甲方现有莞寓系统（含“莞寓+”微信小程序及智慧安居2.0后台管理系统）在运营过程中产生多项功能优化需求。乙方基于甲方现有系统源代码进行二次开发，完成11项功能模块优化及1个经营数据驾驶舱的建设。</w:t>
      </w:r>
    </w:p>
    <w:p w14:paraId="463872B4">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1.4 实施依据：本合同实施依据包括但不限于以下文件（如文件内容存在不一致，以本合同约定为准，本合同未约定或约定不明的，以优先级顺序在先者为准）：</w:t>
      </w:r>
    </w:p>
    <w:p w14:paraId="235EC019">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（1）本合同及其补充合同、变更协议；</w:t>
      </w:r>
    </w:p>
    <w:p w14:paraId="5ACD6261">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（2）中标（成交）通知书；</w:t>
      </w:r>
    </w:p>
    <w:p w14:paraId="0F287BC0">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（3）乙方投标（响应）文件（含澄清或者说明文件）；</w:t>
      </w:r>
    </w:p>
    <w:p w14:paraId="32886A27">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（4）招标（采购）文件（含澄清或者修改文件）；</w:t>
      </w:r>
    </w:p>
    <w:p w14:paraId="302847D5">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（5）《系统功能优化收集表》；</w:t>
      </w:r>
    </w:p>
    <w:p w14:paraId="7E954997">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（6）双方确认的《业务需求说明书》及交互原型设计文件。</w:t>
      </w:r>
    </w:p>
    <w:p w14:paraId="40351CC4">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1.5 实施方式：本项目基于甲方现有系统源代码进行二次开发。乙方负责遗留代码梳理、开发/测试/生产三套环境搭建、功能开发、全量测试、上线部署、操作培训及全套源码交付。</w:t>
      </w:r>
    </w:p>
    <w:p w14:paraId="6A7EBF5C">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1.6 人员配置：乙方投入项目人员配置如下：</w:t>
      </w:r>
    </w:p>
    <w:tbl>
      <w:tblPr>
        <w:tblStyle w:val="35"/>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992"/>
        <w:gridCol w:w="5324"/>
      </w:tblGrid>
      <w:tr w14:paraId="22C16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0B9DAF05">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角色</w:t>
            </w:r>
          </w:p>
        </w:tc>
        <w:tc>
          <w:tcPr>
            <w:tcW w:w="992" w:type="dxa"/>
            <w:vAlign w:val="center"/>
          </w:tcPr>
          <w:p w14:paraId="3B501BF2">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人数</w:t>
            </w:r>
          </w:p>
        </w:tc>
        <w:tc>
          <w:tcPr>
            <w:tcW w:w="5324" w:type="dxa"/>
            <w:vAlign w:val="center"/>
          </w:tcPr>
          <w:p w14:paraId="0B4CF78C">
            <w:pPr>
              <w:pStyle w:val="33"/>
              <w:ind w:left="0" w:leftChars="0" w:firstLine="0" w:firstLineChars="0"/>
              <w:jc w:val="center"/>
              <w:rPr>
                <w:rFonts w:hint="eastAsia" w:ascii="宋体" w:hAnsi="宋体" w:eastAsia="宋体" w:cs="宋体"/>
                <w:color w:val="auto"/>
                <w:lang w:val="en-US" w:eastAsia="zh-CN"/>
              </w:rPr>
            </w:pPr>
            <w:r>
              <w:rPr>
                <w:rFonts w:hint="eastAsia" w:ascii="宋体" w:hAnsi="宋体" w:eastAsia="宋体" w:cs="宋体"/>
                <w:bCs/>
                <w:color w:val="auto"/>
                <w:sz w:val="21"/>
                <w:szCs w:val="21"/>
                <w:lang w:val="zh-CN"/>
              </w:rPr>
              <w:t>资质</w:t>
            </w:r>
          </w:p>
        </w:tc>
      </w:tr>
      <w:tr w14:paraId="7724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709F7DA9">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项目经理</w:t>
            </w:r>
          </w:p>
        </w:tc>
        <w:tc>
          <w:tcPr>
            <w:tcW w:w="992" w:type="dxa"/>
            <w:vAlign w:val="center"/>
          </w:tcPr>
          <w:p w14:paraId="31A4C092">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1名</w:t>
            </w:r>
          </w:p>
        </w:tc>
        <w:tc>
          <w:tcPr>
            <w:tcW w:w="5324" w:type="dxa"/>
            <w:vAlign w:val="center"/>
          </w:tcPr>
          <w:p w14:paraId="187C6467">
            <w:pPr>
              <w:pStyle w:val="33"/>
              <w:ind w:left="0" w:leftChars="0" w:firstLine="0" w:firstLineChars="0"/>
              <w:jc w:val="center"/>
              <w:rPr>
                <w:rFonts w:hint="eastAsia" w:ascii="宋体" w:hAnsi="宋体" w:eastAsia="宋体" w:cs="宋体"/>
                <w:color w:val="auto"/>
                <w:lang w:val="zh-CN"/>
              </w:rPr>
            </w:pPr>
          </w:p>
        </w:tc>
      </w:tr>
      <w:tr w14:paraId="2F34F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4EA40D56">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技术负责人</w:t>
            </w:r>
          </w:p>
        </w:tc>
        <w:tc>
          <w:tcPr>
            <w:tcW w:w="992" w:type="dxa"/>
            <w:vAlign w:val="center"/>
          </w:tcPr>
          <w:p w14:paraId="06A06D3E">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1名</w:t>
            </w:r>
          </w:p>
        </w:tc>
        <w:tc>
          <w:tcPr>
            <w:tcW w:w="5324" w:type="dxa"/>
            <w:vAlign w:val="center"/>
          </w:tcPr>
          <w:p w14:paraId="538BA48F">
            <w:pPr>
              <w:pStyle w:val="33"/>
              <w:ind w:left="0" w:leftChars="0" w:firstLine="0" w:firstLineChars="0"/>
              <w:jc w:val="center"/>
              <w:rPr>
                <w:rFonts w:hint="eastAsia" w:ascii="宋体" w:hAnsi="宋体" w:eastAsia="宋体" w:cs="宋体"/>
                <w:color w:val="auto"/>
                <w:lang w:val="zh-CN"/>
              </w:rPr>
            </w:pPr>
          </w:p>
        </w:tc>
      </w:tr>
      <w:tr w14:paraId="0AC80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1DB1FA16">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后端开发工程师</w:t>
            </w:r>
          </w:p>
        </w:tc>
        <w:tc>
          <w:tcPr>
            <w:tcW w:w="992" w:type="dxa"/>
            <w:vAlign w:val="center"/>
          </w:tcPr>
          <w:p w14:paraId="4FD3E34D">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2名</w:t>
            </w:r>
          </w:p>
        </w:tc>
        <w:tc>
          <w:tcPr>
            <w:tcW w:w="5324" w:type="dxa"/>
            <w:vAlign w:val="center"/>
          </w:tcPr>
          <w:p w14:paraId="0EC3DB7D">
            <w:pPr>
              <w:pStyle w:val="33"/>
              <w:ind w:left="0" w:leftChars="0" w:firstLine="0" w:firstLineChars="0"/>
              <w:jc w:val="center"/>
              <w:rPr>
                <w:rFonts w:hint="eastAsia" w:ascii="宋体" w:hAnsi="宋体" w:eastAsia="宋体" w:cs="宋体"/>
                <w:color w:val="auto"/>
                <w:lang w:val="zh-CN"/>
              </w:rPr>
            </w:pPr>
          </w:p>
        </w:tc>
      </w:tr>
      <w:tr w14:paraId="7256A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37D0A334">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前端开发工程师</w:t>
            </w:r>
          </w:p>
        </w:tc>
        <w:tc>
          <w:tcPr>
            <w:tcW w:w="992" w:type="dxa"/>
            <w:vAlign w:val="center"/>
          </w:tcPr>
          <w:p w14:paraId="5A11D37C">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1名</w:t>
            </w:r>
          </w:p>
        </w:tc>
        <w:tc>
          <w:tcPr>
            <w:tcW w:w="5324" w:type="dxa"/>
            <w:vAlign w:val="center"/>
          </w:tcPr>
          <w:p w14:paraId="78EB34D4">
            <w:pPr>
              <w:pStyle w:val="33"/>
              <w:ind w:left="0" w:leftChars="0" w:firstLine="0" w:firstLineChars="0"/>
              <w:jc w:val="center"/>
              <w:rPr>
                <w:rFonts w:hint="eastAsia" w:ascii="宋体" w:hAnsi="宋体" w:eastAsia="宋体" w:cs="宋体"/>
                <w:color w:val="auto"/>
                <w:lang w:val="zh-CN"/>
              </w:rPr>
            </w:pPr>
          </w:p>
        </w:tc>
      </w:tr>
      <w:tr w14:paraId="34E8A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00872807">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专职测试工程师</w:t>
            </w:r>
          </w:p>
        </w:tc>
        <w:tc>
          <w:tcPr>
            <w:tcW w:w="992" w:type="dxa"/>
            <w:vAlign w:val="center"/>
          </w:tcPr>
          <w:p w14:paraId="5C1744B8">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1名</w:t>
            </w:r>
          </w:p>
        </w:tc>
        <w:tc>
          <w:tcPr>
            <w:tcW w:w="5324" w:type="dxa"/>
            <w:vAlign w:val="center"/>
          </w:tcPr>
          <w:p w14:paraId="03B43F2F">
            <w:pPr>
              <w:pStyle w:val="33"/>
              <w:ind w:left="0" w:leftChars="0" w:firstLine="0" w:firstLineChars="0"/>
              <w:jc w:val="center"/>
              <w:rPr>
                <w:rFonts w:hint="eastAsia" w:ascii="宋体" w:hAnsi="宋体" w:eastAsia="宋体" w:cs="宋体"/>
                <w:color w:val="auto"/>
                <w:lang w:val="zh-CN"/>
              </w:rPr>
            </w:pPr>
          </w:p>
        </w:tc>
      </w:tr>
    </w:tbl>
    <w:p w14:paraId="3B873500">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上述人员须全程参与本项目，未经甲方书面同意不得更换。</w:t>
      </w:r>
    </w:p>
    <w:p w14:paraId="4D091E10">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第二条 服务内容与范围</w:t>
      </w:r>
    </w:p>
    <w:p w14:paraId="71D321AD">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2.1 开发范围：本项目开发范围涵盖以下11项功能模块及1个经营数据驾驶舱（具体功能需求详见附件1《功能需求详细说明》）：</w:t>
      </w:r>
    </w:p>
    <w:p w14:paraId="6FFE5700">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（1）电子开票模块；</w:t>
      </w:r>
    </w:p>
    <w:p w14:paraId="7A171315">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（2）退租退押流程优化；</w:t>
      </w:r>
    </w:p>
    <w:p w14:paraId="64A7DBFD">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（3）续租统计模块；</w:t>
      </w:r>
    </w:p>
    <w:p w14:paraId="607370FF">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（4）续租账单出账逻辑修复；</w:t>
      </w:r>
    </w:p>
    <w:p w14:paraId="175BA31B">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（5）房间管理租金对比导出；</w:t>
      </w:r>
    </w:p>
    <w:p w14:paraId="07ABC1E0">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（6）新签合同管理费减免配置；</w:t>
      </w:r>
    </w:p>
    <w:p w14:paraId="2DA20064">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（7）企业商铺一键出账单；</w:t>
      </w:r>
    </w:p>
    <w:p w14:paraId="03262CCF">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（8）实收账单导出格式适配；</w:t>
      </w:r>
    </w:p>
    <w:p w14:paraId="70352065">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（9）小程序全场景消息推送引擎；</w:t>
      </w:r>
    </w:p>
    <w:p w14:paraId="505A0483">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（10）全页面筛选下拉多选改造；</w:t>
      </w:r>
    </w:p>
    <w:p w14:paraId="4BBFF032">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（11）经营数据驾驶舱可视化看板。</w:t>
      </w:r>
    </w:p>
    <w:p w14:paraId="1D6E7BDE">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2.2 乙方工作内容：</w:t>
      </w:r>
    </w:p>
    <w:p w14:paraId="4C403351">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（1）研读甲方遗留代码、梳理数据库结构、盘点历史BUG；</w:t>
      </w:r>
    </w:p>
    <w:p w14:paraId="79213DDF">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（2）搭建开发环境、测试环境、生产环境；</w:t>
      </w:r>
    </w:p>
    <w:p w14:paraId="0837C53F">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（3）完成上述11项功能模块及数据驾驶舱的开发、单元测试及集成测试；</w:t>
      </w:r>
    </w:p>
    <w:p w14:paraId="57849946">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（4）配合甲方完成UAT用户验收测试；</w:t>
      </w:r>
    </w:p>
    <w:p w14:paraId="2EA0ACD0">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（5）完成生产环境部署及数据迁移；</w:t>
      </w:r>
    </w:p>
    <w:p w14:paraId="12A4B676">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（6）配合甲方完成30天双轨试运行及数据核对；</w:t>
      </w:r>
    </w:p>
    <w:p w14:paraId="031DB694">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（7）完成正式切换及旧系统归档；</w:t>
      </w:r>
    </w:p>
    <w:p w14:paraId="5118D0D7">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（8）提供5天现场/远程操作培训；</w:t>
      </w:r>
    </w:p>
    <w:p w14:paraId="3292B4FD">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（9）交付全套项目成果物。</w:t>
      </w:r>
    </w:p>
    <w:p w14:paraId="4136105F">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2.3 甲方配合义务：</w:t>
      </w:r>
    </w:p>
    <w:p w14:paraId="53EEECBA">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（1）合同签订后</w:t>
      </w:r>
      <w:r>
        <w:rPr>
          <w:rFonts w:hint="eastAsia" w:ascii="宋体" w:hAnsi="宋体" w:eastAsia="宋体" w:cs="宋体"/>
          <w:bCs/>
          <w:color w:val="auto"/>
          <w:sz w:val="21"/>
          <w:szCs w:val="21"/>
          <w:u w:val="single"/>
          <w:lang w:val="zh-CN"/>
        </w:rPr>
        <w:t>3日内</w:t>
      </w:r>
      <w:r>
        <w:rPr>
          <w:rFonts w:hint="eastAsia" w:ascii="宋体" w:hAnsi="宋体" w:eastAsia="宋体" w:cs="宋体"/>
          <w:bCs/>
          <w:color w:val="auto"/>
          <w:sz w:val="21"/>
          <w:szCs w:val="21"/>
          <w:lang w:val="zh-CN"/>
        </w:rPr>
        <w:t>提供完整现有系统源代码、数据库说明、纸质报表模板、业务操作文档；</w:t>
      </w:r>
    </w:p>
    <w:p w14:paraId="6350AD64">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（2）开放甲方自有生产服务器远程访问权限、数据库账号，配合乙方完成环境部署与数据迁移；</w:t>
      </w:r>
    </w:p>
    <w:p w14:paraId="37A800E2">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（3）安排租用线上测试服务器（两台8核32G 300G硬盘云主机，首年费用2.4万元由甲方承担）；</w:t>
      </w:r>
    </w:p>
    <w:p w14:paraId="0D7292B8">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（4）安排业务对接人及时参与需求评审、原型确认、UAT验收、问题答疑；</w:t>
      </w:r>
    </w:p>
    <w:p w14:paraId="062AC7F9">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（5）提供本项目所有云端环境相关账号、密码及第三方平台账号、密码、密钥等；</w:t>
      </w:r>
    </w:p>
    <w:p w14:paraId="521EEAC5">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（6）承担服务器硬件、带宽、微信认证、电子签章等第三方平台付费成本。</w:t>
      </w:r>
    </w:p>
    <w:p w14:paraId="072174BE">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第三条 合同价款与分项报价</w:t>
      </w:r>
    </w:p>
    <w:p w14:paraId="5157CBEB">
      <w:pPr>
        <w:snapToGrid w:val="0"/>
        <w:spacing w:line="348" w:lineRule="auto"/>
        <w:rPr>
          <w:rFonts w:hint="eastAsia" w:ascii="宋体" w:hAnsi="宋体" w:eastAsia="宋体" w:cs="宋体"/>
          <w:b/>
          <w:color w:val="auto"/>
          <w:sz w:val="21"/>
          <w:szCs w:val="21"/>
          <w:lang w:val="zh-CN"/>
        </w:rPr>
      </w:pPr>
      <w:r>
        <w:rPr>
          <w:rFonts w:hint="eastAsia" w:ascii="宋体" w:hAnsi="宋体" w:eastAsia="宋体" w:cs="宋体"/>
          <w:bCs/>
          <w:color w:val="auto"/>
          <w:sz w:val="21"/>
          <w:szCs w:val="21"/>
          <w:lang w:val="zh-CN"/>
        </w:rPr>
        <w:t>3.1 合同总价：</w:t>
      </w:r>
      <w:r>
        <w:rPr>
          <w:rFonts w:hint="eastAsia" w:ascii="宋体" w:hAnsi="宋体" w:eastAsia="宋体" w:cs="宋体"/>
          <w:b/>
          <w:color w:val="auto"/>
          <w:sz w:val="21"/>
          <w:szCs w:val="21"/>
          <w:lang w:val="zh-CN"/>
        </w:rPr>
        <w:t xml:space="preserve"> </w:t>
      </w:r>
    </w:p>
    <w:p w14:paraId="29884317">
      <w:pPr>
        <w:snapToGrid w:val="0"/>
        <w:spacing w:line="348" w:lineRule="auto"/>
        <w:ind w:firstLine="420" w:firstLineChars="200"/>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本合同采用固定总价包干方式，合同含税总价款为</w:t>
      </w:r>
      <w:r>
        <w:rPr>
          <w:rFonts w:hint="eastAsia" w:ascii="宋体" w:hAnsi="宋体" w:eastAsia="宋体" w:cs="宋体"/>
          <w:bCs/>
          <w:color w:val="auto"/>
          <w:sz w:val="21"/>
          <w:szCs w:val="21"/>
          <w:u w:val="single"/>
          <w:lang w:val="zh-CN"/>
        </w:rPr>
        <w:t xml:space="preserve">                     </w:t>
      </w:r>
      <w:r>
        <w:rPr>
          <w:rFonts w:hint="eastAsia" w:ascii="宋体" w:hAnsi="宋体" w:eastAsia="宋体" w:cs="宋体"/>
          <w:bCs/>
          <w:color w:val="auto"/>
          <w:sz w:val="21"/>
          <w:szCs w:val="21"/>
          <w:lang w:val="zh-CN"/>
        </w:rPr>
        <w:t>元（大写人民币</w:t>
      </w:r>
      <w:r>
        <w:rPr>
          <w:rFonts w:hint="eastAsia" w:ascii="宋体" w:hAnsi="宋体" w:eastAsia="宋体" w:cs="宋体"/>
          <w:bCs/>
          <w:color w:val="auto"/>
          <w:sz w:val="21"/>
          <w:szCs w:val="21"/>
          <w:u w:val="single"/>
          <w:lang w:val="zh-CN"/>
        </w:rPr>
        <w:t xml:space="preserve">       </w:t>
      </w:r>
      <w:r>
        <w:rPr>
          <w:rFonts w:hint="eastAsia" w:ascii="宋体" w:hAnsi="宋体" w:eastAsia="宋体" w:cs="宋体"/>
          <w:bCs/>
          <w:color w:val="auto"/>
          <w:sz w:val="21"/>
          <w:szCs w:val="21"/>
          <w:lang w:val="zh-CN"/>
        </w:rPr>
        <w:t>）；其中：增值税税率：</w:t>
      </w:r>
      <w:r>
        <w:rPr>
          <w:rFonts w:hint="eastAsia" w:ascii="宋体" w:hAnsi="宋体" w:eastAsia="宋体" w:cs="宋体"/>
          <w:bCs/>
          <w:color w:val="auto"/>
          <w:sz w:val="21"/>
          <w:szCs w:val="21"/>
          <w:u w:val="single"/>
          <w:lang w:val="zh-CN"/>
        </w:rPr>
        <w:t xml:space="preserve">         </w:t>
      </w:r>
      <w:r>
        <w:rPr>
          <w:rFonts w:hint="eastAsia" w:ascii="宋体" w:hAnsi="宋体" w:eastAsia="宋体" w:cs="宋体"/>
          <w:bCs/>
          <w:color w:val="auto"/>
          <w:sz w:val="21"/>
          <w:szCs w:val="21"/>
          <w:lang w:val="zh-CN"/>
        </w:rPr>
        <w:t>%，税金金额</w:t>
      </w:r>
      <w:r>
        <w:rPr>
          <w:rFonts w:hint="eastAsia" w:ascii="宋体" w:hAnsi="宋体" w:eastAsia="宋体" w:cs="宋体"/>
          <w:bCs/>
          <w:color w:val="auto"/>
          <w:sz w:val="21"/>
          <w:szCs w:val="21"/>
          <w:u w:val="single"/>
          <w:lang w:val="zh-CN"/>
        </w:rPr>
        <w:t xml:space="preserve">      </w:t>
      </w:r>
      <w:r>
        <w:rPr>
          <w:rFonts w:hint="eastAsia" w:ascii="宋体" w:hAnsi="宋体" w:eastAsia="宋体" w:cs="宋体"/>
          <w:bCs/>
          <w:color w:val="auto"/>
          <w:sz w:val="21"/>
          <w:szCs w:val="21"/>
          <w:lang w:val="zh-CN"/>
        </w:rPr>
        <w:t>元，不含税合同总价款为</w:t>
      </w:r>
      <w:r>
        <w:rPr>
          <w:rFonts w:hint="eastAsia" w:ascii="宋体" w:hAnsi="宋体" w:eastAsia="宋体" w:cs="宋体"/>
          <w:bCs/>
          <w:color w:val="auto"/>
          <w:sz w:val="21"/>
          <w:szCs w:val="21"/>
          <w:u w:val="single"/>
          <w:lang w:val="zh-CN"/>
        </w:rPr>
        <w:t xml:space="preserve">      </w:t>
      </w:r>
      <w:r>
        <w:rPr>
          <w:rFonts w:hint="eastAsia" w:ascii="宋体" w:hAnsi="宋体" w:eastAsia="宋体" w:cs="宋体"/>
          <w:bCs/>
          <w:color w:val="auto"/>
          <w:sz w:val="21"/>
          <w:szCs w:val="21"/>
          <w:lang w:val="zh-CN"/>
        </w:rPr>
        <w:t>元。</w:t>
      </w:r>
      <w:r>
        <w:rPr>
          <w:rFonts w:hint="eastAsia" w:ascii="宋体" w:hAnsi="宋体" w:eastAsia="宋体" w:cs="宋体"/>
          <w:bCs/>
          <w:color w:val="auto"/>
          <w:sz w:val="21"/>
          <w:szCs w:val="21"/>
          <w:lang w:val="zh-CN"/>
        </w:rPr>
        <w:t>该价格为含税人民币价格，包含完成本项目全部工作内容所需的一切费用。</w:t>
      </w:r>
    </w:p>
    <w:p w14:paraId="6B828752">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3.2 分项报价：</w:t>
      </w:r>
    </w:p>
    <w:tbl>
      <w:tblPr>
        <w:tblStyle w:val="3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1392"/>
        <w:gridCol w:w="3123"/>
        <w:gridCol w:w="1544"/>
        <w:gridCol w:w="1598"/>
      </w:tblGrid>
      <w:tr w14:paraId="431F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Align w:val="center"/>
          </w:tcPr>
          <w:p w14:paraId="2307D836">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序号</w:t>
            </w:r>
          </w:p>
        </w:tc>
        <w:tc>
          <w:tcPr>
            <w:tcW w:w="1392" w:type="dxa"/>
            <w:vAlign w:val="center"/>
          </w:tcPr>
          <w:p w14:paraId="23F15FAF">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分项名称</w:t>
            </w:r>
          </w:p>
        </w:tc>
        <w:tc>
          <w:tcPr>
            <w:tcW w:w="3123" w:type="dxa"/>
            <w:vAlign w:val="center"/>
          </w:tcPr>
          <w:p w14:paraId="696A9FFE">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内容说明</w:t>
            </w:r>
          </w:p>
        </w:tc>
        <w:tc>
          <w:tcPr>
            <w:tcW w:w="1544" w:type="dxa"/>
            <w:vAlign w:val="center"/>
          </w:tcPr>
          <w:p w14:paraId="58AB8D2B">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金额（元）</w:t>
            </w:r>
          </w:p>
        </w:tc>
        <w:tc>
          <w:tcPr>
            <w:tcW w:w="1598" w:type="dxa"/>
          </w:tcPr>
          <w:p w14:paraId="34CD8D52">
            <w:pPr>
              <w:pStyle w:val="33"/>
              <w:ind w:left="0" w:leftChars="0" w:firstLine="0" w:firstLineChars="0"/>
              <w:rPr>
                <w:rFonts w:hint="eastAsia" w:ascii="宋体" w:hAnsi="宋体" w:eastAsia="宋体" w:cs="宋体"/>
                <w:color w:val="auto"/>
                <w:lang w:val="zh-CN"/>
              </w:rPr>
            </w:pPr>
            <w:r>
              <w:rPr>
                <w:rFonts w:hint="eastAsia" w:ascii="宋体" w:hAnsi="宋体" w:eastAsia="宋体" w:cs="宋体"/>
                <w:color w:val="auto"/>
                <w:lang w:val="zh-CN"/>
              </w:rPr>
              <w:t>备注</w:t>
            </w:r>
          </w:p>
        </w:tc>
      </w:tr>
      <w:tr w14:paraId="23E5F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Align w:val="center"/>
          </w:tcPr>
          <w:p w14:paraId="220BE5BB">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1</w:t>
            </w:r>
          </w:p>
        </w:tc>
        <w:tc>
          <w:tcPr>
            <w:tcW w:w="1392" w:type="dxa"/>
            <w:vAlign w:val="center"/>
          </w:tcPr>
          <w:p w14:paraId="4D1A3713">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软件开发费</w:t>
            </w:r>
          </w:p>
        </w:tc>
        <w:tc>
          <w:tcPr>
            <w:tcW w:w="3123" w:type="dxa"/>
            <w:vAlign w:val="center"/>
          </w:tcPr>
          <w:p w14:paraId="32394DD2">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11项功能模块及数据驾驶舱的设计、编码、单元测试</w:t>
            </w:r>
          </w:p>
        </w:tc>
        <w:tc>
          <w:tcPr>
            <w:tcW w:w="1544" w:type="dxa"/>
            <w:vAlign w:val="center"/>
          </w:tcPr>
          <w:p w14:paraId="30D00340">
            <w:pPr>
              <w:pStyle w:val="33"/>
              <w:ind w:left="0" w:leftChars="0" w:firstLine="0" w:firstLineChars="0"/>
              <w:rPr>
                <w:rFonts w:hint="eastAsia" w:ascii="宋体" w:hAnsi="宋体" w:eastAsia="宋体" w:cs="宋体"/>
                <w:color w:val="auto"/>
                <w:lang w:val="zh-CN"/>
              </w:rPr>
            </w:pPr>
          </w:p>
        </w:tc>
        <w:tc>
          <w:tcPr>
            <w:tcW w:w="1598" w:type="dxa"/>
          </w:tcPr>
          <w:p w14:paraId="2081D7A8">
            <w:pPr>
              <w:pStyle w:val="33"/>
              <w:ind w:left="0" w:leftChars="0" w:firstLine="0" w:firstLineChars="0"/>
              <w:rPr>
                <w:rFonts w:hint="eastAsia" w:ascii="宋体" w:hAnsi="宋体" w:eastAsia="宋体" w:cs="宋体"/>
                <w:color w:val="auto"/>
                <w:lang w:val="zh-CN"/>
              </w:rPr>
            </w:pPr>
          </w:p>
        </w:tc>
      </w:tr>
      <w:tr w14:paraId="3F43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Align w:val="center"/>
          </w:tcPr>
          <w:p w14:paraId="21F737CA">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2</w:t>
            </w:r>
          </w:p>
        </w:tc>
        <w:tc>
          <w:tcPr>
            <w:tcW w:w="1392" w:type="dxa"/>
            <w:vAlign w:val="center"/>
          </w:tcPr>
          <w:p w14:paraId="276C4681">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实施服务费</w:t>
            </w:r>
          </w:p>
        </w:tc>
        <w:tc>
          <w:tcPr>
            <w:tcW w:w="3123" w:type="dxa"/>
            <w:vAlign w:val="center"/>
          </w:tcPr>
          <w:p w14:paraId="0E59CB20">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环境搭建、部署、UAT配合、试运行支持、培训、文档交付</w:t>
            </w:r>
          </w:p>
        </w:tc>
        <w:tc>
          <w:tcPr>
            <w:tcW w:w="1544" w:type="dxa"/>
            <w:vAlign w:val="center"/>
          </w:tcPr>
          <w:p w14:paraId="19EE8A43">
            <w:pPr>
              <w:pStyle w:val="33"/>
              <w:ind w:left="0" w:leftChars="0" w:firstLine="0" w:firstLineChars="0"/>
              <w:rPr>
                <w:rFonts w:hint="eastAsia" w:ascii="宋体" w:hAnsi="宋体" w:eastAsia="宋体" w:cs="宋体"/>
                <w:color w:val="auto"/>
                <w:lang w:val="zh-CN"/>
              </w:rPr>
            </w:pPr>
          </w:p>
        </w:tc>
        <w:tc>
          <w:tcPr>
            <w:tcW w:w="1598" w:type="dxa"/>
          </w:tcPr>
          <w:p w14:paraId="64ED51EE">
            <w:pPr>
              <w:pStyle w:val="33"/>
              <w:ind w:left="0" w:leftChars="0" w:firstLine="0" w:firstLineChars="0"/>
              <w:rPr>
                <w:rFonts w:hint="eastAsia" w:ascii="宋体" w:hAnsi="宋体" w:eastAsia="宋体" w:cs="宋体"/>
                <w:color w:val="auto"/>
                <w:lang w:val="zh-CN"/>
              </w:rPr>
            </w:pPr>
          </w:p>
        </w:tc>
      </w:tr>
      <w:tr w14:paraId="40D4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Align w:val="center"/>
          </w:tcPr>
          <w:p w14:paraId="1E9BFAC4">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3</w:t>
            </w:r>
          </w:p>
        </w:tc>
        <w:tc>
          <w:tcPr>
            <w:tcW w:w="1392" w:type="dxa"/>
            <w:vAlign w:val="center"/>
          </w:tcPr>
          <w:p w14:paraId="138E4D0B">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项目管理费</w:t>
            </w:r>
          </w:p>
        </w:tc>
        <w:tc>
          <w:tcPr>
            <w:tcW w:w="3123" w:type="dxa"/>
            <w:vAlign w:val="center"/>
          </w:tcPr>
          <w:p w14:paraId="46B9D413">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项目管理、需求对接、质量保障</w:t>
            </w:r>
          </w:p>
        </w:tc>
        <w:tc>
          <w:tcPr>
            <w:tcW w:w="1544" w:type="dxa"/>
            <w:vAlign w:val="center"/>
          </w:tcPr>
          <w:p w14:paraId="0E781710">
            <w:pPr>
              <w:pStyle w:val="33"/>
              <w:ind w:left="0" w:leftChars="0" w:firstLine="0" w:firstLineChars="0"/>
              <w:rPr>
                <w:rFonts w:hint="eastAsia" w:ascii="宋体" w:hAnsi="宋体" w:eastAsia="宋体" w:cs="宋体"/>
                <w:color w:val="auto"/>
                <w:lang w:val="zh-CN"/>
              </w:rPr>
            </w:pPr>
          </w:p>
        </w:tc>
        <w:tc>
          <w:tcPr>
            <w:tcW w:w="1598" w:type="dxa"/>
          </w:tcPr>
          <w:p w14:paraId="36E4B537">
            <w:pPr>
              <w:pStyle w:val="33"/>
              <w:ind w:left="0" w:leftChars="0" w:firstLine="0" w:firstLineChars="0"/>
              <w:rPr>
                <w:rFonts w:hint="eastAsia" w:ascii="宋体" w:hAnsi="宋体" w:eastAsia="宋体" w:cs="宋体"/>
                <w:color w:val="auto"/>
                <w:lang w:val="zh-CN"/>
              </w:rPr>
            </w:pPr>
          </w:p>
        </w:tc>
      </w:tr>
      <w:tr w14:paraId="5F46F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Align w:val="center"/>
          </w:tcPr>
          <w:p w14:paraId="750AB503">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4</w:t>
            </w:r>
          </w:p>
        </w:tc>
        <w:tc>
          <w:tcPr>
            <w:tcW w:w="1392" w:type="dxa"/>
            <w:vAlign w:val="center"/>
          </w:tcPr>
          <w:p w14:paraId="4E0A97CD">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其他费用</w:t>
            </w:r>
          </w:p>
        </w:tc>
        <w:tc>
          <w:tcPr>
            <w:tcW w:w="3123" w:type="dxa"/>
            <w:vAlign w:val="center"/>
          </w:tcPr>
          <w:p w14:paraId="451C562E">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差旅、通信等杂费</w:t>
            </w:r>
          </w:p>
        </w:tc>
        <w:tc>
          <w:tcPr>
            <w:tcW w:w="1544" w:type="dxa"/>
            <w:vAlign w:val="center"/>
          </w:tcPr>
          <w:p w14:paraId="0558F6E2">
            <w:pPr>
              <w:pStyle w:val="33"/>
              <w:ind w:left="0" w:leftChars="0" w:firstLine="0" w:firstLineChars="0"/>
              <w:rPr>
                <w:rFonts w:hint="eastAsia" w:ascii="宋体" w:hAnsi="宋体" w:eastAsia="宋体" w:cs="宋体"/>
                <w:color w:val="auto"/>
                <w:lang w:val="zh-CN"/>
              </w:rPr>
            </w:pPr>
          </w:p>
        </w:tc>
        <w:tc>
          <w:tcPr>
            <w:tcW w:w="1598" w:type="dxa"/>
          </w:tcPr>
          <w:p w14:paraId="2B42738F">
            <w:pPr>
              <w:pStyle w:val="33"/>
              <w:ind w:left="0" w:leftChars="0" w:firstLine="0" w:firstLineChars="0"/>
              <w:rPr>
                <w:rFonts w:hint="eastAsia" w:ascii="宋体" w:hAnsi="宋体" w:eastAsia="宋体" w:cs="宋体"/>
                <w:color w:val="auto"/>
                <w:lang w:val="zh-CN"/>
              </w:rPr>
            </w:pPr>
          </w:p>
        </w:tc>
      </w:tr>
      <w:tr w14:paraId="0E67D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vAlign w:val="center"/>
          </w:tcPr>
          <w:p w14:paraId="53FF8807">
            <w:pPr>
              <w:pStyle w:val="33"/>
              <w:ind w:left="0" w:leftChars="0" w:firstLine="0" w:firstLineChars="0"/>
              <w:rPr>
                <w:rFonts w:hint="eastAsia" w:ascii="宋体" w:hAnsi="宋体" w:eastAsia="宋体" w:cs="宋体"/>
                <w:color w:val="auto"/>
                <w:lang w:val="zh-CN"/>
              </w:rPr>
            </w:pPr>
            <w:r>
              <w:rPr>
                <w:rFonts w:hint="eastAsia" w:ascii="宋体" w:hAnsi="宋体" w:eastAsia="宋体" w:cs="宋体"/>
                <w:color w:val="auto"/>
                <w:lang w:val="zh-CN"/>
              </w:rPr>
              <w:t>5</w:t>
            </w:r>
          </w:p>
        </w:tc>
        <w:tc>
          <w:tcPr>
            <w:tcW w:w="7657" w:type="dxa"/>
            <w:gridSpan w:val="4"/>
            <w:vAlign w:val="center"/>
          </w:tcPr>
          <w:p w14:paraId="020E586A">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合计</w:t>
            </w:r>
          </w:p>
        </w:tc>
      </w:tr>
    </w:tbl>
    <w:p w14:paraId="67BABAF0">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3.3 人员单价报价：</w:t>
      </w:r>
    </w:p>
    <w:tbl>
      <w:tblPr>
        <w:tblStyle w:val="35"/>
        <w:tblW w:w="836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843"/>
        <w:gridCol w:w="2268"/>
        <w:gridCol w:w="1701"/>
        <w:gridCol w:w="1843"/>
      </w:tblGrid>
      <w:tr w14:paraId="7DEDC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2991232F">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序号</w:t>
            </w:r>
          </w:p>
        </w:tc>
        <w:tc>
          <w:tcPr>
            <w:tcW w:w="1843" w:type="dxa"/>
            <w:vAlign w:val="center"/>
          </w:tcPr>
          <w:p w14:paraId="3FFF824A">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人员类别</w:t>
            </w:r>
          </w:p>
        </w:tc>
        <w:tc>
          <w:tcPr>
            <w:tcW w:w="2268" w:type="dxa"/>
            <w:vAlign w:val="center"/>
          </w:tcPr>
          <w:p w14:paraId="48361DE9">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资质</w:t>
            </w:r>
          </w:p>
        </w:tc>
        <w:tc>
          <w:tcPr>
            <w:tcW w:w="1701" w:type="dxa"/>
            <w:vAlign w:val="center"/>
          </w:tcPr>
          <w:p w14:paraId="5F2642FE">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人月单价（元）</w:t>
            </w:r>
          </w:p>
        </w:tc>
        <w:tc>
          <w:tcPr>
            <w:tcW w:w="1843" w:type="dxa"/>
            <w:vAlign w:val="center"/>
          </w:tcPr>
          <w:p w14:paraId="59E4F1D3">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人天单价（元）</w:t>
            </w:r>
          </w:p>
        </w:tc>
      </w:tr>
      <w:tr w14:paraId="3CD7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2550AD46">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1</w:t>
            </w:r>
          </w:p>
        </w:tc>
        <w:tc>
          <w:tcPr>
            <w:tcW w:w="1843" w:type="dxa"/>
            <w:vAlign w:val="center"/>
          </w:tcPr>
          <w:p w14:paraId="231429FA">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项目经理</w:t>
            </w:r>
          </w:p>
        </w:tc>
        <w:tc>
          <w:tcPr>
            <w:tcW w:w="2268" w:type="dxa"/>
            <w:vAlign w:val="center"/>
          </w:tcPr>
          <w:p w14:paraId="579B239A">
            <w:pPr>
              <w:pStyle w:val="33"/>
              <w:ind w:left="0" w:leftChars="0" w:firstLine="0" w:firstLineChars="0"/>
              <w:jc w:val="center"/>
              <w:rPr>
                <w:rFonts w:hint="eastAsia" w:ascii="宋体" w:hAnsi="宋体" w:eastAsia="宋体" w:cs="宋体"/>
                <w:color w:val="auto"/>
                <w:lang w:val="zh-CN"/>
              </w:rPr>
            </w:pPr>
          </w:p>
        </w:tc>
        <w:tc>
          <w:tcPr>
            <w:tcW w:w="1701" w:type="dxa"/>
            <w:vAlign w:val="center"/>
          </w:tcPr>
          <w:p w14:paraId="75B1A53B">
            <w:pPr>
              <w:pStyle w:val="33"/>
              <w:ind w:left="0" w:leftChars="0" w:firstLine="0" w:firstLineChars="0"/>
              <w:jc w:val="center"/>
              <w:rPr>
                <w:rFonts w:hint="eastAsia" w:ascii="宋体" w:hAnsi="宋体" w:eastAsia="宋体" w:cs="宋体"/>
                <w:color w:val="auto"/>
                <w:lang w:val="zh-CN"/>
              </w:rPr>
            </w:pPr>
          </w:p>
        </w:tc>
        <w:tc>
          <w:tcPr>
            <w:tcW w:w="1843" w:type="dxa"/>
            <w:vAlign w:val="center"/>
          </w:tcPr>
          <w:p w14:paraId="3B1CC3EB">
            <w:pPr>
              <w:pStyle w:val="33"/>
              <w:ind w:left="0" w:leftChars="0" w:firstLine="0" w:firstLineChars="0"/>
              <w:jc w:val="center"/>
              <w:rPr>
                <w:rFonts w:hint="eastAsia" w:ascii="宋体" w:hAnsi="宋体" w:eastAsia="宋体" w:cs="宋体"/>
                <w:color w:val="auto"/>
                <w:lang w:val="zh-CN"/>
              </w:rPr>
            </w:pPr>
          </w:p>
        </w:tc>
      </w:tr>
      <w:tr w14:paraId="3376C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2D0DC203">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2</w:t>
            </w:r>
          </w:p>
        </w:tc>
        <w:tc>
          <w:tcPr>
            <w:tcW w:w="1843" w:type="dxa"/>
            <w:vAlign w:val="center"/>
          </w:tcPr>
          <w:p w14:paraId="03D8B088">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技术负责人</w:t>
            </w:r>
          </w:p>
        </w:tc>
        <w:tc>
          <w:tcPr>
            <w:tcW w:w="2268" w:type="dxa"/>
            <w:vAlign w:val="center"/>
          </w:tcPr>
          <w:p w14:paraId="2AF8F0CE">
            <w:pPr>
              <w:pStyle w:val="33"/>
              <w:ind w:left="0" w:leftChars="0" w:firstLine="0" w:firstLineChars="0"/>
              <w:jc w:val="center"/>
              <w:rPr>
                <w:rFonts w:hint="eastAsia" w:ascii="宋体" w:hAnsi="宋体" w:eastAsia="宋体" w:cs="宋体"/>
                <w:color w:val="auto"/>
                <w:lang w:val="zh-CN"/>
              </w:rPr>
            </w:pPr>
          </w:p>
        </w:tc>
        <w:tc>
          <w:tcPr>
            <w:tcW w:w="1701" w:type="dxa"/>
            <w:vAlign w:val="center"/>
          </w:tcPr>
          <w:p w14:paraId="2B3AC66F">
            <w:pPr>
              <w:pStyle w:val="33"/>
              <w:ind w:left="0" w:leftChars="0" w:firstLine="0" w:firstLineChars="0"/>
              <w:jc w:val="center"/>
              <w:rPr>
                <w:rFonts w:hint="eastAsia" w:ascii="宋体" w:hAnsi="宋体" w:eastAsia="宋体" w:cs="宋体"/>
                <w:color w:val="auto"/>
                <w:lang w:val="zh-CN"/>
              </w:rPr>
            </w:pPr>
          </w:p>
        </w:tc>
        <w:tc>
          <w:tcPr>
            <w:tcW w:w="1843" w:type="dxa"/>
            <w:vAlign w:val="center"/>
          </w:tcPr>
          <w:p w14:paraId="08DB61A0">
            <w:pPr>
              <w:pStyle w:val="33"/>
              <w:ind w:left="0" w:leftChars="0" w:firstLine="0" w:firstLineChars="0"/>
              <w:jc w:val="center"/>
              <w:rPr>
                <w:rFonts w:hint="eastAsia" w:ascii="宋体" w:hAnsi="宋体" w:eastAsia="宋体" w:cs="宋体"/>
                <w:color w:val="auto"/>
                <w:lang w:val="zh-CN"/>
              </w:rPr>
            </w:pPr>
          </w:p>
        </w:tc>
      </w:tr>
      <w:tr w14:paraId="63A43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6E09674D">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3</w:t>
            </w:r>
          </w:p>
        </w:tc>
        <w:tc>
          <w:tcPr>
            <w:tcW w:w="1843" w:type="dxa"/>
            <w:vAlign w:val="center"/>
          </w:tcPr>
          <w:p w14:paraId="79CCF8EB">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后端开发工程师</w:t>
            </w:r>
          </w:p>
        </w:tc>
        <w:tc>
          <w:tcPr>
            <w:tcW w:w="2268" w:type="dxa"/>
            <w:vAlign w:val="center"/>
          </w:tcPr>
          <w:p w14:paraId="47764AA1">
            <w:pPr>
              <w:pStyle w:val="33"/>
              <w:ind w:left="0" w:leftChars="0" w:firstLine="0" w:firstLineChars="0"/>
              <w:jc w:val="center"/>
              <w:rPr>
                <w:rFonts w:hint="eastAsia" w:ascii="宋体" w:hAnsi="宋体" w:eastAsia="宋体" w:cs="宋体"/>
                <w:color w:val="auto"/>
                <w:lang w:val="zh-CN"/>
              </w:rPr>
            </w:pPr>
          </w:p>
        </w:tc>
        <w:tc>
          <w:tcPr>
            <w:tcW w:w="1701" w:type="dxa"/>
            <w:vAlign w:val="center"/>
          </w:tcPr>
          <w:p w14:paraId="2019D4B0">
            <w:pPr>
              <w:pStyle w:val="33"/>
              <w:ind w:left="0" w:leftChars="0" w:firstLine="0" w:firstLineChars="0"/>
              <w:jc w:val="center"/>
              <w:rPr>
                <w:rFonts w:hint="eastAsia" w:ascii="宋体" w:hAnsi="宋体" w:eastAsia="宋体" w:cs="宋体"/>
                <w:color w:val="auto"/>
                <w:lang w:val="zh-CN"/>
              </w:rPr>
            </w:pPr>
          </w:p>
        </w:tc>
        <w:tc>
          <w:tcPr>
            <w:tcW w:w="1843" w:type="dxa"/>
            <w:vAlign w:val="center"/>
          </w:tcPr>
          <w:p w14:paraId="1A012162">
            <w:pPr>
              <w:pStyle w:val="33"/>
              <w:ind w:left="0" w:leftChars="0" w:firstLine="0" w:firstLineChars="0"/>
              <w:jc w:val="center"/>
              <w:rPr>
                <w:rFonts w:hint="eastAsia" w:ascii="宋体" w:hAnsi="宋体" w:eastAsia="宋体" w:cs="宋体"/>
                <w:color w:val="auto"/>
                <w:lang w:val="zh-CN"/>
              </w:rPr>
            </w:pPr>
          </w:p>
        </w:tc>
      </w:tr>
      <w:tr w14:paraId="52CCE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2D812BA4">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4</w:t>
            </w:r>
          </w:p>
        </w:tc>
        <w:tc>
          <w:tcPr>
            <w:tcW w:w="1843" w:type="dxa"/>
            <w:vAlign w:val="center"/>
          </w:tcPr>
          <w:p w14:paraId="4F73F650">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前端开发工程师</w:t>
            </w:r>
          </w:p>
        </w:tc>
        <w:tc>
          <w:tcPr>
            <w:tcW w:w="2268" w:type="dxa"/>
            <w:vAlign w:val="center"/>
          </w:tcPr>
          <w:p w14:paraId="2EBD3CB2">
            <w:pPr>
              <w:pStyle w:val="33"/>
              <w:ind w:left="0" w:leftChars="0" w:firstLine="0" w:firstLineChars="0"/>
              <w:jc w:val="center"/>
              <w:rPr>
                <w:rFonts w:hint="eastAsia" w:ascii="宋体" w:hAnsi="宋体" w:eastAsia="宋体" w:cs="宋体"/>
                <w:color w:val="auto"/>
                <w:lang w:val="zh-CN"/>
              </w:rPr>
            </w:pPr>
          </w:p>
        </w:tc>
        <w:tc>
          <w:tcPr>
            <w:tcW w:w="1701" w:type="dxa"/>
            <w:vAlign w:val="center"/>
          </w:tcPr>
          <w:p w14:paraId="2CCE4624">
            <w:pPr>
              <w:pStyle w:val="33"/>
              <w:ind w:left="0" w:leftChars="0" w:firstLine="0" w:firstLineChars="0"/>
              <w:jc w:val="center"/>
              <w:rPr>
                <w:rFonts w:hint="eastAsia" w:ascii="宋体" w:hAnsi="宋体" w:eastAsia="宋体" w:cs="宋体"/>
                <w:color w:val="auto"/>
                <w:lang w:val="zh-CN"/>
              </w:rPr>
            </w:pPr>
          </w:p>
        </w:tc>
        <w:tc>
          <w:tcPr>
            <w:tcW w:w="1843" w:type="dxa"/>
            <w:vAlign w:val="center"/>
          </w:tcPr>
          <w:p w14:paraId="0065A5E1">
            <w:pPr>
              <w:pStyle w:val="33"/>
              <w:ind w:left="0" w:leftChars="0" w:firstLine="0" w:firstLineChars="0"/>
              <w:jc w:val="center"/>
              <w:rPr>
                <w:rFonts w:hint="eastAsia" w:ascii="宋体" w:hAnsi="宋体" w:eastAsia="宋体" w:cs="宋体"/>
                <w:color w:val="auto"/>
                <w:lang w:val="zh-CN"/>
              </w:rPr>
            </w:pPr>
          </w:p>
        </w:tc>
      </w:tr>
      <w:tr w14:paraId="54A35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1AECCF85">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5</w:t>
            </w:r>
          </w:p>
        </w:tc>
        <w:tc>
          <w:tcPr>
            <w:tcW w:w="1843" w:type="dxa"/>
            <w:vAlign w:val="center"/>
          </w:tcPr>
          <w:p w14:paraId="09E1DA0A">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专职测试工程师</w:t>
            </w:r>
          </w:p>
        </w:tc>
        <w:tc>
          <w:tcPr>
            <w:tcW w:w="2268" w:type="dxa"/>
            <w:vAlign w:val="center"/>
          </w:tcPr>
          <w:p w14:paraId="3876785E">
            <w:pPr>
              <w:pStyle w:val="33"/>
              <w:ind w:left="0" w:leftChars="0" w:firstLine="0" w:firstLineChars="0"/>
              <w:jc w:val="center"/>
              <w:rPr>
                <w:rFonts w:hint="eastAsia" w:ascii="宋体" w:hAnsi="宋体" w:eastAsia="宋体" w:cs="宋体"/>
                <w:color w:val="auto"/>
                <w:lang w:val="zh-CN"/>
              </w:rPr>
            </w:pPr>
          </w:p>
        </w:tc>
        <w:tc>
          <w:tcPr>
            <w:tcW w:w="1701" w:type="dxa"/>
            <w:vAlign w:val="center"/>
          </w:tcPr>
          <w:p w14:paraId="33F4739C">
            <w:pPr>
              <w:pStyle w:val="33"/>
              <w:ind w:left="0" w:leftChars="0" w:firstLine="0" w:firstLineChars="0"/>
              <w:jc w:val="center"/>
              <w:rPr>
                <w:rFonts w:hint="eastAsia" w:ascii="宋体" w:hAnsi="宋体" w:eastAsia="宋体" w:cs="宋体"/>
                <w:color w:val="auto"/>
                <w:lang w:val="zh-CN"/>
              </w:rPr>
            </w:pPr>
          </w:p>
        </w:tc>
        <w:tc>
          <w:tcPr>
            <w:tcW w:w="1843" w:type="dxa"/>
            <w:vAlign w:val="center"/>
          </w:tcPr>
          <w:p w14:paraId="4403E9C2">
            <w:pPr>
              <w:pStyle w:val="33"/>
              <w:ind w:left="0" w:leftChars="0" w:firstLine="0" w:firstLineChars="0"/>
              <w:jc w:val="center"/>
              <w:rPr>
                <w:rFonts w:hint="eastAsia" w:ascii="宋体" w:hAnsi="宋体" w:eastAsia="宋体" w:cs="宋体"/>
                <w:color w:val="auto"/>
                <w:lang w:val="zh-CN"/>
              </w:rPr>
            </w:pPr>
          </w:p>
        </w:tc>
      </w:tr>
    </w:tbl>
    <w:p w14:paraId="32FA036B">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说明：人月单价按每月21.75个工作日折算人天单价。人员单价报价作为本合同需求变更、范围调整时费用核算的依据。变更费用按双方确认的新增人天 × 对应人员类别的人天单价计算。</w:t>
      </w:r>
    </w:p>
    <w:p w14:paraId="3C61E39B">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3.4 第三方费用说明：以下费用由甲方另行承担，不包含在本合同价款中：</w:t>
      </w:r>
    </w:p>
    <w:p w14:paraId="60FAEB29">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（1）服务器硬件、带宽等基础设施费用；</w:t>
      </w:r>
    </w:p>
    <w:p w14:paraId="7D9DB772">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（2）微信认证、电子签章等第三方平台费用；</w:t>
      </w:r>
    </w:p>
    <w:p w14:paraId="126592F1">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（3）电子开票系统（诺诺、航天信息）年费，单个公司税号不高于1万元/年，次年续费不高于3000元/年。</w:t>
      </w:r>
    </w:p>
    <w:p w14:paraId="5DC2F506">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第四条 付款方式</w:t>
      </w:r>
    </w:p>
    <w:p w14:paraId="1B3EE057">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4.1 付款安排：</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8"/>
        <w:gridCol w:w="4689"/>
        <w:gridCol w:w="1193"/>
        <w:gridCol w:w="1098"/>
      </w:tblGrid>
      <w:tr w14:paraId="0EAFD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4A46E97">
            <w:pPr>
              <w:widowControl/>
              <w:adjustRightInd w:val="0"/>
              <w:snapToGrid w:val="0"/>
              <w:spacing w:line="360" w:lineRule="auto"/>
              <w:jc w:val="center"/>
              <w:rPr>
                <w:rFonts w:ascii="宋体" w:hAnsi="宋体" w:eastAsia="宋体" w:cs="宋体"/>
                <w:b/>
                <w:bCs/>
                <w:color w:val="auto"/>
                <w:kern w:val="0"/>
                <w:szCs w:val="21"/>
              </w:rPr>
            </w:pPr>
            <w:r>
              <w:rPr>
                <w:rFonts w:hint="eastAsia" w:ascii="宋体" w:hAnsi="宋体" w:eastAsia="宋体"/>
                <w:b/>
                <w:bCs/>
                <w:color w:val="auto"/>
              </w:rPr>
              <w:t>付款节点</w:t>
            </w:r>
          </w:p>
        </w:tc>
        <w:tc>
          <w:tcPr>
            <w:tcW w:w="0" w:type="auto"/>
            <w:vAlign w:val="center"/>
          </w:tcPr>
          <w:p w14:paraId="13339616">
            <w:pPr>
              <w:widowControl/>
              <w:adjustRightInd w:val="0"/>
              <w:snapToGrid w:val="0"/>
              <w:spacing w:line="360" w:lineRule="auto"/>
              <w:jc w:val="center"/>
              <w:rPr>
                <w:rFonts w:ascii="宋体" w:hAnsi="宋体" w:eastAsia="宋体" w:cs="宋体"/>
                <w:b/>
                <w:bCs/>
                <w:color w:val="auto"/>
                <w:kern w:val="0"/>
                <w:szCs w:val="21"/>
              </w:rPr>
            </w:pPr>
            <w:r>
              <w:rPr>
                <w:rFonts w:ascii="宋体" w:hAnsi="宋体" w:eastAsia="宋体"/>
                <w:b/>
                <w:bCs/>
                <w:color w:val="auto"/>
              </w:rPr>
              <w:t>支付条件</w:t>
            </w:r>
          </w:p>
        </w:tc>
        <w:tc>
          <w:tcPr>
            <w:tcW w:w="0" w:type="auto"/>
            <w:vAlign w:val="center"/>
          </w:tcPr>
          <w:p w14:paraId="3D118DCE">
            <w:pPr>
              <w:widowControl/>
              <w:adjustRightInd w:val="0"/>
              <w:snapToGrid w:val="0"/>
              <w:spacing w:line="360" w:lineRule="auto"/>
              <w:jc w:val="center"/>
              <w:rPr>
                <w:rFonts w:ascii="宋体" w:hAnsi="宋体" w:eastAsia="宋体" w:cs="宋体"/>
                <w:b/>
                <w:bCs/>
                <w:color w:val="auto"/>
                <w:kern w:val="0"/>
                <w:szCs w:val="21"/>
              </w:rPr>
            </w:pPr>
            <w:r>
              <w:rPr>
                <w:rFonts w:ascii="宋体" w:hAnsi="宋体" w:eastAsia="宋体"/>
                <w:b/>
                <w:bCs/>
                <w:color w:val="auto"/>
              </w:rPr>
              <w:t>支付比例/金额</w:t>
            </w:r>
          </w:p>
        </w:tc>
        <w:tc>
          <w:tcPr>
            <w:tcW w:w="0" w:type="auto"/>
            <w:vAlign w:val="center"/>
          </w:tcPr>
          <w:p w14:paraId="6579DA12">
            <w:pPr>
              <w:widowControl/>
              <w:adjustRightInd w:val="0"/>
              <w:snapToGrid w:val="0"/>
              <w:spacing w:line="360" w:lineRule="auto"/>
              <w:jc w:val="center"/>
              <w:rPr>
                <w:rFonts w:ascii="宋体" w:hAnsi="宋体" w:eastAsia="宋体" w:cs="宋体"/>
                <w:b/>
                <w:bCs/>
                <w:color w:val="auto"/>
                <w:kern w:val="0"/>
                <w:szCs w:val="21"/>
              </w:rPr>
            </w:pPr>
            <w:r>
              <w:rPr>
                <w:rFonts w:ascii="宋体" w:hAnsi="宋体" w:eastAsia="宋体"/>
                <w:b/>
                <w:bCs/>
                <w:color w:val="auto"/>
              </w:rPr>
              <w:t>累计支付比例</w:t>
            </w:r>
          </w:p>
        </w:tc>
      </w:tr>
      <w:tr w14:paraId="2170C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A6EBB27">
            <w:pPr>
              <w:widowControl/>
              <w:adjustRightInd w:val="0"/>
              <w:snapToGrid w:val="0"/>
              <w:spacing w:line="360" w:lineRule="auto"/>
              <w:jc w:val="left"/>
              <w:rPr>
                <w:rFonts w:ascii="宋体" w:hAnsi="宋体" w:eastAsia="宋体" w:cs="宋体"/>
                <w:color w:val="auto"/>
                <w:kern w:val="0"/>
                <w:szCs w:val="21"/>
              </w:rPr>
            </w:pPr>
            <w:r>
              <w:rPr>
                <w:rFonts w:hint="eastAsia" w:ascii="宋体" w:hAnsi="宋体" w:eastAsia="宋体"/>
                <w:color w:val="auto"/>
              </w:rPr>
              <w:t>节点一：测试机费用</w:t>
            </w:r>
          </w:p>
        </w:tc>
        <w:tc>
          <w:tcPr>
            <w:tcW w:w="0" w:type="auto"/>
            <w:vAlign w:val="center"/>
          </w:tcPr>
          <w:p w14:paraId="550E6C1B">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乙方提供测试服务器采购/租赁合同或发票，并完成测试环境部署经甲方确认</w:t>
            </w:r>
          </w:p>
        </w:tc>
        <w:tc>
          <w:tcPr>
            <w:tcW w:w="0" w:type="auto"/>
            <w:vAlign w:val="center"/>
          </w:tcPr>
          <w:p w14:paraId="255636B4">
            <w:pPr>
              <w:widowControl/>
              <w:adjustRightInd w:val="0"/>
              <w:snapToGrid w:val="0"/>
              <w:spacing w:line="360" w:lineRule="auto"/>
              <w:jc w:val="left"/>
              <w:rPr>
                <w:rFonts w:ascii="宋体" w:hAnsi="宋体" w:eastAsia="宋体" w:cs="宋体"/>
                <w:color w:val="auto"/>
                <w:kern w:val="0"/>
                <w:szCs w:val="21"/>
              </w:rPr>
            </w:pPr>
          </w:p>
        </w:tc>
        <w:tc>
          <w:tcPr>
            <w:tcW w:w="0" w:type="auto"/>
            <w:vAlign w:val="center"/>
          </w:tcPr>
          <w:p w14:paraId="777D6AA2">
            <w:pPr>
              <w:widowControl/>
              <w:adjustRightInd w:val="0"/>
              <w:snapToGrid w:val="0"/>
              <w:spacing w:line="360" w:lineRule="auto"/>
              <w:jc w:val="center"/>
              <w:rPr>
                <w:rFonts w:ascii="宋体" w:hAnsi="宋体" w:eastAsia="宋体" w:cs="宋体"/>
                <w:color w:val="auto"/>
                <w:kern w:val="0"/>
                <w:szCs w:val="21"/>
              </w:rPr>
            </w:pPr>
          </w:p>
        </w:tc>
      </w:tr>
      <w:tr w14:paraId="3566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DBB9CF7">
            <w:pPr>
              <w:widowControl/>
              <w:adjustRightInd w:val="0"/>
              <w:snapToGrid w:val="0"/>
              <w:spacing w:line="360" w:lineRule="auto"/>
              <w:jc w:val="left"/>
              <w:rPr>
                <w:rFonts w:ascii="宋体" w:hAnsi="宋体" w:eastAsia="宋体" w:cs="宋体"/>
                <w:color w:val="auto"/>
                <w:kern w:val="0"/>
                <w:szCs w:val="21"/>
              </w:rPr>
            </w:pPr>
            <w:r>
              <w:rPr>
                <w:rFonts w:hint="eastAsia" w:ascii="宋体" w:hAnsi="宋体" w:eastAsia="宋体"/>
                <w:color w:val="auto"/>
              </w:rPr>
              <w:t>节点二：合同签订启动</w:t>
            </w:r>
          </w:p>
        </w:tc>
        <w:tc>
          <w:tcPr>
            <w:tcW w:w="0" w:type="auto"/>
            <w:vAlign w:val="center"/>
          </w:tcPr>
          <w:p w14:paraId="2181B7A7">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合同生效且乙方提供合法有效发票</w:t>
            </w:r>
          </w:p>
        </w:tc>
        <w:tc>
          <w:tcPr>
            <w:tcW w:w="0" w:type="auto"/>
            <w:vAlign w:val="center"/>
          </w:tcPr>
          <w:p w14:paraId="086F4854">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合同总价的 10%</w:t>
            </w:r>
          </w:p>
        </w:tc>
        <w:tc>
          <w:tcPr>
            <w:tcW w:w="0" w:type="auto"/>
            <w:vAlign w:val="center"/>
          </w:tcPr>
          <w:p w14:paraId="30367D02">
            <w:pPr>
              <w:widowControl/>
              <w:adjustRightInd w:val="0"/>
              <w:snapToGrid w:val="0"/>
              <w:spacing w:line="360" w:lineRule="auto"/>
              <w:jc w:val="center"/>
              <w:rPr>
                <w:rFonts w:ascii="宋体" w:hAnsi="宋体" w:eastAsia="宋体" w:cs="宋体"/>
                <w:color w:val="auto"/>
                <w:kern w:val="0"/>
                <w:szCs w:val="21"/>
              </w:rPr>
            </w:pPr>
            <w:r>
              <w:rPr>
                <w:rFonts w:ascii="宋体" w:hAnsi="宋体" w:eastAsia="宋体"/>
                <w:color w:val="auto"/>
              </w:rPr>
              <w:t>10%</w:t>
            </w:r>
          </w:p>
        </w:tc>
      </w:tr>
      <w:tr w14:paraId="6BA2E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7AD613B">
            <w:pPr>
              <w:widowControl/>
              <w:adjustRightInd w:val="0"/>
              <w:snapToGrid w:val="0"/>
              <w:spacing w:line="360" w:lineRule="auto"/>
              <w:jc w:val="left"/>
              <w:rPr>
                <w:rFonts w:ascii="宋体" w:hAnsi="宋体" w:eastAsia="宋体" w:cs="宋体"/>
                <w:color w:val="auto"/>
                <w:kern w:val="0"/>
                <w:szCs w:val="21"/>
              </w:rPr>
            </w:pPr>
            <w:r>
              <w:rPr>
                <w:rFonts w:hint="eastAsia" w:ascii="宋体" w:hAnsi="宋体" w:eastAsia="宋体"/>
                <w:color w:val="auto"/>
              </w:rPr>
              <w:t>节点三：第</w:t>
            </w:r>
            <w:r>
              <w:rPr>
                <w:rFonts w:ascii="宋体" w:hAnsi="宋体" w:eastAsia="宋体"/>
                <w:color w:val="auto"/>
              </w:rPr>
              <w:t>1个月进度款</w:t>
            </w:r>
          </w:p>
        </w:tc>
        <w:tc>
          <w:tcPr>
            <w:tcW w:w="0" w:type="auto"/>
            <w:vAlign w:val="center"/>
          </w:tcPr>
          <w:p w14:paraId="1177F35F">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完成前置准备阶段（代码研读、数据库梳理、环境搭建）并经甲方书面确认</w:t>
            </w:r>
          </w:p>
        </w:tc>
        <w:tc>
          <w:tcPr>
            <w:tcW w:w="0" w:type="auto"/>
            <w:vAlign w:val="center"/>
          </w:tcPr>
          <w:p w14:paraId="41C03C4F">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 xml:space="preserve">合同总价的 </w:t>
            </w:r>
            <w:r>
              <w:rPr>
                <w:rFonts w:hint="eastAsia" w:ascii="宋体" w:hAnsi="宋体"/>
                <w:color w:val="auto"/>
                <w:lang w:val="en-US" w:eastAsia="zh-CN"/>
              </w:rPr>
              <w:t>7.5</w:t>
            </w:r>
            <w:r>
              <w:rPr>
                <w:rFonts w:ascii="宋体" w:hAnsi="宋体" w:eastAsia="宋体"/>
                <w:color w:val="auto"/>
              </w:rPr>
              <w:t>%</w:t>
            </w:r>
          </w:p>
        </w:tc>
        <w:tc>
          <w:tcPr>
            <w:tcW w:w="0" w:type="auto"/>
            <w:vAlign w:val="center"/>
          </w:tcPr>
          <w:p w14:paraId="06D67067">
            <w:pPr>
              <w:widowControl/>
              <w:adjustRightInd w:val="0"/>
              <w:snapToGrid w:val="0"/>
              <w:spacing w:line="360" w:lineRule="auto"/>
              <w:jc w:val="center"/>
              <w:rPr>
                <w:rFonts w:ascii="宋体" w:hAnsi="宋体" w:eastAsia="宋体" w:cs="宋体"/>
                <w:color w:val="auto"/>
                <w:kern w:val="0"/>
                <w:szCs w:val="21"/>
              </w:rPr>
            </w:pPr>
            <w:r>
              <w:rPr>
                <w:rFonts w:hint="eastAsia" w:ascii="宋体" w:hAnsi="宋体"/>
                <w:color w:val="auto"/>
                <w:lang w:val="en-US" w:eastAsia="zh-CN"/>
              </w:rPr>
              <w:t>17.5</w:t>
            </w:r>
            <w:r>
              <w:rPr>
                <w:rFonts w:ascii="宋体" w:hAnsi="宋体" w:eastAsia="宋体"/>
                <w:color w:val="auto"/>
              </w:rPr>
              <w:t>%</w:t>
            </w:r>
          </w:p>
        </w:tc>
      </w:tr>
      <w:tr w14:paraId="67D2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29534F0">
            <w:pPr>
              <w:widowControl/>
              <w:adjustRightInd w:val="0"/>
              <w:snapToGrid w:val="0"/>
              <w:spacing w:line="360" w:lineRule="auto"/>
              <w:jc w:val="left"/>
              <w:rPr>
                <w:rFonts w:ascii="宋体" w:hAnsi="宋体" w:eastAsia="宋体" w:cs="宋体"/>
                <w:color w:val="auto"/>
                <w:kern w:val="0"/>
                <w:szCs w:val="21"/>
              </w:rPr>
            </w:pPr>
            <w:r>
              <w:rPr>
                <w:rFonts w:hint="eastAsia" w:ascii="宋体" w:hAnsi="宋体" w:eastAsia="宋体"/>
                <w:color w:val="auto"/>
              </w:rPr>
              <w:t>节点四：第</w:t>
            </w:r>
            <w:r>
              <w:rPr>
                <w:rFonts w:ascii="宋体" w:hAnsi="宋体" w:eastAsia="宋体"/>
                <w:color w:val="auto"/>
              </w:rPr>
              <w:t>2个月进度款</w:t>
            </w:r>
          </w:p>
        </w:tc>
        <w:tc>
          <w:tcPr>
            <w:tcW w:w="0" w:type="auto"/>
            <w:vAlign w:val="center"/>
          </w:tcPr>
          <w:p w14:paraId="111CB987">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完成模块开发阶段1-3项（电子开票、退租退押、续租统计）并经甲方书面确认</w:t>
            </w:r>
          </w:p>
        </w:tc>
        <w:tc>
          <w:tcPr>
            <w:tcW w:w="0" w:type="auto"/>
            <w:vAlign w:val="center"/>
          </w:tcPr>
          <w:p w14:paraId="16061775">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 xml:space="preserve">合同总价的 </w:t>
            </w:r>
            <w:r>
              <w:rPr>
                <w:rFonts w:hint="eastAsia" w:ascii="宋体" w:hAnsi="宋体"/>
                <w:color w:val="auto"/>
                <w:lang w:val="en-US" w:eastAsia="zh-CN"/>
              </w:rPr>
              <w:t>7.5</w:t>
            </w:r>
            <w:r>
              <w:rPr>
                <w:rFonts w:ascii="宋体" w:hAnsi="宋体" w:eastAsia="宋体"/>
                <w:color w:val="auto"/>
              </w:rPr>
              <w:t>%</w:t>
            </w:r>
          </w:p>
        </w:tc>
        <w:tc>
          <w:tcPr>
            <w:tcW w:w="0" w:type="auto"/>
            <w:vAlign w:val="center"/>
          </w:tcPr>
          <w:p w14:paraId="02BEABD0">
            <w:pPr>
              <w:widowControl/>
              <w:adjustRightInd w:val="0"/>
              <w:snapToGrid w:val="0"/>
              <w:spacing w:line="360" w:lineRule="auto"/>
              <w:jc w:val="center"/>
              <w:rPr>
                <w:rFonts w:ascii="宋体" w:hAnsi="宋体" w:eastAsia="宋体" w:cs="宋体"/>
                <w:color w:val="auto"/>
                <w:kern w:val="0"/>
                <w:szCs w:val="21"/>
              </w:rPr>
            </w:pPr>
            <w:r>
              <w:rPr>
                <w:rFonts w:hint="eastAsia" w:ascii="宋体" w:hAnsi="宋体"/>
                <w:color w:val="auto"/>
                <w:lang w:val="en-US" w:eastAsia="zh-CN"/>
              </w:rPr>
              <w:t>25</w:t>
            </w:r>
            <w:r>
              <w:rPr>
                <w:rFonts w:ascii="宋体" w:hAnsi="宋体" w:eastAsia="宋体"/>
                <w:color w:val="auto"/>
              </w:rPr>
              <w:t>%</w:t>
            </w:r>
          </w:p>
        </w:tc>
      </w:tr>
      <w:tr w14:paraId="4AD5F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FAC648D">
            <w:pPr>
              <w:widowControl/>
              <w:adjustRightInd w:val="0"/>
              <w:snapToGrid w:val="0"/>
              <w:spacing w:line="360" w:lineRule="auto"/>
              <w:jc w:val="left"/>
              <w:rPr>
                <w:rFonts w:ascii="宋体" w:hAnsi="宋体" w:eastAsia="宋体" w:cs="宋体"/>
                <w:color w:val="auto"/>
                <w:kern w:val="0"/>
                <w:szCs w:val="21"/>
              </w:rPr>
            </w:pPr>
            <w:r>
              <w:rPr>
                <w:rFonts w:hint="eastAsia" w:ascii="宋体" w:hAnsi="宋体" w:eastAsia="宋体"/>
                <w:color w:val="auto"/>
              </w:rPr>
              <w:t>节点五：第</w:t>
            </w:r>
            <w:r>
              <w:rPr>
                <w:rFonts w:ascii="宋体" w:hAnsi="宋体" w:eastAsia="宋体"/>
                <w:color w:val="auto"/>
              </w:rPr>
              <w:t>3个月进度款</w:t>
            </w:r>
          </w:p>
        </w:tc>
        <w:tc>
          <w:tcPr>
            <w:tcW w:w="0" w:type="auto"/>
            <w:vAlign w:val="center"/>
          </w:tcPr>
          <w:p w14:paraId="139A75E1">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完成模块开发阶段4-7项（续租出账、租金对比、管理费减免、一键出账单）并经甲方书面确认</w:t>
            </w:r>
          </w:p>
        </w:tc>
        <w:tc>
          <w:tcPr>
            <w:tcW w:w="0" w:type="auto"/>
            <w:vAlign w:val="center"/>
          </w:tcPr>
          <w:p w14:paraId="27A8E792">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 xml:space="preserve">合同总价的 </w:t>
            </w:r>
            <w:r>
              <w:rPr>
                <w:rFonts w:hint="eastAsia" w:ascii="宋体" w:hAnsi="宋体"/>
                <w:color w:val="auto"/>
                <w:lang w:val="en-US" w:eastAsia="zh-CN"/>
              </w:rPr>
              <w:t>7.5</w:t>
            </w:r>
            <w:r>
              <w:rPr>
                <w:rFonts w:ascii="宋体" w:hAnsi="宋体" w:eastAsia="宋体"/>
                <w:color w:val="auto"/>
              </w:rPr>
              <w:t>%</w:t>
            </w:r>
          </w:p>
        </w:tc>
        <w:tc>
          <w:tcPr>
            <w:tcW w:w="0" w:type="auto"/>
            <w:vAlign w:val="center"/>
          </w:tcPr>
          <w:p w14:paraId="15C893AC">
            <w:pPr>
              <w:widowControl/>
              <w:adjustRightInd w:val="0"/>
              <w:snapToGrid w:val="0"/>
              <w:spacing w:line="360" w:lineRule="auto"/>
              <w:jc w:val="center"/>
              <w:rPr>
                <w:rFonts w:ascii="宋体" w:hAnsi="宋体" w:eastAsia="宋体" w:cs="宋体"/>
                <w:color w:val="auto"/>
                <w:kern w:val="0"/>
                <w:szCs w:val="21"/>
              </w:rPr>
            </w:pPr>
            <w:r>
              <w:rPr>
                <w:rFonts w:hint="eastAsia" w:ascii="宋体" w:hAnsi="宋体"/>
                <w:color w:val="auto"/>
                <w:lang w:val="en-US" w:eastAsia="zh-CN"/>
              </w:rPr>
              <w:t>32.5</w:t>
            </w:r>
            <w:r>
              <w:rPr>
                <w:rFonts w:ascii="宋体" w:hAnsi="宋体" w:eastAsia="宋体"/>
                <w:color w:val="auto"/>
              </w:rPr>
              <w:t>%</w:t>
            </w:r>
          </w:p>
        </w:tc>
      </w:tr>
      <w:tr w14:paraId="7864A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DDE641B">
            <w:pPr>
              <w:widowControl/>
              <w:adjustRightInd w:val="0"/>
              <w:snapToGrid w:val="0"/>
              <w:spacing w:line="360" w:lineRule="auto"/>
              <w:jc w:val="left"/>
              <w:rPr>
                <w:rFonts w:ascii="宋体" w:hAnsi="宋体" w:eastAsia="宋体" w:cs="宋体"/>
                <w:color w:val="auto"/>
                <w:kern w:val="0"/>
                <w:szCs w:val="21"/>
              </w:rPr>
            </w:pPr>
            <w:r>
              <w:rPr>
                <w:rFonts w:hint="eastAsia" w:ascii="宋体" w:hAnsi="宋体" w:eastAsia="宋体"/>
                <w:color w:val="auto"/>
              </w:rPr>
              <w:t>节点六：第</w:t>
            </w:r>
            <w:r>
              <w:rPr>
                <w:rFonts w:ascii="宋体" w:hAnsi="宋体" w:eastAsia="宋体"/>
                <w:color w:val="auto"/>
              </w:rPr>
              <w:t>4个月进度款</w:t>
            </w:r>
          </w:p>
        </w:tc>
        <w:tc>
          <w:tcPr>
            <w:tcW w:w="0" w:type="auto"/>
            <w:vAlign w:val="center"/>
          </w:tcPr>
          <w:p w14:paraId="27B31FB9">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完成模块开发阶段8-11项（账单导出、消息推送、多选改造、驾驶舱）并经甲方书面确认</w:t>
            </w:r>
          </w:p>
        </w:tc>
        <w:tc>
          <w:tcPr>
            <w:tcW w:w="0" w:type="auto"/>
            <w:vAlign w:val="center"/>
          </w:tcPr>
          <w:p w14:paraId="1DD4D3BA">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 xml:space="preserve">合同总价的 </w:t>
            </w:r>
            <w:r>
              <w:rPr>
                <w:rFonts w:hint="eastAsia" w:ascii="宋体" w:hAnsi="宋体"/>
                <w:color w:val="auto"/>
                <w:lang w:val="en-US" w:eastAsia="zh-CN"/>
              </w:rPr>
              <w:t>7.5</w:t>
            </w:r>
            <w:r>
              <w:rPr>
                <w:rFonts w:ascii="宋体" w:hAnsi="宋体" w:eastAsia="宋体"/>
                <w:color w:val="auto"/>
              </w:rPr>
              <w:t>%</w:t>
            </w:r>
          </w:p>
        </w:tc>
        <w:tc>
          <w:tcPr>
            <w:tcW w:w="0" w:type="auto"/>
            <w:vAlign w:val="center"/>
          </w:tcPr>
          <w:p w14:paraId="08CB400B">
            <w:pPr>
              <w:widowControl/>
              <w:adjustRightInd w:val="0"/>
              <w:snapToGrid w:val="0"/>
              <w:spacing w:line="360" w:lineRule="auto"/>
              <w:jc w:val="center"/>
              <w:rPr>
                <w:rFonts w:ascii="宋体" w:hAnsi="宋体" w:eastAsia="宋体" w:cs="宋体"/>
                <w:color w:val="auto"/>
                <w:kern w:val="0"/>
                <w:szCs w:val="21"/>
              </w:rPr>
            </w:pPr>
            <w:r>
              <w:rPr>
                <w:rFonts w:hint="eastAsia" w:ascii="宋体" w:hAnsi="宋体"/>
                <w:color w:val="auto"/>
                <w:lang w:val="en-US" w:eastAsia="zh-CN"/>
              </w:rPr>
              <w:t>40</w:t>
            </w:r>
            <w:r>
              <w:rPr>
                <w:rFonts w:ascii="宋体" w:hAnsi="宋体" w:eastAsia="宋体"/>
                <w:color w:val="auto"/>
              </w:rPr>
              <w:t>%</w:t>
            </w:r>
          </w:p>
        </w:tc>
      </w:tr>
      <w:tr w14:paraId="58D9C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835138C">
            <w:pPr>
              <w:widowControl/>
              <w:adjustRightInd w:val="0"/>
              <w:snapToGrid w:val="0"/>
              <w:spacing w:line="360" w:lineRule="auto"/>
              <w:jc w:val="left"/>
              <w:rPr>
                <w:rFonts w:ascii="宋体" w:hAnsi="宋体" w:eastAsia="宋体" w:cs="宋体"/>
                <w:color w:val="auto"/>
                <w:kern w:val="0"/>
                <w:szCs w:val="21"/>
              </w:rPr>
            </w:pPr>
            <w:r>
              <w:rPr>
                <w:rFonts w:hint="eastAsia" w:ascii="宋体" w:hAnsi="宋体" w:eastAsia="宋体"/>
                <w:color w:val="auto"/>
              </w:rPr>
              <w:t>节点七：第</w:t>
            </w:r>
            <w:r>
              <w:rPr>
                <w:rFonts w:ascii="宋体" w:hAnsi="宋体" w:eastAsia="宋体"/>
                <w:color w:val="auto"/>
              </w:rPr>
              <w:t>5个月进度款</w:t>
            </w:r>
          </w:p>
        </w:tc>
        <w:tc>
          <w:tcPr>
            <w:tcW w:w="0" w:type="auto"/>
            <w:vAlign w:val="center"/>
          </w:tcPr>
          <w:p w14:paraId="373BCE22">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完成集成测试、UAT验收通过、生产环境部署并进入双轨运行</w:t>
            </w:r>
          </w:p>
        </w:tc>
        <w:tc>
          <w:tcPr>
            <w:tcW w:w="0" w:type="auto"/>
            <w:vAlign w:val="center"/>
          </w:tcPr>
          <w:p w14:paraId="0C5FB3E3">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合同总价的 1</w:t>
            </w:r>
            <w:r>
              <w:rPr>
                <w:rFonts w:hint="eastAsia" w:ascii="宋体" w:hAnsi="宋体"/>
                <w:color w:val="auto"/>
                <w:lang w:val="en-US" w:eastAsia="zh-CN"/>
              </w:rPr>
              <w:t>0</w:t>
            </w:r>
            <w:r>
              <w:rPr>
                <w:rFonts w:ascii="宋体" w:hAnsi="宋体" w:eastAsia="宋体"/>
                <w:color w:val="auto"/>
              </w:rPr>
              <w:t>%</w:t>
            </w:r>
          </w:p>
        </w:tc>
        <w:tc>
          <w:tcPr>
            <w:tcW w:w="0" w:type="auto"/>
            <w:vAlign w:val="center"/>
          </w:tcPr>
          <w:p w14:paraId="4E84D485">
            <w:pPr>
              <w:widowControl/>
              <w:adjustRightInd w:val="0"/>
              <w:snapToGrid w:val="0"/>
              <w:spacing w:line="360" w:lineRule="auto"/>
              <w:jc w:val="center"/>
              <w:rPr>
                <w:rFonts w:ascii="宋体" w:hAnsi="宋体" w:eastAsia="宋体" w:cs="宋体"/>
                <w:color w:val="auto"/>
                <w:kern w:val="0"/>
                <w:szCs w:val="21"/>
              </w:rPr>
            </w:pPr>
            <w:r>
              <w:rPr>
                <w:rFonts w:hint="eastAsia" w:ascii="宋体" w:hAnsi="宋体"/>
                <w:color w:val="auto"/>
                <w:lang w:val="en-US" w:eastAsia="zh-CN"/>
              </w:rPr>
              <w:t>50</w:t>
            </w:r>
            <w:r>
              <w:rPr>
                <w:rFonts w:ascii="宋体" w:hAnsi="宋体" w:eastAsia="宋体"/>
                <w:color w:val="auto"/>
              </w:rPr>
              <w:t>%</w:t>
            </w:r>
          </w:p>
        </w:tc>
      </w:tr>
      <w:tr w14:paraId="48FBB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1E8EC36">
            <w:pPr>
              <w:widowControl/>
              <w:adjustRightInd w:val="0"/>
              <w:snapToGrid w:val="0"/>
              <w:spacing w:line="360" w:lineRule="auto"/>
              <w:jc w:val="left"/>
              <w:rPr>
                <w:rFonts w:ascii="宋体" w:hAnsi="宋体" w:eastAsia="宋体" w:cs="宋体"/>
                <w:color w:val="auto"/>
                <w:kern w:val="0"/>
                <w:szCs w:val="21"/>
              </w:rPr>
            </w:pPr>
            <w:r>
              <w:rPr>
                <w:rFonts w:hint="eastAsia" w:ascii="宋体" w:hAnsi="宋体" w:eastAsia="宋体"/>
                <w:color w:val="auto"/>
              </w:rPr>
              <w:t>节点八：项目终验</w:t>
            </w:r>
          </w:p>
        </w:tc>
        <w:tc>
          <w:tcPr>
            <w:tcW w:w="0" w:type="auto"/>
            <w:vAlign w:val="center"/>
          </w:tcPr>
          <w:p w14:paraId="5FBA836B">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双轨运行满30日，双方签署《项目终验报告》</w:t>
            </w:r>
          </w:p>
        </w:tc>
        <w:tc>
          <w:tcPr>
            <w:tcW w:w="0" w:type="auto"/>
            <w:vAlign w:val="center"/>
          </w:tcPr>
          <w:p w14:paraId="11509BBC">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 xml:space="preserve">合同总价的 </w:t>
            </w:r>
            <w:r>
              <w:rPr>
                <w:rFonts w:hint="eastAsia" w:ascii="宋体" w:hAnsi="宋体"/>
                <w:color w:val="auto"/>
                <w:lang w:val="en-US" w:eastAsia="zh-CN"/>
              </w:rPr>
              <w:t>4</w:t>
            </w:r>
            <w:r>
              <w:rPr>
                <w:rFonts w:ascii="宋体" w:hAnsi="宋体" w:eastAsia="宋体"/>
                <w:color w:val="auto"/>
              </w:rPr>
              <w:t>5%</w:t>
            </w:r>
          </w:p>
        </w:tc>
        <w:tc>
          <w:tcPr>
            <w:tcW w:w="0" w:type="auto"/>
            <w:vAlign w:val="center"/>
          </w:tcPr>
          <w:p w14:paraId="5C732914">
            <w:pPr>
              <w:widowControl/>
              <w:adjustRightInd w:val="0"/>
              <w:snapToGrid w:val="0"/>
              <w:spacing w:line="360" w:lineRule="auto"/>
              <w:jc w:val="center"/>
              <w:rPr>
                <w:rFonts w:ascii="宋体" w:hAnsi="宋体" w:eastAsia="宋体" w:cs="宋体"/>
                <w:color w:val="auto"/>
                <w:kern w:val="0"/>
                <w:szCs w:val="21"/>
              </w:rPr>
            </w:pPr>
            <w:r>
              <w:rPr>
                <w:rFonts w:ascii="宋体" w:hAnsi="宋体" w:eastAsia="宋体"/>
                <w:color w:val="auto"/>
              </w:rPr>
              <w:t>95%</w:t>
            </w:r>
          </w:p>
        </w:tc>
      </w:tr>
      <w:tr w14:paraId="212F6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87D8A22">
            <w:pPr>
              <w:widowControl/>
              <w:adjustRightInd w:val="0"/>
              <w:snapToGrid w:val="0"/>
              <w:spacing w:line="360" w:lineRule="auto"/>
              <w:jc w:val="left"/>
              <w:rPr>
                <w:rFonts w:ascii="宋体" w:hAnsi="宋体" w:eastAsia="宋体" w:cs="宋体"/>
                <w:color w:val="auto"/>
                <w:kern w:val="0"/>
                <w:szCs w:val="21"/>
              </w:rPr>
            </w:pPr>
            <w:r>
              <w:rPr>
                <w:rFonts w:hint="eastAsia" w:ascii="宋体" w:hAnsi="宋体" w:eastAsia="宋体"/>
                <w:color w:val="auto"/>
              </w:rPr>
              <w:t>节点九：质保期满</w:t>
            </w:r>
          </w:p>
        </w:tc>
        <w:tc>
          <w:tcPr>
            <w:tcW w:w="0" w:type="auto"/>
            <w:vAlign w:val="center"/>
          </w:tcPr>
          <w:p w14:paraId="33292A12">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质保期（终验之日起12个月）届满，且乙方已履行完毕质保期内全部义务</w:t>
            </w:r>
          </w:p>
        </w:tc>
        <w:tc>
          <w:tcPr>
            <w:tcW w:w="0" w:type="auto"/>
            <w:vAlign w:val="center"/>
          </w:tcPr>
          <w:p w14:paraId="4D3FC7B6">
            <w:pPr>
              <w:widowControl/>
              <w:adjustRightInd w:val="0"/>
              <w:snapToGrid w:val="0"/>
              <w:spacing w:line="360" w:lineRule="auto"/>
              <w:jc w:val="left"/>
              <w:rPr>
                <w:rFonts w:ascii="宋体" w:hAnsi="宋体" w:eastAsia="宋体" w:cs="宋体"/>
                <w:color w:val="auto"/>
                <w:kern w:val="0"/>
                <w:szCs w:val="21"/>
              </w:rPr>
            </w:pPr>
            <w:r>
              <w:rPr>
                <w:rFonts w:ascii="宋体" w:hAnsi="宋体" w:eastAsia="宋体"/>
                <w:color w:val="auto"/>
              </w:rPr>
              <w:t>合同总价的 5%</w:t>
            </w:r>
          </w:p>
        </w:tc>
        <w:tc>
          <w:tcPr>
            <w:tcW w:w="0" w:type="auto"/>
            <w:vAlign w:val="center"/>
          </w:tcPr>
          <w:p w14:paraId="22DD5C6C">
            <w:pPr>
              <w:widowControl/>
              <w:adjustRightInd w:val="0"/>
              <w:snapToGrid w:val="0"/>
              <w:spacing w:line="360" w:lineRule="auto"/>
              <w:jc w:val="center"/>
              <w:rPr>
                <w:rFonts w:ascii="宋体" w:hAnsi="宋体" w:eastAsia="宋体" w:cs="宋体"/>
                <w:color w:val="auto"/>
                <w:kern w:val="0"/>
                <w:szCs w:val="21"/>
              </w:rPr>
            </w:pPr>
            <w:r>
              <w:rPr>
                <w:rFonts w:ascii="宋体" w:hAnsi="宋体" w:eastAsia="宋体"/>
                <w:color w:val="auto"/>
              </w:rPr>
              <w:t>100%</w:t>
            </w:r>
          </w:p>
        </w:tc>
      </w:tr>
    </w:tbl>
    <w:p w14:paraId="371B56D7">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4.2 发票要求： 乙方应在每次申请付款前向甲方提供合法有效的增值税专用发票，否则甲方有权拒绝付款且不承担任何违约责任。</w:t>
      </w:r>
    </w:p>
    <w:p w14:paraId="2EDF3DAA">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4.3 付款方式： 甲方通过银行转账方式支付至乙方指定账户。</w:t>
      </w:r>
    </w:p>
    <w:p w14:paraId="454D6824">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4.4 乙方账户信息：</w:t>
      </w:r>
    </w:p>
    <w:p w14:paraId="45A10E8F">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开户名称：_______________开户银行：_______________银行账号：_______________</w:t>
      </w:r>
    </w:p>
    <w:p w14:paraId="4EB869DA">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第五条 项目实施周期</w:t>
      </w:r>
    </w:p>
    <w:p w14:paraId="13C1AB3C">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5.1 整体交付周期：自合同签订之日起</w:t>
      </w:r>
      <w:r>
        <w:rPr>
          <w:rFonts w:hint="eastAsia" w:ascii="宋体" w:hAnsi="宋体" w:eastAsia="宋体" w:cs="宋体"/>
          <w:bCs/>
          <w:color w:val="auto"/>
          <w:sz w:val="21"/>
          <w:szCs w:val="21"/>
          <w:u w:val="single"/>
          <w:lang w:val="zh-CN"/>
        </w:rPr>
        <w:t>5个月内完成</w:t>
      </w:r>
      <w:r>
        <w:rPr>
          <w:rFonts w:hint="eastAsia" w:ascii="宋体" w:hAnsi="宋体" w:eastAsia="宋体" w:cs="宋体"/>
          <w:bCs/>
          <w:color w:val="auto"/>
          <w:sz w:val="21"/>
          <w:szCs w:val="21"/>
          <w:lang w:val="zh-CN"/>
        </w:rPr>
        <w:t>全部开发、测试、部署及上线工作。</w:t>
      </w:r>
    </w:p>
    <w:p w14:paraId="07D2EAE0">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5.2 阶段里程碑：</w:t>
      </w:r>
    </w:p>
    <w:tbl>
      <w:tblPr>
        <w:tblStyle w:val="35"/>
        <w:tblW w:w="92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9"/>
        <w:gridCol w:w="3568"/>
        <w:gridCol w:w="3377"/>
      </w:tblGrid>
      <w:tr w14:paraId="213C7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vAlign w:val="center"/>
          </w:tcPr>
          <w:p w14:paraId="3B747A9E">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阶段</w:t>
            </w:r>
          </w:p>
        </w:tc>
        <w:tc>
          <w:tcPr>
            <w:tcW w:w="3568" w:type="dxa"/>
            <w:vAlign w:val="center"/>
          </w:tcPr>
          <w:p w14:paraId="7E90C0A8">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时间要求</w:t>
            </w:r>
          </w:p>
        </w:tc>
        <w:tc>
          <w:tcPr>
            <w:tcW w:w="3377" w:type="dxa"/>
            <w:vAlign w:val="center"/>
          </w:tcPr>
          <w:p w14:paraId="123BF541">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交付物</w:t>
            </w:r>
          </w:p>
        </w:tc>
      </w:tr>
      <w:tr w14:paraId="0BD6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vAlign w:val="center"/>
          </w:tcPr>
          <w:p w14:paraId="283F1F07">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前置准备阶段</w:t>
            </w:r>
          </w:p>
        </w:tc>
        <w:tc>
          <w:tcPr>
            <w:tcW w:w="3568" w:type="dxa"/>
            <w:vAlign w:val="center"/>
          </w:tcPr>
          <w:p w14:paraId="18961741">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合同签订后7个日历日内</w:t>
            </w:r>
          </w:p>
        </w:tc>
        <w:tc>
          <w:tcPr>
            <w:tcW w:w="3377" w:type="dxa"/>
            <w:vAlign w:val="center"/>
          </w:tcPr>
          <w:p w14:paraId="5106C592">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代码研读报告、数据库结构文档、环境部署确认单</w:t>
            </w:r>
          </w:p>
        </w:tc>
      </w:tr>
      <w:tr w14:paraId="52690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vAlign w:val="center"/>
          </w:tcPr>
          <w:p w14:paraId="3712C972">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模块开发阶段</w:t>
            </w:r>
          </w:p>
        </w:tc>
        <w:tc>
          <w:tcPr>
            <w:tcW w:w="3568" w:type="dxa"/>
            <w:vAlign w:val="center"/>
          </w:tcPr>
          <w:p w14:paraId="66C6EE68">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合同签订后4个月内</w:t>
            </w:r>
          </w:p>
        </w:tc>
        <w:tc>
          <w:tcPr>
            <w:tcW w:w="3377" w:type="dxa"/>
            <w:vAlign w:val="center"/>
          </w:tcPr>
          <w:p w14:paraId="78B4FD5F">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各模块设计文档、源码、单元测试报告</w:t>
            </w:r>
          </w:p>
        </w:tc>
      </w:tr>
      <w:tr w14:paraId="10747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vAlign w:val="center"/>
          </w:tcPr>
          <w:p w14:paraId="23355922">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集成测试阶段</w:t>
            </w:r>
          </w:p>
        </w:tc>
        <w:tc>
          <w:tcPr>
            <w:tcW w:w="3568" w:type="dxa"/>
            <w:vAlign w:val="center"/>
          </w:tcPr>
          <w:p w14:paraId="50A91FDA">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开发完成后15个日历日内</w:t>
            </w:r>
          </w:p>
        </w:tc>
        <w:tc>
          <w:tcPr>
            <w:tcW w:w="3377" w:type="dxa"/>
            <w:vAlign w:val="center"/>
          </w:tcPr>
          <w:p w14:paraId="0337D85F">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集成测试报告</w:t>
            </w:r>
          </w:p>
        </w:tc>
      </w:tr>
      <w:tr w14:paraId="265FE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vAlign w:val="center"/>
          </w:tcPr>
          <w:p w14:paraId="78C6B2B9">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UAT验收阶段</w:t>
            </w:r>
          </w:p>
        </w:tc>
        <w:tc>
          <w:tcPr>
            <w:tcW w:w="3568" w:type="dxa"/>
            <w:vAlign w:val="center"/>
          </w:tcPr>
          <w:p w14:paraId="79C3559F">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甲方收到验收申请后30个工作日内</w:t>
            </w:r>
          </w:p>
        </w:tc>
        <w:tc>
          <w:tcPr>
            <w:tcW w:w="3377" w:type="dxa"/>
            <w:vAlign w:val="center"/>
          </w:tcPr>
          <w:p w14:paraId="55B89CB0">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UAT验收报告</w:t>
            </w:r>
          </w:p>
        </w:tc>
      </w:tr>
      <w:tr w14:paraId="738A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vAlign w:val="center"/>
          </w:tcPr>
          <w:p w14:paraId="5EFC6D1B">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生产部署与双轨运行</w:t>
            </w:r>
          </w:p>
        </w:tc>
        <w:tc>
          <w:tcPr>
            <w:tcW w:w="3568" w:type="dxa"/>
            <w:vAlign w:val="center"/>
          </w:tcPr>
          <w:p w14:paraId="14F28EFC">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UAT验收通过后</w:t>
            </w:r>
          </w:p>
        </w:tc>
        <w:tc>
          <w:tcPr>
            <w:tcW w:w="3377" w:type="dxa"/>
            <w:vAlign w:val="center"/>
          </w:tcPr>
          <w:p w14:paraId="38641BC9">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部署确认单、双轨运行报告</w:t>
            </w:r>
          </w:p>
        </w:tc>
      </w:tr>
      <w:tr w14:paraId="7EDEB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9" w:type="dxa"/>
            <w:vAlign w:val="center"/>
          </w:tcPr>
          <w:p w14:paraId="2BA9B10C">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正式切换与终验</w:t>
            </w:r>
          </w:p>
        </w:tc>
        <w:tc>
          <w:tcPr>
            <w:tcW w:w="3568" w:type="dxa"/>
            <w:vAlign w:val="center"/>
          </w:tcPr>
          <w:p w14:paraId="27F9E4D0">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双轨运行满30日</w:t>
            </w:r>
          </w:p>
        </w:tc>
        <w:tc>
          <w:tcPr>
            <w:tcW w:w="3377" w:type="dxa"/>
            <w:vAlign w:val="center"/>
          </w:tcPr>
          <w:p w14:paraId="38CBD608">
            <w:pPr>
              <w:pStyle w:val="33"/>
              <w:ind w:left="0" w:leftChars="0" w:firstLine="0" w:firstLineChars="0"/>
              <w:rPr>
                <w:rFonts w:hint="eastAsia" w:ascii="宋体" w:hAnsi="宋体" w:eastAsia="宋体" w:cs="宋体"/>
                <w:color w:val="auto"/>
                <w:lang w:val="zh-CN"/>
              </w:rPr>
            </w:pPr>
            <w:r>
              <w:rPr>
                <w:rFonts w:hint="eastAsia" w:ascii="宋体" w:hAnsi="宋体" w:eastAsia="宋体" w:cs="宋体"/>
                <w:bCs/>
                <w:color w:val="auto"/>
                <w:sz w:val="21"/>
                <w:szCs w:val="21"/>
                <w:lang w:val="zh-CN"/>
              </w:rPr>
              <w:t>项目终验报告</w:t>
            </w:r>
          </w:p>
        </w:tc>
      </w:tr>
    </w:tbl>
    <w:p w14:paraId="6E7AE36C">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第六条 交付、验收标准</w:t>
      </w:r>
    </w:p>
    <w:p w14:paraId="7B739A12">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6.1 交付物清单：项目终验后，乙方须向甲方交付以下成果物：</w:t>
      </w:r>
    </w:p>
    <w:p w14:paraId="770FD25F">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（1）全套项目源代码（含甲方原有代码及乙方新增代码）；</w:t>
      </w:r>
    </w:p>
    <w:p w14:paraId="5499412D">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（2）数据库脚本及数据库设计文档；</w:t>
      </w:r>
    </w:p>
    <w:p w14:paraId="6D5D7E37">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（3）系统部署手册；</w:t>
      </w:r>
    </w:p>
    <w:p w14:paraId="7CA19118">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（4）产品PRD（产品需求文档）；</w:t>
      </w:r>
    </w:p>
    <w:p w14:paraId="3941D9F6">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（5）交互原型设计文件；</w:t>
      </w:r>
    </w:p>
    <w:p w14:paraId="1CEA9DDA">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（6）用户操作培训手册。</w:t>
      </w:r>
    </w:p>
    <w:p w14:paraId="6FB66AAA">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6.2 验收依据：本项目验收依据以下文件：</w:t>
      </w:r>
    </w:p>
    <w:p w14:paraId="7ABAB126">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（1）《系统功能优化收集表》；</w:t>
      </w:r>
    </w:p>
    <w:p w14:paraId="779700B2">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（2）2026年7月8日项目会议纪要；</w:t>
      </w:r>
    </w:p>
    <w:p w14:paraId="39F411BF">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（3）双方确认的PRD（产品需求文档）及交互原型设计；</w:t>
      </w:r>
    </w:p>
    <w:p w14:paraId="4426FDFC">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（4）本合同附件——功能需求详细说明。</w:t>
      </w:r>
    </w:p>
    <w:p w14:paraId="26EA7AB3">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6.3 分阶段验收：</w:t>
      </w:r>
    </w:p>
    <w:p w14:paraId="1D1A67C2">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（1）需求评审验收：双方对PRD和交互原型进行评审确认；</w:t>
      </w:r>
    </w:p>
    <w:p w14:paraId="62249B7A">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（2）UAT测试验收：甲方在测试环境完成全部功能验证；</w:t>
      </w:r>
    </w:p>
    <w:p w14:paraId="0C71E9D1">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（3）生产环境上线终验：生产环境部署、双轨试运行完成后进行终验。</w:t>
      </w:r>
    </w:p>
    <w:p w14:paraId="0923A0AA">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6.4 终验标准：项目终验须满足以下全部标准：</w:t>
      </w:r>
    </w:p>
    <w:p w14:paraId="0A130829">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（1）全部需求功能正常运行；</w:t>
      </w:r>
    </w:p>
    <w:p w14:paraId="2B9D6585">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（2）系统无阻断性BUG（P0/P1级别缺陷为零）；</w:t>
      </w:r>
    </w:p>
    <w:p w14:paraId="1F9D330B">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（3）各类报表导出符合甲方财务及运营规范；</w:t>
      </w:r>
    </w:p>
    <w:p w14:paraId="016553B1">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（4）消息推送全场景可用；</w:t>
      </w:r>
    </w:p>
    <w:p w14:paraId="36D753E7">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（5）驾驶舱指标数据计算准确、与业务数据一致。</w:t>
      </w:r>
    </w:p>
    <w:p w14:paraId="7DBA9CF5">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6.5 验收时限：甲方在收到乙方提交的正式验收申请后，须在</w:t>
      </w:r>
      <w:r>
        <w:rPr>
          <w:rFonts w:hint="eastAsia" w:ascii="宋体" w:hAnsi="宋体" w:eastAsia="宋体" w:cs="宋体"/>
          <w:bCs/>
          <w:color w:val="auto"/>
          <w:sz w:val="21"/>
          <w:szCs w:val="21"/>
          <w:u w:val="single"/>
          <w:lang w:val="zh-CN"/>
        </w:rPr>
        <w:t>30个工作日</w:t>
      </w:r>
      <w:r>
        <w:rPr>
          <w:rFonts w:hint="eastAsia" w:ascii="宋体" w:hAnsi="宋体" w:eastAsia="宋体" w:cs="宋体"/>
          <w:bCs/>
          <w:color w:val="auto"/>
          <w:sz w:val="21"/>
          <w:szCs w:val="21"/>
          <w:lang w:val="zh-CN"/>
        </w:rPr>
        <w:t>内完成验收。逾期未提出书面异议的，视为自动验收通过。</w:t>
      </w:r>
    </w:p>
    <w:p w14:paraId="7B244D40">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第七条 知识产权</w:t>
      </w:r>
    </w:p>
    <w:p w14:paraId="3AB47FF8">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7.1 知识产权归属：</w:t>
      </w:r>
    </w:p>
    <w:p w14:paraId="4BE8904E">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（1）本项目开发完成后，由甲方提供的源代码及基于甲方源代码开发的业务功能，其著作权归甲方所有；</w:t>
      </w:r>
    </w:p>
    <w:p w14:paraId="399E2057">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（2）乙方在开发前已具备的通用开发框架、公共工具类、通用组件、算法等，迁移至本项目或用于本项目优化的，其知识产权仍归乙方所有，不受甲方著作权约束。</w:t>
      </w:r>
    </w:p>
    <w:p w14:paraId="024B7BE1">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7.2 使用限制：</w:t>
      </w:r>
    </w:p>
    <w:p w14:paraId="4DC6A12C">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（1）乙方可复用通用底层工具、公共组件，但不得将甲方业务专属代码、租户数据、财务逻辑用于其他第三方项目；</w:t>
      </w:r>
    </w:p>
    <w:p w14:paraId="24DC2B26">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（2）甲方不得将乙方交付的新增源码用于合同约定范围外的商业分发或转售。</w:t>
      </w:r>
    </w:p>
    <w:p w14:paraId="2D70246E">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7.3 侵权责任：乙方应保证其在本项目开发过程中所使用的技术、方法、代码等均具有合法的知识产权，不存在任何侵犯第三方知识产权的情形。如因乙方原因导致甲方遭受任何知识产权纠纷或损失，由乙方承担全部责任。</w:t>
      </w:r>
    </w:p>
    <w:p w14:paraId="42324F5A">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第八条 需求变更管理</w:t>
      </w:r>
    </w:p>
    <w:p w14:paraId="1F1AFCCD">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8.1 变更提出：任何一方提出需求变更，均须提交书面《需求变更说明书》，说明变更内容、变更理由及预期效果。</w:t>
      </w:r>
    </w:p>
    <w:p w14:paraId="6960F46D">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8.2 变更评估：收到变更申请后，乙方应在</w:t>
      </w:r>
      <w:r>
        <w:rPr>
          <w:rFonts w:hint="eastAsia" w:ascii="宋体" w:hAnsi="宋体" w:eastAsia="宋体" w:cs="宋体"/>
          <w:bCs/>
          <w:color w:val="auto"/>
          <w:sz w:val="21"/>
          <w:szCs w:val="21"/>
          <w:u w:val="single"/>
          <w:lang w:val="zh-CN"/>
        </w:rPr>
        <w:t>5个工作日内</w:t>
      </w:r>
      <w:r>
        <w:rPr>
          <w:rFonts w:hint="eastAsia" w:ascii="宋体" w:hAnsi="宋体" w:eastAsia="宋体" w:cs="宋体"/>
          <w:bCs/>
          <w:color w:val="auto"/>
          <w:sz w:val="21"/>
          <w:szCs w:val="21"/>
          <w:lang w:val="zh-CN"/>
        </w:rPr>
        <w:t>完成以下评估并书面回复：</w:t>
      </w:r>
    </w:p>
    <w:p w14:paraId="214D7081">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（1）技术可行性分析；</w:t>
      </w:r>
    </w:p>
    <w:p w14:paraId="1AAE5928">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（2）工作量变化估算（以人天为单位）；</w:t>
      </w:r>
    </w:p>
    <w:p w14:paraId="0B453C30">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（3）费用变化估算（按本合同第三条约定的分项报价及人员单价执行）；</w:t>
      </w:r>
    </w:p>
    <w:p w14:paraId="478DDD07">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（4）工期影响评估。</w:t>
      </w:r>
    </w:p>
    <w:p w14:paraId="286530CF">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8.3 变更确认：双方就评估结果达成一致后，须签署书面《需求变更确认单》或补充协议，作为后续开发和计费的依据。未签署书面确认文件的变更需求，乙方有权不予实施。</w:t>
      </w:r>
    </w:p>
    <w:p w14:paraId="4D0E31D1">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8.4 免费变更额度：累计变更工作量在原项目总人天（584人天）的10%以内（约58人天）的，乙方免费配合修改，不增加费用。</w:t>
      </w:r>
    </w:p>
    <w:p w14:paraId="3499F6BE">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8.5 超额度变更计费：超出上述免费额度的变更，按以下方式计费：</w:t>
      </w:r>
    </w:p>
    <w:p w14:paraId="119BAC5F">
      <w:pPr>
        <w:snapToGrid w:val="0"/>
        <w:spacing w:line="348" w:lineRule="auto"/>
        <w:ind w:firstLine="420" w:firstLineChars="200"/>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变更费用 = 双方确认的新增人天 × 对应人员类别的人天单价</w:t>
      </w:r>
    </w:p>
    <w:p w14:paraId="1C3067B8">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8.6 重大变更：单项变更导致新增工作量超过原项目总人天的20%（约117人天）或涉及系统架构根本性调整的，属于重大变更，双方应另行协商并签订补充协议；如变更导致合同实质性内容发生重大变化，依法需重新组织采购的，按相关规定执行。</w:t>
      </w:r>
    </w:p>
    <w:p w14:paraId="0807C1F5">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8.7 工期顺延：因需求变更导致工作量增加的，工期相应顺延。因甲方原因（包括但不限于未按时提供资料、需求确认延迟、变更频繁等）导致工期延误的，工期自动顺延，乙方不承担违约责任。</w:t>
      </w:r>
    </w:p>
    <w:p w14:paraId="2CA88BC1">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8.8 变更记录：所有变更需求及处理结果均须纳入项目文档管理，作为项目验收的组成部分。</w:t>
      </w:r>
    </w:p>
    <w:p w14:paraId="590623FC">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第九条 双轨运行与正式切换</w:t>
      </w:r>
    </w:p>
    <w:p w14:paraId="5B9F4F37">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9.1 测试环境部署：甲方负责租用两台8核32G 300G硬盘的云主机作为测试服务器，乙方负责在测试服务器上完成系统部署及配置。</w:t>
      </w:r>
    </w:p>
    <w:p w14:paraId="09AED490">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9.2 UAT测试：全部功能开发完成后，乙方提交UAT测试申请，甲方在测试环境完成UAT用户验收测试。</w:t>
      </w:r>
    </w:p>
    <w:p w14:paraId="131D5B27">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9.3 生产环境部署：UAT验收通过后，甲方提供生产服务器，由乙方完成新版系统部署，并对接甲方真实生产业务数据进行验证。</w:t>
      </w:r>
    </w:p>
    <w:p w14:paraId="683E9B8A">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9.4 双轨试运行：</w:t>
      </w:r>
    </w:p>
    <w:p w14:paraId="1C9C755D">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（1）生产环境部署完成后进入</w:t>
      </w:r>
      <w:r>
        <w:rPr>
          <w:rFonts w:hint="eastAsia" w:ascii="宋体" w:hAnsi="宋体" w:eastAsia="宋体" w:cs="宋体"/>
          <w:bCs/>
          <w:color w:val="auto"/>
          <w:sz w:val="21"/>
          <w:szCs w:val="21"/>
          <w:u w:val="single"/>
          <w:lang w:val="zh-CN"/>
        </w:rPr>
        <w:t>30个自然日</w:t>
      </w:r>
      <w:r>
        <w:rPr>
          <w:rFonts w:hint="eastAsia" w:ascii="宋体" w:hAnsi="宋体" w:eastAsia="宋体" w:cs="宋体"/>
          <w:bCs/>
          <w:color w:val="auto"/>
          <w:sz w:val="21"/>
          <w:szCs w:val="21"/>
          <w:lang w:val="zh-CN"/>
        </w:rPr>
        <w:t>的双轨试运行期；</w:t>
      </w:r>
    </w:p>
    <w:p w14:paraId="2FE94514">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（2）试运行期间：原有存量业务仍在旧系统操作；新系统仅做数据查看，不支持修改原有业务数据；本合同约定的全部新增功能统一在新版系统操作试用；</w:t>
      </w:r>
    </w:p>
    <w:p w14:paraId="4BFF2CE7">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（3）试运行满30日，双方核对全周期业务数据无误后，整体切换至新版系统作为唯一业务运营系统；</w:t>
      </w:r>
    </w:p>
    <w:p w14:paraId="44E1FC10">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（4）旧系统调整为只读归档模式，仅留存历史数据查询功能。</w:t>
      </w:r>
    </w:p>
    <w:p w14:paraId="2C8FC01D">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第十条 培训与技术支持</w:t>
      </w:r>
    </w:p>
    <w:p w14:paraId="21C9EB42">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10.1 操作培训：系统上线完成后，乙方须提供</w:t>
      </w:r>
      <w:r>
        <w:rPr>
          <w:rFonts w:hint="eastAsia" w:ascii="宋体" w:hAnsi="宋体" w:eastAsia="宋体" w:cs="宋体"/>
          <w:bCs/>
          <w:color w:val="auto"/>
          <w:sz w:val="21"/>
          <w:szCs w:val="21"/>
          <w:u w:val="single"/>
          <w:lang w:val="zh-CN"/>
        </w:rPr>
        <w:t>5天</w:t>
      </w:r>
      <w:r>
        <w:rPr>
          <w:rFonts w:hint="eastAsia" w:ascii="宋体" w:hAnsi="宋体" w:eastAsia="宋体" w:cs="宋体"/>
          <w:bCs/>
          <w:color w:val="auto"/>
          <w:sz w:val="21"/>
          <w:szCs w:val="21"/>
          <w:lang w:val="zh-CN"/>
        </w:rPr>
        <w:t>现场或远程操作培训，培训对象为甲方系统管理员及关键业务操作人员，培训内容须覆盖全部新增功能的操作使用。</w:t>
      </w:r>
    </w:p>
    <w:p w14:paraId="5A530AD5">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10.2 质保期：本项目免费质保期为系统正式上线终验通过之日起</w:t>
      </w:r>
      <w:r>
        <w:rPr>
          <w:rFonts w:hint="eastAsia" w:ascii="宋体" w:hAnsi="宋体" w:eastAsia="宋体" w:cs="宋体"/>
          <w:bCs/>
          <w:color w:val="auto"/>
          <w:sz w:val="21"/>
          <w:szCs w:val="21"/>
          <w:u w:val="single"/>
          <w:lang w:val="zh-CN"/>
        </w:rPr>
        <w:t>12个月</w:t>
      </w:r>
      <w:r>
        <w:rPr>
          <w:rFonts w:hint="eastAsia" w:ascii="宋体" w:hAnsi="宋体" w:eastAsia="宋体" w:cs="宋体"/>
          <w:bCs/>
          <w:color w:val="auto"/>
          <w:sz w:val="21"/>
          <w:szCs w:val="21"/>
          <w:lang w:val="zh-CN"/>
        </w:rPr>
        <w:t>。质保期内，乙方负责修复本合同约定范围内新增或修改功能的BUG。</w:t>
      </w:r>
    </w:p>
    <w:p w14:paraId="3ED36EA3">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10.3 质保范围说明：质保期服务范围限定于：</w:t>
      </w:r>
    </w:p>
    <w:p w14:paraId="239D3BE5">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（1）本项目新增开发的功能模块；</w:t>
      </w:r>
    </w:p>
    <w:p w14:paraId="0B305B1C">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（2）本项目修改优化的既有功能模块；</w:t>
      </w:r>
    </w:p>
    <w:p w14:paraId="50483436">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（3）因上述新增或修改功能引发的系统运行异常。</w:t>
      </w:r>
    </w:p>
    <w:p w14:paraId="7D07E304">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10.4 故障响应： 质保期内，乙方按以下标准提供技术支持服务：</w:t>
      </w:r>
    </w:p>
    <w:tbl>
      <w:tblPr>
        <w:tblStyle w:val="35"/>
        <w:tblW w:w="0" w:type="auto"/>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1"/>
        <w:gridCol w:w="3908"/>
      </w:tblGrid>
      <w:tr w14:paraId="1F3A2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vAlign w:val="center"/>
          </w:tcPr>
          <w:p w14:paraId="23F9599E">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故障等级</w:t>
            </w:r>
          </w:p>
        </w:tc>
        <w:tc>
          <w:tcPr>
            <w:tcW w:w="3908" w:type="dxa"/>
            <w:vAlign w:val="center"/>
          </w:tcPr>
          <w:p w14:paraId="2FEFD7E5">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响应要求</w:t>
            </w:r>
          </w:p>
        </w:tc>
      </w:tr>
      <w:tr w14:paraId="2272D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vAlign w:val="center"/>
          </w:tcPr>
          <w:p w14:paraId="1550841D">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常规问题</w:t>
            </w:r>
          </w:p>
        </w:tc>
        <w:tc>
          <w:tcPr>
            <w:tcW w:w="3908" w:type="dxa"/>
            <w:vAlign w:val="center"/>
          </w:tcPr>
          <w:p w14:paraId="4CE90508">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24小时内远程响应</w:t>
            </w:r>
          </w:p>
        </w:tc>
      </w:tr>
      <w:tr w14:paraId="2F86E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vAlign w:val="center"/>
          </w:tcPr>
          <w:p w14:paraId="2B727CE8">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系统瘫痪等紧急故障</w:t>
            </w:r>
          </w:p>
        </w:tc>
        <w:tc>
          <w:tcPr>
            <w:tcW w:w="3908" w:type="dxa"/>
            <w:vAlign w:val="center"/>
          </w:tcPr>
          <w:p w14:paraId="622E913E">
            <w:pPr>
              <w:pStyle w:val="33"/>
              <w:ind w:left="0" w:leftChars="0" w:firstLine="0" w:firstLineChars="0"/>
              <w:jc w:val="center"/>
              <w:rPr>
                <w:rFonts w:hint="eastAsia" w:ascii="宋体" w:hAnsi="宋体" w:eastAsia="宋体" w:cs="宋体"/>
                <w:color w:val="auto"/>
                <w:lang w:val="zh-CN"/>
              </w:rPr>
            </w:pPr>
            <w:r>
              <w:rPr>
                <w:rFonts w:hint="eastAsia" w:ascii="宋体" w:hAnsi="宋体" w:eastAsia="宋体" w:cs="宋体"/>
                <w:bCs/>
                <w:color w:val="auto"/>
                <w:sz w:val="21"/>
                <w:szCs w:val="21"/>
                <w:lang w:val="zh-CN"/>
              </w:rPr>
              <w:t>4小时内工程师介入排查</w:t>
            </w:r>
          </w:p>
        </w:tc>
      </w:tr>
    </w:tbl>
    <w:p w14:paraId="21278E85">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10.5 质保期外服务：质保期满后，如甲方需要继续获得系统维护服务，双方另行协商签订维护服务合同。</w:t>
      </w:r>
    </w:p>
    <w:p w14:paraId="05933792">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第十一条 保密条款</w:t>
      </w:r>
    </w:p>
    <w:p w14:paraId="7BC798CD">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11.1 保密义务：甲乙双方对合作过程中获取的对方业务数据、代码、财务信息、客户资料等承担永久保密义务，未经对方书面许可，不得向任何第三方泄露。</w:t>
      </w:r>
    </w:p>
    <w:p w14:paraId="333DFC97">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11.2 例外情况：以下信息不适用保密义务：</w:t>
      </w:r>
    </w:p>
    <w:p w14:paraId="497D1741">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（1）已进入公共领域的信息；</w:t>
      </w:r>
    </w:p>
    <w:p w14:paraId="05DD6787">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（2）从合法渠道获得且无保密义务的信息；</w:t>
      </w:r>
    </w:p>
    <w:p w14:paraId="6C0FFA1B">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（3）根据法律法规或司法机关要求必须披露的信息（但须提前通知对方）。</w:t>
      </w:r>
    </w:p>
    <w:p w14:paraId="3BFAC210">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11.3 违约责任：违反保密条款的，违约方应赔偿对方因此遭受的全部损失。</w:t>
      </w:r>
    </w:p>
    <w:p w14:paraId="1DF3BB27">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第十二条 违约责任</w:t>
      </w:r>
    </w:p>
    <w:p w14:paraId="2A5F8AC1">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12.1 甲方违约责任：</w:t>
      </w:r>
    </w:p>
    <w:p w14:paraId="31FD018F">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（1）甲方未按合同约定按时支付款项的，每逾期一日，应按未支付金额的</w:t>
      </w:r>
      <w:r>
        <w:rPr>
          <w:rFonts w:hint="eastAsia" w:ascii="宋体" w:hAnsi="宋体" w:eastAsia="宋体" w:cs="宋体"/>
          <w:bCs/>
          <w:color w:val="auto"/>
          <w:sz w:val="21"/>
          <w:szCs w:val="21"/>
          <w:u w:val="single"/>
          <w:lang w:val="zh-CN"/>
        </w:rPr>
        <w:t>0.05%</w:t>
      </w:r>
      <w:r>
        <w:rPr>
          <w:rFonts w:hint="eastAsia" w:ascii="宋体" w:hAnsi="宋体" w:eastAsia="宋体" w:cs="宋体"/>
          <w:bCs/>
          <w:color w:val="auto"/>
          <w:sz w:val="21"/>
          <w:szCs w:val="21"/>
          <w:lang w:val="zh-CN"/>
        </w:rPr>
        <w:t>向乙方支付违约金，累计违约金不超过合同总价的10%；</w:t>
      </w:r>
    </w:p>
    <w:p w14:paraId="2E5AE1CF">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（2）因甲方原因（包括但不限于未按时提供资料、需求确认延迟、付款滞后、系统/服务器故障等）导致工期延误的，工期自动顺延，乙方不承担违约责任。</w:t>
      </w:r>
    </w:p>
    <w:p w14:paraId="6F9597EA">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12.2 乙方违约责任：</w:t>
      </w:r>
    </w:p>
    <w:p w14:paraId="40E71BF5">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（1）因乙方原因造成交付逾期的，每逾期一日，按合同总价0.05% 向甲方支付违约金，累计违约金不超过合同总价的10%；</w:t>
      </w:r>
    </w:p>
    <w:p w14:paraId="58F1E46B">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（2）因乙方开发质量问题导致验收不合格的，乙方应无偿整改直至验收合格，并承担因此给甲方造成的直接损失。</w:t>
      </w:r>
    </w:p>
    <w:p w14:paraId="52D4B2D0">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12.3 验收拖延处理：若甲方无正当理由拖延UAT验收或终验超过</w:t>
      </w:r>
      <w:r>
        <w:rPr>
          <w:rFonts w:hint="eastAsia" w:ascii="宋体" w:hAnsi="宋体" w:eastAsia="宋体" w:cs="宋体"/>
          <w:bCs/>
          <w:color w:val="auto"/>
          <w:sz w:val="21"/>
          <w:szCs w:val="21"/>
          <w:u w:val="single"/>
          <w:lang w:val="zh-CN"/>
        </w:rPr>
        <w:t>7个工作日</w:t>
      </w:r>
      <w:r>
        <w:rPr>
          <w:rFonts w:hint="eastAsia" w:ascii="宋体" w:hAnsi="宋体" w:eastAsia="宋体" w:cs="宋体"/>
          <w:bCs/>
          <w:color w:val="auto"/>
          <w:sz w:val="21"/>
          <w:szCs w:val="21"/>
          <w:lang w:val="zh-CN"/>
        </w:rPr>
        <w:t>的，视为自动验收通过，乙方不承担工期逾期责任。</w:t>
      </w:r>
    </w:p>
    <w:p w14:paraId="44DCBC84">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12.4 合同解除：任何一方根本违约，经催告后在合理期限内仍未履行的，另一方有权书面通知解除合同，并要求违约方赔偿损失。</w:t>
      </w:r>
    </w:p>
    <w:p w14:paraId="6338DD75">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第十三条 不可抗力</w:t>
      </w:r>
    </w:p>
    <w:p w14:paraId="1794B29D">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13.1 定义：不可抗力是指不能预见、不能避免且不能克服的客观情况，包括但不限于自然灾害、战争、疫情、政府行为等。</w:t>
      </w:r>
    </w:p>
    <w:p w14:paraId="3E94F419">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13.2 通知义务：一方因不可抗力不能履行合同的，应在不可抗力事件发生后</w:t>
      </w:r>
      <w:r>
        <w:rPr>
          <w:rFonts w:hint="eastAsia" w:ascii="宋体" w:hAnsi="宋体" w:eastAsia="宋体" w:cs="宋体"/>
          <w:bCs/>
          <w:color w:val="auto"/>
          <w:sz w:val="21"/>
          <w:szCs w:val="21"/>
          <w:u w:val="single"/>
          <w:lang w:val="zh-CN"/>
        </w:rPr>
        <w:t>3个工作日内</w:t>
      </w:r>
      <w:r>
        <w:rPr>
          <w:rFonts w:hint="eastAsia" w:ascii="宋体" w:hAnsi="宋体" w:eastAsia="宋体" w:cs="宋体"/>
          <w:bCs/>
          <w:color w:val="auto"/>
          <w:sz w:val="21"/>
          <w:szCs w:val="21"/>
          <w:lang w:val="zh-CN"/>
        </w:rPr>
        <w:t>书面通知对方，并在</w:t>
      </w:r>
      <w:r>
        <w:rPr>
          <w:rFonts w:hint="eastAsia" w:ascii="宋体" w:hAnsi="宋体" w:eastAsia="宋体" w:cs="宋体"/>
          <w:bCs/>
          <w:color w:val="auto"/>
          <w:sz w:val="21"/>
          <w:szCs w:val="21"/>
          <w:u w:val="single"/>
          <w:lang w:val="zh-CN"/>
        </w:rPr>
        <w:t>15个工作日</w:t>
      </w:r>
      <w:r>
        <w:rPr>
          <w:rFonts w:hint="eastAsia" w:ascii="宋体" w:hAnsi="宋体" w:eastAsia="宋体" w:cs="宋体"/>
          <w:bCs/>
          <w:color w:val="auto"/>
          <w:sz w:val="21"/>
          <w:szCs w:val="21"/>
          <w:lang w:val="zh-CN"/>
        </w:rPr>
        <w:t>内提供相关证明材料。</w:t>
      </w:r>
    </w:p>
    <w:p w14:paraId="73652C5C">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13.3 后果处理：因不可抗力致使合同无法继续履行的，双方互不承担违约责任。不可抗力影响消除后，双方协商确定是否继续履行合同。</w:t>
      </w:r>
    </w:p>
    <w:p w14:paraId="0B63B7FE">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第十四条 争议解决</w:t>
      </w:r>
    </w:p>
    <w:p w14:paraId="0B96346A">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14.1 协商：因本合同履行发生争议的，双方应首先 友好协商 解决。</w:t>
      </w:r>
    </w:p>
    <w:p w14:paraId="1C656F45">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14.2 诉讼：协商不成的，任何一方均有权向 甲方所在地有管辖权的人民法院 提起诉讼。</w:t>
      </w:r>
    </w:p>
    <w:p w14:paraId="7A6A7CB6">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第十五条 其他约定</w:t>
      </w:r>
    </w:p>
    <w:p w14:paraId="623F395E">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15.1 合同生效：本合同自双方法定代表人或授权代表签字并加盖公章之日起生效。</w:t>
      </w:r>
    </w:p>
    <w:p w14:paraId="2E88B0AD">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15.2 合同份数：本合同一式</w:t>
      </w:r>
      <w:r>
        <w:rPr>
          <w:rFonts w:hint="eastAsia" w:ascii="宋体" w:hAnsi="宋体" w:eastAsia="宋体" w:cs="宋体"/>
          <w:bCs/>
          <w:color w:val="auto"/>
          <w:sz w:val="21"/>
          <w:szCs w:val="21"/>
          <w:u w:val="single"/>
          <w:lang w:val="zh-CN"/>
        </w:rPr>
        <w:t>  </w:t>
      </w:r>
      <w:r>
        <w:rPr>
          <w:rFonts w:hint="eastAsia" w:ascii="宋体" w:hAnsi="宋体" w:eastAsia="宋体" w:cs="宋体"/>
          <w:bCs/>
          <w:color w:val="auto"/>
          <w:sz w:val="21"/>
          <w:szCs w:val="21"/>
          <w:lang w:val="zh-CN"/>
        </w:rPr>
        <w:t>份，甲方执</w:t>
      </w:r>
      <w:r>
        <w:rPr>
          <w:rFonts w:hint="eastAsia" w:ascii="宋体" w:hAnsi="宋体" w:eastAsia="宋体" w:cs="宋体"/>
          <w:bCs/>
          <w:color w:val="auto"/>
          <w:sz w:val="21"/>
          <w:szCs w:val="21"/>
          <w:u w:val="single"/>
          <w:lang w:val="zh-CN"/>
        </w:rPr>
        <w:t>  </w:t>
      </w:r>
      <w:r>
        <w:rPr>
          <w:rFonts w:hint="eastAsia" w:ascii="宋体" w:hAnsi="宋体" w:eastAsia="宋体" w:cs="宋体"/>
          <w:bCs/>
          <w:color w:val="auto"/>
          <w:sz w:val="21"/>
          <w:szCs w:val="21"/>
          <w:lang w:val="zh-CN"/>
        </w:rPr>
        <w:t>份，乙方执</w:t>
      </w:r>
      <w:r>
        <w:rPr>
          <w:rFonts w:hint="eastAsia" w:ascii="宋体" w:hAnsi="宋体" w:eastAsia="宋体" w:cs="宋体"/>
          <w:bCs/>
          <w:color w:val="auto"/>
          <w:sz w:val="21"/>
          <w:szCs w:val="21"/>
          <w:u w:val="single"/>
          <w:lang w:val="zh-CN"/>
        </w:rPr>
        <w:t>  </w:t>
      </w:r>
      <w:r>
        <w:rPr>
          <w:rFonts w:hint="eastAsia" w:ascii="宋体" w:hAnsi="宋体" w:eastAsia="宋体" w:cs="宋体"/>
          <w:bCs/>
          <w:color w:val="auto"/>
          <w:sz w:val="21"/>
          <w:szCs w:val="21"/>
          <w:lang w:val="zh-CN"/>
        </w:rPr>
        <w:t>份，具有同等法律效力。</w:t>
      </w:r>
    </w:p>
    <w:p w14:paraId="4CEEBB68">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15.3 合同附件：以下附件为本合同不可分割的组成部分：</w:t>
      </w:r>
    </w:p>
    <w:p w14:paraId="0C2C0F76">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附件1：《功能需求详细说明》</w:t>
      </w:r>
    </w:p>
    <w:p w14:paraId="3C74987F">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附件2：《分项报价明细表》</w:t>
      </w:r>
    </w:p>
    <w:p w14:paraId="25C2340E">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附件3：《人员单价报价表》</w:t>
      </w:r>
    </w:p>
    <w:p w14:paraId="7480EC48">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附件4：《项目进度计划表》</w:t>
      </w:r>
    </w:p>
    <w:p w14:paraId="35CBAD9F">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附件5：《交付物清单及验收标准》</w:t>
      </w:r>
    </w:p>
    <w:p w14:paraId="7D986775">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附件6：《需求变更确认单》（模板）</w:t>
      </w:r>
    </w:p>
    <w:p w14:paraId="5AC5FC2C">
      <w:pPr>
        <w:snapToGrid w:val="0"/>
        <w:spacing w:line="348" w:lineRule="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15.4 未尽事宜：本合同未尽事宜，双方可另行协商并签订补充协议，补充协议与本合同具有同等法律效力</w:t>
      </w:r>
    </w:p>
    <w:p w14:paraId="2AE779DC">
      <w:pPr>
        <w:snapToGrid w:val="0"/>
        <w:spacing w:line="348" w:lineRule="auto"/>
        <w:rPr>
          <w:rFonts w:hint="eastAsia" w:ascii="宋体" w:hAnsi="宋体" w:eastAsia="宋体" w:cs="宋体"/>
          <w:bCs/>
          <w:color w:val="auto"/>
          <w:sz w:val="21"/>
          <w:szCs w:val="21"/>
          <w:lang w:val="zh-CN"/>
        </w:rPr>
      </w:pPr>
    </w:p>
    <w:p w14:paraId="6939782A">
      <w:pPr>
        <w:pStyle w:val="71"/>
        <w:tabs>
          <w:tab w:val="left" w:pos="588"/>
        </w:tabs>
        <w:spacing w:line="348" w:lineRule="auto"/>
        <w:rPr>
          <w:rFonts w:hint="eastAsia" w:ascii="宋体" w:hAnsi="宋体" w:eastAsia="宋体" w:cs="宋体"/>
          <w:color w:val="auto"/>
          <w:sz w:val="21"/>
          <w:szCs w:val="21"/>
        </w:rPr>
      </w:pPr>
      <w:r>
        <w:rPr>
          <w:rFonts w:hint="eastAsia" w:ascii="宋体" w:hAnsi="宋体" w:eastAsia="宋体" w:cs="宋体"/>
          <w:color w:val="auto"/>
          <w:sz w:val="21"/>
          <w:szCs w:val="21"/>
        </w:rPr>
        <w:t>甲  方：(公章）                               乙  方：（公章）</w:t>
      </w:r>
    </w:p>
    <w:p w14:paraId="5CC3E110">
      <w:pPr>
        <w:pStyle w:val="71"/>
        <w:tabs>
          <w:tab w:val="left" w:pos="588"/>
        </w:tabs>
        <w:spacing w:line="348"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 xml:space="preserve">法定代表人或授权代理人：（签字）              法定代表人或授权代理人：（签字） </w:t>
      </w:r>
    </w:p>
    <w:p w14:paraId="619DFBAD">
      <w:pPr>
        <w:tabs>
          <w:tab w:val="left" w:pos="588"/>
        </w:tabs>
        <w:spacing w:line="348" w:lineRule="auto"/>
        <w:rPr>
          <w:rFonts w:hint="eastAsia" w:ascii="宋体" w:hAnsi="宋体" w:eastAsia="宋体" w:cs="宋体"/>
          <w:color w:val="auto"/>
          <w:sz w:val="21"/>
          <w:szCs w:val="21"/>
        </w:rPr>
      </w:pPr>
      <w:r>
        <w:rPr>
          <w:rFonts w:hint="eastAsia" w:ascii="宋体" w:hAnsi="宋体" w:eastAsia="宋体" w:cs="宋体"/>
          <w:color w:val="auto"/>
          <w:sz w:val="21"/>
          <w:szCs w:val="21"/>
        </w:rPr>
        <w:t>日  期：2026年    月   日                     日  期：2026年    月    日</w:t>
      </w:r>
    </w:p>
    <w:p w14:paraId="693D2C00">
      <w:pPr>
        <w:rPr>
          <w:rFonts w:hint="eastAsia" w:ascii="宋体" w:hAnsi="宋体" w:eastAsia="宋体" w:cs="宋体"/>
          <w:color w:val="auto"/>
        </w:rPr>
      </w:pPr>
      <w:r>
        <w:rPr>
          <w:rFonts w:hint="eastAsia" w:ascii="宋体" w:hAnsi="宋体" w:eastAsia="宋体" w:cs="宋体"/>
          <w:color w:val="auto"/>
          <w:lang w:bidi="zh-CN"/>
        </w:rPr>
        <w:br w:type="page"/>
      </w:r>
    </w:p>
    <w:p w14:paraId="6ACDFBD3">
      <w:pPr>
        <w:pStyle w:val="3"/>
        <w:spacing w:before="0" w:after="0" w:line="240" w:lineRule="auto"/>
        <w:rPr>
          <w:rFonts w:hint="eastAsia" w:ascii="宋体" w:hAnsi="宋体" w:eastAsia="宋体" w:cs="宋体"/>
          <w:color w:val="auto"/>
          <w:sz w:val="28"/>
          <w:szCs w:val="28"/>
        </w:rPr>
      </w:pPr>
      <w:bookmarkStart w:id="136" w:name="_Toc25856"/>
      <w:r>
        <w:rPr>
          <w:rFonts w:hint="eastAsia" w:ascii="宋体" w:hAnsi="宋体" w:eastAsia="宋体" w:cs="宋体"/>
          <w:color w:val="auto"/>
          <w:sz w:val="28"/>
          <w:szCs w:val="28"/>
        </w:rPr>
        <w:t>第六部分附件－投标文件格式</w:t>
      </w:r>
      <w:bookmarkEnd w:id="136"/>
    </w:p>
    <w:p w14:paraId="7B42C935">
      <w:pPr>
        <w:rPr>
          <w:rFonts w:hint="eastAsia" w:ascii="宋体" w:hAnsi="宋体" w:eastAsia="宋体" w:cs="宋体"/>
          <w:color w:val="auto"/>
        </w:rPr>
      </w:pPr>
    </w:p>
    <w:p w14:paraId="4C2DE453">
      <w:pPr>
        <w:pStyle w:val="5"/>
        <w:widowControl w:val="0"/>
        <w:overflowPunct w:val="0"/>
        <w:spacing w:line="240" w:lineRule="auto"/>
        <w:rPr>
          <w:rFonts w:hint="eastAsia" w:ascii="宋体" w:hAnsi="宋体" w:eastAsia="宋体" w:cs="宋体"/>
          <w:color w:val="auto"/>
          <w:sz w:val="21"/>
          <w:szCs w:val="21"/>
        </w:rPr>
      </w:pPr>
      <w:bookmarkStart w:id="137" w:name="_Toc11519"/>
      <w:r>
        <w:rPr>
          <w:rFonts w:hint="eastAsia" w:ascii="宋体" w:hAnsi="宋体" w:eastAsia="宋体" w:cs="宋体"/>
          <w:color w:val="auto"/>
          <w:sz w:val="21"/>
          <w:szCs w:val="21"/>
        </w:rPr>
        <w:t>投标文件目录</w:t>
      </w:r>
      <w:bookmarkEnd w:id="137"/>
    </w:p>
    <w:p w14:paraId="179D178D">
      <w:pPr>
        <w:jc w:val="center"/>
        <w:rPr>
          <w:rFonts w:hint="eastAsia" w:ascii="宋体" w:hAnsi="宋体" w:eastAsia="宋体" w:cs="宋体"/>
          <w:color w:val="auto"/>
          <w:sz w:val="32"/>
          <w:szCs w:val="32"/>
        </w:rPr>
      </w:pPr>
    </w:p>
    <w:p w14:paraId="009D3612">
      <w:pPr>
        <w:jc w:val="center"/>
        <w:rPr>
          <w:rFonts w:hint="eastAsia" w:ascii="宋体" w:hAnsi="宋体" w:eastAsia="宋体" w:cs="宋体"/>
          <w:color w:val="auto"/>
          <w:sz w:val="32"/>
          <w:szCs w:val="32"/>
        </w:rPr>
      </w:pPr>
      <w:r>
        <w:rPr>
          <w:rFonts w:hint="eastAsia" w:ascii="宋体" w:hAnsi="宋体" w:eastAsia="宋体" w:cs="宋体"/>
          <w:color w:val="auto"/>
          <w:sz w:val="32"/>
          <w:szCs w:val="32"/>
        </w:rPr>
        <w:t>目录</w:t>
      </w:r>
    </w:p>
    <w:p w14:paraId="2A300CB5">
      <w:pPr>
        <w:adjustRightInd/>
        <w:snapToGrid/>
        <w:spacing w:line="276" w:lineRule="auto"/>
        <w:rPr>
          <w:rFonts w:hint="eastAsia" w:ascii="宋体" w:hAnsi="宋体" w:eastAsia="宋体" w:cs="宋体"/>
          <w:color w:val="auto"/>
          <w:szCs w:val="21"/>
        </w:rPr>
      </w:pPr>
      <w:r>
        <w:rPr>
          <w:rFonts w:hint="eastAsia" w:ascii="宋体" w:hAnsi="宋体" w:eastAsia="宋体" w:cs="宋体"/>
          <w:color w:val="auto"/>
          <w:szCs w:val="21"/>
        </w:rPr>
        <w:t>格式自理。</w:t>
      </w:r>
    </w:p>
    <w:p w14:paraId="10645021">
      <w:pPr>
        <w:adjustRightInd/>
        <w:snapToGrid/>
        <w:spacing w:line="276" w:lineRule="auto"/>
        <w:rPr>
          <w:rFonts w:hint="eastAsia" w:ascii="宋体" w:hAnsi="宋体" w:eastAsia="宋体" w:cs="宋体"/>
          <w:color w:val="auto"/>
          <w:szCs w:val="21"/>
        </w:rPr>
      </w:pPr>
    </w:p>
    <w:p w14:paraId="7362AED4">
      <w:pPr>
        <w:adjustRightInd/>
        <w:snapToGrid/>
        <w:spacing w:line="276" w:lineRule="auto"/>
        <w:rPr>
          <w:rFonts w:hint="eastAsia" w:ascii="宋体" w:hAnsi="宋体" w:eastAsia="宋体" w:cs="宋体"/>
          <w:color w:val="auto"/>
          <w:szCs w:val="21"/>
        </w:rPr>
      </w:pPr>
    </w:p>
    <w:p w14:paraId="2BDA0359">
      <w:pPr>
        <w:adjustRightInd/>
        <w:snapToGrid/>
        <w:spacing w:line="276" w:lineRule="auto"/>
        <w:rPr>
          <w:rFonts w:hint="eastAsia" w:ascii="宋体" w:hAnsi="宋体" w:eastAsia="宋体" w:cs="宋体"/>
          <w:color w:val="auto"/>
          <w:szCs w:val="21"/>
        </w:rPr>
      </w:pPr>
      <w:r>
        <w:rPr>
          <w:rFonts w:hint="eastAsia" w:ascii="宋体" w:hAnsi="宋体" w:eastAsia="宋体" w:cs="宋体"/>
          <w:color w:val="auto"/>
          <w:szCs w:val="21"/>
        </w:rPr>
        <w:t>注：</w:t>
      </w:r>
    </w:p>
    <w:p w14:paraId="65BF4705">
      <w:pPr>
        <w:adjustRightInd/>
        <w:snapToGrid/>
        <w:spacing w:line="276" w:lineRule="auto"/>
        <w:rPr>
          <w:rFonts w:hint="eastAsia" w:ascii="宋体" w:hAnsi="宋体" w:eastAsia="宋体" w:cs="宋体"/>
          <w:color w:val="auto"/>
          <w:szCs w:val="21"/>
        </w:rPr>
      </w:pPr>
      <w:r>
        <w:rPr>
          <w:rFonts w:hint="eastAsia" w:ascii="宋体" w:hAnsi="宋体" w:eastAsia="宋体" w:cs="宋体"/>
          <w:color w:val="auto"/>
          <w:szCs w:val="21"/>
        </w:rPr>
        <w:t>1、投标人制作的投标文件应当具备目录。</w:t>
      </w:r>
      <w:r>
        <w:rPr>
          <w:rFonts w:hint="eastAsia" w:ascii="宋体" w:hAnsi="宋体" w:eastAsia="宋体" w:cs="宋体"/>
          <w:color w:val="auto"/>
          <w:szCs w:val="21"/>
        </w:rPr>
        <w:br w:type="page"/>
      </w:r>
    </w:p>
    <w:p w14:paraId="761474E9">
      <w:pPr>
        <w:pStyle w:val="5"/>
        <w:widowControl w:val="0"/>
        <w:overflowPunct w:val="0"/>
        <w:spacing w:line="240" w:lineRule="auto"/>
        <w:rPr>
          <w:rFonts w:hint="eastAsia" w:ascii="宋体" w:hAnsi="宋体" w:eastAsia="宋体" w:cs="宋体"/>
          <w:color w:val="auto"/>
          <w:sz w:val="21"/>
          <w:szCs w:val="21"/>
        </w:rPr>
      </w:pPr>
      <w:bookmarkStart w:id="138" w:name="_Toc7626"/>
      <w:r>
        <w:rPr>
          <w:rFonts w:hint="eastAsia" w:ascii="宋体" w:hAnsi="宋体" w:eastAsia="宋体" w:cs="宋体"/>
          <w:color w:val="auto"/>
          <w:sz w:val="21"/>
          <w:szCs w:val="21"/>
        </w:rPr>
        <w:t>附件1.评分标准索引表</w:t>
      </w:r>
      <w:bookmarkEnd w:id="138"/>
    </w:p>
    <w:p w14:paraId="09D616A5">
      <w:pPr>
        <w:adjustRightInd/>
        <w:snapToGrid/>
        <w:spacing w:line="276" w:lineRule="auto"/>
        <w:rPr>
          <w:rFonts w:hint="eastAsia" w:ascii="宋体" w:hAnsi="宋体" w:eastAsia="宋体" w:cs="宋体"/>
          <w:color w:val="auto"/>
          <w:szCs w:val="21"/>
        </w:rPr>
      </w:pPr>
    </w:p>
    <w:p w14:paraId="752F5F20">
      <w:pPr>
        <w:jc w:val="center"/>
        <w:rPr>
          <w:rFonts w:hint="eastAsia" w:ascii="宋体" w:hAnsi="宋体" w:eastAsia="宋体" w:cs="宋体"/>
          <w:color w:val="auto"/>
          <w:sz w:val="32"/>
          <w:szCs w:val="32"/>
        </w:rPr>
      </w:pPr>
      <w:r>
        <w:rPr>
          <w:rFonts w:hint="eastAsia" w:ascii="宋体" w:hAnsi="宋体" w:eastAsia="宋体" w:cs="宋体"/>
          <w:color w:val="auto"/>
          <w:sz w:val="32"/>
          <w:szCs w:val="32"/>
        </w:rPr>
        <w:t>评分标准索引表</w:t>
      </w:r>
    </w:p>
    <w:tbl>
      <w:tblPr>
        <w:tblStyle w:val="3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14:paraId="47D5D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704" w:type="dxa"/>
            <w:vAlign w:val="center"/>
          </w:tcPr>
          <w:p w14:paraId="35614EC1">
            <w:pPr>
              <w:jc w:val="center"/>
              <w:rPr>
                <w:rFonts w:hint="eastAsia" w:ascii="宋体" w:hAnsi="宋体" w:eastAsia="宋体" w:cs="宋体"/>
                <w:color w:val="auto"/>
              </w:rPr>
            </w:pPr>
            <w:r>
              <w:rPr>
                <w:rFonts w:hint="eastAsia" w:ascii="宋体" w:hAnsi="宋体" w:eastAsia="宋体" w:cs="宋体"/>
                <w:color w:val="auto"/>
              </w:rPr>
              <w:t>序号</w:t>
            </w:r>
          </w:p>
        </w:tc>
        <w:tc>
          <w:tcPr>
            <w:tcW w:w="1704" w:type="dxa"/>
            <w:vAlign w:val="center"/>
          </w:tcPr>
          <w:p w14:paraId="71170CF7">
            <w:pPr>
              <w:jc w:val="center"/>
              <w:rPr>
                <w:rFonts w:hint="eastAsia" w:ascii="宋体" w:hAnsi="宋体" w:eastAsia="宋体" w:cs="宋体"/>
                <w:color w:val="auto"/>
              </w:rPr>
            </w:pPr>
            <w:r>
              <w:rPr>
                <w:rFonts w:hint="eastAsia" w:ascii="宋体" w:hAnsi="宋体" w:eastAsia="宋体" w:cs="宋体"/>
                <w:color w:val="auto"/>
              </w:rPr>
              <w:t>评审项目</w:t>
            </w:r>
          </w:p>
        </w:tc>
        <w:tc>
          <w:tcPr>
            <w:tcW w:w="1704" w:type="dxa"/>
            <w:vAlign w:val="center"/>
          </w:tcPr>
          <w:p w14:paraId="1C594B2E">
            <w:pPr>
              <w:jc w:val="center"/>
              <w:rPr>
                <w:rFonts w:hint="eastAsia" w:ascii="宋体" w:hAnsi="宋体" w:eastAsia="宋体" w:cs="宋体"/>
                <w:color w:val="auto"/>
              </w:rPr>
            </w:pPr>
            <w:r>
              <w:rPr>
                <w:rFonts w:hint="eastAsia" w:ascii="宋体" w:hAnsi="宋体" w:eastAsia="宋体" w:cs="宋体"/>
                <w:color w:val="auto"/>
              </w:rPr>
              <w:t>评审细则</w:t>
            </w:r>
          </w:p>
        </w:tc>
        <w:tc>
          <w:tcPr>
            <w:tcW w:w="1705" w:type="dxa"/>
            <w:vAlign w:val="center"/>
          </w:tcPr>
          <w:p w14:paraId="28A5E979">
            <w:pPr>
              <w:jc w:val="center"/>
              <w:rPr>
                <w:rFonts w:hint="eastAsia" w:ascii="宋体" w:hAnsi="宋体" w:eastAsia="宋体" w:cs="宋体"/>
                <w:color w:val="auto"/>
              </w:rPr>
            </w:pPr>
            <w:r>
              <w:rPr>
                <w:rFonts w:hint="eastAsia" w:ascii="宋体" w:hAnsi="宋体" w:eastAsia="宋体" w:cs="宋体"/>
                <w:color w:val="auto"/>
              </w:rPr>
              <w:t>分值</w:t>
            </w:r>
          </w:p>
        </w:tc>
        <w:tc>
          <w:tcPr>
            <w:tcW w:w="1705" w:type="dxa"/>
            <w:vAlign w:val="center"/>
          </w:tcPr>
          <w:p w14:paraId="7FFA7E8D">
            <w:pPr>
              <w:jc w:val="center"/>
              <w:rPr>
                <w:rFonts w:hint="eastAsia" w:ascii="宋体" w:hAnsi="宋体" w:eastAsia="宋体" w:cs="宋体"/>
                <w:color w:val="auto"/>
              </w:rPr>
            </w:pPr>
            <w:r>
              <w:rPr>
                <w:rFonts w:hint="eastAsia" w:ascii="宋体" w:hAnsi="宋体" w:eastAsia="宋体" w:cs="宋体"/>
                <w:color w:val="auto"/>
              </w:rPr>
              <w:t>页码范围</w:t>
            </w:r>
          </w:p>
        </w:tc>
      </w:tr>
      <w:tr w14:paraId="589D7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14:paraId="72D46116">
            <w:pPr>
              <w:rPr>
                <w:rFonts w:hint="eastAsia" w:ascii="宋体" w:hAnsi="宋体" w:eastAsia="宋体" w:cs="宋体"/>
                <w:color w:val="auto"/>
              </w:rPr>
            </w:pPr>
            <w:r>
              <w:rPr>
                <w:rFonts w:hint="eastAsia" w:ascii="宋体" w:hAnsi="宋体" w:eastAsia="宋体" w:cs="宋体"/>
                <w:color w:val="auto"/>
              </w:rPr>
              <w:t>商务评审</w:t>
            </w:r>
          </w:p>
        </w:tc>
      </w:tr>
      <w:tr w14:paraId="306B9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2B499B82">
            <w:pPr>
              <w:jc w:val="center"/>
              <w:rPr>
                <w:rFonts w:hint="eastAsia" w:ascii="宋体" w:hAnsi="宋体" w:eastAsia="宋体" w:cs="宋体"/>
                <w:color w:val="auto"/>
              </w:rPr>
            </w:pPr>
          </w:p>
        </w:tc>
        <w:tc>
          <w:tcPr>
            <w:tcW w:w="1704" w:type="dxa"/>
            <w:vAlign w:val="center"/>
          </w:tcPr>
          <w:p w14:paraId="41DF81D3">
            <w:pPr>
              <w:jc w:val="center"/>
              <w:rPr>
                <w:rFonts w:hint="eastAsia" w:ascii="宋体" w:hAnsi="宋体" w:eastAsia="宋体" w:cs="宋体"/>
                <w:color w:val="auto"/>
              </w:rPr>
            </w:pPr>
          </w:p>
        </w:tc>
        <w:tc>
          <w:tcPr>
            <w:tcW w:w="1704" w:type="dxa"/>
            <w:vAlign w:val="center"/>
          </w:tcPr>
          <w:p w14:paraId="36844CF3">
            <w:pPr>
              <w:jc w:val="center"/>
              <w:rPr>
                <w:rFonts w:hint="eastAsia" w:ascii="宋体" w:hAnsi="宋体" w:eastAsia="宋体" w:cs="宋体"/>
                <w:color w:val="auto"/>
              </w:rPr>
            </w:pPr>
          </w:p>
        </w:tc>
        <w:tc>
          <w:tcPr>
            <w:tcW w:w="1705" w:type="dxa"/>
            <w:vAlign w:val="center"/>
          </w:tcPr>
          <w:p w14:paraId="0C88E331">
            <w:pPr>
              <w:jc w:val="center"/>
              <w:rPr>
                <w:rFonts w:hint="eastAsia" w:ascii="宋体" w:hAnsi="宋体" w:eastAsia="宋体" w:cs="宋体"/>
                <w:color w:val="auto"/>
              </w:rPr>
            </w:pPr>
          </w:p>
        </w:tc>
        <w:tc>
          <w:tcPr>
            <w:tcW w:w="1705" w:type="dxa"/>
            <w:vAlign w:val="center"/>
          </w:tcPr>
          <w:p w14:paraId="7A808B44">
            <w:pPr>
              <w:jc w:val="center"/>
              <w:rPr>
                <w:rFonts w:hint="eastAsia" w:ascii="宋体" w:hAnsi="宋体" w:eastAsia="宋体" w:cs="宋体"/>
                <w:color w:val="auto"/>
              </w:rPr>
            </w:pPr>
          </w:p>
        </w:tc>
      </w:tr>
      <w:tr w14:paraId="51545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2BE3E4A7">
            <w:pPr>
              <w:jc w:val="center"/>
              <w:rPr>
                <w:rFonts w:hint="eastAsia" w:ascii="宋体" w:hAnsi="宋体" w:eastAsia="宋体" w:cs="宋体"/>
                <w:color w:val="auto"/>
              </w:rPr>
            </w:pPr>
          </w:p>
        </w:tc>
        <w:tc>
          <w:tcPr>
            <w:tcW w:w="1704" w:type="dxa"/>
            <w:vAlign w:val="center"/>
          </w:tcPr>
          <w:p w14:paraId="60C7970F">
            <w:pPr>
              <w:jc w:val="center"/>
              <w:rPr>
                <w:rFonts w:hint="eastAsia" w:ascii="宋体" w:hAnsi="宋体" w:eastAsia="宋体" w:cs="宋体"/>
                <w:color w:val="auto"/>
              </w:rPr>
            </w:pPr>
          </w:p>
        </w:tc>
        <w:tc>
          <w:tcPr>
            <w:tcW w:w="1704" w:type="dxa"/>
            <w:vAlign w:val="center"/>
          </w:tcPr>
          <w:p w14:paraId="63FB03B9">
            <w:pPr>
              <w:jc w:val="center"/>
              <w:rPr>
                <w:rFonts w:hint="eastAsia" w:ascii="宋体" w:hAnsi="宋体" w:eastAsia="宋体" w:cs="宋体"/>
                <w:color w:val="auto"/>
              </w:rPr>
            </w:pPr>
          </w:p>
        </w:tc>
        <w:tc>
          <w:tcPr>
            <w:tcW w:w="1705" w:type="dxa"/>
            <w:vAlign w:val="center"/>
          </w:tcPr>
          <w:p w14:paraId="2FCAB1EA">
            <w:pPr>
              <w:jc w:val="center"/>
              <w:rPr>
                <w:rFonts w:hint="eastAsia" w:ascii="宋体" w:hAnsi="宋体" w:eastAsia="宋体" w:cs="宋体"/>
                <w:color w:val="auto"/>
              </w:rPr>
            </w:pPr>
          </w:p>
        </w:tc>
        <w:tc>
          <w:tcPr>
            <w:tcW w:w="1705" w:type="dxa"/>
            <w:vAlign w:val="center"/>
          </w:tcPr>
          <w:p w14:paraId="0E183275">
            <w:pPr>
              <w:jc w:val="center"/>
              <w:rPr>
                <w:rFonts w:hint="eastAsia" w:ascii="宋体" w:hAnsi="宋体" w:eastAsia="宋体" w:cs="宋体"/>
                <w:color w:val="auto"/>
              </w:rPr>
            </w:pPr>
          </w:p>
        </w:tc>
      </w:tr>
      <w:tr w14:paraId="0C401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2C2CD320">
            <w:pPr>
              <w:jc w:val="center"/>
              <w:rPr>
                <w:rFonts w:hint="eastAsia" w:ascii="宋体" w:hAnsi="宋体" w:eastAsia="宋体" w:cs="宋体"/>
                <w:color w:val="auto"/>
              </w:rPr>
            </w:pPr>
          </w:p>
        </w:tc>
        <w:tc>
          <w:tcPr>
            <w:tcW w:w="1704" w:type="dxa"/>
            <w:vAlign w:val="center"/>
          </w:tcPr>
          <w:p w14:paraId="4EAC4C3D">
            <w:pPr>
              <w:jc w:val="center"/>
              <w:rPr>
                <w:rFonts w:hint="eastAsia" w:ascii="宋体" w:hAnsi="宋体" w:eastAsia="宋体" w:cs="宋体"/>
                <w:color w:val="auto"/>
              </w:rPr>
            </w:pPr>
          </w:p>
        </w:tc>
        <w:tc>
          <w:tcPr>
            <w:tcW w:w="1704" w:type="dxa"/>
            <w:vAlign w:val="center"/>
          </w:tcPr>
          <w:p w14:paraId="42F5A34A">
            <w:pPr>
              <w:jc w:val="center"/>
              <w:rPr>
                <w:rFonts w:hint="eastAsia" w:ascii="宋体" w:hAnsi="宋体" w:eastAsia="宋体" w:cs="宋体"/>
                <w:color w:val="auto"/>
              </w:rPr>
            </w:pPr>
          </w:p>
        </w:tc>
        <w:tc>
          <w:tcPr>
            <w:tcW w:w="1705" w:type="dxa"/>
            <w:vAlign w:val="center"/>
          </w:tcPr>
          <w:p w14:paraId="648633A2">
            <w:pPr>
              <w:jc w:val="center"/>
              <w:rPr>
                <w:rFonts w:hint="eastAsia" w:ascii="宋体" w:hAnsi="宋体" w:eastAsia="宋体" w:cs="宋体"/>
                <w:color w:val="auto"/>
              </w:rPr>
            </w:pPr>
          </w:p>
        </w:tc>
        <w:tc>
          <w:tcPr>
            <w:tcW w:w="1705" w:type="dxa"/>
            <w:vAlign w:val="center"/>
          </w:tcPr>
          <w:p w14:paraId="0B77C152">
            <w:pPr>
              <w:jc w:val="center"/>
              <w:rPr>
                <w:rFonts w:hint="eastAsia" w:ascii="宋体" w:hAnsi="宋体" w:eastAsia="宋体" w:cs="宋体"/>
                <w:color w:val="auto"/>
              </w:rPr>
            </w:pPr>
          </w:p>
        </w:tc>
      </w:tr>
      <w:tr w14:paraId="755BE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14:paraId="11B55A75">
            <w:pPr>
              <w:rPr>
                <w:rFonts w:hint="eastAsia" w:ascii="宋体" w:hAnsi="宋体" w:eastAsia="宋体" w:cs="宋体"/>
                <w:color w:val="auto"/>
              </w:rPr>
            </w:pPr>
            <w:r>
              <w:rPr>
                <w:rFonts w:hint="eastAsia" w:ascii="宋体" w:hAnsi="宋体" w:eastAsia="宋体" w:cs="宋体"/>
                <w:color w:val="auto"/>
              </w:rPr>
              <w:t>技术评审</w:t>
            </w:r>
          </w:p>
        </w:tc>
      </w:tr>
      <w:tr w14:paraId="23BB5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62FC2565">
            <w:pPr>
              <w:jc w:val="center"/>
              <w:rPr>
                <w:rFonts w:hint="eastAsia" w:ascii="宋体" w:hAnsi="宋体" w:eastAsia="宋体" w:cs="宋体"/>
                <w:color w:val="auto"/>
              </w:rPr>
            </w:pPr>
          </w:p>
        </w:tc>
        <w:tc>
          <w:tcPr>
            <w:tcW w:w="1704" w:type="dxa"/>
            <w:vAlign w:val="center"/>
          </w:tcPr>
          <w:p w14:paraId="7E3391F1">
            <w:pPr>
              <w:jc w:val="center"/>
              <w:rPr>
                <w:rFonts w:hint="eastAsia" w:ascii="宋体" w:hAnsi="宋体" w:eastAsia="宋体" w:cs="宋体"/>
                <w:color w:val="auto"/>
              </w:rPr>
            </w:pPr>
          </w:p>
        </w:tc>
        <w:tc>
          <w:tcPr>
            <w:tcW w:w="1704" w:type="dxa"/>
            <w:vAlign w:val="center"/>
          </w:tcPr>
          <w:p w14:paraId="1B72CD3A">
            <w:pPr>
              <w:jc w:val="center"/>
              <w:rPr>
                <w:rFonts w:hint="eastAsia" w:ascii="宋体" w:hAnsi="宋体" w:eastAsia="宋体" w:cs="宋体"/>
                <w:color w:val="auto"/>
              </w:rPr>
            </w:pPr>
          </w:p>
        </w:tc>
        <w:tc>
          <w:tcPr>
            <w:tcW w:w="1705" w:type="dxa"/>
            <w:vAlign w:val="center"/>
          </w:tcPr>
          <w:p w14:paraId="1E37FB85">
            <w:pPr>
              <w:jc w:val="center"/>
              <w:rPr>
                <w:rFonts w:hint="eastAsia" w:ascii="宋体" w:hAnsi="宋体" w:eastAsia="宋体" w:cs="宋体"/>
                <w:color w:val="auto"/>
              </w:rPr>
            </w:pPr>
          </w:p>
        </w:tc>
        <w:tc>
          <w:tcPr>
            <w:tcW w:w="1705" w:type="dxa"/>
            <w:vAlign w:val="center"/>
          </w:tcPr>
          <w:p w14:paraId="64B8E1CD">
            <w:pPr>
              <w:jc w:val="center"/>
              <w:rPr>
                <w:rFonts w:hint="eastAsia" w:ascii="宋体" w:hAnsi="宋体" w:eastAsia="宋体" w:cs="宋体"/>
                <w:color w:val="auto"/>
              </w:rPr>
            </w:pPr>
          </w:p>
        </w:tc>
      </w:tr>
      <w:tr w14:paraId="1CEE4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63FB4070">
            <w:pPr>
              <w:jc w:val="center"/>
              <w:rPr>
                <w:rFonts w:hint="eastAsia" w:ascii="宋体" w:hAnsi="宋体" w:eastAsia="宋体" w:cs="宋体"/>
                <w:color w:val="auto"/>
              </w:rPr>
            </w:pPr>
          </w:p>
        </w:tc>
        <w:tc>
          <w:tcPr>
            <w:tcW w:w="1704" w:type="dxa"/>
            <w:vAlign w:val="center"/>
          </w:tcPr>
          <w:p w14:paraId="38E40598">
            <w:pPr>
              <w:jc w:val="center"/>
              <w:rPr>
                <w:rFonts w:hint="eastAsia" w:ascii="宋体" w:hAnsi="宋体" w:eastAsia="宋体" w:cs="宋体"/>
                <w:color w:val="auto"/>
              </w:rPr>
            </w:pPr>
          </w:p>
        </w:tc>
        <w:tc>
          <w:tcPr>
            <w:tcW w:w="1704" w:type="dxa"/>
            <w:vAlign w:val="center"/>
          </w:tcPr>
          <w:p w14:paraId="1EB76A31">
            <w:pPr>
              <w:jc w:val="center"/>
              <w:rPr>
                <w:rFonts w:hint="eastAsia" w:ascii="宋体" w:hAnsi="宋体" w:eastAsia="宋体" w:cs="宋体"/>
                <w:color w:val="auto"/>
              </w:rPr>
            </w:pPr>
          </w:p>
        </w:tc>
        <w:tc>
          <w:tcPr>
            <w:tcW w:w="1705" w:type="dxa"/>
            <w:vAlign w:val="center"/>
          </w:tcPr>
          <w:p w14:paraId="7D71A8B2">
            <w:pPr>
              <w:jc w:val="center"/>
              <w:rPr>
                <w:rFonts w:hint="eastAsia" w:ascii="宋体" w:hAnsi="宋体" w:eastAsia="宋体" w:cs="宋体"/>
                <w:color w:val="auto"/>
              </w:rPr>
            </w:pPr>
          </w:p>
        </w:tc>
        <w:tc>
          <w:tcPr>
            <w:tcW w:w="1705" w:type="dxa"/>
            <w:vAlign w:val="center"/>
          </w:tcPr>
          <w:p w14:paraId="0C61BF23">
            <w:pPr>
              <w:jc w:val="center"/>
              <w:rPr>
                <w:rFonts w:hint="eastAsia" w:ascii="宋体" w:hAnsi="宋体" w:eastAsia="宋体" w:cs="宋体"/>
                <w:color w:val="auto"/>
              </w:rPr>
            </w:pPr>
          </w:p>
        </w:tc>
      </w:tr>
      <w:tr w14:paraId="3074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1704" w:type="dxa"/>
            <w:vAlign w:val="center"/>
          </w:tcPr>
          <w:p w14:paraId="7C642032">
            <w:pPr>
              <w:jc w:val="center"/>
              <w:rPr>
                <w:rFonts w:hint="eastAsia" w:ascii="宋体" w:hAnsi="宋体" w:eastAsia="宋体" w:cs="宋体"/>
                <w:color w:val="auto"/>
              </w:rPr>
            </w:pPr>
          </w:p>
        </w:tc>
        <w:tc>
          <w:tcPr>
            <w:tcW w:w="1704" w:type="dxa"/>
            <w:vAlign w:val="center"/>
          </w:tcPr>
          <w:p w14:paraId="28341FB8">
            <w:pPr>
              <w:jc w:val="center"/>
              <w:rPr>
                <w:rFonts w:hint="eastAsia" w:ascii="宋体" w:hAnsi="宋体" w:eastAsia="宋体" w:cs="宋体"/>
                <w:color w:val="auto"/>
              </w:rPr>
            </w:pPr>
          </w:p>
        </w:tc>
        <w:tc>
          <w:tcPr>
            <w:tcW w:w="1704" w:type="dxa"/>
            <w:vAlign w:val="center"/>
          </w:tcPr>
          <w:p w14:paraId="72B18B91">
            <w:pPr>
              <w:jc w:val="center"/>
              <w:rPr>
                <w:rFonts w:hint="eastAsia" w:ascii="宋体" w:hAnsi="宋体" w:eastAsia="宋体" w:cs="宋体"/>
                <w:color w:val="auto"/>
              </w:rPr>
            </w:pPr>
          </w:p>
        </w:tc>
        <w:tc>
          <w:tcPr>
            <w:tcW w:w="1705" w:type="dxa"/>
            <w:vAlign w:val="center"/>
          </w:tcPr>
          <w:p w14:paraId="20441C95">
            <w:pPr>
              <w:jc w:val="center"/>
              <w:rPr>
                <w:rFonts w:hint="eastAsia" w:ascii="宋体" w:hAnsi="宋体" w:eastAsia="宋体" w:cs="宋体"/>
                <w:color w:val="auto"/>
              </w:rPr>
            </w:pPr>
          </w:p>
        </w:tc>
        <w:tc>
          <w:tcPr>
            <w:tcW w:w="1705" w:type="dxa"/>
            <w:vAlign w:val="center"/>
          </w:tcPr>
          <w:p w14:paraId="700950F9">
            <w:pPr>
              <w:jc w:val="center"/>
              <w:rPr>
                <w:rFonts w:hint="eastAsia" w:ascii="宋体" w:hAnsi="宋体" w:eastAsia="宋体" w:cs="宋体"/>
                <w:color w:val="auto"/>
              </w:rPr>
            </w:pPr>
          </w:p>
        </w:tc>
      </w:tr>
    </w:tbl>
    <w:p w14:paraId="7B9EA5DC">
      <w:pPr>
        <w:rPr>
          <w:rFonts w:hint="eastAsia" w:ascii="宋体" w:hAnsi="宋体" w:eastAsia="宋体" w:cs="宋体"/>
          <w:color w:val="auto"/>
          <w:szCs w:val="21"/>
        </w:rPr>
      </w:pPr>
    </w:p>
    <w:p w14:paraId="104DE4DB">
      <w:pPr>
        <w:rPr>
          <w:rFonts w:hint="eastAsia" w:ascii="宋体" w:hAnsi="宋体" w:eastAsia="宋体" w:cs="宋体"/>
          <w:color w:val="auto"/>
          <w:szCs w:val="21"/>
        </w:rPr>
      </w:pPr>
      <w:r>
        <w:rPr>
          <w:rFonts w:hint="eastAsia" w:ascii="宋体" w:hAnsi="宋体" w:eastAsia="宋体" w:cs="宋体"/>
          <w:color w:val="auto"/>
          <w:szCs w:val="21"/>
        </w:rPr>
        <w:t>注：</w:t>
      </w:r>
    </w:p>
    <w:p w14:paraId="175169D2">
      <w:pPr>
        <w:numPr>
          <w:ilvl w:val="0"/>
          <w:numId w:val="7"/>
        </w:numPr>
        <w:rPr>
          <w:rFonts w:hint="eastAsia" w:ascii="宋体" w:hAnsi="宋体" w:eastAsia="宋体" w:cs="宋体"/>
          <w:color w:val="auto"/>
          <w:szCs w:val="21"/>
        </w:rPr>
      </w:pPr>
      <w:r>
        <w:rPr>
          <w:rFonts w:hint="eastAsia" w:ascii="宋体" w:hAnsi="宋体" w:eastAsia="宋体" w:cs="宋体"/>
          <w:color w:val="auto"/>
          <w:szCs w:val="21"/>
        </w:rPr>
        <w:t>该表格为参考格式，投标人可按实际情况自行制订评分标准索引表。</w:t>
      </w:r>
    </w:p>
    <w:p w14:paraId="295562F9">
      <w:pPr>
        <w:pStyle w:val="11"/>
        <w:spacing w:before="0"/>
        <w:ind w:left="0"/>
        <w:rPr>
          <w:rFonts w:hint="eastAsia" w:ascii="宋体" w:hAnsi="宋体" w:eastAsia="宋体" w:cs="宋体"/>
          <w:color w:val="auto"/>
        </w:rPr>
      </w:pPr>
    </w:p>
    <w:p w14:paraId="4BC2C173">
      <w:pPr>
        <w:adjustRightInd/>
        <w:snapToGrid/>
        <w:spacing w:line="276" w:lineRule="auto"/>
        <w:rPr>
          <w:rFonts w:hint="eastAsia" w:ascii="宋体" w:hAnsi="宋体" w:eastAsia="宋体" w:cs="宋体"/>
          <w:color w:val="auto"/>
          <w:szCs w:val="21"/>
        </w:rPr>
      </w:pPr>
    </w:p>
    <w:p w14:paraId="09842E33">
      <w:pPr>
        <w:adjustRightInd/>
        <w:snapToGrid/>
        <w:spacing w:line="276" w:lineRule="auto"/>
        <w:rPr>
          <w:rFonts w:hint="eastAsia" w:ascii="宋体" w:hAnsi="宋体" w:eastAsia="宋体" w:cs="宋体"/>
          <w:color w:val="auto"/>
          <w:szCs w:val="21"/>
        </w:rPr>
      </w:pPr>
    </w:p>
    <w:p w14:paraId="2EED10B4">
      <w:pPr>
        <w:adjustRightInd/>
        <w:snapToGrid/>
        <w:spacing w:line="276" w:lineRule="auto"/>
        <w:rPr>
          <w:rFonts w:hint="eastAsia" w:ascii="宋体" w:hAnsi="宋体" w:eastAsia="宋体" w:cs="宋体"/>
          <w:color w:val="auto"/>
          <w:szCs w:val="21"/>
        </w:rPr>
      </w:pPr>
    </w:p>
    <w:p w14:paraId="57A68961">
      <w:pPr>
        <w:adjustRightInd/>
        <w:snapToGrid/>
        <w:spacing w:line="276" w:lineRule="auto"/>
        <w:rPr>
          <w:rFonts w:hint="eastAsia" w:ascii="宋体" w:hAnsi="宋体" w:eastAsia="宋体" w:cs="宋体"/>
          <w:color w:val="auto"/>
          <w:szCs w:val="21"/>
        </w:rPr>
      </w:pPr>
    </w:p>
    <w:p w14:paraId="2AF12CB9">
      <w:pPr>
        <w:adjustRightInd/>
        <w:snapToGrid/>
        <w:spacing w:line="276" w:lineRule="auto"/>
        <w:rPr>
          <w:rFonts w:hint="eastAsia" w:ascii="宋体" w:hAnsi="宋体" w:eastAsia="宋体" w:cs="宋体"/>
          <w:color w:val="auto"/>
          <w:szCs w:val="21"/>
        </w:rPr>
      </w:pPr>
    </w:p>
    <w:p w14:paraId="014D90EC">
      <w:pPr>
        <w:adjustRightInd/>
        <w:snapToGrid/>
        <w:spacing w:line="276" w:lineRule="auto"/>
        <w:rPr>
          <w:rFonts w:hint="eastAsia" w:ascii="宋体" w:hAnsi="宋体" w:eastAsia="宋体" w:cs="宋体"/>
          <w:color w:val="auto"/>
          <w:szCs w:val="21"/>
        </w:rPr>
      </w:pPr>
      <w:r>
        <w:rPr>
          <w:rFonts w:hint="eastAsia" w:ascii="宋体" w:hAnsi="宋体" w:eastAsia="宋体" w:cs="宋体"/>
          <w:color w:val="auto"/>
          <w:szCs w:val="21"/>
        </w:rPr>
        <w:br w:type="page"/>
      </w:r>
    </w:p>
    <w:p w14:paraId="17BD6DCD">
      <w:pPr>
        <w:jc w:val="center"/>
        <w:rPr>
          <w:rFonts w:hint="eastAsia" w:ascii="宋体" w:hAnsi="宋体" w:eastAsia="宋体" w:cs="宋体"/>
          <w:color w:val="auto"/>
          <w:sz w:val="52"/>
          <w:szCs w:val="52"/>
        </w:rPr>
      </w:pPr>
      <w:bookmarkStart w:id="139" w:name="_Toc30918"/>
      <w:bookmarkStart w:id="140" w:name="_Toc18450"/>
      <w:bookmarkStart w:id="141" w:name="_Toc28154"/>
      <w:bookmarkStart w:id="142" w:name="_Toc20335"/>
      <w:bookmarkStart w:id="143" w:name="_Toc21746"/>
    </w:p>
    <w:p w14:paraId="592A1090">
      <w:pPr>
        <w:pStyle w:val="3"/>
        <w:spacing w:before="0" w:after="0" w:line="360" w:lineRule="auto"/>
        <w:jc w:val="center"/>
        <w:rPr>
          <w:rFonts w:hint="eastAsia" w:ascii="宋体" w:hAnsi="宋体" w:eastAsia="宋体" w:cs="宋体"/>
          <w:color w:val="auto"/>
          <w:sz w:val="72"/>
          <w:szCs w:val="72"/>
        </w:rPr>
      </w:pPr>
      <w:bookmarkStart w:id="144" w:name="_Toc29763"/>
      <w:r>
        <w:rPr>
          <w:rFonts w:hint="eastAsia" w:ascii="宋体" w:hAnsi="宋体" w:eastAsia="宋体" w:cs="宋体"/>
          <w:color w:val="auto"/>
          <w:sz w:val="72"/>
          <w:szCs w:val="72"/>
        </w:rPr>
        <w:t>价格文件</w:t>
      </w:r>
      <w:bookmarkEnd w:id="139"/>
      <w:bookmarkEnd w:id="140"/>
      <w:bookmarkEnd w:id="144"/>
      <w:bookmarkStart w:id="145" w:name="_Hlt10456397"/>
      <w:bookmarkEnd w:id="145"/>
      <w:bookmarkStart w:id="146" w:name="_Hlt10519799"/>
      <w:bookmarkEnd w:id="146"/>
    </w:p>
    <w:p w14:paraId="3DCA4768">
      <w:pPr>
        <w:jc w:val="center"/>
        <w:rPr>
          <w:rFonts w:hint="eastAsia" w:ascii="宋体" w:hAnsi="宋体" w:eastAsia="宋体" w:cs="宋体"/>
          <w:color w:val="auto"/>
          <w:sz w:val="72"/>
          <w:szCs w:val="72"/>
        </w:rPr>
      </w:pPr>
      <w:r>
        <w:rPr>
          <w:rFonts w:hint="eastAsia" w:ascii="宋体" w:hAnsi="宋体" w:eastAsia="宋体" w:cs="宋体"/>
          <w:color w:val="auto"/>
          <w:sz w:val="72"/>
          <w:szCs w:val="72"/>
        </w:rPr>
        <w:t>（单独装订成册）</w:t>
      </w:r>
      <w:bookmarkEnd w:id="141"/>
      <w:bookmarkEnd w:id="142"/>
      <w:bookmarkEnd w:id="143"/>
    </w:p>
    <w:p w14:paraId="14222FE9">
      <w:pPr>
        <w:rPr>
          <w:rFonts w:hint="eastAsia" w:ascii="宋体" w:hAnsi="宋体" w:eastAsia="宋体" w:cs="宋体"/>
          <w:color w:val="auto"/>
        </w:rPr>
      </w:pPr>
    </w:p>
    <w:p w14:paraId="7E94A9EC">
      <w:pPr>
        <w:pStyle w:val="11"/>
        <w:rPr>
          <w:rFonts w:hint="eastAsia" w:ascii="宋体" w:hAnsi="宋体" w:eastAsia="宋体" w:cs="宋体"/>
          <w:color w:val="auto"/>
        </w:rPr>
      </w:pPr>
    </w:p>
    <w:p w14:paraId="2847D05A">
      <w:pPr>
        <w:pStyle w:val="12"/>
        <w:spacing w:before="0" w:after="0"/>
        <w:ind w:left="0" w:firstLine="240"/>
        <w:rPr>
          <w:rFonts w:hint="eastAsia" w:ascii="宋体" w:hAnsi="宋体" w:eastAsia="宋体" w:cs="宋体"/>
          <w:color w:val="auto"/>
        </w:rPr>
      </w:pPr>
    </w:p>
    <w:p w14:paraId="6610CBDC">
      <w:pPr>
        <w:rPr>
          <w:rFonts w:hint="eastAsia" w:ascii="宋体" w:hAnsi="宋体" w:eastAsia="宋体" w:cs="宋体"/>
          <w:b/>
          <w:bCs/>
          <w:color w:val="auto"/>
          <w:spacing w:val="-6"/>
          <w:sz w:val="32"/>
          <w:szCs w:val="32"/>
        </w:rPr>
      </w:pPr>
      <w:r>
        <w:rPr>
          <w:rFonts w:hint="eastAsia" w:ascii="宋体" w:hAnsi="宋体" w:eastAsia="宋体" w:cs="宋体"/>
          <w:b/>
          <w:bCs/>
          <w:color w:val="auto"/>
          <w:spacing w:val="53"/>
          <w:kern w:val="0"/>
          <w:sz w:val="32"/>
          <w:szCs w:val="32"/>
          <w:fitText w:val="1600" w:id="1947737316"/>
        </w:rPr>
        <w:t>项目名</w:t>
      </w:r>
      <w:r>
        <w:rPr>
          <w:rFonts w:hint="eastAsia" w:ascii="宋体" w:hAnsi="宋体" w:eastAsia="宋体" w:cs="宋体"/>
          <w:b/>
          <w:bCs/>
          <w:color w:val="auto"/>
          <w:spacing w:val="1"/>
          <w:kern w:val="0"/>
          <w:sz w:val="32"/>
          <w:szCs w:val="32"/>
          <w:fitText w:val="1600" w:id="1947737316"/>
        </w:rPr>
        <w:t>称</w:t>
      </w:r>
      <w:r>
        <w:rPr>
          <w:rFonts w:hint="eastAsia" w:ascii="宋体" w:hAnsi="宋体" w:eastAsia="宋体" w:cs="宋体"/>
          <w:b/>
          <w:bCs/>
          <w:color w:val="auto"/>
          <w:spacing w:val="-6"/>
          <w:sz w:val="32"/>
          <w:szCs w:val="32"/>
        </w:rPr>
        <w:t>：</w:t>
      </w:r>
    </w:p>
    <w:p w14:paraId="2D69957C">
      <w:pPr>
        <w:rPr>
          <w:rFonts w:hint="eastAsia" w:ascii="宋体" w:hAnsi="宋体" w:eastAsia="宋体" w:cs="宋体"/>
          <w:b/>
          <w:bCs/>
          <w:color w:val="auto"/>
          <w:sz w:val="32"/>
          <w:szCs w:val="32"/>
        </w:rPr>
      </w:pPr>
      <w:r>
        <w:rPr>
          <w:rFonts w:hint="eastAsia" w:ascii="宋体" w:hAnsi="宋体" w:eastAsia="宋体" w:cs="宋体"/>
          <w:b/>
          <w:bCs/>
          <w:color w:val="auto"/>
          <w:spacing w:val="53"/>
          <w:kern w:val="0"/>
          <w:sz w:val="32"/>
          <w:szCs w:val="32"/>
          <w:fitText w:val="1600" w:id="70211570"/>
        </w:rPr>
        <w:t>项目编</w:t>
      </w:r>
      <w:r>
        <w:rPr>
          <w:rFonts w:hint="eastAsia" w:ascii="宋体" w:hAnsi="宋体" w:eastAsia="宋体" w:cs="宋体"/>
          <w:b/>
          <w:bCs/>
          <w:color w:val="auto"/>
          <w:spacing w:val="1"/>
          <w:kern w:val="0"/>
          <w:sz w:val="32"/>
          <w:szCs w:val="32"/>
          <w:fitText w:val="1600" w:id="70211570"/>
        </w:rPr>
        <w:t>号</w:t>
      </w:r>
      <w:r>
        <w:rPr>
          <w:rFonts w:hint="eastAsia" w:ascii="宋体" w:hAnsi="宋体" w:eastAsia="宋体" w:cs="宋体"/>
          <w:b/>
          <w:bCs/>
          <w:color w:val="auto"/>
          <w:sz w:val="32"/>
          <w:szCs w:val="32"/>
        </w:rPr>
        <w:t>：</w:t>
      </w:r>
    </w:p>
    <w:p w14:paraId="4698725D">
      <w:pPr>
        <w:pStyle w:val="31"/>
        <w:widowControl/>
        <w:adjustRightInd w:val="0"/>
        <w:snapToGrid w:val="0"/>
        <w:jc w:val="left"/>
        <w:rPr>
          <w:rFonts w:hint="eastAsia" w:ascii="宋体" w:hAnsi="宋体" w:eastAsia="宋体" w:cs="宋体"/>
          <w:b/>
          <w:color w:val="auto"/>
          <w:spacing w:val="1280"/>
          <w:kern w:val="0"/>
          <w:sz w:val="32"/>
          <w:szCs w:val="32"/>
        </w:rPr>
      </w:pPr>
      <w:r>
        <w:rPr>
          <w:rFonts w:hint="eastAsia" w:ascii="宋体" w:hAnsi="宋体" w:eastAsia="宋体" w:cs="宋体"/>
          <w:b/>
          <w:color w:val="auto"/>
          <w:spacing w:val="106"/>
          <w:kern w:val="0"/>
          <w:sz w:val="32"/>
          <w:szCs w:val="32"/>
          <w:lang w:bidi="ar"/>
        </w:rPr>
        <w:t>包组号（如有）：</w:t>
      </w:r>
    </w:p>
    <w:p w14:paraId="61683C17">
      <w:pPr>
        <w:rPr>
          <w:rFonts w:hint="eastAsia" w:ascii="宋体" w:hAnsi="宋体" w:eastAsia="宋体" w:cs="宋体"/>
          <w:b/>
          <w:color w:val="auto"/>
          <w:sz w:val="32"/>
          <w:szCs w:val="32"/>
        </w:rPr>
      </w:pPr>
      <w:r>
        <w:rPr>
          <w:rFonts w:hint="eastAsia" w:ascii="宋体" w:hAnsi="宋体" w:eastAsia="宋体" w:cs="宋体"/>
          <w:b/>
          <w:color w:val="auto"/>
          <w:spacing w:val="0"/>
          <w:kern w:val="0"/>
          <w:sz w:val="32"/>
          <w:szCs w:val="32"/>
          <w:fitText w:val="1600" w:id="1458731915"/>
        </w:rPr>
        <w:t>投标人名称</w:t>
      </w:r>
      <w:r>
        <w:rPr>
          <w:rFonts w:hint="eastAsia" w:ascii="宋体" w:hAnsi="宋体" w:eastAsia="宋体" w:cs="宋体"/>
          <w:b/>
          <w:color w:val="auto"/>
          <w:sz w:val="32"/>
          <w:szCs w:val="32"/>
        </w:rPr>
        <w:t>：</w:t>
      </w:r>
    </w:p>
    <w:p w14:paraId="76D6242E">
      <w:pPr>
        <w:rPr>
          <w:rFonts w:hint="eastAsia" w:ascii="宋体" w:hAnsi="宋体" w:eastAsia="宋体" w:cs="宋体"/>
          <w:b/>
          <w:color w:val="auto"/>
          <w:sz w:val="32"/>
          <w:szCs w:val="32"/>
        </w:rPr>
      </w:pPr>
      <w:r>
        <w:rPr>
          <w:rFonts w:hint="eastAsia" w:ascii="宋体" w:hAnsi="宋体" w:eastAsia="宋体" w:cs="宋体"/>
          <w:b/>
          <w:color w:val="auto"/>
          <w:spacing w:val="32"/>
          <w:kern w:val="0"/>
          <w:sz w:val="32"/>
          <w:szCs w:val="32"/>
          <w:fitText w:val="1600" w:id="437591866"/>
        </w:rPr>
        <w:t xml:space="preserve">日    </w:t>
      </w:r>
      <w:r>
        <w:rPr>
          <w:rFonts w:hint="eastAsia" w:ascii="宋体" w:hAnsi="宋体" w:eastAsia="宋体" w:cs="宋体"/>
          <w:b/>
          <w:color w:val="auto"/>
          <w:spacing w:val="0"/>
          <w:kern w:val="0"/>
          <w:sz w:val="32"/>
          <w:szCs w:val="32"/>
          <w:fitText w:val="1600" w:id="437591866"/>
        </w:rPr>
        <w:t>期</w:t>
      </w:r>
      <w:r>
        <w:rPr>
          <w:rFonts w:hint="eastAsia" w:ascii="宋体" w:hAnsi="宋体" w:eastAsia="宋体" w:cs="宋体"/>
          <w:b/>
          <w:color w:val="auto"/>
          <w:sz w:val="32"/>
          <w:szCs w:val="32"/>
        </w:rPr>
        <w:t>：</w:t>
      </w:r>
    </w:p>
    <w:p w14:paraId="1036F326">
      <w:pPr>
        <w:rPr>
          <w:rFonts w:hint="eastAsia" w:ascii="宋体" w:hAnsi="宋体" w:eastAsia="宋体" w:cs="宋体"/>
          <w:color w:val="auto"/>
        </w:rPr>
      </w:pPr>
    </w:p>
    <w:p w14:paraId="271AA4CA">
      <w:pPr>
        <w:pStyle w:val="11"/>
        <w:rPr>
          <w:rFonts w:hint="eastAsia" w:ascii="宋体" w:hAnsi="宋体" w:eastAsia="宋体" w:cs="宋体"/>
          <w:color w:val="auto"/>
        </w:rPr>
      </w:pPr>
    </w:p>
    <w:p w14:paraId="4430A4C3">
      <w:pPr>
        <w:pStyle w:val="12"/>
        <w:ind w:firstLine="240"/>
        <w:rPr>
          <w:rFonts w:hint="eastAsia" w:ascii="宋体" w:hAnsi="宋体" w:eastAsia="宋体" w:cs="宋体"/>
          <w:color w:val="auto"/>
        </w:rPr>
      </w:pPr>
    </w:p>
    <w:p w14:paraId="192D9C57">
      <w:pPr>
        <w:pStyle w:val="25"/>
        <w:rPr>
          <w:rFonts w:hint="eastAsia" w:ascii="宋体" w:hAnsi="宋体" w:eastAsia="宋体" w:cs="宋体"/>
          <w:color w:val="auto"/>
        </w:rPr>
      </w:pPr>
    </w:p>
    <w:p w14:paraId="05D384BC">
      <w:pPr>
        <w:rPr>
          <w:rFonts w:hint="eastAsia" w:ascii="宋体" w:hAnsi="宋体" w:eastAsia="宋体" w:cs="宋体"/>
          <w:color w:val="auto"/>
        </w:rPr>
      </w:pPr>
    </w:p>
    <w:p w14:paraId="1E97CC95">
      <w:pPr>
        <w:pStyle w:val="11"/>
        <w:rPr>
          <w:rFonts w:hint="eastAsia" w:ascii="宋体" w:hAnsi="宋体" w:eastAsia="宋体" w:cs="宋体"/>
          <w:color w:val="auto"/>
        </w:rPr>
      </w:pPr>
    </w:p>
    <w:p w14:paraId="40903104">
      <w:pPr>
        <w:pStyle w:val="12"/>
        <w:ind w:firstLine="240"/>
        <w:rPr>
          <w:rFonts w:hint="eastAsia" w:ascii="宋体" w:hAnsi="宋体" w:eastAsia="宋体" w:cs="宋体"/>
          <w:color w:val="auto"/>
        </w:rPr>
      </w:pPr>
    </w:p>
    <w:p w14:paraId="76B54BD4">
      <w:pPr>
        <w:pStyle w:val="25"/>
        <w:rPr>
          <w:rFonts w:hint="eastAsia" w:ascii="宋体" w:hAnsi="宋体" w:eastAsia="宋体" w:cs="宋体"/>
          <w:color w:val="auto"/>
        </w:rPr>
      </w:pPr>
    </w:p>
    <w:p w14:paraId="242AFB01">
      <w:pPr>
        <w:pStyle w:val="25"/>
        <w:ind w:left="0"/>
        <w:rPr>
          <w:rFonts w:hint="eastAsia" w:ascii="宋体" w:hAnsi="宋体" w:eastAsia="宋体" w:cs="宋体"/>
          <w:color w:val="auto"/>
        </w:rPr>
      </w:pPr>
    </w:p>
    <w:p w14:paraId="1FEC19ED">
      <w:pPr>
        <w:rPr>
          <w:rFonts w:hint="eastAsia" w:ascii="宋体" w:hAnsi="宋体" w:eastAsia="宋体" w:cs="宋体"/>
          <w:color w:val="auto"/>
          <w:szCs w:val="21"/>
        </w:rPr>
      </w:pPr>
      <w:r>
        <w:rPr>
          <w:rFonts w:hint="eastAsia" w:ascii="宋体" w:hAnsi="宋体" w:eastAsia="宋体" w:cs="宋体"/>
          <w:color w:val="auto"/>
          <w:szCs w:val="21"/>
        </w:rPr>
        <w:br w:type="page"/>
      </w:r>
    </w:p>
    <w:p w14:paraId="3FAB544B">
      <w:pPr>
        <w:pStyle w:val="5"/>
        <w:widowControl w:val="0"/>
        <w:overflowPunct w:val="0"/>
        <w:spacing w:line="240" w:lineRule="auto"/>
        <w:rPr>
          <w:rFonts w:hint="eastAsia" w:ascii="宋体" w:hAnsi="宋体" w:eastAsia="宋体" w:cs="宋体"/>
          <w:color w:val="auto"/>
          <w:sz w:val="21"/>
          <w:szCs w:val="21"/>
        </w:rPr>
      </w:pPr>
      <w:bookmarkStart w:id="147" w:name="_Toc11448"/>
      <w:r>
        <w:rPr>
          <w:rFonts w:hint="eastAsia" w:ascii="宋体" w:hAnsi="宋体" w:eastAsia="宋体" w:cs="宋体"/>
          <w:color w:val="auto"/>
          <w:sz w:val="21"/>
          <w:szCs w:val="21"/>
        </w:rPr>
        <w:t>附件2.开标一览表格式</w:t>
      </w:r>
      <w:bookmarkEnd w:id="147"/>
    </w:p>
    <w:p w14:paraId="2ACD87C1">
      <w:pPr>
        <w:jc w:val="center"/>
        <w:rPr>
          <w:rFonts w:hint="eastAsia" w:ascii="宋体" w:hAnsi="宋体" w:eastAsia="宋体" w:cs="宋体"/>
          <w:color w:val="auto"/>
          <w:sz w:val="32"/>
          <w:szCs w:val="32"/>
        </w:rPr>
      </w:pPr>
      <w:r>
        <w:rPr>
          <w:rFonts w:hint="eastAsia" w:ascii="宋体" w:hAnsi="宋体" w:eastAsia="宋体" w:cs="宋体"/>
          <w:color w:val="auto"/>
          <w:sz w:val="32"/>
          <w:szCs w:val="32"/>
        </w:rPr>
        <w:t>开标一览表</w:t>
      </w:r>
    </w:p>
    <w:p w14:paraId="29DDCE08">
      <w:pPr>
        <w:rPr>
          <w:rFonts w:hint="eastAsia" w:ascii="宋体" w:hAnsi="宋体" w:eastAsia="宋体" w:cs="宋体"/>
          <w:color w:val="auto"/>
          <w:szCs w:val="21"/>
        </w:rPr>
      </w:pPr>
      <w:r>
        <w:rPr>
          <w:rFonts w:hint="eastAsia" w:ascii="宋体" w:hAnsi="宋体" w:eastAsia="宋体" w:cs="宋体"/>
          <w:color w:val="auto"/>
          <w:szCs w:val="21"/>
        </w:rPr>
        <w:t>投标人名称：</w:t>
      </w:r>
    </w:p>
    <w:p w14:paraId="3D35D75B">
      <w:pPr>
        <w:rPr>
          <w:rFonts w:hint="eastAsia" w:ascii="宋体" w:hAnsi="宋体" w:eastAsia="宋体" w:cs="宋体"/>
          <w:color w:val="auto"/>
          <w:szCs w:val="21"/>
        </w:rPr>
      </w:pPr>
      <w:r>
        <w:rPr>
          <w:rFonts w:hint="eastAsia" w:ascii="宋体" w:hAnsi="宋体" w:eastAsia="宋体" w:cs="宋体"/>
          <w:color w:val="auto"/>
          <w:szCs w:val="21"/>
        </w:rPr>
        <w:t>采购项目编号：</w:t>
      </w:r>
    </w:p>
    <w:p w14:paraId="6982D717">
      <w:pPr>
        <w:rPr>
          <w:rFonts w:hint="eastAsia" w:ascii="宋体" w:hAnsi="宋体" w:eastAsia="宋体" w:cs="宋体"/>
          <w:color w:val="auto"/>
          <w:szCs w:val="21"/>
        </w:rPr>
      </w:pPr>
    </w:p>
    <w:tbl>
      <w:tblPr>
        <w:tblStyle w:val="34"/>
        <w:tblW w:w="88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30"/>
        <w:gridCol w:w="4173"/>
        <w:gridCol w:w="962"/>
      </w:tblGrid>
      <w:tr w14:paraId="3ADD6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3730" w:type="dxa"/>
            <w:tcBorders>
              <w:bottom w:val="double" w:color="auto" w:sz="4" w:space="0"/>
            </w:tcBorders>
            <w:vAlign w:val="center"/>
          </w:tcPr>
          <w:p w14:paraId="1B3CB876">
            <w:pPr>
              <w:widowControl w:val="0"/>
              <w:tabs>
                <w:tab w:val="left" w:pos="654"/>
                <w:tab w:val="left" w:pos="1734"/>
                <w:tab w:val="left" w:pos="2814"/>
                <w:tab w:val="left" w:pos="3894"/>
                <w:tab w:val="left" w:pos="5334"/>
                <w:tab w:val="left" w:pos="6414"/>
                <w:tab w:val="left" w:pos="7254"/>
                <w:tab w:val="left" w:pos="8574"/>
                <w:tab w:val="left" w:pos="9654"/>
              </w:tabs>
              <w:adjustRightInd/>
              <w:snapToGrid/>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项目名称</w:t>
            </w:r>
          </w:p>
        </w:tc>
        <w:tc>
          <w:tcPr>
            <w:tcW w:w="4173" w:type="dxa"/>
            <w:tcBorders>
              <w:bottom w:val="double" w:color="auto" w:sz="4" w:space="0"/>
            </w:tcBorders>
            <w:vAlign w:val="center"/>
          </w:tcPr>
          <w:p w14:paraId="037D4284">
            <w:pPr>
              <w:widowControl w:val="0"/>
              <w:tabs>
                <w:tab w:val="left" w:pos="654"/>
                <w:tab w:val="left" w:pos="1734"/>
                <w:tab w:val="left" w:pos="2814"/>
                <w:tab w:val="left" w:pos="3894"/>
                <w:tab w:val="left" w:pos="5334"/>
                <w:tab w:val="left" w:pos="6414"/>
                <w:tab w:val="left" w:pos="7254"/>
                <w:tab w:val="left" w:pos="8574"/>
                <w:tab w:val="left" w:pos="9654"/>
              </w:tabs>
              <w:adjustRightInd/>
              <w:snapToGrid/>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投标报价</w:t>
            </w:r>
          </w:p>
        </w:tc>
        <w:tc>
          <w:tcPr>
            <w:tcW w:w="962" w:type="dxa"/>
            <w:tcBorders>
              <w:bottom w:val="double" w:color="auto" w:sz="4" w:space="0"/>
            </w:tcBorders>
            <w:vAlign w:val="center"/>
          </w:tcPr>
          <w:p w14:paraId="776D658A">
            <w:pPr>
              <w:widowControl w:val="0"/>
              <w:tabs>
                <w:tab w:val="left" w:pos="654"/>
                <w:tab w:val="left" w:pos="1734"/>
                <w:tab w:val="left" w:pos="2814"/>
                <w:tab w:val="left" w:pos="3894"/>
                <w:tab w:val="left" w:pos="5334"/>
                <w:tab w:val="left" w:pos="6414"/>
                <w:tab w:val="left" w:pos="7254"/>
                <w:tab w:val="left" w:pos="8574"/>
                <w:tab w:val="left" w:pos="9654"/>
              </w:tabs>
              <w:adjustRightInd/>
              <w:snapToGrid/>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备注</w:t>
            </w:r>
          </w:p>
        </w:tc>
      </w:tr>
      <w:tr w14:paraId="0F25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6" w:hRule="atLeast"/>
          <w:jc w:val="center"/>
        </w:trPr>
        <w:tc>
          <w:tcPr>
            <w:tcW w:w="3730" w:type="dxa"/>
            <w:vAlign w:val="center"/>
          </w:tcPr>
          <w:p w14:paraId="5B3A4592">
            <w:pPr>
              <w:widowControl w:val="0"/>
              <w:autoSpaceDE w:val="0"/>
              <w:autoSpaceDN w:val="0"/>
              <w:jc w:val="center"/>
              <w:rPr>
                <w:rFonts w:hint="eastAsia" w:ascii="宋体" w:hAnsi="宋体" w:eastAsia="宋体" w:cs="宋体"/>
                <w:color w:val="auto"/>
                <w:kern w:val="2"/>
                <w:sz w:val="21"/>
                <w:szCs w:val="21"/>
              </w:rPr>
            </w:pPr>
          </w:p>
        </w:tc>
        <w:tc>
          <w:tcPr>
            <w:tcW w:w="4173" w:type="dxa"/>
            <w:vAlign w:val="center"/>
          </w:tcPr>
          <w:p w14:paraId="658BCB80">
            <w:pPr>
              <w:adjustRightInd/>
              <w:snapToGrid/>
              <w:jc w:val="both"/>
              <w:rPr>
                <w:rFonts w:hint="eastAsia" w:ascii="宋体" w:hAnsi="宋体" w:eastAsia="宋体" w:cs="宋体"/>
                <w:bCs/>
                <w:color w:val="auto"/>
                <w:sz w:val="21"/>
                <w:szCs w:val="21"/>
              </w:rPr>
            </w:pPr>
            <w:r>
              <w:rPr>
                <w:rFonts w:hint="eastAsia" w:ascii="宋体" w:hAnsi="宋体" w:eastAsia="宋体" w:cs="宋体"/>
                <w:bCs/>
                <w:color w:val="auto"/>
                <w:sz w:val="21"/>
                <w:szCs w:val="21"/>
              </w:rPr>
              <w:t>小写：</w:t>
            </w:r>
          </w:p>
          <w:p w14:paraId="3F0AE90F">
            <w:pPr>
              <w:pStyle w:val="8"/>
              <w:ind w:left="0" w:leftChars="0" w:firstLine="0" w:firstLineChars="0"/>
              <w:jc w:val="both"/>
              <w:rPr>
                <w:rFonts w:hint="eastAsia" w:ascii="宋体" w:hAnsi="宋体" w:eastAsia="宋体" w:cs="宋体"/>
                <w:color w:val="auto"/>
                <w:sz w:val="21"/>
                <w:szCs w:val="21"/>
              </w:rPr>
            </w:pPr>
            <w:r>
              <w:rPr>
                <w:rFonts w:hint="eastAsia" w:ascii="宋体" w:hAnsi="宋体" w:eastAsia="宋体" w:cs="宋体"/>
                <w:bCs/>
                <w:color w:val="auto"/>
                <w:sz w:val="21"/>
                <w:szCs w:val="21"/>
              </w:rPr>
              <w:t>大写：</w:t>
            </w:r>
          </w:p>
        </w:tc>
        <w:tc>
          <w:tcPr>
            <w:tcW w:w="962" w:type="dxa"/>
            <w:vAlign w:val="center"/>
          </w:tcPr>
          <w:p w14:paraId="209BAC15">
            <w:pPr>
              <w:widowControl w:val="0"/>
              <w:tabs>
                <w:tab w:val="left" w:pos="654"/>
                <w:tab w:val="left" w:pos="1734"/>
                <w:tab w:val="left" w:pos="2814"/>
                <w:tab w:val="left" w:pos="3894"/>
                <w:tab w:val="left" w:pos="5334"/>
                <w:tab w:val="left" w:pos="6414"/>
                <w:tab w:val="left" w:pos="7254"/>
                <w:tab w:val="left" w:pos="8574"/>
                <w:tab w:val="left" w:pos="9654"/>
              </w:tabs>
              <w:adjustRightInd/>
              <w:snapToGrid/>
              <w:jc w:val="center"/>
              <w:rPr>
                <w:rFonts w:hint="eastAsia" w:ascii="宋体" w:hAnsi="宋体" w:eastAsia="宋体" w:cs="宋体"/>
                <w:bCs/>
                <w:color w:val="auto"/>
                <w:sz w:val="21"/>
                <w:szCs w:val="21"/>
              </w:rPr>
            </w:pPr>
          </w:p>
        </w:tc>
      </w:tr>
    </w:tbl>
    <w:p w14:paraId="4204B237">
      <w:pPr>
        <w:ind w:firstLine="359" w:firstLineChars="171"/>
        <w:rPr>
          <w:rFonts w:hint="eastAsia" w:ascii="宋体" w:hAnsi="宋体" w:eastAsia="宋体" w:cs="宋体"/>
          <w:color w:val="auto"/>
          <w:szCs w:val="21"/>
        </w:rPr>
      </w:pPr>
    </w:p>
    <w:p w14:paraId="536FA1C6">
      <w:pPr>
        <w:ind w:left="391" w:hanging="390" w:hangingChars="186"/>
        <w:rPr>
          <w:rFonts w:hint="eastAsia" w:ascii="宋体" w:hAnsi="宋体" w:eastAsia="宋体" w:cs="宋体"/>
          <w:color w:val="auto"/>
          <w:szCs w:val="21"/>
        </w:rPr>
      </w:pPr>
      <w:r>
        <w:rPr>
          <w:rFonts w:hint="eastAsia" w:ascii="宋体" w:hAnsi="宋体" w:eastAsia="宋体" w:cs="宋体"/>
          <w:color w:val="auto"/>
          <w:szCs w:val="21"/>
        </w:rPr>
        <w:t xml:space="preserve">    注：</w:t>
      </w:r>
    </w:p>
    <w:p w14:paraId="7C9E0071">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1、投标</w:t>
      </w:r>
      <w:r>
        <w:rPr>
          <w:rFonts w:hint="eastAsia" w:ascii="宋体" w:hAnsi="宋体" w:eastAsia="宋体" w:cs="宋体"/>
          <w:color w:val="auto"/>
          <w:kern w:val="28"/>
          <w:szCs w:val="21"/>
        </w:rPr>
        <w:t>报价</w:t>
      </w:r>
      <w:r>
        <w:rPr>
          <w:rFonts w:hint="eastAsia" w:ascii="宋体" w:hAnsi="宋体" w:eastAsia="宋体" w:cs="宋体"/>
          <w:color w:val="auto"/>
          <w:szCs w:val="21"/>
        </w:rPr>
        <w:t>栏须用大写金额和小写金额两种方式表示的投标投标，报价保留小数点后两位。投标投标大小写不一致，以大写为准。投标投标必须准确唯一且应包含采购文件要求的所有费用。</w:t>
      </w:r>
    </w:p>
    <w:p w14:paraId="5483F53F">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2、温馨提示：未按采购文件要求报价、填写开标一览表是导致投标人废标的常见问题，请投标人仔细填写，认真核对。</w:t>
      </w:r>
    </w:p>
    <w:p w14:paraId="65645803">
      <w:pPr>
        <w:pStyle w:val="17"/>
        <w:ind w:left="735" w:hanging="735"/>
        <w:rPr>
          <w:rFonts w:hint="eastAsia" w:ascii="宋体" w:hAnsi="宋体" w:eastAsia="宋体" w:cs="宋体"/>
          <w:color w:val="auto"/>
          <w:kern w:val="0"/>
          <w:szCs w:val="21"/>
        </w:rPr>
      </w:pPr>
      <w:r>
        <w:rPr>
          <w:rFonts w:hint="eastAsia" w:ascii="宋体" w:hAnsi="宋体" w:eastAsia="宋体" w:cs="宋体"/>
          <w:color w:val="auto"/>
          <w:kern w:val="0"/>
          <w:szCs w:val="21"/>
        </w:rPr>
        <w:t xml:space="preserve">    </w:t>
      </w:r>
    </w:p>
    <w:p w14:paraId="55915B08">
      <w:pPr>
        <w:ind w:firstLine="359" w:firstLineChars="171"/>
        <w:rPr>
          <w:rFonts w:hint="eastAsia" w:ascii="宋体" w:hAnsi="宋体" w:eastAsia="宋体" w:cs="宋体"/>
          <w:color w:val="auto"/>
          <w:szCs w:val="21"/>
        </w:rPr>
      </w:pPr>
    </w:p>
    <w:p w14:paraId="445E29FB">
      <w:pPr>
        <w:ind w:firstLine="359" w:firstLineChars="171"/>
        <w:rPr>
          <w:rFonts w:hint="eastAsia" w:ascii="宋体" w:hAnsi="宋体" w:eastAsia="宋体" w:cs="宋体"/>
          <w:color w:val="auto"/>
          <w:szCs w:val="21"/>
        </w:rPr>
      </w:pPr>
      <w:r>
        <w:rPr>
          <w:rFonts w:hint="eastAsia" w:ascii="宋体" w:hAnsi="宋体" w:eastAsia="宋体" w:cs="宋体"/>
          <w:color w:val="auto"/>
          <w:szCs w:val="21"/>
        </w:rPr>
        <w:t>投标人代表签字：</w:t>
      </w:r>
    </w:p>
    <w:p w14:paraId="6B7D677C">
      <w:pPr>
        <w:ind w:firstLine="359" w:firstLineChars="171"/>
        <w:rPr>
          <w:rFonts w:hint="eastAsia" w:ascii="宋体" w:hAnsi="宋体" w:eastAsia="宋体" w:cs="宋体"/>
          <w:color w:val="auto"/>
          <w:szCs w:val="21"/>
        </w:rPr>
      </w:pPr>
      <w:r>
        <w:rPr>
          <w:rFonts w:hint="eastAsia" w:ascii="宋体" w:hAnsi="宋体" w:eastAsia="宋体" w:cs="宋体"/>
          <w:color w:val="auto"/>
          <w:szCs w:val="21"/>
        </w:rPr>
        <w:t>投标人盖章：</w:t>
      </w:r>
    </w:p>
    <w:p w14:paraId="44F7F011">
      <w:pPr>
        <w:ind w:firstLine="359" w:firstLineChars="171"/>
        <w:rPr>
          <w:rFonts w:hint="eastAsia" w:ascii="宋体" w:hAnsi="宋体" w:eastAsia="宋体" w:cs="宋体"/>
          <w:color w:val="auto"/>
          <w:szCs w:val="21"/>
        </w:rPr>
      </w:pPr>
      <w:r>
        <w:rPr>
          <w:rFonts w:hint="eastAsia" w:ascii="宋体" w:hAnsi="宋体" w:eastAsia="宋体" w:cs="宋体"/>
          <w:color w:val="auto"/>
          <w:szCs w:val="21"/>
        </w:rPr>
        <w:t>日期：</w:t>
      </w:r>
    </w:p>
    <w:p w14:paraId="76C184EE">
      <w:pPr>
        <w:rPr>
          <w:rFonts w:hint="eastAsia" w:ascii="宋体" w:hAnsi="宋体" w:eastAsia="宋体" w:cs="宋体"/>
          <w:color w:val="auto"/>
          <w:szCs w:val="21"/>
        </w:rPr>
      </w:pPr>
      <w:r>
        <w:rPr>
          <w:rFonts w:hint="eastAsia" w:ascii="宋体" w:hAnsi="宋体" w:eastAsia="宋体" w:cs="宋体"/>
          <w:color w:val="auto"/>
          <w:szCs w:val="21"/>
        </w:rPr>
        <w:br w:type="page"/>
      </w:r>
    </w:p>
    <w:p w14:paraId="5DE9360D">
      <w:pPr>
        <w:pStyle w:val="5"/>
        <w:pageBreakBefore w:val="0"/>
        <w:widowControl w:val="0"/>
        <w:kinsoku/>
        <w:wordWrap/>
        <w:overflowPunct w:val="0"/>
        <w:topLinePunct w:val="0"/>
        <w:bidi w:val="0"/>
        <w:spacing w:line="360" w:lineRule="auto"/>
        <w:textAlignment w:val="auto"/>
        <w:rPr>
          <w:rFonts w:hint="eastAsia" w:ascii="宋体" w:hAnsi="宋体" w:eastAsia="宋体" w:cs="宋体"/>
          <w:color w:val="auto"/>
          <w:sz w:val="21"/>
          <w:szCs w:val="21"/>
          <w:lang w:val="en-US" w:eastAsia="zh-CN"/>
        </w:rPr>
      </w:pPr>
      <w:bookmarkStart w:id="148" w:name="_Toc27754"/>
      <w:r>
        <w:rPr>
          <w:rFonts w:hint="eastAsia" w:ascii="宋体" w:hAnsi="宋体" w:eastAsia="宋体" w:cs="宋体"/>
          <w:color w:val="auto"/>
          <w:sz w:val="21"/>
          <w:szCs w:val="21"/>
        </w:rPr>
        <w:t>附件</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分项报价表</w:t>
      </w:r>
      <w:bookmarkEnd w:id="148"/>
    </w:p>
    <w:p w14:paraId="64AA9BF4">
      <w:pPr>
        <w:pageBreakBefore w:val="0"/>
        <w:kinsoku/>
        <w:wordWrap/>
        <w:topLinePunct w:val="0"/>
        <w:bidi w:val="0"/>
        <w:spacing w:line="360" w:lineRule="auto"/>
        <w:jc w:val="center"/>
        <w:textAlignment w:val="auto"/>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分项报价</w:t>
      </w:r>
      <w:r>
        <w:rPr>
          <w:rFonts w:hint="eastAsia" w:ascii="宋体" w:hAnsi="宋体" w:eastAsia="宋体" w:cs="宋体"/>
          <w:color w:val="auto"/>
          <w:sz w:val="32"/>
          <w:szCs w:val="32"/>
        </w:rPr>
        <w:t>表</w:t>
      </w:r>
    </w:p>
    <w:p w14:paraId="233480AB">
      <w:pPr>
        <w:pageBreakBefore w:val="0"/>
        <w:kinsoku/>
        <w:wordWrap/>
        <w:topLinePunct w:val="0"/>
        <w:bidi w:val="0"/>
        <w:spacing w:line="360" w:lineRule="auto"/>
        <w:textAlignment w:val="auto"/>
        <w:rPr>
          <w:rFonts w:hint="eastAsia" w:ascii="宋体" w:hAnsi="宋体" w:eastAsia="宋体" w:cs="宋体"/>
          <w:color w:val="auto"/>
          <w:szCs w:val="21"/>
        </w:rPr>
      </w:pPr>
      <w:r>
        <w:rPr>
          <w:rFonts w:hint="eastAsia" w:ascii="宋体" w:hAnsi="宋体" w:eastAsia="宋体" w:cs="宋体"/>
          <w:color w:val="auto"/>
          <w:szCs w:val="21"/>
        </w:rPr>
        <w:t>投标人名称：</w:t>
      </w:r>
    </w:p>
    <w:p w14:paraId="35FC4323">
      <w:pPr>
        <w:pageBreakBefore w:val="0"/>
        <w:kinsoku/>
        <w:wordWrap/>
        <w:topLinePunct w:val="0"/>
        <w:bidi w:val="0"/>
        <w:spacing w:line="360" w:lineRule="auto"/>
        <w:textAlignment w:val="auto"/>
        <w:rPr>
          <w:rFonts w:hint="eastAsia" w:ascii="宋体" w:hAnsi="宋体" w:eastAsia="宋体" w:cs="宋体"/>
          <w:color w:val="auto"/>
          <w:szCs w:val="21"/>
        </w:rPr>
      </w:pPr>
      <w:r>
        <w:rPr>
          <w:rFonts w:hint="eastAsia" w:ascii="宋体" w:hAnsi="宋体" w:eastAsia="宋体" w:cs="宋体"/>
          <w:color w:val="auto"/>
          <w:szCs w:val="21"/>
        </w:rPr>
        <w:t>采购项目编号：</w:t>
      </w:r>
    </w:p>
    <w:tbl>
      <w:tblPr>
        <w:tblStyle w:val="35"/>
        <w:tblpPr w:leftFromText="180" w:rightFromText="180" w:vertAnchor="text" w:horzAnchor="page" w:tblpX="1915" w:tblpY="261"/>
        <w:tblOverlap w:val="never"/>
        <w:tblW w:w="8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031"/>
        <w:gridCol w:w="1337"/>
        <w:gridCol w:w="163"/>
        <w:gridCol w:w="1446"/>
        <w:gridCol w:w="1759"/>
        <w:gridCol w:w="884"/>
      </w:tblGrid>
      <w:tr w14:paraId="7A991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437A9809">
            <w:pPr>
              <w:pStyle w:val="33"/>
              <w:keepNext w:val="0"/>
              <w:keepLines w:val="0"/>
              <w:pageBreakBefore w:val="0"/>
              <w:widowControl/>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宋体" w:hAnsi="宋体" w:eastAsia="宋体" w:cs="宋体"/>
                <w:b w:val="0"/>
                <w:bCs w:val="0"/>
                <w:color w:val="auto"/>
                <w:sz w:val="21"/>
                <w:szCs w:val="21"/>
                <w:lang w:val="zh-CN"/>
              </w:rPr>
            </w:pPr>
            <w:r>
              <w:rPr>
                <w:rFonts w:hint="eastAsia" w:ascii="宋体" w:hAnsi="宋体" w:eastAsia="宋体" w:cs="宋体"/>
                <w:b w:val="0"/>
                <w:bCs w:val="0"/>
                <w:color w:val="auto"/>
                <w:sz w:val="21"/>
                <w:szCs w:val="21"/>
                <w:lang w:val="zh-CN"/>
              </w:rPr>
              <w:t>序号</w:t>
            </w:r>
          </w:p>
        </w:tc>
        <w:tc>
          <w:tcPr>
            <w:tcW w:w="3531" w:type="dxa"/>
            <w:gridSpan w:val="3"/>
            <w:vAlign w:val="center"/>
          </w:tcPr>
          <w:p w14:paraId="40B2E6E2">
            <w:pPr>
              <w:pStyle w:val="33"/>
              <w:keepNext w:val="0"/>
              <w:keepLines w:val="0"/>
              <w:pageBreakBefore w:val="0"/>
              <w:widowControl/>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宋体" w:hAnsi="宋体" w:eastAsia="宋体" w:cs="宋体"/>
                <w:b w:val="0"/>
                <w:bCs w:val="0"/>
                <w:color w:val="auto"/>
                <w:sz w:val="21"/>
                <w:szCs w:val="21"/>
                <w:lang w:val="zh-CN"/>
              </w:rPr>
            </w:pPr>
            <w:r>
              <w:rPr>
                <w:rFonts w:hint="eastAsia" w:ascii="宋体" w:hAnsi="宋体" w:eastAsia="宋体" w:cs="宋体"/>
                <w:b w:val="0"/>
                <w:bCs w:val="0"/>
                <w:color w:val="auto"/>
                <w:sz w:val="21"/>
                <w:szCs w:val="21"/>
                <w:lang w:val="zh-CN"/>
              </w:rPr>
              <w:t>分项名称</w:t>
            </w:r>
          </w:p>
        </w:tc>
        <w:tc>
          <w:tcPr>
            <w:tcW w:w="3205" w:type="dxa"/>
            <w:gridSpan w:val="2"/>
            <w:vAlign w:val="center"/>
          </w:tcPr>
          <w:p w14:paraId="7155E27B">
            <w:pPr>
              <w:pStyle w:val="33"/>
              <w:keepNext w:val="0"/>
              <w:keepLines w:val="0"/>
              <w:pageBreakBefore w:val="0"/>
              <w:widowControl/>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宋体" w:hAnsi="宋体" w:eastAsia="宋体" w:cs="宋体"/>
                <w:b w:val="0"/>
                <w:bCs w:val="0"/>
                <w:color w:val="auto"/>
                <w:sz w:val="21"/>
                <w:szCs w:val="21"/>
                <w:lang w:val="zh-CN"/>
              </w:rPr>
            </w:pPr>
            <w:r>
              <w:rPr>
                <w:rFonts w:hint="eastAsia" w:ascii="宋体" w:hAnsi="宋体" w:eastAsia="宋体" w:cs="宋体"/>
                <w:b w:val="0"/>
                <w:bCs w:val="0"/>
                <w:color w:val="auto"/>
                <w:sz w:val="21"/>
                <w:szCs w:val="21"/>
                <w:lang w:val="zh-CN"/>
              </w:rPr>
              <w:t>金额（元）</w:t>
            </w:r>
          </w:p>
        </w:tc>
        <w:tc>
          <w:tcPr>
            <w:tcW w:w="884" w:type="dxa"/>
            <w:vAlign w:val="center"/>
          </w:tcPr>
          <w:p w14:paraId="4A239017">
            <w:pPr>
              <w:pStyle w:val="33"/>
              <w:keepNext w:val="0"/>
              <w:keepLines w:val="0"/>
              <w:pageBreakBefore w:val="0"/>
              <w:widowControl/>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宋体" w:hAnsi="宋体" w:eastAsia="宋体" w:cs="宋体"/>
                <w:b w:val="0"/>
                <w:bCs w:val="0"/>
                <w:color w:val="auto"/>
                <w:sz w:val="21"/>
                <w:szCs w:val="21"/>
                <w:lang w:val="zh-CN"/>
              </w:rPr>
            </w:pPr>
            <w:r>
              <w:rPr>
                <w:rFonts w:hint="eastAsia" w:ascii="宋体" w:hAnsi="宋体" w:eastAsia="宋体" w:cs="宋体"/>
                <w:b w:val="0"/>
                <w:bCs w:val="0"/>
                <w:color w:val="auto"/>
                <w:sz w:val="21"/>
                <w:szCs w:val="21"/>
                <w:lang w:val="zh-CN"/>
              </w:rPr>
              <w:t>备注</w:t>
            </w:r>
          </w:p>
        </w:tc>
      </w:tr>
      <w:tr w14:paraId="7EDF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33324F4C">
            <w:pPr>
              <w:pStyle w:val="33"/>
              <w:keepNext w:val="0"/>
              <w:keepLines w:val="0"/>
              <w:pageBreakBefore w:val="0"/>
              <w:widowControl/>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宋体" w:hAnsi="宋体" w:eastAsia="宋体" w:cs="宋体"/>
                <w:b w:val="0"/>
                <w:bCs w:val="0"/>
                <w:color w:val="auto"/>
                <w:sz w:val="21"/>
                <w:szCs w:val="21"/>
                <w:lang w:val="zh-CN"/>
              </w:rPr>
            </w:pPr>
            <w:r>
              <w:rPr>
                <w:rFonts w:hint="eastAsia" w:ascii="宋体" w:hAnsi="宋体" w:eastAsia="宋体" w:cs="宋体"/>
                <w:b w:val="0"/>
                <w:bCs w:val="0"/>
                <w:color w:val="auto"/>
                <w:sz w:val="21"/>
                <w:szCs w:val="21"/>
                <w:lang w:val="zh-CN"/>
              </w:rPr>
              <w:t>1</w:t>
            </w:r>
          </w:p>
        </w:tc>
        <w:tc>
          <w:tcPr>
            <w:tcW w:w="3531" w:type="dxa"/>
            <w:gridSpan w:val="3"/>
            <w:vAlign w:val="center"/>
          </w:tcPr>
          <w:p w14:paraId="625DBDCF">
            <w:pPr>
              <w:pStyle w:val="33"/>
              <w:keepNext w:val="0"/>
              <w:keepLines w:val="0"/>
              <w:pageBreakBefore w:val="0"/>
              <w:widowControl/>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zh-CN"/>
              </w:rPr>
              <w:t>软件开发费</w:t>
            </w:r>
            <w:r>
              <w:rPr>
                <w:rFonts w:hint="eastAsia" w:ascii="宋体" w:hAnsi="宋体" w:cs="宋体"/>
                <w:b w:val="0"/>
                <w:bCs w:val="0"/>
                <w:color w:val="auto"/>
                <w:sz w:val="21"/>
                <w:szCs w:val="21"/>
                <w:lang w:val="en-US" w:eastAsia="zh-CN"/>
              </w:rPr>
              <w:t>用</w:t>
            </w:r>
          </w:p>
        </w:tc>
        <w:tc>
          <w:tcPr>
            <w:tcW w:w="3205" w:type="dxa"/>
            <w:gridSpan w:val="2"/>
            <w:vAlign w:val="center"/>
          </w:tcPr>
          <w:p w14:paraId="0015A024">
            <w:pPr>
              <w:pStyle w:val="33"/>
              <w:keepNext w:val="0"/>
              <w:keepLines w:val="0"/>
              <w:pageBreakBefore w:val="0"/>
              <w:widowControl/>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val="0"/>
                <w:bCs w:val="0"/>
                <w:color w:val="auto"/>
                <w:sz w:val="21"/>
                <w:szCs w:val="21"/>
                <w:lang w:val="zh-CN"/>
              </w:rPr>
            </w:pPr>
          </w:p>
        </w:tc>
        <w:tc>
          <w:tcPr>
            <w:tcW w:w="884" w:type="dxa"/>
            <w:vAlign w:val="center"/>
          </w:tcPr>
          <w:p w14:paraId="003A3C0E">
            <w:pPr>
              <w:pStyle w:val="33"/>
              <w:keepNext w:val="0"/>
              <w:keepLines w:val="0"/>
              <w:pageBreakBefore w:val="0"/>
              <w:widowControl/>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val="0"/>
                <w:bCs w:val="0"/>
                <w:color w:val="auto"/>
                <w:sz w:val="21"/>
                <w:szCs w:val="21"/>
                <w:lang w:val="zh-CN"/>
              </w:rPr>
            </w:pPr>
          </w:p>
        </w:tc>
      </w:tr>
      <w:tr w14:paraId="71C0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0019DCCA">
            <w:pPr>
              <w:pStyle w:val="33"/>
              <w:keepNext w:val="0"/>
              <w:keepLines w:val="0"/>
              <w:pageBreakBefore w:val="0"/>
              <w:widowControl/>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宋体" w:hAnsi="宋体" w:eastAsia="宋体" w:cs="宋体"/>
                <w:b w:val="0"/>
                <w:bCs w:val="0"/>
                <w:color w:val="auto"/>
                <w:sz w:val="21"/>
                <w:szCs w:val="21"/>
                <w:lang w:val="zh-CN"/>
              </w:rPr>
            </w:pPr>
            <w:r>
              <w:rPr>
                <w:rFonts w:hint="eastAsia" w:ascii="宋体" w:hAnsi="宋体" w:eastAsia="宋体" w:cs="宋体"/>
                <w:b w:val="0"/>
                <w:bCs w:val="0"/>
                <w:color w:val="auto"/>
                <w:sz w:val="21"/>
                <w:szCs w:val="21"/>
                <w:lang w:val="zh-CN"/>
              </w:rPr>
              <w:t>2</w:t>
            </w:r>
          </w:p>
        </w:tc>
        <w:tc>
          <w:tcPr>
            <w:tcW w:w="3531" w:type="dxa"/>
            <w:gridSpan w:val="3"/>
            <w:vAlign w:val="center"/>
          </w:tcPr>
          <w:p w14:paraId="2F086184">
            <w:pPr>
              <w:pStyle w:val="33"/>
              <w:keepNext w:val="0"/>
              <w:keepLines w:val="0"/>
              <w:pageBreakBefore w:val="0"/>
              <w:widowControl/>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软件</w:t>
            </w:r>
            <w:r>
              <w:rPr>
                <w:rFonts w:hint="eastAsia" w:ascii="宋体" w:hAnsi="宋体" w:eastAsia="宋体" w:cs="宋体"/>
                <w:b w:val="0"/>
                <w:bCs w:val="0"/>
                <w:color w:val="auto"/>
                <w:sz w:val="21"/>
                <w:szCs w:val="21"/>
                <w:lang w:val="zh-CN"/>
              </w:rPr>
              <w:t>实施服务费</w:t>
            </w:r>
            <w:r>
              <w:rPr>
                <w:rFonts w:hint="eastAsia" w:ascii="宋体" w:hAnsi="宋体" w:cs="宋体"/>
                <w:b w:val="0"/>
                <w:bCs w:val="0"/>
                <w:color w:val="auto"/>
                <w:sz w:val="21"/>
                <w:szCs w:val="21"/>
                <w:lang w:val="en-US" w:eastAsia="zh-CN"/>
              </w:rPr>
              <w:t>用</w:t>
            </w:r>
          </w:p>
        </w:tc>
        <w:tc>
          <w:tcPr>
            <w:tcW w:w="3205" w:type="dxa"/>
            <w:gridSpan w:val="2"/>
            <w:vAlign w:val="center"/>
          </w:tcPr>
          <w:p w14:paraId="5BEA07CF">
            <w:pPr>
              <w:pStyle w:val="33"/>
              <w:keepNext w:val="0"/>
              <w:keepLines w:val="0"/>
              <w:pageBreakBefore w:val="0"/>
              <w:widowControl/>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val="0"/>
                <w:bCs w:val="0"/>
                <w:color w:val="auto"/>
                <w:sz w:val="21"/>
                <w:szCs w:val="21"/>
                <w:lang w:val="zh-CN"/>
              </w:rPr>
            </w:pPr>
          </w:p>
        </w:tc>
        <w:tc>
          <w:tcPr>
            <w:tcW w:w="884" w:type="dxa"/>
            <w:vAlign w:val="center"/>
          </w:tcPr>
          <w:p w14:paraId="5F4EE6EF">
            <w:pPr>
              <w:pStyle w:val="33"/>
              <w:keepNext w:val="0"/>
              <w:keepLines w:val="0"/>
              <w:pageBreakBefore w:val="0"/>
              <w:widowControl/>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val="0"/>
                <w:bCs w:val="0"/>
                <w:color w:val="auto"/>
                <w:sz w:val="21"/>
                <w:szCs w:val="21"/>
                <w:lang w:val="zh-CN"/>
              </w:rPr>
            </w:pPr>
          </w:p>
        </w:tc>
      </w:tr>
      <w:tr w14:paraId="708BA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16D76AA6">
            <w:pPr>
              <w:pStyle w:val="33"/>
              <w:keepNext w:val="0"/>
              <w:keepLines w:val="0"/>
              <w:pageBreakBefore w:val="0"/>
              <w:widowControl/>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宋体" w:hAnsi="宋体" w:eastAsia="宋体" w:cs="宋体"/>
                <w:b w:val="0"/>
                <w:bCs w:val="0"/>
                <w:color w:val="auto"/>
                <w:sz w:val="21"/>
                <w:szCs w:val="21"/>
                <w:lang w:val="zh-CN"/>
              </w:rPr>
            </w:pPr>
            <w:r>
              <w:rPr>
                <w:rFonts w:hint="eastAsia" w:ascii="宋体" w:hAnsi="宋体" w:eastAsia="宋体" w:cs="宋体"/>
                <w:b w:val="0"/>
                <w:bCs w:val="0"/>
                <w:color w:val="auto"/>
                <w:sz w:val="21"/>
                <w:szCs w:val="21"/>
                <w:lang w:val="zh-CN"/>
              </w:rPr>
              <w:t>3</w:t>
            </w:r>
          </w:p>
        </w:tc>
        <w:tc>
          <w:tcPr>
            <w:tcW w:w="3531" w:type="dxa"/>
            <w:gridSpan w:val="3"/>
            <w:vAlign w:val="center"/>
          </w:tcPr>
          <w:p w14:paraId="6939E76B">
            <w:pPr>
              <w:pStyle w:val="33"/>
              <w:keepNext w:val="0"/>
              <w:keepLines w:val="0"/>
              <w:pageBreakBefore w:val="0"/>
              <w:widowControl/>
              <w:kinsoku/>
              <w:wordWrap/>
              <w:overflowPunct/>
              <w:topLinePunct w:val="0"/>
              <w:autoSpaceDE/>
              <w:autoSpaceDN/>
              <w:bidi w:val="0"/>
              <w:adjustRightInd w:val="0"/>
              <w:snapToGrid w:val="0"/>
              <w:spacing w:line="360" w:lineRule="auto"/>
              <w:ind w:left="0" w:leftChars="0" w:firstLine="0" w:firstLineChars="0"/>
              <w:jc w:val="center"/>
              <w:textAlignment w:val="auto"/>
              <w:rPr>
                <w:rFonts w:hint="default"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硬件租赁费</w:t>
            </w:r>
          </w:p>
        </w:tc>
        <w:tc>
          <w:tcPr>
            <w:tcW w:w="3205" w:type="dxa"/>
            <w:gridSpan w:val="2"/>
            <w:vAlign w:val="center"/>
          </w:tcPr>
          <w:p w14:paraId="6BA0D514">
            <w:pPr>
              <w:pStyle w:val="33"/>
              <w:keepNext w:val="0"/>
              <w:keepLines w:val="0"/>
              <w:pageBreakBefore w:val="0"/>
              <w:widowControl/>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val="0"/>
                <w:bCs w:val="0"/>
                <w:color w:val="auto"/>
                <w:sz w:val="21"/>
                <w:szCs w:val="21"/>
                <w:lang w:val="zh-CN"/>
              </w:rPr>
            </w:pPr>
          </w:p>
        </w:tc>
        <w:tc>
          <w:tcPr>
            <w:tcW w:w="884" w:type="dxa"/>
            <w:vAlign w:val="center"/>
          </w:tcPr>
          <w:p w14:paraId="74A4BCE5">
            <w:pPr>
              <w:pStyle w:val="33"/>
              <w:keepNext w:val="0"/>
              <w:keepLines w:val="0"/>
              <w:pageBreakBefore w:val="0"/>
              <w:widowControl/>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val="0"/>
                <w:bCs w:val="0"/>
                <w:color w:val="auto"/>
                <w:sz w:val="21"/>
                <w:szCs w:val="21"/>
                <w:lang w:val="zh-CN"/>
              </w:rPr>
            </w:pPr>
          </w:p>
        </w:tc>
      </w:tr>
      <w:tr w14:paraId="20B69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7F6B672E">
            <w:pPr>
              <w:pStyle w:val="33"/>
              <w:keepNext w:val="0"/>
              <w:keepLines w:val="0"/>
              <w:pageBreakBefore w:val="0"/>
              <w:widowControl/>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宋体" w:hAnsi="宋体" w:eastAsia="宋体" w:cs="宋体"/>
                <w:b w:val="0"/>
                <w:bCs w:val="0"/>
                <w:color w:val="auto"/>
                <w:sz w:val="21"/>
                <w:szCs w:val="21"/>
                <w:lang w:val="zh-CN" w:eastAsia="zh-CN"/>
              </w:rPr>
            </w:pPr>
            <w:r>
              <w:rPr>
                <w:rFonts w:hint="eastAsia" w:ascii="宋体" w:hAnsi="宋体" w:cs="宋体"/>
                <w:b w:val="0"/>
                <w:bCs w:val="0"/>
                <w:color w:val="auto"/>
                <w:sz w:val="21"/>
                <w:szCs w:val="21"/>
                <w:lang w:val="en-US" w:eastAsia="zh-CN"/>
              </w:rPr>
              <w:t>4</w:t>
            </w:r>
          </w:p>
        </w:tc>
        <w:tc>
          <w:tcPr>
            <w:tcW w:w="3531" w:type="dxa"/>
            <w:gridSpan w:val="3"/>
            <w:vAlign w:val="center"/>
          </w:tcPr>
          <w:p w14:paraId="65B70AC0">
            <w:pPr>
              <w:pStyle w:val="33"/>
              <w:keepNext w:val="0"/>
              <w:keepLines w:val="0"/>
              <w:pageBreakBefore w:val="0"/>
              <w:widowControl/>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宋体" w:hAnsi="宋体" w:eastAsia="宋体" w:cs="宋体"/>
                <w:b w:val="0"/>
                <w:bCs w:val="0"/>
                <w:color w:val="auto"/>
                <w:sz w:val="21"/>
                <w:szCs w:val="21"/>
                <w:lang w:val="zh-CN"/>
              </w:rPr>
            </w:pPr>
            <w:r>
              <w:rPr>
                <w:rFonts w:hint="eastAsia" w:ascii="宋体" w:hAnsi="宋体" w:eastAsia="宋体" w:cs="宋体"/>
                <w:b w:val="0"/>
                <w:bCs w:val="0"/>
                <w:color w:val="auto"/>
                <w:sz w:val="21"/>
                <w:szCs w:val="21"/>
                <w:lang w:val="zh-CN"/>
              </w:rPr>
              <w:t>合计</w:t>
            </w:r>
          </w:p>
        </w:tc>
        <w:tc>
          <w:tcPr>
            <w:tcW w:w="4089" w:type="dxa"/>
            <w:gridSpan w:val="3"/>
            <w:vAlign w:val="center"/>
          </w:tcPr>
          <w:p w14:paraId="3CEEA639">
            <w:pPr>
              <w:pStyle w:val="33"/>
              <w:keepNext w:val="0"/>
              <w:keepLines w:val="0"/>
              <w:pageBreakBefore w:val="0"/>
              <w:widowControl/>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val="0"/>
                <w:bCs w:val="0"/>
                <w:color w:val="auto"/>
                <w:sz w:val="21"/>
                <w:szCs w:val="21"/>
                <w:lang w:val="zh-CN"/>
              </w:rPr>
            </w:pPr>
          </w:p>
        </w:tc>
      </w:tr>
      <w:tr w14:paraId="3B72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28" w:type="dxa"/>
            <w:gridSpan w:val="7"/>
            <w:vAlign w:val="center"/>
          </w:tcPr>
          <w:p w14:paraId="1E3AD1DC">
            <w:pPr>
              <w:pStyle w:val="33"/>
              <w:keepNext w:val="0"/>
              <w:keepLines w:val="0"/>
              <w:pageBreakBefore w:val="0"/>
              <w:widowControl/>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宋体" w:hAnsi="宋体" w:eastAsia="宋体" w:cs="宋体"/>
                <w:b w:val="0"/>
                <w:bCs w:val="0"/>
                <w:color w:val="auto"/>
                <w:sz w:val="21"/>
                <w:szCs w:val="21"/>
                <w:lang w:val="zh-CN"/>
              </w:rPr>
            </w:pPr>
            <w:r>
              <w:rPr>
                <w:rFonts w:hint="eastAsia" w:ascii="宋体" w:hAnsi="宋体" w:eastAsia="宋体" w:cs="宋体"/>
                <w:b/>
                <w:bCs/>
                <w:color w:val="auto"/>
                <w:sz w:val="21"/>
                <w:szCs w:val="21"/>
                <w:lang w:val="zh-CN"/>
              </w:rPr>
              <w:t>人员分类与基准单价表报价</w:t>
            </w:r>
          </w:p>
        </w:tc>
      </w:tr>
      <w:tr w14:paraId="06C3C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741618A9">
            <w:pPr>
              <w:pageBreakBefore w:val="0"/>
              <w:widowControl/>
              <w:kinsoku/>
              <w:wordWrap/>
              <w:topLinePunct w:val="0"/>
              <w:bidi w:val="0"/>
              <w:adjustRightInd w:val="0"/>
              <w:snapToGrid w:val="0"/>
              <w:spacing w:line="360" w:lineRule="auto"/>
              <w:jc w:val="center"/>
              <w:textAlignment w:val="auto"/>
              <w:rPr>
                <w:rFonts w:ascii="宋体" w:hAnsi="宋体" w:eastAsia="宋体" w:cs="宋体"/>
                <w:color w:val="auto"/>
                <w:kern w:val="0"/>
                <w:szCs w:val="21"/>
              </w:rPr>
            </w:pPr>
            <w:r>
              <w:rPr>
                <w:rFonts w:hint="eastAsia" w:ascii="宋体" w:hAnsi="宋体" w:eastAsia="宋体"/>
                <w:color w:val="auto"/>
              </w:rPr>
              <w:t>序号</w:t>
            </w:r>
          </w:p>
        </w:tc>
        <w:tc>
          <w:tcPr>
            <w:tcW w:w="2031" w:type="dxa"/>
            <w:vAlign w:val="center"/>
          </w:tcPr>
          <w:p w14:paraId="68D3E981">
            <w:pPr>
              <w:pageBreakBefore w:val="0"/>
              <w:widowControl/>
              <w:kinsoku/>
              <w:wordWrap/>
              <w:topLinePunct w:val="0"/>
              <w:bidi w:val="0"/>
              <w:adjustRightInd w:val="0"/>
              <w:snapToGrid w:val="0"/>
              <w:spacing w:line="360" w:lineRule="auto"/>
              <w:jc w:val="center"/>
              <w:textAlignment w:val="auto"/>
              <w:rPr>
                <w:rFonts w:ascii="宋体" w:hAnsi="宋体" w:eastAsia="宋体" w:cs="宋体"/>
                <w:color w:val="auto"/>
                <w:kern w:val="0"/>
                <w:szCs w:val="21"/>
              </w:rPr>
            </w:pPr>
            <w:r>
              <w:rPr>
                <w:rFonts w:ascii="宋体" w:hAnsi="宋体" w:eastAsia="宋体"/>
                <w:color w:val="auto"/>
              </w:rPr>
              <w:t>人员类别</w:t>
            </w:r>
          </w:p>
        </w:tc>
        <w:tc>
          <w:tcPr>
            <w:tcW w:w="1337" w:type="dxa"/>
            <w:vAlign w:val="center"/>
          </w:tcPr>
          <w:p w14:paraId="7E54205D">
            <w:pPr>
              <w:pageBreakBefore w:val="0"/>
              <w:widowControl/>
              <w:kinsoku/>
              <w:wordWrap/>
              <w:topLinePunct w:val="0"/>
              <w:bidi w:val="0"/>
              <w:adjustRightInd w:val="0"/>
              <w:snapToGrid w:val="0"/>
              <w:spacing w:line="360" w:lineRule="auto"/>
              <w:jc w:val="center"/>
              <w:textAlignment w:val="auto"/>
              <w:rPr>
                <w:rFonts w:ascii="宋体" w:hAnsi="宋体" w:eastAsia="宋体" w:cs="宋体"/>
                <w:color w:val="auto"/>
                <w:kern w:val="0"/>
                <w:szCs w:val="21"/>
              </w:rPr>
            </w:pPr>
            <w:r>
              <w:rPr>
                <w:rFonts w:ascii="宋体" w:hAnsi="宋体" w:eastAsia="宋体"/>
                <w:color w:val="auto"/>
              </w:rPr>
              <w:t>人月单价（元）</w:t>
            </w:r>
          </w:p>
        </w:tc>
        <w:tc>
          <w:tcPr>
            <w:tcW w:w="1609" w:type="dxa"/>
            <w:gridSpan w:val="2"/>
            <w:vAlign w:val="center"/>
          </w:tcPr>
          <w:p w14:paraId="2F84407E">
            <w:pPr>
              <w:pageBreakBefore w:val="0"/>
              <w:widowControl/>
              <w:kinsoku/>
              <w:wordWrap/>
              <w:topLinePunct w:val="0"/>
              <w:bidi w:val="0"/>
              <w:adjustRightInd w:val="0"/>
              <w:snapToGrid w:val="0"/>
              <w:spacing w:line="360" w:lineRule="auto"/>
              <w:jc w:val="center"/>
              <w:textAlignment w:val="auto"/>
              <w:rPr>
                <w:rFonts w:ascii="宋体" w:hAnsi="宋体" w:eastAsia="宋体" w:cs="宋体"/>
                <w:color w:val="auto"/>
                <w:kern w:val="0"/>
                <w:szCs w:val="21"/>
              </w:rPr>
            </w:pPr>
            <w:r>
              <w:rPr>
                <w:rFonts w:ascii="宋体" w:hAnsi="宋体" w:eastAsia="宋体"/>
                <w:color w:val="auto"/>
              </w:rPr>
              <w:t>人天单价（元）</w:t>
            </w:r>
          </w:p>
        </w:tc>
        <w:tc>
          <w:tcPr>
            <w:tcW w:w="2643" w:type="dxa"/>
            <w:gridSpan w:val="2"/>
            <w:vAlign w:val="center"/>
          </w:tcPr>
          <w:p w14:paraId="4FCE7056">
            <w:pPr>
              <w:pageBreakBefore w:val="0"/>
              <w:widowControl/>
              <w:kinsoku/>
              <w:wordWrap/>
              <w:topLinePunct w:val="0"/>
              <w:bidi w:val="0"/>
              <w:adjustRightInd w:val="0"/>
              <w:snapToGrid w:val="0"/>
              <w:spacing w:line="360" w:lineRule="auto"/>
              <w:jc w:val="center"/>
              <w:textAlignment w:val="auto"/>
              <w:rPr>
                <w:rFonts w:ascii="宋体" w:hAnsi="宋体" w:eastAsia="宋体" w:cs="宋体"/>
                <w:color w:val="auto"/>
                <w:kern w:val="0"/>
                <w:szCs w:val="21"/>
              </w:rPr>
            </w:pPr>
            <w:r>
              <w:rPr>
                <w:rFonts w:ascii="宋体" w:hAnsi="宋体" w:eastAsia="宋体"/>
                <w:color w:val="auto"/>
              </w:rPr>
              <w:t>适用工作范围</w:t>
            </w:r>
          </w:p>
        </w:tc>
      </w:tr>
      <w:tr w14:paraId="07F84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661FEA8B">
            <w:pPr>
              <w:pageBreakBefore w:val="0"/>
              <w:widowControl/>
              <w:kinsoku/>
              <w:wordWrap/>
              <w:topLinePunct w:val="0"/>
              <w:bidi w:val="0"/>
              <w:adjustRightInd w:val="0"/>
              <w:snapToGrid w:val="0"/>
              <w:spacing w:line="360" w:lineRule="auto"/>
              <w:jc w:val="center"/>
              <w:textAlignment w:val="auto"/>
              <w:rPr>
                <w:rFonts w:ascii="宋体" w:hAnsi="宋体" w:eastAsia="宋体" w:cs="宋体"/>
                <w:color w:val="auto"/>
                <w:kern w:val="0"/>
                <w:szCs w:val="21"/>
              </w:rPr>
            </w:pPr>
            <w:r>
              <w:rPr>
                <w:rFonts w:ascii="宋体" w:hAnsi="宋体" w:eastAsia="宋体"/>
                <w:color w:val="auto"/>
              </w:rPr>
              <w:t>1</w:t>
            </w:r>
          </w:p>
        </w:tc>
        <w:tc>
          <w:tcPr>
            <w:tcW w:w="2031" w:type="dxa"/>
            <w:vAlign w:val="center"/>
          </w:tcPr>
          <w:p w14:paraId="591C1BAB">
            <w:pPr>
              <w:pageBreakBefore w:val="0"/>
              <w:widowControl/>
              <w:kinsoku/>
              <w:wordWrap/>
              <w:topLinePunct w:val="0"/>
              <w:bidi w:val="0"/>
              <w:adjustRightInd w:val="0"/>
              <w:snapToGrid w:val="0"/>
              <w:spacing w:line="360" w:lineRule="auto"/>
              <w:jc w:val="center"/>
              <w:textAlignment w:val="auto"/>
              <w:rPr>
                <w:rFonts w:ascii="宋体" w:hAnsi="宋体" w:eastAsia="宋体" w:cs="宋体"/>
                <w:color w:val="auto"/>
                <w:kern w:val="0"/>
                <w:szCs w:val="21"/>
              </w:rPr>
            </w:pPr>
            <w:r>
              <w:rPr>
                <w:rFonts w:ascii="宋体" w:hAnsi="宋体" w:eastAsia="宋体"/>
                <w:color w:val="auto"/>
              </w:rPr>
              <w:t>技术负责人/架构师</w:t>
            </w:r>
          </w:p>
        </w:tc>
        <w:tc>
          <w:tcPr>
            <w:tcW w:w="1337" w:type="dxa"/>
            <w:vAlign w:val="center"/>
          </w:tcPr>
          <w:p w14:paraId="10AF5F55">
            <w:pPr>
              <w:pageBreakBefore w:val="0"/>
              <w:widowControl/>
              <w:kinsoku/>
              <w:wordWrap/>
              <w:topLinePunct w:val="0"/>
              <w:bidi w:val="0"/>
              <w:adjustRightInd w:val="0"/>
              <w:snapToGrid w:val="0"/>
              <w:spacing w:line="360" w:lineRule="auto"/>
              <w:jc w:val="left"/>
              <w:textAlignment w:val="auto"/>
              <w:rPr>
                <w:rFonts w:ascii="宋体" w:hAnsi="宋体" w:eastAsia="宋体" w:cs="宋体"/>
                <w:color w:val="auto"/>
                <w:kern w:val="0"/>
                <w:szCs w:val="21"/>
              </w:rPr>
            </w:pPr>
          </w:p>
        </w:tc>
        <w:tc>
          <w:tcPr>
            <w:tcW w:w="1609" w:type="dxa"/>
            <w:gridSpan w:val="2"/>
            <w:vAlign w:val="center"/>
          </w:tcPr>
          <w:p w14:paraId="5FFCE439">
            <w:pPr>
              <w:pageBreakBefore w:val="0"/>
              <w:widowControl/>
              <w:kinsoku/>
              <w:wordWrap/>
              <w:topLinePunct w:val="0"/>
              <w:bidi w:val="0"/>
              <w:adjustRightInd w:val="0"/>
              <w:snapToGrid w:val="0"/>
              <w:spacing w:line="360" w:lineRule="auto"/>
              <w:jc w:val="left"/>
              <w:textAlignment w:val="auto"/>
              <w:rPr>
                <w:rFonts w:ascii="宋体" w:hAnsi="宋体" w:eastAsia="宋体" w:cs="宋体"/>
                <w:color w:val="auto"/>
                <w:kern w:val="0"/>
                <w:szCs w:val="21"/>
              </w:rPr>
            </w:pPr>
            <w:r>
              <w:rPr>
                <w:rFonts w:ascii="宋体" w:hAnsi="宋体" w:eastAsia="宋体"/>
                <w:color w:val="auto"/>
              </w:rPr>
              <w:t>人月单价 ÷ 21.75</w:t>
            </w:r>
          </w:p>
        </w:tc>
        <w:tc>
          <w:tcPr>
            <w:tcW w:w="2643" w:type="dxa"/>
            <w:gridSpan w:val="2"/>
            <w:vAlign w:val="center"/>
          </w:tcPr>
          <w:p w14:paraId="593AC4FE">
            <w:pPr>
              <w:pageBreakBefore w:val="0"/>
              <w:widowControl/>
              <w:kinsoku/>
              <w:wordWrap/>
              <w:topLinePunct w:val="0"/>
              <w:bidi w:val="0"/>
              <w:adjustRightInd w:val="0"/>
              <w:snapToGrid w:val="0"/>
              <w:spacing w:line="360" w:lineRule="auto"/>
              <w:jc w:val="left"/>
              <w:textAlignment w:val="auto"/>
              <w:rPr>
                <w:rFonts w:ascii="宋体" w:hAnsi="宋体" w:eastAsia="宋体" w:cs="宋体"/>
                <w:color w:val="auto"/>
                <w:kern w:val="0"/>
                <w:szCs w:val="21"/>
              </w:rPr>
            </w:pPr>
            <w:r>
              <w:rPr>
                <w:rFonts w:ascii="宋体" w:hAnsi="宋体" w:eastAsia="宋体"/>
                <w:color w:val="auto"/>
              </w:rPr>
              <w:t>技术方案设计、架构评审、系统设计、技术攻关</w:t>
            </w:r>
          </w:p>
        </w:tc>
      </w:tr>
      <w:tr w14:paraId="0C6CF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2415F386">
            <w:pPr>
              <w:pageBreakBefore w:val="0"/>
              <w:widowControl/>
              <w:kinsoku/>
              <w:wordWrap/>
              <w:topLinePunct w:val="0"/>
              <w:bidi w:val="0"/>
              <w:adjustRightInd w:val="0"/>
              <w:snapToGrid w:val="0"/>
              <w:spacing w:line="360" w:lineRule="auto"/>
              <w:jc w:val="center"/>
              <w:textAlignment w:val="auto"/>
              <w:rPr>
                <w:rFonts w:ascii="宋体" w:hAnsi="宋体" w:eastAsia="宋体" w:cs="宋体"/>
                <w:color w:val="auto"/>
                <w:kern w:val="0"/>
                <w:szCs w:val="21"/>
              </w:rPr>
            </w:pPr>
            <w:r>
              <w:rPr>
                <w:rFonts w:ascii="宋体" w:hAnsi="宋体" w:eastAsia="宋体"/>
                <w:color w:val="auto"/>
              </w:rPr>
              <w:t>2</w:t>
            </w:r>
          </w:p>
        </w:tc>
        <w:tc>
          <w:tcPr>
            <w:tcW w:w="2031" w:type="dxa"/>
            <w:vAlign w:val="center"/>
          </w:tcPr>
          <w:p w14:paraId="42C88919">
            <w:pPr>
              <w:pageBreakBefore w:val="0"/>
              <w:widowControl/>
              <w:kinsoku/>
              <w:wordWrap/>
              <w:topLinePunct w:val="0"/>
              <w:bidi w:val="0"/>
              <w:adjustRightInd w:val="0"/>
              <w:snapToGrid w:val="0"/>
              <w:spacing w:line="360" w:lineRule="auto"/>
              <w:jc w:val="center"/>
              <w:textAlignment w:val="auto"/>
              <w:rPr>
                <w:rFonts w:hint="eastAsia" w:ascii="宋体" w:hAnsi="宋体" w:eastAsia="宋体" w:cs="宋体"/>
                <w:color w:val="auto"/>
                <w:kern w:val="0"/>
                <w:szCs w:val="21"/>
                <w:lang w:val="en-US" w:eastAsia="zh-CN"/>
              </w:rPr>
            </w:pPr>
            <w:r>
              <w:rPr>
                <w:rFonts w:hint="eastAsia" w:ascii="宋体" w:hAnsi="宋体" w:eastAsia="宋体"/>
                <w:color w:val="auto"/>
              </w:rPr>
              <w:t>项目</w:t>
            </w:r>
            <w:r>
              <w:rPr>
                <w:rFonts w:hint="eastAsia" w:ascii="宋体" w:hAnsi="宋体" w:eastAsia="宋体"/>
                <w:color w:val="auto"/>
                <w:lang w:val="en-US" w:eastAsia="zh-CN"/>
              </w:rPr>
              <w:t>经理</w:t>
            </w:r>
          </w:p>
        </w:tc>
        <w:tc>
          <w:tcPr>
            <w:tcW w:w="1337" w:type="dxa"/>
            <w:vAlign w:val="center"/>
          </w:tcPr>
          <w:p w14:paraId="10C20384">
            <w:pPr>
              <w:pageBreakBefore w:val="0"/>
              <w:widowControl/>
              <w:kinsoku/>
              <w:wordWrap/>
              <w:topLinePunct w:val="0"/>
              <w:bidi w:val="0"/>
              <w:adjustRightInd w:val="0"/>
              <w:snapToGrid w:val="0"/>
              <w:spacing w:line="360" w:lineRule="auto"/>
              <w:jc w:val="left"/>
              <w:textAlignment w:val="auto"/>
              <w:rPr>
                <w:rFonts w:ascii="宋体" w:hAnsi="宋体" w:eastAsia="宋体" w:cs="宋体"/>
                <w:color w:val="auto"/>
                <w:kern w:val="0"/>
                <w:szCs w:val="21"/>
              </w:rPr>
            </w:pPr>
          </w:p>
        </w:tc>
        <w:tc>
          <w:tcPr>
            <w:tcW w:w="1609" w:type="dxa"/>
            <w:gridSpan w:val="2"/>
            <w:vAlign w:val="center"/>
          </w:tcPr>
          <w:p w14:paraId="58227B8B">
            <w:pPr>
              <w:pageBreakBefore w:val="0"/>
              <w:widowControl/>
              <w:kinsoku/>
              <w:wordWrap/>
              <w:topLinePunct w:val="0"/>
              <w:bidi w:val="0"/>
              <w:adjustRightInd w:val="0"/>
              <w:snapToGrid w:val="0"/>
              <w:spacing w:line="360" w:lineRule="auto"/>
              <w:jc w:val="left"/>
              <w:textAlignment w:val="auto"/>
              <w:rPr>
                <w:rFonts w:ascii="宋体" w:hAnsi="宋体" w:eastAsia="宋体" w:cs="宋体"/>
                <w:color w:val="auto"/>
                <w:kern w:val="0"/>
                <w:szCs w:val="21"/>
              </w:rPr>
            </w:pPr>
            <w:r>
              <w:rPr>
                <w:rFonts w:ascii="宋体" w:hAnsi="宋体" w:eastAsia="宋体"/>
                <w:color w:val="auto"/>
              </w:rPr>
              <w:t>人月单价 ÷ 21.75</w:t>
            </w:r>
          </w:p>
        </w:tc>
        <w:tc>
          <w:tcPr>
            <w:tcW w:w="2643" w:type="dxa"/>
            <w:gridSpan w:val="2"/>
            <w:vAlign w:val="center"/>
          </w:tcPr>
          <w:p w14:paraId="333D1F92">
            <w:pPr>
              <w:pageBreakBefore w:val="0"/>
              <w:widowControl/>
              <w:kinsoku/>
              <w:wordWrap/>
              <w:topLinePunct w:val="0"/>
              <w:bidi w:val="0"/>
              <w:adjustRightInd w:val="0"/>
              <w:snapToGrid w:val="0"/>
              <w:spacing w:line="360" w:lineRule="auto"/>
              <w:jc w:val="left"/>
              <w:textAlignment w:val="auto"/>
              <w:rPr>
                <w:rFonts w:ascii="宋体" w:hAnsi="宋体" w:eastAsia="宋体" w:cs="宋体"/>
                <w:color w:val="auto"/>
                <w:kern w:val="0"/>
                <w:szCs w:val="21"/>
              </w:rPr>
            </w:pPr>
            <w:r>
              <w:rPr>
                <w:rFonts w:ascii="宋体" w:hAnsi="宋体" w:eastAsia="宋体"/>
                <w:color w:val="auto"/>
              </w:rPr>
              <w:t>核心功能开发、复杂逻辑实现、接口开发</w:t>
            </w:r>
          </w:p>
        </w:tc>
      </w:tr>
      <w:tr w14:paraId="35C66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3DAB1F22">
            <w:pPr>
              <w:pageBreakBefore w:val="0"/>
              <w:widowControl/>
              <w:kinsoku/>
              <w:wordWrap/>
              <w:topLinePunct w:val="0"/>
              <w:bidi w:val="0"/>
              <w:adjustRightInd w:val="0"/>
              <w:snapToGrid w:val="0"/>
              <w:spacing w:line="360" w:lineRule="auto"/>
              <w:jc w:val="center"/>
              <w:textAlignment w:val="auto"/>
              <w:rPr>
                <w:rFonts w:ascii="宋体" w:hAnsi="宋体" w:eastAsia="宋体" w:cs="宋体"/>
                <w:color w:val="auto"/>
                <w:kern w:val="0"/>
                <w:szCs w:val="21"/>
              </w:rPr>
            </w:pPr>
            <w:r>
              <w:rPr>
                <w:rFonts w:ascii="宋体" w:hAnsi="宋体" w:eastAsia="宋体"/>
                <w:color w:val="auto"/>
              </w:rPr>
              <w:t>3</w:t>
            </w:r>
          </w:p>
        </w:tc>
        <w:tc>
          <w:tcPr>
            <w:tcW w:w="2031" w:type="dxa"/>
            <w:vAlign w:val="center"/>
          </w:tcPr>
          <w:p w14:paraId="36492A9E">
            <w:pPr>
              <w:pageBreakBefore w:val="0"/>
              <w:widowControl/>
              <w:kinsoku/>
              <w:wordWrap/>
              <w:topLinePunct w:val="0"/>
              <w:bidi w:val="0"/>
              <w:adjustRightInd w:val="0"/>
              <w:snapToGrid w:val="0"/>
              <w:spacing w:line="360" w:lineRule="auto"/>
              <w:jc w:val="center"/>
              <w:textAlignment w:val="auto"/>
              <w:rPr>
                <w:rFonts w:ascii="宋体" w:hAnsi="宋体" w:eastAsia="宋体"/>
                <w:color w:val="auto"/>
              </w:rPr>
            </w:pPr>
            <w:r>
              <w:rPr>
                <w:rFonts w:ascii="宋体" w:hAnsi="宋体" w:eastAsia="宋体"/>
                <w:color w:val="auto"/>
              </w:rPr>
              <w:t>开发工程师</w:t>
            </w:r>
          </w:p>
          <w:p w14:paraId="485CABF5">
            <w:pPr>
              <w:pageBreakBefore w:val="0"/>
              <w:widowControl/>
              <w:kinsoku/>
              <w:wordWrap/>
              <w:topLinePunct w:val="0"/>
              <w:bidi w:val="0"/>
              <w:adjustRightInd w:val="0"/>
              <w:snapToGrid w:val="0"/>
              <w:spacing w:line="360" w:lineRule="auto"/>
              <w:jc w:val="center"/>
              <w:textAlignment w:val="auto"/>
              <w:rPr>
                <w:rFonts w:ascii="宋体" w:hAnsi="宋体" w:eastAsia="宋体"/>
                <w:color w:val="auto"/>
              </w:rPr>
            </w:pPr>
            <w:r>
              <w:rPr>
                <w:rFonts w:hint="eastAsia" w:ascii="宋体" w:hAnsi="宋体" w:eastAsia="宋体"/>
                <w:color w:val="auto"/>
              </w:rPr>
              <w:t>（前端、后端开发工程师）</w:t>
            </w:r>
          </w:p>
        </w:tc>
        <w:tc>
          <w:tcPr>
            <w:tcW w:w="1337" w:type="dxa"/>
            <w:vAlign w:val="center"/>
          </w:tcPr>
          <w:p w14:paraId="37144CF1">
            <w:pPr>
              <w:pageBreakBefore w:val="0"/>
              <w:widowControl/>
              <w:kinsoku/>
              <w:wordWrap/>
              <w:topLinePunct w:val="0"/>
              <w:bidi w:val="0"/>
              <w:adjustRightInd w:val="0"/>
              <w:snapToGrid w:val="0"/>
              <w:spacing w:line="360" w:lineRule="auto"/>
              <w:jc w:val="left"/>
              <w:textAlignment w:val="auto"/>
              <w:rPr>
                <w:rFonts w:ascii="宋体" w:hAnsi="宋体" w:eastAsia="宋体" w:cs="宋体"/>
                <w:color w:val="auto"/>
                <w:kern w:val="0"/>
                <w:szCs w:val="21"/>
              </w:rPr>
            </w:pPr>
          </w:p>
        </w:tc>
        <w:tc>
          <w:tcPr>
            <w:tcW w:w="1609" w:type="dxa"/>
            <w:gridSpan w:val="2"/>
            <w:vAlign w:val="center"/>
          </w:tcPr>
          <w:p w14:paraId="1C97321A">
            <w:pPr>
              <w:pageBreakBefore w:val="0"/>
              <w:widowControl/>
              <w:kinsoku/>
              <w:wordWrap/>
              <w:topLinePunct w:val="0"/>
              <w:bidi w:val="0"/>
              <w:adjustRightInd w:val="0"/>
              <w:snapToGrid w:val="0"/>
              <w:spacing w:line="360" w:lineRule="auto"/>
              <w:jc w:val="left"/>
              <w:textAlignment w:val="auto"/>
              <w:rPr>
                <w:rFonts w:ascii="宋体" w:hAnsi="宋体" w:eastAsia="宋体" w:cs="宋体"/>
                <w:color w:val="auto"/>
                <w:kern w:val="0"/>
                <w:szCs w:val="21"/>
              </w:rPr>
            </w:pPr>
            <w:r>
              <w:rPr>
                <w:rFonts w:ascii="宋体" w:hAnsi="宋体" w:eastAsia="宋体"/>
                <w:color w:val="auto"/>
              </w:rPr>
              <w:t>人月单价 ÷ 21.75</w:t>
            </w:r>
          </w:p>
        </w:tc>
        <w:tc>
          <w:tcPr>
            <w:tcW w:w="2643" w:type="dxa"/>
            <w:gridSpan w:val="2"/>
            <w:vAlign w:val="center"/>
          </w:tcPr>
          <w:p w14:paraId="094C1409">
            <w:pPr>
              <w:pageBreakBefore w:val="0"/>
              <w:widowControl/>
              <w:kinsoku/>
              <w:wordWrap/>
              <w:topLinePunct w:val="0"/>
              <w:bidi w:val="0"/>
              <w:adjustRightInd w:val="0"/>
              <w:snapToGrid w:val="0"/>
              <w:spacing w:line="360" w:lineRule="auto"/>
              <w:jc w:val="left"/>
              <w:textAlignment w:val="auto"/>
              <w:rPr>
                <w:rFonts w:ascii="宋体" w:hAnsi="宋体" w:eastAsia="宋体" w:cs="宋体"/>
                <w:color w:val="auto"/>
                <w:kern w:val="0"/>
                <w:szCs w:val="21"/>
              </w:rPr>
            </w:pPr>
            <w:r>
              <w:rPr>
                <w:rFonts w:ascii="宋体" w:hAnsi="宋体" w:eastAsia="宋体"/>
                <w:color w:val="auto"/>
              </w:rPr>
              <w:t>常规功能开发、单元测试、代码优化</w:t>
            </w:r>
          </w:p>
        </w:tc>
      </w:tr>
      <w:tr w14:paraId="09153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116F21EA">
            <w:pPr>
              <w:pageBreakBefore w:val="0"/>
              <w:widowControl/>
              <w:kinsoku/>
              <w:wordWrap/>
              <w:topLinePunct w:val="0"/>
              <w:bidi w:val="0"/>
              <w:adjustRightInd w:val="0"/>
              <w:snapToGrid w:val="0"/>
              <w:spacing w:line="360" w:lineRule="auto"/>
              <w:jc w:val="center"/>
              <w:textAlignment w:val="auto"/>
              <w:rPr>
                <w:rFonts w:ascii="宋体" w:hAnsi="宋体" w:eastAsia="宋体" w:cs="宋体"/>
                <w:color w:val="auto"/>
                <w:kern w:val="0"/>
                <w:szCs w:val="21"/>
              </w:rPr>
            </w:pPr>
            <w:r>
              <w:rPr>
                <w:rFonts w:ascii="宋体" w:hAnsi="宋体" w:eastAsia="宋体"/>
                <w:color w:val="auto"/>
              </w:rPr>
              <w:t>4</w:t>
            </w:r>
          </w:p>
        </w:tc>
        <w:tc>
          <w:tcPr>
            <w:tcW w:w="2031" w:type="dxa"/>
            <w:vAlign w:val="center"/>
          </w:tcPr>
          <w:p w14:paraId="45F7A94E">
            <w:pPr>
              <w:pageBreakBefore w:val="0"/>
              <w:widowControl/>
              <w:kinsoku/>
              <w:wordWrap/>
              <w:topLinePunct w:val="0"/>
              <w:bidi w:val="0"/>
              <w:adjustRightInd w:val="0"/>
              <w:snapToGrid w:val="0"/>
              <w:spacing w:line="360" w:lineRule="auto"/>
              <w:jc w:val="center"/>
              <w:textAlignment w:val="auto"/>
              <w:rPr>
                <w:rFonts w:ascii="宋体" w:hAnsi="宋体" w:eastAsia="宋体" w:cs="宋体"/>
                <w:color w:val="auto"/>
                <w:kern w:val="0"/>
                <w:szCs w:val="21"/>
              </w:rPr>
            </w:pPr>
            <w:r>
              <w:rPr>
                <w:rFonts w:ascii="宋体" w:hAnsi="宋体" w:eastAsia="宋体"/>
                <w:color w:val="auto"/>
              </w:rPr>
              <w:t>测试工程师</w:t>
            </w:r>
          </w:p>
        </w:tc>
        <w:tc>
          <w:tcPr>
            <w:tcW w:w="1337" w:type="dxa"/>
            <w:vAlign w:val="center"/>
          </w:tcPr>
          <w:p w14:paraId="40D0AEDE">
            <w:pPr>
              <w:pageBreakBefore w:val="0"/>
              <w:widowControl/>
              <w:kinsoku/>
              <w:wordWrap/>
              <w:topLinePunct w:val="0"/>
              <w:bidi w:val="0"/>
              <w:adjustRightInd w:val="0"/>
              <w:snapToGrid w:val="0"/>
              <w:spacing w:line="360" w:lineRule="auto"/>
              <w:jc w:val="left"/>
              <w:textAlignment w:val="auto"/>
              <w:rPr>
                <w:rFonts w:ascii="宋体" w:hAnsi="宋体" w:eastAsia="宋体" w:cs="宋体"/>
                <w:color w:val="auto"/>
                <w:kern w:val="0"/>
                <w:szCs w:val="21"/>
              </w:rPr>
            </w:pPr>
          </w:p>
        </w:tc>
        <w:tc>
          <w:tcPr>
            <w:tcW w:w="1609" w:type="dxa"/>
            <w:gridSpan w:val="2"/>
            <w:vAlign w:val="center"/>
          </w:tcPr>
          <w:p w14:paraId="73935F57">
            <w:pPr>
              <w:pageBreakBefore w:val="0"/>
              <w:widowControl/>
              <w:kinsoku/>
              <w:wordWrap/>
              <w:topLinePunct w:val="0"/>
              <w:bidi w:val="0"/>
              <w:adjustRightInd w:val="0"/>
              <w:snapToGrid w:val="0"/>
              <w:spacing w:line="360" w:lineRule="auto"/>
              <w:jc w:val="left"/>
              <w:textAlignment w:val="auto"/>
              <w:rPr>
                <w:rFonts w:ascii="宋体" w:hAnsi="宋体" w:eastAsia="宋体" w:cs="宋体"/>
                <w:color w:val="auto"/>
                <w:kern w:val="0"/>
                <w:szCs w:val="21"/>
              </w:rPr>
            </w:pPr>
            <w:r>
              <w:rPr>
                <w:rFonts w:ascii="宋体" w:hAnsi="宋体" w:eastAsia="宋体"/>
                <w:color w:val="auto"/>
              </w:rPr>
              <w:t>人月单价 ÷ 21.75</w:t>
            </w:r>
          </w:p>
        </w:tc>
        <w:tc>
          <w:tcPr>
            <w:tcW w:w="2643" w:type="dxa"/>
            <w:gridSpan w:val="2"/>
            <w:vAlign w:val="center"/>
          </w:tcPr>
          <w:p w14:paraId="5DF2578B">
            <w:pPr>
              <w:pageBreakBefore w:val="0"/>
              <w:widowControl/>
              <w:kinsoku/>
              <w:wordWrap/>
              <w:topLinePunct w:val="0"/>
              <w:bidi w:val="0"/>
              <w:adjustRightInd w:val="0"/>
              <w:snapToGrid w:val="0"/>
              <w:spacing w:line="360" w:lineRule="auto"/>
              <w:jc w:val="left"/>
              <w:textAlignment w:val="auto"/>
              <w:rPr>
                <w:rFonts w:ascii="宋体" w:hAnsi="宋体" w:eastAsia="宋体" w:cs="宋体"/>
                <w:color w:val="auto"/>
                <w:kern w:val="0"/>
                <w:szCs w:val="21"/>
              </w:rPr>
            </w:pPr>
            <w:r>
              <w:rPr>
                <w:rFonts w:ascii="宋体" w:hAnsi="宋体" w:eastAsia="宋体"/>
                <w:color w:val="auto"/>
              </w:rPr>
              <w:t>变更需求的测试、回归验证、BUG闭环</w:t>
            </w:r>
          </w:p>
        </w:tc>
      </w:tr>
    </w:tbl>
    <w:p w14:paraId="30CAAAE4">
      <w:pPr>
        <w:keepNext w:val="0"/>
        <w:keepLines w:val="0"/>
        <w:pageBreakBefore w:val="0"/>
        <w:widowControl w:val="0"/>
        <w:kinsoku/>
        <w:wordWrap/>
        <w:overflowPunct/>
        <w:topLinePunct w:val="0"/>
        <w:autoSpaceDE w:val="0"/>
        <w:autoSpaceDN w:val="0"/>
        <w:bidi w:val="0"/>
        <w:adjustRightInd w:val="0"/>
        <w:snapToGrid w:val="0"/>
        <w:spacing w:line="360" w:lineRule="auto"/>
        <w:ind w:firstLine="359" w:firstLineChars="17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bookmarkStart w:id="205" w:name="_GoBack"/>
      <w:bookmarkEnd w:id="205"/>
    </w:p>
    <w:p w14:paraId="7C6C75F8">
      <w:pPr>
        <w:keepNext w:val="0"/>
        <w:keepLines w:val="0"/>
        <w:pageBreakBefore w:val="0"/>
        <w:widowControl w:val="0"/>
        <w:kinsoku/>
        <w:wordWrap/>
        <w:overflowPunct/>
        <w:topLinePunct w:val="0"/>
        <w:autoSpaceDE w:val="0"/>
        <w:autoSpaceDN w:val="0"/>
        <w:bidi w:val="0"/>
        <w:adjustRightInd w:val="0"/>
        <w:snapToGrid w:val="0"/>
        <w:spacing w:line="360" w:lineRule="auto"/>
        <w:ind w:firstLine="359" w:firstLineChars="17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1、所有价格均以人民币作为货币单位填写及计算。</w:t>
      </w:r>
    </w:p>
    <w:p w14:paraId="36927419">
      <w:pPr>
        <w:keepNext w:val="0"/>
        <w:keepLines w:val="0"/>
        <w:pageBreakBefore w:val="0"/>
        <w:widowControl w:val="0"/>
        <w:kinsoku/>
        <w:wordWrap/>
        <w:overflowPunct/>
        <w:topLinePunct w:val="0"/>
        <w:autoSpaceDE w:val="0"/>
        <w:autoSpaceDN w:val="0"/>
        <w:bidi w:val="0"/>
        <w:adjustRightInd w:val="0"/>
        <w:snapToGrid w:val="0"/>
        <w:spacing w:line="360" w:lineRule="auto"/>
        <w:ind w:firstLine="359" w:firstLineChars="17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、总价金额应等于投标报价金额。</w:t>
      </w:r>
    </w:p>
    <w:p w14:paraId="7C93CDDA">
      <w:pPr>
        <w:keepNext w:val="0"/>
        <w:keepLines w:val="0"/>
        <w:pageBreakBefore w:val="0"/>
        <w:widowControl w:val="0"/>
        <w:kinsoku/>
        <w:wordWrap/>
        <w:overflowPunct/>
        <w:topLinePunct w:val="0"/>
        <w:autoSpaceDE w:val="0"/>
        <w:autoSpaceDN w:val="0"/>
        <w:bidi w:val="0"/>
        <w:adjustRightInd w:val="0"/>
        <w:snapToGrid w:val="0"/>
        <w:spacing w:line="360" w:lineRule="auto"/>
        <w:ind w:firstLine="359" w:firstLineChars="17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、投标人按分项报价表中的每一项进行报价。</w:t>
      </w:r>
    </w:p>
    <w:p w14:paraId="6AB9051E">
      <w:pPr>
        <w:keepNext w:val="0"/>
        <w:keepLines w:val="0"/>
        <w:pageBreakBefore w:val="0"/>
        <w:widowControl w:val="0"/>
        <w:kinsoku/>
        <w:wordWrap/>
        <w:overflowPunct/>
        <w:topLinePunct w:val="0"/>
        <w:autoSpaceDE w:val="0"/>
        <w:autoSpaceDN w:val="0"/>
        <w:bidi w:val="0"/>
        <w:adjustRightInd w:val="0"/>
        <w:snapToGrid w:val="0"/>
        <w:spacing w:line="360" w:lineRule="auto"/>
        <w:ind w:firstLine="359" w:firstLineChars="171"/>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变更工作量以人天为计量单位。1人天按8小时计算，不足半天的按半天（0.5人天）计算，超过半天不足一天的按一天（1人天）计算。</w:t>
      </w:r>
    </w:p>
    <w:p w14:paraId="2027E371">
      <w:pPr>
        <w:keepNext w:val="0"/>
        <w:keepLines w:val="0"/>
        <w:pageBreakBefore w:val="0"/>
        <w:widowControl w:val="0"/>
        <w:kinsoku/>
        <w:wordWrap/>
        <w:overflowPunct/>
        <w:topLinePunct w:val="0"/>
        <w:autoSpaceDE w:val="0"/>
        <w:autoSpaceDN w:val="0"/>
        <w:bidi w:val="0"/>
        <w:adjustRightInd w:val="0"/>
        <w:snapToGrid w:val="0"/>
        <w:spacing w:line="360" w:lineRule="auto"/>
        <w:ind w:firstLine="359" w:firstLineChars="171"/>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人月按21.75个工作日折算为人天单价。</w:t>
      </w:r>
    </w:p>
    <w:p w14:paraId="78AD1962">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rPr>
      </w:pPr>
    </w:p>
    <w:p w14:paraId="69B0909E">
      <w:pPr>
        <w:keepNext w:val="0"/>
        <w:keepLines w:val="0"/>
        <w:pageBreakBefore w:val="0"/>
        <w:kinsoku/>
        <w:wordWrap/>
        <w:overflowPunct/>
        <w:topLinePunct w:val="0"/>
        <w:bidi w:val="0"/>
        <w:spacing w:line="360" w:lineRule="auto"/>
        <w:ind w:firstLine="359" w:firstLineChars="171"/>
        <w:textAlignment w:val="auto"/>
        <w:rPr>
          <w:rFonts w:hint="eastAsia" w:ascii="宋体" w:hAnsi="宋体" w:eastAsia="宋体" w:cs="宋体"/>
          <w:color w:val="auto"/>
          <w:szCs w:val="21"/>
        </w:rPr>
      </w:pPr>
      <w:r>
        <w:rPr>
          <w:rFonts w:hint="eastAsia" w:ascii="宋体" w:hAnsi="宋体" w:eastAsia="宋体" w:cs="宋体"/>
          <w:color w:val="auto"/>
          <w:szCs w:val="21"/>
        </w:rPr>
        <w:t>投标人代表签字：</w:t>
      </w:r>
    </w:p>
    <w:p w14:paraId="3B01C6AE">
      <w:pPr>
        <w:keepNext w:val="0"/>
        <w:keepLines w:val="0"/>
        <w:pageBreakBefore w:val="0"/>
        <w:kinsoku/>
        <w:wordWrap/>
        <w:overflowPunct/>
        <w:topLinePunct w:val="0"/>
        <w:bidi w:val="0"/>
        <w:spacing w:line="360" w:lineRule="auto"/>
        <w:ind w:firstLine="359" w:firstLineChars="171"/>
        <w:textAlignment w:val="auto"/>
        <w:rPr>
          <w:rFonts w:hint="eastAsia" w:ascii="宋体" w:hAnsi="宋体" w:eastAsia="宋体" w:cs="宋体"/>
          <w:color w:val="auto"/>
          <w:szCs w:val="21"/>
        </w:rPr>
      </w:pPr>
      <w:r>
        <w:rPr>
          <w:rFonts w:hint="eastAsia" w:ascii="宋体" w:hAnsi="宋体" w:eastAsia="宋体" w:cs="宋体"/>
          <w:color w:val="auto"/>
          <w:szCs w:val="21"/>
        </w:rPr>
        <w:t>投标人盖章：</w:t>
      </w:r>
    </w:p>
    <w:p w14:paraId="248FFE84">
      <w:pPr>
        <w:keepNext w:val="0"/>
        <w:keepLines w:val="0"/>
        <w:pageBreakBefore w:val="0"/>
        <w:kinsoku/>
        <w:wordWrap/>
        <w:overflowPunct/>
        <w:topLinePunct w:val="0"/>
        <w:bidi w:val="0"/>
        <w:spacing w:line="360" w:lineRule="auto"/>
        <w:ind w:firstLine="359" w:firstLineChars="171"/>
        <w:textAlignment w:val="auto"/>
        <w:rPr>
          <w:rFonts w:hint="eastAsia" w:ascii="宋体" w:hAnsi="宋体" w:eastAsia="宋体" w:cs="宋体"/>
          <w:color w:val="auto"/>
          <w:szCs w:val="21"/>
        </w:rPr>
      </w:pPr>
      <w:r>
        <w:rPr>
          <w:rFonts w:hint="eastAsia" w:ascii="宋体" w:hAnsi="宋体" w:eastAsia="宋体" w:cs="宋体"/>
          <w:color w:val="auto"/>
          <w:szCs w:val="21"/>
        </w:rPr>
        <w:t>日期：</w:t>
      </w:r>
    </w:p>
    <w:p w14:paraId="38941273">
      <w:pPr>
        <w:rPr>
          <w:rFonts w:hint="eastAsia" w:ascii="宋体" w:hAnsi="宋体" w:eastAsia="宋体" w:cs="宋体"/>
          <w:color w:val="auto"/>
          <w:szCs w:val="21"/>
        </w:rPr>
      </w:pPr>
      <w:r>
        <w:rPr>
          <w:rFonts w:hint="eastAsia" w:ascii="宋体" w:hAnsi="宋体" w:eastAsia="宋体" w:cs="宋体"/>
          <w:color w:val="auto"/>
          <w:szCs w:val="21"/>
        </w:rPr>
        <w:br w:type="page"/>
      </w:r>
    </w:p>
    <w:p w14:paraId="066EAA15">
      <w:pPr>
        <w:pStyle w:val="3"/>
        <w:spacing w:before="0" w:after="0" w:line="360" w:lineRule="auto"/>
        <w:jc w:val="center"/>
        <w:rPr>
          <w:rFonts w:hint="eastAsia" w:ascii="宋体" w:hAnsi="宋体" w:eastAsia="宋体" w:cs="宋体"/>
          <w:color w:val="auto"/>
          <w:sz w:val="72"/>
          <w:szCs w:val="72"/>
        </w:rPr>
      </w:pPr>
      <w:bookmarkStart w:id="149" w:name="_Toc23567"/>
      <w:r>
        <w:rPr>
          <w:rFonts w:hint="eastAsia" w:ascii="宋体" w:hAnsi="宋体" w:eastAsia="宋体" w:cs="宋体"/>
          <w:color w:val="auto"/>
          <w:sz w:val="72"/>
          <w:szCs w:val="72"/>
        </w:rPr>
        <w:t>商务文件</w:t>
      </w:r>
      <w:bookmarkEnd w:id="149"/>
    </w:p>
    <w:p w14:paraId="5E7F9F26">
      <w:pPr>
        <w:jc w:val="center"/>
        <w:rPr>
          <w:rFonts w:hint="eastAsia" w:ascii="宋体" w:hAnsi="宋体" w:eastAsia="宋体" w:cs="宋体"/>
          <w:color w:val="auto"/>
          <w:sz w:val="72"/>
          <w:szCs w:val="72"/>
        </w:rPr>
      </w:pPr>
      <w:r>
        <w:rPr>
          <w:rFonts w:hint="eastAsia" w:ascii="宋体" w:hAnsi="宋体" w:eastAsia="宋体" w:cs="宋体"/>
          <w:color w:val="auto"/>
          <w:sz w:val="72"/>
          <w:szCs w:val="72"/>
        </w:rPr>
        <w:t>（单独装订成册）</w:t>
      </w:r>
    </w:p>
    <w:p w14:paraId="6109657F">
      <w:pPr>
        <w:rPr>
          <w:rFonts w:hint="eastAsia" w:ascii="宋体" w:hAnsi="宋体" w:eastAsia="宋体" w:cs="宋体"/>
          <w:color w:val="auto"/>
        </w:rPr>
      </w:pPr>
    </w:p>
    <w:p w14:paraId="40879A2B">
      <w:pPr>
        <w:pStyle w:val="11"/>
        <w:rPr>
          <w:rFonts w:hint="eastAsia" w:ascii="宋体" w:hAnsi="宋体" w:eastAsia="宋体" w:cs="宋体"/>
          <w:color w:val="auto"/>
        </w:rPr>
      </w:pPr>
    </w:p>
    <w:p w14:paraId="2D324614">
      <w:pPr>
        <w:pStyle w:val="12"/>
        <w:ind w:firstLine="240"/>
        <w:rPr>
          <w:rFonts w:hint="eastAsia" w:ascii="宋体" w:hAnsi="宋体" w:eastAsia="宋体" w:cs="宋体"/>
          <w:color w:val="auto"/>
        </w:rPr>
      </w:pPr>
    </w:p>
    <w:p w14:paraId="7CB73AAA">
      <w:pPr>
        <w:rPr>
          <w:rFonts w:hint="eastAsia" w:ascii="宋体" w:hAnsi="宋体" w:eastAsia="宋体" w:cs="宋体"/>
          <w:b/>
          <w:bCs/>
          <w:color w:val="auto"/>
          <w:spacing w:val="-6"/>
          <w:sz w:val="32"/>
          <w:szCs w:val="32"/>
        </w:rPr>
      </w:pPr>
      <w:r>
        <w:rPr>
          <w:rFonts w:hint="eastAsia" w:ascii="宋体" w:hAnsi="宋体" w:eastAsia="宋体" w:cs="宋体"/>
          <w:b/>
          <w:bCs/>
          <w:color w:val="auto"/>
          <w:spacing w:val="53"/>
          <w:kern w:val="0"/>
          <w:sz w:val="32"/>
          <w:szCs w:val="32"/>
          <w:fitText w:val="1600" w:id="292250509"/>
        </w:rPr>
        <w:t>项目名</w:t>
      </w:r>
      <w:r>
        <w:rPr>
          <w:rFonts w:hint="eastAsia" w:ascii="宋体" w:hAnsi="宋体" w:eastAsia="宋体" w:cs="宋体"/>
          <w:b/>
          <w:bCs/>
          <w:color w:val="auto"/>
          <w:spacing w:val="1"/>
          <w:kern w:val="0"/>
          <w:sz w:val="32"/>
          <w:szCs w:val="32"/>
          <w:fitText w:val="1600" w:id="292250509"/>
        </w:rPr>
        <w:t>称</w:t>
      </w:r>
      <w:r>
        <w:rPr>
          <w:rFonts w:hint="eastAsia" w:ascii="宋体" w:hAnsi="宋体" w:eastAsia="宋体" w:cs="宋体"/>
          <w:b/>
          <w:bCs/>
          <w:color w:val="auto"/>
          <w:spacing w:val="-6"/>
          <w:sz w:val="32"/>
          <w:szCs w:val="32"/>
        </w:rPr>
        <w:t>：</w:t>
      </w:r>
    </w:p>
    <w:p w14:paraId="1C527DF3">
      <w:pPr>
        <w:rPr>
          <w:rFonts w:hint="eastAsia" w:ascii="宋体" w:hAnsi="宋体" w:eastAsia="宋体" w:cs="宋体"/>
          <w:b/>
          <w:bCs/>
          <w:color w:val="auto"/>
          <w:sz w:val="32"/>
          <w:szCs w:val="32"/>
        </w:rPr>
      </w:pPr>
      <w:r>
        <w:rPr>
          <w:rFonts w:hint="eastAsia" w:ascii="宋体" w:hAnsi="宋体" w:eastAsia="宋体" w:cs="宋体"/>
          <w:b/>
          <w:bCs/>
          <w:color w:val="auto"/>
          <w:spacing w:val="53"/>
          <w:kern w:val="0"/>
          <w:sz w:val="32"/>
          <w:szCs w:val="32"/>
          <w:fitText w:val="1600" w:id="1231831253"/>
        </w:rPr>
        <w:t>项目编</w:t>
      </w:r>
      <w:r>
        <w:rPr>
          <w:rFonts w:hint="eastAsia" w:ascii="宋体" w:hAnsi="宋体" w:eastAsia="宋体" w:cs="宋体"/>
          <w:b/>
          <w:bCs/>
          <w:color w:val="auto"/>
          <w:spacing w:val="1"/>
          <w:kern w:val="0"/>
          <w:sz w:val="32"/>
          <w:szCs w:val="32"/>
          <w:fitText w:val="1600" w:id="1231831253"/>
        </w:rPr>
        <w:t>号</w:t>
      </w:r>
      <w:r>
        <w:rPr>
          <w:rFonts w:hint="eastAsia" w:ascii="宋体" w:hAnsi="宋体" w:eastAsia="宋体" w:cs="宋体"/>
          <w:b/>
          <w:bCs/>
          <w:color w:val="auto"/>
          <w:sz w:val="32"/>
          <w:szCs w:val="32"/>
        </w:rPr>
        <w:t>：</w:t>
      </w:r>
    </w:p>
    <w:p w14:paraId="23B6A63A">
      <w:pPr>
        <w:pStyle w:val="11"/>
        <w:ind w:left="0"/>
        <w:rPr>
          <w:rFonts w:hint="eastAsia" w:ascii="宋体" w:hAnsi="宋体" w:eastAsia="宋体" w:cs="宋体"/>
          <w:b/>
          <w:color w:val="auto"/>
          <w:spacing w:val="1280"/>
          <w:sz w:val="32"/>
          <w:szCs w:val="32"/>
        </w:rPr>
      </w:pPr>
      <w:r>
        <w:rPr>
          <w:rFonts w:hint="eastAsia" w:ascii="宋体" w:hAnsi="宋体" w:eastAsia="宋体" w:cs="宋体"/>
          <w:b/>
          <w:color w:val="auto"/>
          <w:spacing w:val="106"/>
          <w:sz w:val="32"/>
          <w:szCs w:val="32"/>
          <w:lang w:val="en-US" w:bidi="ar-SA"/>
        </w:rPr>
        <w:t>包组号（如有）：</w:t>
      </w:r>
    </w:p>
    <w:p w14:paraId="3113B578">
      <w:pPr>
        <w:rPr>
          <w:rFonts w:hint="eastAsia" w:ascii="宋体" w:hAnsi="宋体" w:eastAsia="宋体" w:cs="宋体"/>
          <w:b/>
          <w:color w:val="auto"/>
          <w:sz w:val="32"/>
          <w:szCs w:val="32"/>
        </w:rPr>
      </w:pPr>
      <w:r>
        <w:rPr>
          <w:rFonts w:hint="eastAsia" w:ascii="宋体" w:hAnsi="宋体" w:eastAsia="宋体" w:cs="宋体"/>
          <w:b/>
          <w:color w:val="auto"/>
          <w:spacing w:val="0"/>
          <w:kern w:val="0"/>
          <w:sz w:val="32"/>
          <w:szCs w:val="32"/>
          <w:fitText w:val="1600" w:id="1764384445"/>
        </w:rPr>
        <w:t>投标人名称</w:t>
      </w:r>
      <w:r>
        <w:rPr>
          <w:rFonts w:hint="eastAsia" w:ascii="宋体" w:hAnsi="宋体" w:eastAsia="宋体" w:cs="宋体"/>
          <w:b/>
          <w:color w:val="auto"/>
          <w:sz w:val="32"/>
          <w:szCs w:val="32"/>
        </w:rPr>
        <w:t>：</w:t>
      </w:r>
    </w:p>
    <w:p w14:paraId="5C25917C">
      <w:pPr>
        <w:rPr>
          <w:rFonts w:hint="eastAsia" w:ascii="宋体" w:hAnsi="宋体" w:eastAsia="宋体" w:cs="宋体"/>
          <w:b/>
          <w:color w:val="auto"/>
          <w:sz w:val="32"/>
          <w:szCs w:val="32"/>
        </w:rPr>
      </w:pPr>
      <w:r>
        <w:rPr>
          <w:rFonts w:hint="eastAsia" w:ascii="宋体" w:hAnsi="宋体" w:eastAsia="宋体" w:cs="宋体"/>
          <w:b/>
          <w:color w:val="auto"/>
          <w:spacing w:val="32"/>
          <w:kern w:val="0"/>
          <w:sz w:val="32"/>
          <w:szCs w:val="32"/>
          <w:fitText w:val="1600" w:id="2061173831"/>
        </w:rPr>
        <w:t xml:space="preserve">日    </w:t>
      </w:r>
      <w:r>
        <w:rPr>
          <w:rFonts w:hint="eastAsia" w:ascii="宋体" w:hAnsi="宋体" w:eastAsia="宋体" w:cs="宋体"/>
          <w:b/>
          <w:color w:val="auto"/>
          <w:spacing w:val="0"/>
          <w:kern w:val="0"/>
          <w:sz w:val="32"/>
          <w:szCs w:val="32"/>
          <w:fitText w:val="1600" w:id="2061173831"/>
        </w:rPr>
        <w:t>期</w:t>
      </w:r>
      <w:r>
        <w:rPr>
          <w:rFonts w:hint="eastAsia" w:ascii="宋体" w:hAnsi="宋体" w:eastAsia="宋体" w:cs="宋体"/>
          <w:b/>
          <w:color w:val="auto"/>
          <w:sz w:val="32"/>
          <w:szCs w:val="32"/>
        </w:rPr>
        <w:t>：</w:t>
      </w:r>
    </w:p>
    <w:p w14:paraId="284B3A89">
      <w:pPr>
        <w:pStyle w:val="11"/>
        <w:rPr>
          <w:rFonts w:hint="eastAsia" w:ascii="宋体" w:hAnsi="宋体" w:eastAsia="宋体" w:cs="宋体"/>
          <w:b/>
          <w:color w:val="auto"/>
          <w:sz w:val="32"/>
          <w:szCs w:val="32"/>
        </w:rPr>
      </w:pPr>
    </w:p>
    <w:p w14:paraId="6911503D">
      <w:pPr>
        <w:pStyle w:val="12"/>
        <w:ind w:firstLine="321"/>
        <w:rPr>
          <w:rFonts w:hint="eastAsia" w:ascii="宋体" w:hAnsi="宋体" w:eastAsia="宋体" w:cs="宋体"/>
          <w:b/>
          <w:color w:val="auto"/>
          <w:sz w:val="32"/>
          <w:szCs w:val="32"/>
        </w:rPr>
      </w:pPr>
    </w:p>
    <w:p w14:paraId="58403662">
      <w:pPr>
        <w:pStyle w:val="25"/>
        <w:rPr>
          <w:rFonts w:hint="eastAsia" w:ascii="宋体" w:hAnsi="宋体" w:eastAsia="宋体" w:cs="宋体"/>
          <w:b/>
          <w:color w:val="auto"/>
          <w:sz w:val="32"/>
          <w:szCs w:val="32"/>
        </w:rPr>
      </w:pPr>
    </w:p>
    <w:p w14:paraId="327341F7">
      <w:pPr>
        <w:rPr>
          <w:rFonts w:hint="eastAsia" w:ascii="宋体" w:hAnsi="宋体" w:eastAsia="宋体" w:cs="宋体"/>
          <w:b/>
          <w:color w:val="auto"/>
          <w:sz w:val="32"/>
          <w:szCs w:val="32"/>
        </w:rPr>
      </w:pPr>
    </w:p>
    <w:p w14:paraId="0AB67DF2">
      <w:pPr>
        <w:pStyle w:val="11"/>
        <w:rPr>
          <w:rFonts w:hint="eastAsia" w:ascii="宋体" w:hAnsi="宋体" w:eastAsia="宋体" w:cs="宋体"/>
          <w:b/>
          <w:color w:val="auto"/>
          <w:sz w:val="32"/>
          <w:szCs w:val="32"/>
        </w:rPr>
      </w:pPr>
    </w:p>
    <w:p w14:paraId="160A5EE5">
      <w:pPr>
        <w:rPr>
          <w:rFonts w:hint="eastAsia" w:ascii="宋体" w:hAnsi="宋体" w:eastAsia="宋体" w:cs="宋体"/>
          <w:color w:val="auto"/>
          <w:szCs w:val="21"/>
        </w:rPr>
      </w:pPr>
    </w:p>
    <w:p w14:paraId="26E73097">
      <w:pPr>
        <w:rPr>
          <w:rFonts w:hint="eastAsia" w:ascii="宋体" w:hAnsi="宋体" w:eastAsia="宋体" w:cs="宋体"/>
          <w:color w:val="auto"/>
          <w:szCs w:val="21"/>
        </w:rPr>
      </w:pPr>
      <w:r>
        <w:rPr>
          <w:rFonts w:hint="eastAsia" w:ascii="宋体" w:hAnsi="宋体" w:eastAsia="宋体" w:cs="宋体"/>
          <w:color w:val="auto"/>
          <w:szCs w:val="21"/>
        </w:rPr>
        <w:br w:type="page"/>
      </w:r>
    </w:p>
    <w:p w14:paraId="0E3FC994">
      <w:pPr>
        <w:pStyle w:val="5"/>
        <w:widowControl w:val="0"/>
        <w:overflowPunct w:val="0"/>
        <w:spacing w:line="240" w:lineRule="auto"/>
        <w:rPr>
          <w:rFonts w:hint="eastAsia" w:ascii="宋体" w:hAnsi="宋体" w:eastAsia="宋体" w:cs="宋体"/>
          <w:color w:val="auto"/>
        </w:rPr>
      </w:pPr>
      <w:bookmarkStart w:id="150" w:name="_Toc800"/>
      <w:r>
        <w:rPr>
          <w:rFonts w:hint="eastAsia" w:ascii="宋体" w:hAnsi="宋体" w:eastAsia="宋体" w:cs="宋体"/>
          <w:color w:val="auto"/>
          <w:sz w:val="21"/>
          <w:szCs w:val="21"/>
        </w:rPr>
        <w:t>附件4.投标书格式</w:t>
      </w:r>
      <w:bookmarkEnd w:id="150"/>
    </w:p>
    <w:p w14:paraId="4024F980">
      <w:pPr>
        <w:jc w:val="center"/>
        <w:rPr>
          <w:rFonts w:hint="eastAsia" w:ascii="宋体" w:hAnsi="宋体" w:eastAsia="宋体" w:cs="宋体"/>
          <w:color w:val="auto"/>
          <w:szCs w:val="21"/>
        </w:rPr>
      </w:pPr>
      <w:r>
        <w:rPr>
          <w:rFonts w:hint="eastAsia" w:ascii="宋体" w:hAnsi="宋体" w:eastAsia="宋体" w:cs="宋体"/>
          <w:color w:val="auto"/>
          <w:sz w:val="32"/>
          <w:szCs w:val="32"/>
        </w:rPr>
        <w:t>投标书</w:t>
      </w:r>
    </w:p>
    <w:p w14:paraId="658468F5">
      <w:pPr>
        <w:rPr>
          <w:rFonts w:hint="eastAsia" w:ascii="宋体" w:hAnsi="宋体" w:eastAsia="宋体" w:cs="宋体"/>
          <w:color w:val="auto"/>
          <w:szCs w:val="21"/>
        </w:rPr>
      </w:pPr>
      <w:r>
        <w:rPr>
          <w:rFonts w:hint="eastAsia" w:ascii="宋体" w:hAnsi="宋体" w:eastAsia="宋体" w:cs="宋体"/>
          <w:color w:val="auto"/>
          <w:szCs w:val="21"/>
        </w:rPr>
        <w:t>致：</w:t>
      </w:r>
      <w:r>
        <w:rPr>
          <w:rFonts w:hint="eastAsia" w:ascii="宋体" w:hAnsi="宋体" w:eastAsia="宋体" w:cs="宋体"/>
          <w:b/>
          <w:color w:val="auto"/>
          <w:szCs w:val="21"/>
          <w:u w:val="single"/>
        </w:rPr>
        <w:t>广东中科招标有限公司</w:t>
      </w:r>
      <w:r>
        <w:rPr>
          <w:rFonts w:hint="eastAsia" w:ascii="宋体" w:hAnsi="宋体" w:eastAsia="宋体" w:cs="宋体"/>
          <w:color w:val="auto"/>
          <w:szCs w:val="21"/>
        </w:rPr>
        <w:t>：</w:t>
      </w:r>
    </w:p>
    <w:p w14:paraId="23BB6775">
      <w:pPr>
        <w:rPr>
          <w:rFonts w:hint="eastAsia" w:ascii="宋体" w:hAnsi="宋体" w:eastAsia="宋体" w:cs="宋体"/>
          <w:color w:val="auto"/>
          <w:szCs w:val="21"/>
        </w:rPr>
      </w:pPr>
    </w:p>
    <w:p w14:paraId="677CAEEC">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根据贵方为</w:t>
      </w:r>
      <w:r>
        <w:rPr>
          <w:rFonts w:hint="eastAsia" w:ascii="宋体" w:hAnsi="宋体" w:eastAsia="宋体" w:cs="宋体"/>
          <w:color w:val="auto"/>
          <w:szCs w:val="21"/>
          <w:u w:val="single"/>
        </w:rPr>
        <w:t>（项目名称）（采购项目编号）</w:t>
      </w:r>
      <w:r>
        <w:rPr>
          <w:rFonts w:hint="eastAsia" w:ascii="宋体" w:hAnsi="宋体" w:eastAsia="宋体" w:cs="宋体"/>
          <w:color w:val="auto"/>
          <w:szCs w:val="21"/>
        </w:rPr>
        <w:t>项目采购公告/采购邀请，签字代表</w:t>
      </w:r>
      <w:r>
        <w:rPr>
          <w:rFonts w:hint="eastAsia" w:ascii="宋体" w:hAnsi="宋体" w:eastAsia="宋体" w:cs="宋体"/>
          <w:color w:val="auto"/>
          <w:szCs w:val="21"/>
          <w:u w:val="single"/>
        </w:rPr>
        <w:t>（姓名、职务）</w:t>
      </w:r>
      <w:r>
        <w:rPr>
          <w:rFonts w:hint="eastAsia" w:ascii="宋体" w:hAnsi="宋体" w:eastAsia="宋体" w:cs="宋体"/>
          <w:color w:val="auto"/>
          <w:szCs w:val="21"/>
        </w:rPr>
        <w:t>经正式授权并代表投标人</w:t>
      </w:r>
      <w:r>
        <w:rPr>
          <w:rFonts w:hint="eastAsia" w:ascii="宋体" w:hAnsi="宋体" w:eastAsia="宋体" w:cs="宋体"/>
          <w:color w:val="auto"/>
          <w:szCs w:val="21"/>
          <w:u w:val="single"/>
        </w:rPr>
        <w:t>（投标人名称、地址）</w:t>
      </w:r>
      <w:r>
        <w:rPr>
          <w:rFonts w:hint="eastAsia" w:ascii="宋体" w:hAnsi="宋体" w:eastAsia="宋体" w:cs="宋体"/>
          <w:color w:val="auto"/>
          <w:szCs w:val="21"/>
        </w:rPr>
        <w:t>提交投标文件及“唱标信封”：</w:t>
      </w:r>
    </w:p>
    <w:p w14:paraId="354F6F26">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在此，签字代表宣布同意如下：</w:t>
      </w:r>
    </w:p>
    <w:p w14:paraId="4367CF5C">
      <w:pPr>
        <w:widowControl w:val="0"/>
        <w:numPr>
          <w:ilvl w:val="0"/>
          <w:numId w:val="8"/>
        </w:numPr>
        <w:adjustRightInd/>
        <w:snapToGrid/>
        <w:jc w:val="both"/>
        <w:rPr>
          <w:rFonts w:hint="eastAsia" w:ascii="宋体" w:hAnsi="宋体" w:eastAsia="宋体" w:cs="宋体"/>
          <w:color w:val="auto"/>
          <w:szCs w:val="21"/>
        </w:rPr>
      </w:pPr>
      <w:r>
        <w:rPr>
          <w:rFonts w:hint="eastAsia" w:ascii="宋体" w:hAnsi="宋体" w:eastAsia="宋体" w:cs="宋体"/>
          <w:color w:val="auto"/>
          <w:szCs w:val="21"/>
        </w:rPr>
        <w:t>我方将按采购文件的规定履行合同责任和义务。</w:t>
      </w:r>
    </w:p>
    <w:p w14:paraId="008ACC00">
      <w:pPr>
        <w:widowControl w:val="0"/>
        <w:numPr>
          <w:ilvl w:val="0"/>
          <w:numId w:val="8"/>
        </w:numPr>
        <w:adjustRightInd/>
        <w:snapToGrid/>
        <w:jc w:val="both"/>
        <w:rPr>
          <w:rFonts w:hint="eastAsia" w:ascii="宋体" w:hAnsi="宋体" w:eastAsia="宋体" w:cs="宋体"/>
          <w:color w:val="auto"/>
          <w:szCs w:val="21"/>
        </w:rPr>
      </w:pPr>
      <w:r>
        <w:rPr>
          <w:rFonts w:hint="eastAsia" w:ascii="宋体" w:hAnsi="宋体" w:eastAsia="宋体" w:cs="宋体"/>
          <w:b/>
          <w:color w:val="auto"/>
          <w:szCs w:val="21"/>
        </w:rPr>
        <w:t>我方已完整阅读了本项目采购文件的所有内容（包括澄清，以及所有已提供的参考资料和有关附件），并完全理解上述文件所表达的意思，该项目递交投标文件时间截止后，我方承诺不再对上述文件内容进行异议。</w:t>
      </w:r>
    </w:p>
    <w:p w14:paraId="67C0CBBA">
      <w:pPr>
        <w:widowControl w:val="0"/>
        <w:numPr>
          <w:ilvl w:val="0"/>
          <w:numId w:val="8"/>
        </w:numPr>
        <w:adjustRightInd/>
        <w:snapToGrid/>
        <w:jc w:val="both"/>
        <w:rPr>
          <w:rFonts w:hint="eastAsia" w:ascii="宋体" w:hAnsi="宋体" w:eastAsia="宋体" w:cs="宋体"/>
          <w:color w:val="auto"/>
          <w:szCs w:val="21"/>
        </w:rPr>
      </w:pPr>
      <w:r>
        <w:rPr>
          <w:rFonts w:hint="eastAsia" w:ascii="宋体" w:hAnsi="宋体" w:eastAsia="宋体" w:cs="宋体"/>
          <w:color w:val="auto"/>
          <w:szCs w:val="21"/>
        </w:rPr>
        <w:t>本投标有效期为自开标日起</w:t>
      </w:r>
      <w:r>
        <w:rPr>
          <w:rFonts w:hint="eastAsia" w:ascii="宋体" w:hAnsi="宋体" w:eastAsia="宋体" w:cs="宋体"/>
          <w:color w:val="auto"/>
          <w:szCs w:val="21"/>
          <w:u w:val="single"/>
        </w:rPr>
        <w:t>90</w:t>
      </w:r>
      <w:r>
        <w:rPr>
          <w:rFonts w:hint="eastAsia" w:ascii="宋体" w:hAnsi="宋体" w:eastAsia="宋体" w:cs="宋体"/>
          <w:color w:val="auto"/>
          <w:szCs w:val="21"/>
        </w:rPr>
        <w:t>个日历日。</w:t>
      </w:r>
    </w:p>
    <w:p w14:paraId="6A549375">
      <w:pPr>
        <w:widowControl w:val="0"/>
        <w:numPr>
          <w:ilvl w:val="0"/>
          <w:numId w:val="8"/>
        </w:numPr>
        <w:adjustRightInd/>
        <w:snapToGrid/>
        <w:jc w:val="both"/>
        <w:rPr>
          <w:rFonts w:hint="eastAsia" w:ascii="宋体" w:hAnsi="宋体" w:eastAsia="宋体" w:cs="宋体"/>
          <w:color w:val="auto"/>
          <w:szCs w:val="21"/>
        </w:rPr>
      </w:pPr>
      <w:r>
        <w:rPr>
          <w:rFonts w:hint="eastAsia" w:ascii="宋体" w:hAnsi="宋体" w:eastAsia="宋体" w:cs="宋体"/>
          <w:color w:val="auto"/>
          <w:szCs w:val="21"/>
        </w:rPr>
        <w:t>我方保证遵守投标人须知中关于没收投标保证金的规定。</w:t>
      </w:r>
    </w:p>
    <w:p w14:paraId="49A9E298">
      <w:pPr>
        <w:widowControl w:val="0"/>
        <w:numPr>
          <w:ilvl w:val="0"/>
          <w:numId w:val="8"/>
        </w:numPr>
        <w:adjustRightInd/>
        <w:snapToGrid/>
        <w:jc w:val="both"/>
        <w:rPr>
          <w:rFonts w:hint="eastAsia" w:ascii="宋体" w:hAnsi="宋体" w:eastAsia="宋体" w:cs="宋体"/>
          <w:color w:val="auto"/>
          <w:szCs w:val="21"/>
        </w:rPr>
      </w:pPr>
      <w:r>
        <w:rPr>
          <w:rFonts w:hint="eastAsia" w:ascii="宋体" w:hAnsi="宋体" w:eastAsia="宋体" w:cs="宋体"/>
          <w:color w:val="auto"/>
          <w:szCs w:val="21"/>
        </w:rPr>
        <w:t>我方承诺，与买方聘请的为此项目提供咨询服务的公司及任何附属机构均无关联，我方不是买方的附属机构。</w:t>
      </w:r>
    </w:p>
    <w:p w14:paraId="1566BB10">
      <w:pPr>
        <w:widowControl w:val="0"/>
        <w:numPr>
          <w:ilvl w:val="0"/>
          <w:numId w:val="8"/>
        </w:numPr>
        <w:adjustRightInd/>
        <w:snapToGrid/>
        <w:jc w:val="both"/>
        <w:rPr>
          <w:rFonts w:hint="eastAsia" w:ascii="宋体" w:hAnsi="宋体" w:eastAsia="宋体" w:cs="宋体"/>
          <w:color w:val="auto"/>
          <w:szCs w:val="21"/>
        </w:rPr>
      </w:pPr>
      <w:r>
        <w:rPr>
          <w:rFonts w:hint="eastAsia" w:ascii="宋体" w:hAnsi="宋体" w:eastAsia="宋体" w:cs="宋体"/>
          <w:color w:val="auto"/>
          <w:szCs w:val="21"/>
        </w:rPr>
        <w:t>我方承诺，我方具备投标人邀请中所要求的资格条件，已清楚采购文件所有要求及有关规定；并承诺参加本次采购活动中，如有违法、违规、弄虚作假行为，所造成的损失、不良后果及法律责任，一律由我方承担；</w:t>
      </w:r>
    </w:p>
    <w:p w14:paraId="21230020">
      <w:pPr>
        <w:widowControl w:val="0"/>
        <w:numPr>
          <w:ilvl w:val="0"/>
          <w:numId w:val="8"/>
        </w:numPr>
        <w:adjustRightInd/>
        <w:snapToGrid/>
        <w:jc w:val="both"/>
        <w:rPr>
          <w:rFonts w:hint="eastAsia" w:ascii="宋体" w:hAnsi="宋体" w:eastAsia="宋体" w:cs="宋体"/>
          <w:color w:val="auto"/>
          <w:szCs w:val="21"/>
        </w:rPr>
      </w:pPr>
      <w:r>
        <w:rPr>
          <w:rFonts w:hint="eastAsia" w:ascii="宋体" w:hAnsi="宋体" w:eastAsia="宋体" w:cs="宋体"/>
          <w:color w:val="auto"/>
          <w:szCs w:val="21"/>
        </w:rPr>
        <w:t>我方同意提供按照贵方可能要求的与其投标有关的一切数据或资料。</w:t>
      </w:r>
    </w:p>
    <w:p w14:paraId="56C87EA6">
      <w:pPr>
        <w:widowControl w:val="0"/>
        <w:numPr>
          <w:ilvl w:val="0"/>
          <w:numId w:val="8"/>
        </w:numPr>
        <w:adjustRightInd/>
        <w:snapToGrid/>
        <w:jc w:val="both"/>
        <w:rPr>
          <w:rFonts w:hint="eastAsia" w:ascii="宋体" w:hAnsi="宋体" w:eastAsia="宋体" w:cs="宋体"/>
          <w:color w:val="auto"/>
          <w:szCs w:val="21"/>
        </w:rPr>
      </w:pPr>
      <w:r>
        <w:rPr>
          <w:rFonts w:hint="eastAsia" w:ascii="宋体" w:hAnsi="宋体" w:eastAsia="宋体" w:cs="宋体"/>
          <w:color w:val="auto"/>
          <w:szCs w:val="21"/>
        </w:rPr>
        <w:t>与本投标有关的一切正式信函请寄：</w:t>
      </w:r>
    </w:p>
    <w:p w14:paraId="64AF9AE4">
      <w:pPr>
        <w:rPr>
          <w:rFonts w:hint="eastAsia" w:ascii="宋体" w:hAnsi="宋体" w:eastAsia="宋体" w:cs="宋体"/>
          <w:color w:val="auto"/>
          <w:szCs w:val="21"/>
        </w:rPr>
      </w:pPr>
      <w:r>
        <w:rPr>
          <w:rFonts w:hint="eastAsia" w:ascii="宋体" w:hAnsi="宋体" w:eastAsia="宋体" w:cs="宋体"/>
          <w:color w:val="auto"/>
          <w:szCs w:val="21"/>
        </w:rPr>
        <w:t>地址：　　　　　　　　　　　　　　　　　　　 电子邮箱：</w:t>
      </w:r>
    </w:p>
    <w:p w14:paraId="3FD60EF2">
      <w:pPr>
        <w:rPr>
          <w:rFonts w:hint="eastAsia" w:ascii="宋体" w:hAnsi="宋体" w:eastAsia="宋体" w:cs="宋体"/>
          <w:color w:val="auto"/>
          <w:szCs w:val="21"/>
        </w:rPr>
      </w:pPr>
      <w:r>
        <w:rPr>
          <w:rFonts w:hint="eastAsia" w:ascii="宋体" w:hAnsi="宋体" w:eastAsia="宋体" w:cs="宋体"/>
          <w:color w:val="auto"/>
          <w:szCs w:val="21"/>
        </w:rPr>
        <w:t>电话/移动电话：　　　　　　　　　　　　　　　</w:t>
      </w:r>
    </w:p>
    <w:p w14:paraId="120825E5">
      <w:pPr>
        <w:rPr>
          <w:rFonts w:hint="eastAsia" w:ascii="宋体" w:hAnsi="宋体" w:eastAsia="宋体" w:cs="宋体"/>
          <w:color w:val="auto"/>
          <w:szCs w:val="21"/>
        </w:rPr>
      </w:pPr>
      <w:r>
        <w:rPr>
          <w:rFonts w:hint="eastAsia" w:ascii="宋体" w:hAnsi="宋体" w:eastAsia="宋体" w:cs="宋体"/>
          <w:color w:val="auto"/>
          <w:szCs w:val="21"/>
        </w:rPr>
        <w:t>投标人法定代表人（或其授权代表）签字：</w:t>
      </w:r>
    </w:p>
    <w:p w14:paraId="5DA27CB5">
      <w:pPr>
        <w:rPr>
          <w:rFonts w:hint="eastAsia" w:ascii="宋体" w:hAnsi="宋体" w:eastAsia="宋体" w:cs="宋体"/>
          <w:color w:val="auto"/>
          <w:szCs w:val="21"/>
        </w:rPr>
      </w:pPr>
      <w:r>
        <w:rPr>
          <w:rFonts w:hint="eastAsia" w:ascii="宋体" w:hAnsi="宋体" w:eastAsia="宋体" w:cs="宋体"/>
          <w:color w:val="auto"/>
          <w:szCs w:val="21"/>
        </w:rPr>
        <w:t>投标人名称（全称）：</w:t>
      </w:r>
    </w:p>
    <w:p w14:paraId="3D9726A3">
      <w:pPr>
        <w:rPr>
          <w:rFonts w:hint="eastAsia" w:ascii="宋体" w:hAnsi="宋体" w:eastAsia="宋体" w:cs="宋体"/>
          <w:color w:val="auto"/>
          <w:szCs w:val="21"/>
        </w:rPr>
      </w:pPr>
      <w:r>
        <w:rPr>
          <w:rFonts w:hint="eastAsia" w:ascii="宋体" w:hAnsi="宋体" w:eastAsia="宋体" w:cs="宋体"/>
          <w:color w:val="auto"/>
          <w:szCs w:val="21"/>
        </w:rPr>
        <w:t>投标人盖章：</w:t>
      </w:r>
    </w:p>
    <w:p w14:paraId="6AB210DB">
      <w:pPr>
        <w:rPr>
          <w:rFonts w:hint="eastAsia" w:ascii="宋体" w:hAnsi="宋体" w:eastAsia="宋体" w:cs="宋体"/>
          <w:color w:val="auto"/>
        </w:rPr>
      </w:pPr>
      <w:r>
        <w:rPr>
          <w:rFonts w:hint="eastAsia" w:ascii="宋体" w:hAnsi="宋体" w:eastAsia="宋体" w:cs="宋体"/>
          <w:color w:val="auto"/>
          <w:szCs w:val="21"/>
        </w:rPr>
        <w:t>日期：</w:t>
      </w:r>
      <w:r>
        <w:rPr>
          <w:rFonts w:hint="eastAsia" w:ascii="宋体" w:hAnsi="宋体" w:eastAsia="宋体" w:cs="宋体"/>
          <w:color w:val="auto"/>
        </w:rPr>
        <w:br w:type="page"/>
      </w:r>
    </w:p>
    <w:p w14:paraId="4C3D9300">
      <w:pPr>
        <w:pStyle w:val="5"/>
        <w:widowControl w:val="0"/>
        <w:overflowPunct w:val="0"/>
        <w:spacing w:line="240" w:lineRule="auto"/>
        <w:rPr>
          <w:rFonts w:hint="eastAsia" w:ascii="宋体" w:hAnsi="宋体" w:eastAsia="宋体" w:cs="宋体"/>
          <w:color w:val="auto"/>
          <w:sz w:val="21"/>
          <w:szCs w:val="21"/>
        </w:rPr>
      </w:pPr>
      <w:bookmarkStart w:id="151" w:name="_Toc25950"/>
      <w:r>
        <w:rPr>
          <w:rFonts w:hint="eastAsia" w:ascii="宋体" w:hAnsi="宋体" w:eastAsia="宋体" w:cs="宋体"/>
          <w:color w:val="auto"/>
          <w:sz w:val="21"/>
          <w:szCs w:val="21"/>
        </w:rPr>
        <w:t>附件5.法定代表人证明书格式</w:t>
      </w:r>
      <w:bookmarkEnd w:id="151"/>
    </w:p>
    <w:p w14:paraId="713D40FC">
      <w:pPr>
        <w:rPr>
          <w:rFonts w:hint="eastAsia" w:ascii="宋体" w:hAnsi="宋体" w:eastAsia="宋体" w:cs="宋体"/>
          <w:color w:val="auto"/>
        </w:rPr>
      </w:pPr>
    </w:p>
    <w:p w14:paraId="55F30985">
      <w:pPr>
        <w:jc w:val="center"/>
        <w:rPr>
          <w:rFonts w:hint="eastAsia" w:ascii="宋体" w:hAnsi="宋体" w:eastAsia="宋体" w:cs="宋体"/>
          <w:color w:val="auto"/>
          <w:sz w:val="28"/>
          <w:szCs w:val="28"/>
        </w:rPr>
      </w:pPr>
      <w:r>
        <w:rPr>
          <w:rFonts w:hint="eastAsia" w:ascii="宋体" w:hAnsi="宋体" w:eastAsia="宋体" w:cs="宋体"/>
          <w:color w:val="auto"/>
          <w:sz w:val="28"/>
          <w:szCs w:val="28"/>
        </w:rPr>
        <w:t>法定代表人证明书</w:t>
      </w:r>
    </w:p>
    <w:p w14:paraId="67C10476">
      <w:pPr>
        <w:pStyle w:val="50"/>
        <w:spacing w:line="420" w:lineRule="atLeast"/>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致：广东中科招标有限公司</w:t>
      </w:r>
    </w:p>
    <w:p w14:paraId="72D51834">
      <w:pPr>
        <w:pStyle w:val="50"/>
        <w:spacing w:line="420" w:lineRule="atLeast"/>
        <w:ind w:firstLine="433"/>
        <w:rPr>
          <w:rFonts w:hint="eastAsia" w:ascii="宋体" w:hAnsi="宋体" w:eastAsia="宋体" w:cs="宋体"/>
          <w:color w:val="auto"/>
          <w:sz w:val="21"/>
          <w:szCs w:val="21"/>
        </w:rPr>
      </w:pPr>
    </w:p>
    <w:p w14:paraId="740E6DF6">
      <w:pPr>
        <w:pStyle w:val="50"/>
        <w:spacing w:line="420" w:lineRule="atLeast"/>
        <w:ind w:firstLine="433"/>
        <w:rPr>
          <w:rFonts w:hint="eastAsia" w:ascii="宋体" w:hAnsi="宋体" w:eastAsia="宋体" w:cs="宋体"/>
          <w:color w:val="auto"/>
          <w:sz w:val="21"/>
          <w:szCs w:val="21"/>
          <w:u w:val="single"/>
        </w:rPr>
      </w:pPr>
      <w:r>
        <w:rPr>
          <w:rFonts w:hint="eastAsia" w:ascii="宋体" w:hAnsi="宋体" w:eastAsia="宋体" w:cs="宋体"/>
          <w:color w:val="auto"/>
          <w:sz w:val="21"/>
          <w:szCs w:val="21"/>
        </w:rPr>
        <w:t>投标人名称:</w:t>
      </w:r>
    </w:p>
    <w:p w14:paraId="689D65EF">
      <w:pPr>
        <w:pStyle w:val="50"/>
        <w:spacing w:line="420" w:lineRule="atLeast"/>
        <w:ind w:firstLine="433"/>
        <w:rPr>
          <w:rFonts w:hint="eastAsia" w:ascii="宋体" w:hAnsi="宋体" w:eastAsia="宋体" w:cs="宋体"/>
          <w:color w:val="auto"/>
          <w:sz w:val="21"/>
          <w:szCs w:val="21"/>
          <w:u w:val="single"/>
        </w:rPr>
      </w:pPr>
      <w:r>
        <w:rPr>
          <w:rFonts w:hint="eastAsia" w:ascii="宋体" w:hAnsi="宋体" w:eastAsia="宋体" w:cs="宋体"/>
          <w:color w:val="auto"/>
          <w:sz w:val="21"/>
          <w:szCs w:val="21"/>
        </w:rPr>
        <w:t>单 位 性质：</w:t>
      </w:r>
    </w:p>
    <w:p w14:paraId="795C6D7E">
      <w:pPr>
        <w:pStyle w:val="50"/>
        <w:spacing w:line="420" w:lineRule="atLeast"/>
        <w:ind w:firstLine="433"/>
        <w:rPr>
          <w:rFonts w:hint="eastAsia" w:ascii="宋体" w:hAnsi="宋体" w:eastAsia="宋体" w:cs="宋体"/>
          <w:color w:val="auto"/>
          <w:sz w:val="21"/>
          <w:szCs w:val="21"/>
          <w:u w:val="single"/>
        </w:rPr>
      </w:pPr>
      <w:r>
        <w:rPr>
          <w:rFonts w:hint="eastAsia" w:ascii="宋体" w:hAnsi="宋体" w:eastAsia="宋体" w:cs="宋体"/>
          <w:color w:val="auto"/>
          <w:sz w:val="21"/>
          <w:szCs w:val="21"/>
        </w:rPr>
        <w:t>地      址：</w:t>
      </w:r>
    </w:p>
    <w:p w14:paraId="69E17BA6">
      <w:pPr>
        <w:pStyle w:val="50"/>
        <w:spacing w:line="420" w:lineRule="atLeast"/>
        <w:ind w:firstLine="433"/>
        <w:rPr>
          <w:rFonts w:hint="eastAsia" w:ascii="宋体" w:hAnsi="宋体" w:eastAsia="宋体" w:cs="宋体"/>
          <w:color w:val="auto"/>
          <w:sz w:val="21"/>
          <w:szCs w:val="21"/>
        </w:rPr>
      </w:pPr>
      <w:r>
        <w:rPr>
          <w:rFonts w:hint="eastAsia" w:ascii="宋体" w:hAnsi="宋体" w:eastAsia="宋体" w:cs="宋体"/>
          <w:color w:val="auto"/>
          <w:sz w:val="21"/>
          <w:szCs w:val="21"/>
        </w:rPr>
        <w:t>成 立 时间： 年 月 日</w:t>
      </w:r>
    </w:p>
    <w:p w14:paraId="0A517955">
      <w:pPr>
        <w:pStyle w:val="50"/>
        <w:spacing w:line="420" w:lineRule="atLeast"/>
        <w:ind w:firstLine="433"/>
        <w:rPr>
          <w:rFonts w:hint="eastAsia" w:ascii="宋体" w:hAnsi="宋体" w:eastAsia="宋体" w:cs="宋体"/>
          <w:color w:val="auto"/>
          <w:sz w:val="21"/>
          <w:szCs w:val="21"/>
        </w:rPr>
      </w:pPr>
      <w:r>
        <w:rPr>
          <w:rFonts w:hint="eastAsia" w:ascii="宋体" w:hAnsi="宋体" w:eastAsia="宋体" w:cs="宋体"/>
          <w:color w:val="auto"/>
          <w:sz w:val="21"/>
          <w:szCs w:val="21"/>
        </w:rPr>
        <w:t>经 营 期限：</w:t>
      </w:r>
    </w:p>
    <w:p w14:paraId="72A8662D">
      <w:pPr>
        <w:pStyle w:val="50"/>
        <w:spacing w:line="420" w:lineRule="atLeast"/>
        <w:ind w:firstLine="433"/>
        <w:rPr>
          <w:rFonts w:hint="eastAsia" w:ascii="宋体" w:hAnsi="宋体" w:eastAsia="宋体" w:cs="宋体"/>
          <w:color w:val="auto"/>
          <w:sz w:val="21"/>
          <w:szCs w:val="21"/>
        </w:rPr>
      </w:pPr>
      <w:r>
        <w:rPr>
          <w:rFonts w:hint="eastAsia" w:ascii="宋体" w:hAnsi="宋体" w:eastAsia="宋体" w:cs="宋体"/>
          <w:color w:val="auto"/>
          <w:sz w:val="21"/>
          <w:szCs w:val="21"/>
        </w:rPr>
        <w:t>姓名：性别：年龄：职务：</w:t>
      </w:r>
    </w:p>
    <w:p w14:paraId="4164C44F">
      <w:pPr>
        <w:pStyle w:val="50"/>
        <w:spacing w:line="420" w:lineRule="atLeast"/>
        <w:ind w:firstLine="433"/>
        <w:rPr>
          <w:rFonts w:hint="eastAsia" w:ascii="宋体" w:hAnsi="宋体" w:eastAsia="宋体" w:cs="宋体"/>
          <w:color w:val="auto"/>
          <w:sz w:val="21"/>
          <w:szCs w:val="21"/>
        </w:rPr>
      </w:pPr>
      <w:r>
        <w:rPr>
          <w:rFonts w:hint="eastAsia" w:ascii="宋体" w:hAnsi="宋体" w:eastAsia="宋体" w:cs="宋体"/>
          <w:color w:val="auto"/>
          <w:sz w:val="21"/>
          <w:szCs w:val="21"/>
        </w:rPr>
        <w:t>系（投标人名称）的法定代表人。</w:t>
      </w:r>
    </w:p>
    <w:p w14:paraId="51CBDD32">
      <w:pPr>
        <w:spacing w:line="420" w:lineRule="atLeast"/>
        <w:ind w:firstLine="420" w:firstLineChars="200"/>
        <w:rPr>
          <w:rFonts w:hint="eastAsia" w:ascii="宋体" w:hAnsi="宋体" w:eastAsia="宋体" w:cs="宋体"/>
          <w:color w:val="auto"/>
          <w:szCs w:val="21"/>
        </w:rPr>
      </w:pPr>
      <w:r>
        <w:rPr>
          <w:rFonts w:hint="eastAsia" w:ascii="宋体" w:hAnsi="宋体" w:eastAsia="宋体" w:cs="宋体"/>
          <w:color w:val="auto"/>
          <w:szCs w:val="21"/>
        </w:rPr>
        <w:t>特此证明。</w:t>
      </w:r>
    </w:p>
    <w:p w14:paraId="14F1A07B">
      <w:pPr>
        <w:pStyle w:val="50"/>
        <w:spacing w:line="500" w:lineRule="atLeast"/>
        <w:ind w:firstLine="3517" w:firstLineChars="1675"/>
        <w:rPr>
          <w:rFonts w:hint="eastAsia" w:ascii="宋体" w:hAnsi="宋体" w:eastAsia="宋体" w:cs="宋体"/>
          <w:color w:val="auto"/>
          <w:sz w:val="21"/>
          <w:szCs w:val="21"/>
        </w:rPr>
      </w:pPr>
    </w:p>
    <w:p w14:paraId="14A655F2">
      <w:pPr>
        <w:pStyle w:val="50"/>
        <w:spacing w:line="500" w:lineRule="atLeast"/>
        <w:ind w:firstLine="3517" w:firstLineChars="1675"/>
        <w:rPr>
          <w:rFonts w:hint="eastAsia" w:ascii="宋体" w:hAnsi="宋体" w:eastAsia="宋体" w:cs="宋体"/>
          <w:color w:val="auto"/>
          <w:sz w:val="21"/>
          <w:szCs w:val="21"/>
        </w:rPr>
      </w:pPr>
      <w:r>
        <w:rPr>
          <w:rFonts w:hint="eastAsia" w:ascii="宋体" w:hAnsi="宋体" w:eastAsia="宋体" w:cs="宋体"/>
          <w:color w:val="auto"/>
          <w:sz w:val="21"/>
          <w:szCs w:val="21"/>
        </w:rPr>
        <w:t>投标人名称（加盖公章）：</w:t>
      </w:r>
    </w:p>
    <w:p w14:paraId="4C3BCE6D">
      <w:pPr>
        <w:pStyle w:val="50"/>
        <w:spacing w:line="500" w:lineRule="atLeast"/>
        <w:ind w:firstLine="3517" w:firstLineChars="1675"/>
        <w:rPr>
          <w:rFonts w:hint="eastAsia" w:ascii="宋体" w:hAnsi="宋体" w:eastAsia="宋体" w:cs="宋体"/>
          <w:color w:val="auto"/>
          <w:sz w:val="21"/>
          <w:szCs w:val="21"/>
        </w:rPr>
      </w:pPr>
      <w:r>
        <w:rPr>
          <w:rFonts w:hint="eastAsia" w:ascii="宋体" w:hAnsi="宋体" w:eastAsia="宋体" w:cs="宋体"/>
          <w:color w:val="auto"/>
          <w:sz w:val="21"/>
          <w:szCs w:val="21"/>
        </w:rPr>
        <w:t>法定代表人（签名或盖私章）：</w:t>
      </w:r>
    </w:p>
    <w:p w14:paraId="2D6AF734">
      <w:pPr>
        <w:pStyle w:val="50"/>
        <w:spacing w:line="500" w:lineRule="atLeast"/>
        <w:ind w:firstLine="3517" w:firstLineChars="1675"/>
        <w:rPr>
          <w:rFonts w:hint="eastAsia" w:ascii="宋体" w:hAnsi="宋体" w:eastAsia="宋体" w:cs="宋体"/>
          <w:color w:val="auto"/>
          <w:sz w:val="21"/>
          <w:szCs w:val="21"/>
        </w:rPr>
      </w:pPr>
      <w:r>
        <w:rPr>
          <w:rFonts w:hint="eastAsia" w:ascii="宋体" w:hAnsi="宋体" w:eastAsia="宋体" w:cs="宋体"/>
          <w:color w:val="auto"/>
          <w:sz w:val="21"/>
          <w:szCs w:val="21"/>
        </w:rPr>
        <w:t>法定代表人联系方式：</w:t>
      </w:r>
    </w:p>
    <w:p w14:paraId="7B9A43EE">
      <w:pPr>
        <w:pStyle w:val="50"/>
        <w:spacing w:line="500" w:lineRule="atLeast"/>
        <w:ind w:firstLine="3517" w:firstLineChars="1675"/>
        <w:rPr>
          <w:rFonts w:hint="eastAsia" w:ascii="宋体" w:hAnsi="宋体" w:eastAsia="宋体" w:cs="宋体"/>
          <w:color w:val="auto"/>
          <w:sz w:val="21"/>
          <w:szCs w:val="21"/>
          <w:u w:val="single"/>
        </w:rPr>
      </w:pPr>
      <w:r>
        <w:rPr>
          <w:rFonts w:hint="eastAsia" w:ascii="宋体" w:hAnsi="宋体" w:eastAsia="宋体" w:cs="宋体"/>
          <w:color w:val="auto"/>
          <w:sz w:val="21"/>
          <w:szCs w:val="21"/>
        </w:rPr>
        <w:t>身份证号码：</w:t>
      </w:r>
    </w:p>
    <w:p w14:paraId="682CEA95">
      <w:pPr>
        <w:pStyle w:val="50"/>
        <w:spacing w:line="500" w:lineRule="atLeast"/>
        <w:ind w:firstLine="3507" w:firstLineChars="1670"/>
        <w:rPr>
          <w:rFonts w:hint="eastAsia" w:ascii="宋体" w:hAnsi="宋体" w:eastAsia="宋体" w:cs="宋体"/>
          <w:color w:val="auto"/>
          <w:sz w:val="21"/>
          <w:szCs w:val="21"/>
        </w:rPr>
      </w:pPr>
      <w:r>
        <w:rPr>
          <w:rFonts w:hint="eastAsia" w:ascii="宋体" w:hAnsi="宋体" w:eastAsia="宋体" w:cs="宋体"/>
          <w:color w:val="auto"/>
          <w:sz w:val="21"/>
          <w:szCs w:val="21"/>
        </w:rPr>
        <w:t>日     期：  年  月  日</w:t>
      </w:r>
    </w:p>
    <w:p w14:paraId="1E305057">
      <w:pPr>
        <w:ind w:firstLine="420" w:firstLineChars="200"/>
        <w:rPr>
          <w:rFonts w:hint="eastAsia" w:ascii="宋体" w:hAnsi="宋体" w:eastAsia="宋体" w:cs="宋体"/>
          <w:color w:val="auto"/>
          <w:szCs w:val="21"/>
        </w:rPr>
      </w:pPr>
    </w:p>
    <w:p w14:paraId="3E86D6E6">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注：法定代表人身份证明书需附法人代表身份证复印件。</w:t>
      </w:r>
    </w:p>
    <w:tbl>
      <w:tblPr>
        <w:tblStyle w:val="34"/>
        <w:tblW w:w="83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182"/>
        <w:gridCol w:w="4182"/>
      </w:tblGrid>
      <w:tr w14:paraId="1363AF93">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PrEx>
        <w:trPr>
          <w:trHeight w:val="2517" w:hRule="atLeast"/>
          <w:jc w:val="center"/>
        </w:trPr>
        <w:tc>
          <w:tcPr>
            <w:tcW w:w="4182" w:type="dxa"/>
            <w:vAlign w:val="center"/>
          </w:tcPr>
          <w:p w14:paraId="55EEFF5C">
            <w:pPr>
              <w:pStyle w:val="50"/>
              <w:spacing w:line="460" w:lineRule="exact"/>
              <w:ind w:firstLine="0" w:firstLineChars="0"/>
              <w:jc w:val="center"/>
              <w:rPr>
                <w:rFonts w:hint="eastAsia" w:ascii="宋体" w:hAnsi="宋体" w:eastAsia="宋体" w:cs="宋体"/>
                <w:color w:val="auto"/>
                <w:sz w:val="22"/>
              </w:rPr>
            </w:pPr>
            <w:r>
              <w:rPr>
                <w:rFonts w:hint="eastAsia" w:ascii="宋体" w:hAnsi="宋体" w:eastAsia="宋体" w:cs="宋体"/>
                <w:color w:val="auto"/>
                <w:sz w:val="22"/>
              </w:rPr>
              <w:t>正面</w:t>
            </w:r>
          </w:p>
        </w:tc>
        <w:tc>
          <w:tcPr>
            <w:tcW w:w="4182" w:type="dxa"/>
            <w:vAlign w:val="center"/>
          </w:tcPr>
          <w:p w14:paraId="4CC7430A">
            <w:pPr>
              <w:pStyle w:val="50"/>
              <w:spacing w:line="460" w:lineRule="exact"/>
              <w:ind w:firstLine="0" w:firstLineChars="0"/>
              <w:jc w:val="center"/>
              <w:rPr>
                <w:rFonts w:hint="eastAsia" w:ascii="宋体" w:hAnsi="宋体" w:eastAsia="宋体" w:cs="宋体"/>
                <w:color w:val="auto"/>
                <w:sz w:val="22"/>
              </w:rPr>
            </w:pPr>
            <w:r>
              <w:rPr>
                <w:rFonts w:hint="eastAsia" w:ascii="宋体" w:hAnsi="宋体" w:eastAsia="宋体" w:cs="宋体"/>
                <w:color w:val="auto"/>
                <w:sz w:val="22"/>
              </w:rPr>
              <w:t>背面</w:t>
            </w:r>
          </w:p>
        </w:tc>
      </w:tr>
    </w:tbl>
    <w:p w14:paraId="7253652E">
      <w:pPr>
        <w:rPr>
          <w:rFonts w:hint="eastAsia" w:ascii="宋体" w:hAnsi="宋体" w:eastAsia="宋体" w:cs="宋体"/>
          <w:color w:val="auto"/>
        </w:rPr>
      </w:pPr>
    </w:p>
    <w:p w14:paraId="045D7A32">
      <w:pPr>
        <w:adjustRightInd/>
        <w:snapToGrid/>
        <w:spacing w:line="276" w:lineRule="auto"/>
        <w:rPr>
          <w:rFonts w:hint="eastAsia" w:ascii="宋体" w:hAnsi="宋体" w:eastAsia="宋体" w:cs="宋体"/>
          <w:b/>
          <w:bCs/>
          <w:color w:val="auto"/>
          <w:sz w:val="24"/>
          <w:szCs w:val="28"/>
        </w:rPr>
      </w:pPr>
      <w:r>
        <w:rPr>
          <w:rFonts w:hint="eastAsia" w:ascii="宋体" w:hAnsi="宋体" w:eastAsia="宋体" w:cs="宋体"/>
          <w:color w:val="auto"/>
          <w:sz w:val="24"/>
        </w:rPr>
        <w:br w:type="page"/>
      </w:r>
    </w:p>
    <w:p w14:paraId="1125739C">
      <w:pPr>
        <w:pStyle w:val="5"/>
        <w:widowControl w:val="0"/>
        <w:overflowPunct w:val="0"/>
        <w:spacing w:line="240" w:lineRule="auto"/>
        <w:rPr>
          <w:rFonts w:hint="eastAsia" w:ascii="宋体" w:hAnsi="宋体" w:eastAsia="宋体" w:cs="宋体"/>
          <w:color w:val="auto"/>
        </w:rPr>
      </w:pPr>
      <w:bookmarkStart w:id="152" w:name="_Toc19456"/>
      <w:r>
        <w:rPr>
          <w:rFonts w:hint="eastAsia" w:ascii="宋体" w:hAnsi="宋体" w:eastAsia="宋体" w:cs="宋体"/>
          <w:color w:val="auto"/>
          <w:sz w:val="21"/>
          <w:szCs w:val="21"/>
        </w:rPr>
        <w:t>附件6.法定代表人授权书格式</w:t>
      </w:r>
      <w:bookmarkEnd w:id="152"/>
    </w:p>
    <w:p w14:paraId="64D0D7EC">
      <w:pPr>
        <w:rPr>
          <w:rFonts w:hint="eastAsia" w:ascii="宋体" w:hAnsi="宋体" w:eastAsia="宋体" w:cs="宋体"/>
          <w:color w:val="auto"/>
        </w:rPr>
      </w:pPr>
    </w:p>
    <w:p w14:paraId="3AF8780A">
      <w:pPr>
        <w:jc w:val="center"/>
        <w:rPr>
          <w:rFonts w:hint="eastAsia" w:ascii="宋体" w:hAnsi="宋体" w:eastAsia="宋体" w:cs="宋体"/>
          <w:color w:val="auto"/>
          <w:sz w:val="28"/>
          <w:szCs w:val="28"/>
        </w:rPr>
      </w:pPr>
      <w:r>
        <w:rPr>
          <w:rFonts w:hint="eastAsia" w:ascii="宋体" w:hAnsi="宋体" w:eastAsia="宋体" w:cs="宋体"/>
          <w:color w:val="auto"/>
          <w:sz w:val="28"/>
          <w:szCs w:val="28"/>
        </w:rPr>
        <w:t>法定代表人授权书</w:t>
      </w:r>
    </w:p>
    <w:p w14:paraId="6921E269">
      <w:pPr>
        <w:pStyle w:val="50"/>
        <w:spacing w:line="420" w:lineRule="atLeast"/>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致：广东中科招标有限公司</w:t>
      </w:r>
    </w:p>
    <w:p w14:paraId="53F7BA9F">
      <w:pPr>
        <w:pStyle w:val="50"/>
        <w:spacing w:line="420" w:lineRule="atLeast"/>
        <w:ind w:firstLine="433"/>
        <w:rPr>
          <w:rFonts w:hint="eastAsia" w:ascii="宋体" w:hAnsi="宋体" w:eastAsia="宋体" w:cs="宋体"/>
          <w:color w:val="auto"/>
          <w:sz w:val="21"/>
          <w:szCs w:val="21"/>
        </w:rPr>
      </w:pPr>
    </w:p>
    <w:p w14:paraId="61BF55DA">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本授权书声明：注册于</w:t>
      </w:r>
      <w:r>
        <w:rPr>
          <w:rFonts w:hint="eastAsia" w:ascii="宋体" w:hAnsi="宋体" w:eastAsia="宋体" w:cs="宋体"/>
          <w:color w:val="auto"/>
          <w:szCs w:val="21"/>
          <w:u w:val="single"/>
        </w:rPr>
        <w:t>（国家或地区的名称）</w:t>
      </w:r>
      <w:r>
        <w:rPr>
          <w:rFonts w:hint="eastAsia" w:ascii="宋体" w:hAnsi="宋体" w:eastAsia="宋体" w:cs="宋体"/>
          <w:color w:val="auto"/>
          <w:szCs w:val="21"/>
        </w:rPr>
        <w:t>的</w:t>
      </w:r>
      <w:r>
        <w:rPr>
          <w:rFonts w:hint="eastAsia" w:ascii="宋体" w:hAnsi="宋体" w:eastAsia="宋体" w:cs="宋体"/>
          <w:color w:val="auto"/>
          <w:szCs w:val="21"/>
          <w:u w:val="single"/>
        </w:rPr>
        <w:t>（单位名称）</w:t>
      </w:r>
      <w:r>
        <w:rPr>
          <w:rFonts w:hint="eastAsia" w:ascii="宋体" w:hAnsi="宋体" w:eastAsia="宋体" w:cs="宋体"/>
          <w:color w:val="auto"/>
          <w:szCs w:val="21"/>
        </w:rPr>
        <w:t>的在下面签字的</w:t>
      </w:r>
      <w:r>
        <w:rPr>
          <w:rFonts w:hint="eastAsia" w:ascii="宋体" w:hAnsi="宋体" w:eastAsia="宋体" w:cs="宋体"/>
          <w:color w:val="auto"/>
          <w:szCs w:val="21"/>
          <w:u w:val="single"/>
        </w:rPr>
        <w:t>（法定代表人姓名、职务）</w:t>
      </w:r>
      <w:r>
        <w:rPr>
          <w:rFonts w:hint="eastAsia" w:ascii="宋体" w:hAnsi="宋体" w:eastAsia="宋体" w:cs="宋体"/>
          <w:color w:val="auto"/>
          <w:szCs w:val="21"/>
        </w:rPr>
        <w:t>代表本单位授权</w:t>
      </w:r>
      <w:r>
        <w:rPr>
          <w:rFonts w:hint="eastAsia" w:ascii="宋体" w:hAnsi="宋体" w:eastAsia="宋体" w:cs="宋体"/>
          <w:color w:val="auto"/>
          <w:szCs w:val="21"/>
          <w:u w:val="single"/>
        </w:rPr>
        <w:t>（单位名称）</w:t>
      </w:r>
      <w:r>
        <w:rPr>
          <w:rFonts w:hint="eastAsia" w:ascii="宋体" w:hAnsi="宋体" w:eastAsia="宋体" w:cs="宋体"/>
          <w:color w:val="auto"/>
          <w:szCs w:val="21"/>
        </w:rPr>
        <w:t>的在下面签字的</w:t>
      </w:r>
      <w:r>
        <w:rPr>
          <w:rFonts w:hint="eastAsia" w:ascii="宋体" w:hAnsi="宋体" w:eastAsia="宋体" w:cs="宋体"/>
          <w:color w:val="auto"/>
          <w:szCs w:val="21"/>
          <w:u w:val="single"/>
        </w:rPr>
        <w:t>（被授权人的姓名、职务）</w:t>
      </w:r>
      <w:r>
        <w:rPr>
          <w:rFonts w:hint="eastAsia" w:ascii="宋体" w:hAnsi="宋体" w:eastAsia="宋体" w:cs="宋体"/>
          <w:color w:val="auto"/>
          <w:szCs w:val="21"/>
        </w:rPr>
        <w:t>为本单位的合法代理人，就</w:t>
      </w:r>
      <w:r>
        <w:rPr>
          <w:rFonts w:hint="eastAsia" w:ascii="宋体" w:hAnsi="宋体" w:eastAsia="宋体" w:cs="宋体"/>
          <w:color w:val="auto"/>
          <w:szCs w:val="21"/>
          <w:u w:val="single"/>
        </w:rPr>
        <w:t>（项目名称）</w:t>
      </w:r>
      <w:r>
        <w:rPr>
          <w:rFonts w:hint="eastAsia" w:ascii="宋体" w:hAnsi="宋体" w:eastAsia="宋体" w:cs="宋体"/>
          <w:color w:val="auto"/>
          <w:szCs w:val="21"/>
        </w:rPr>
        <w:t>投标及参加项目谈判，以本单位名义处理一切与之有关的事务。</w:t>
      </w:r>
    </w:p>
    <w:p w14:paraId="044D8236">
      <w:pPr>
        <w:ind w:firstLine="315" w:firstLineChars="150"/>
        <w:rPr>
          <w:rFonts w:hint="eastAsia" w:ascii="宋体" w:hAnsi="宋体" w:eastAsia="宋体" w:cs="宋体"/>
          <w:color w:val="auto"/>
          <w:szCs w:val="21"/>
        </w:rPr>
      </w:pPr>
      <w:r>
        <w:rPr>
          <w:rFonts w:hint="eastAsia" w:ascii="宋体" w:hAnsi="宋体" w:eastAsia="宋体" w:cs="宋体"/>
          <w:color w:val="auto"/>
          <w:szCs w:val="21"/>
        </w:rPr>
        <w:t>本授权书于</w:t>
      </w:r>
      <w:r>
        <w:rPr>
          <w:rFonts w:hint="eastAsia" w:ascii="宋体" w:hAnsi="宋体" w:eastAsia="宋体" w:cs="宋体"/>
          <w:color w:val="auto"/>
          <w:szCs w:val="21"/>
          <w:u w:val="single"/>
        </w:rPr>
        <w:t>　　</w:t>
      </w:r>
      <w:r>
        <w:rPr>
          <w:rFonts w:hint="eastAsia" w:ascii="宋体" w:hAnsi="宋体" w:eastAsia="宋体" w:cs="宋体"/>
          <w:color w:val="auto"/>
          <w:szCs w:val="21"/>
        </w:rPr>
        <w:t>年</w:t>
      </w:r>
      <w:r>
        <w:rPr>
          <w:rFonts w:hint="eastAsia" w:ascii="宋体" w:hAnsi="宋体" w:eastAsia="宋体" w:cs="宋体"/>
          <w:color w:val="auto"/>
          <w:szCs w:val="21"/>
          <w:u w:val="single"/>
        </w:rPr>
        <w:t>　　</w:t>
      </w:r>
      <w:r>
        <w:rPr>
          <w:rFonts w:hint="eastAsia" w:ascii="宋体" w:hAnsi="宋体" w:eastAsia="宋体" w:cs="宋体"/>
          <w:color w:val="auto"/>
          <w:szCs w:val="21"/>
        </w:rPr>
        <w:t>月</w:t>
      </w:r>
      <w:r>
        <w:rPr>
          <w:rFonts w:hint="eastAsia" w:ascii="宋体" w:hAnsi="宋体" w:eastAsia="宋体" w:cs="宋体"/>
          <w:color w:val="auto"/>
          <w:szCs w:val="21"/>
          <w:u w:val="single"/>
        </w:rPr>
        <w:t>　　</w:t>
      </w:r>
      <w:r>
        <w:rPr>
          <w:rFonts w:hint="eastAsia" w:ascii="宋体" w:hAnsi="宋体" w:eastAsia="宋体" w:cs="宋体"/>
          <w:color w:val="auto"/>
          <w:szCs w:val="21"/>
        </w:rPr>
        <w:t>日签字生效，特此声明。</w:t>
      </w:r>
    </w:p>
    <w:p w14:paraId="2C890851">
      <w:pPr>
        <w:pStyle w:val="50"/>
        <w:spacing w:line="500" w:lineRule="atLeast"/>
        <w:ind w:firstLine="3517" w:firstLineChars="1675"/>
        <w:rPr>
          <w:rFonts w:hint="eastAsia" w:ascii="宋体" w:hAnsi="宋体" w:eastAsia="宋体" w:cs="宋体"/>
          <w:color w:val="auto"/>
          <w:sz w:val="21"/>
          <w:szCs w:val="21"/>
        </w:rPr>
      </w:pPr>
    </w:p>
    <w:p w14:paraId="2010D5D5">
      <w:pPr>
        <w:pStyle w:val="50"/>
        <w:spacing w:line="500" w:lineRule="atLeast"/>
        <w:ind w:firstLine="3517" w:firstLineChars="1675"/>
        <w:rPr>
          <w:rFonts w:hint="eastAsia" w:ascii="宋体" w:hAnsi="宋体" w:eastAsia="宋体" w:cs="宋体"/>
          <w:color w:val="auto"/>
          <w:sz w:val="21"/>
          <w:szCs w:val="21"/>
        </w:rPr>
      </w:pPr>
      <w:r>
        <w:rPr>
          <w:rFonts w:hint="eastAsia" w:ascii="宋体" w:hAnsi="宋体" w:eastAsia="宋体" w:cs="宋体"/>
          <w:color w:val="auto"/>
          <w:sz w:val="21"/>
          <w:szCs w:val="21"/>
        </w:rPr>
        <w:t>投标人名称（加盖公章）：</w:t>
      </w:r>
    </w:p>
    <w:p w14:paraId="40E80E04">
      <w:pPr>
        <w:pStyle w:val="50"/>
        <w:spacing w:line="500" w:lineRule="atLeast"/>
        <w:ind w:firstLine="3517" w:firstLineChars="1675"/>
        <w:rPr>
          <w:rFonts w:hint="eastAsia" w:ascii="宋体" w:hAnsi="宋体" w:eastAsia="宋体" w:cs="宋体"/>
          <w:color w:val="auto"/>
          <w:sz w:val="21"/>
          <w:szCs w:val="21"/>
          <w:u w:val="single"/>
        </w:rPr>
      </w:pPr>
      <w:r>
        <w:rPr>
          <w:rFonts w:hint="eastAsia" w:ascii="宋体" w:hAnsi="宋体" w:eastAsia="宋体" w:cs="宋体"/>
          <w:color w:val="auto"/>
          <w:sz w:val="21"/>
          <w:szCs w:val="21"/>
        </w:rPr>
        <w:t>法定代表人签字（签名或盖私章）：</w:t>
      </w:r>
    </w:p>
    <w:p w14:paraId="216E8DCA">
      <w:pPr>
        <w:pStyle w:val="50"/>
        <w:spacing w:line="500" w:lineRule="atLeast"/>
        <w:ind w:firstLine="3517" w:firstLineChars="1675"/>
        <w:rPr>
          <w:rFonts w:hint="eastAsia" w:ascii="宋体" w:hAnsi="宋体" w:eastAsia="宋体" w:cs="宋体"/>
          <w:color w:val="auto"/>
          <w:sz w:val="21"/>
          <w:szCs w:val="21"/>
        </w:rPr>
      </w:pPr>
      <w:r>
        <w:rPr>
          <w:rFonts w:hint="eastAsia" w:ascii="宋体" w:hAnsi="宋体" w:eastAsia="宋体" w:cs="宋体"/>
          <w:color w:val="auto"/>
          <w:sz w:val="21"/>
          <w:szCs w:val="21"/>
        </w:rPr>
        <w:t>被授权人签字：</w:t>
      </w:r>
    </w:p>
    <w:p w14:paraId="29424C29">
      <w:pPr>
        <w:pStyle w:val="50"/>
        <w:spacing w:line="500" w:lineRule="atLeast"/>
        <w:ind w:firstLine="3517" w:firstLineChars="1675"/>
        <w:rPr>
          <w:rFonts w:hint="eastAsia" w:ascii="宋体" w:hAnsi="宋体" w:eastAsia="宋体" w:cs="宋体"/>
          <w:color w:val="auto"/>
          <w:sz w:val="21"/>
          <w:szCs w:val="21"/>
          <w:u w:val="single"/>
        </w:rPr>
      </w:pPr>
      <w:r>
        <w:rPr>
          <w:rFonts w:hint="eastAsia" w:ascii="宋体" w:hAnsi="宋体" w:eastAsia="宋体" w:cs="宋体"/>
          <w:color w:val="auto"/>
          <w:sz w:val="21"/>
          <w:szCs w:val="21"/>
        </w:rPr>
        <w:t>职务：</w:t>
      </w:r>
    </w:p>
    <w:p w14:paraId="6F708933">
      <w:pPr>
        <w:pStyle w:val="50"/>
        <w:spacing w:line="500" w:lineRule="atLeast"/>
        <w:ind w:firstLine="3517" w:firstLineChars="1675"/>
        <w:rPr>
          <w:rFonts w:hint="eastAsia" w:ascii="宋体" w:hAnsi="宋体" w:eastAsia="宋体" w:cs="宋体"/>
          <w:color w:val="auto"/>
          <w:sz w:val="21"/>
          <w:szCs w:val="21"/>
        </w:rPr>
      </w:pPr>
      <w:r>
        <w:rPr>
          <w:rFonts w:hint="eastAsia" w:ascii="宋体" w:hAnsi="宋体" w:eastAsia="宋体" w:cs="宋体"/>
          <w:color w:val="auto"/>
          <w:sz w:val="21"/>
          <w:szCs w:val="21"/>
        </w:rPr>
        <w:t xml:space="preserve">移动电话： </w:t>
      </w:r>
    </w:p>
    <w:p w14:paraId="4B4C4E3B">
      <w:pPr>
        <w:pStyle w:val="50"/>
        <w:spacing w:line="500" w:lineRule="atLeast"/>
        <w:ind w:firstLine="3517" w:firstLineChars="1675"/>
        <w:rPr>
          <w:rFonts w:hint="eastAsia" w:ascii="宋体" w:hAnsi="宋体" w:eastAsia="宋体" w:cs="宋体"/>
          <w:color w:val="auto"/>
          <w:sz w:val="21"/>
          <w:szCs w:val="21"/>
        </w:rPr>
      </w:pPr>
      <w:r>
        <w:rPr>
          <w:rFonts w:hint="eastAsia" w:ascii="宋体" w:hAnsi="宋体" w:eastAsia="宋体" w:cs="宋体"/>
          <w:color w:val="auto"/>
          <w:sz w:val="21"/>
          <w:szCs w:val="21"/>
        </w:rPr>
        <w:t>详细通讯地址：</w:t>
      </w:r>
    </w:p>
    <w:p w14:paraId="49620C11">
      <w:pPr>
        <w:pStyle w:val="50"/>
        <w:spacing w:line="500" w:lineRule="atLeast"/>
        <w:ind w:firstLine="3517" w:firstLineChars="1675"/>
        <w:rPr>
          <w:rFonts w:hint="eastAsia" w:ascii="宋体" w:hAnsi="宋体" w:eastAsia="宋体" w:cs="宋体"/>
          <w:color w:val="auto"/>
          <w:sz w:val="21"/>
          <w:szCs w:val="21"/>
        </w:rPr>
      </w:pPr>
      <w:r>
        <w:rPr>
          <w:rFonts w:hint="eastAsia" w:ascii="宋体" w:hAnsi="宋体" w:eastAsia="宋体" w:cs="宋体"/>
          <w:color w:val="auto"/>
          <w:sz w:val="21"/>
          <w:szCs w:val="21"/>
        </w:rPr>
        <w:t xml:space="preserve">邮箱：                          </w:t>
      </w:r>
    </w:p>
    <w:p w14:paraId="5175D1D3">
      <w:pPr>
        <w:pStyle w:val="50"/>
        <w:spacing w:line="500" w:lineRule="atLeast"/>
        <w:ind w:firstLine="3507" w:firstLineChars="1670"/>
        <w:rPr>
          <w:rFonts w:hint="eastAsia" w:ascii="宋体" w:hAnsi="宋体" w:eastAsia="宋体" w:cs="宋体"/>
          <w:color w:val="auto"/>
          <w:sz w:val="21"/>
          <w:szCs w:val="21"/>
        </w:rPr>
      </w:pPr>
      <w:r>
        <w:rPr>
          <w:rFonts w:hint="eastAsia" w:ascii="宋体" w:hAnsi="宋体" w:eastAsia="宋体" w:cs="宋体"/>
          <w:color w:val="auto"/>
          <w:sz w:val="21"/>
          <w:szCs w:val="21"/>
        </w:rPr>
        <w:t>日     期：  年  月  日</w:t>
      </w:r>
    </w:p>
    <w:p w14:paraId="2FFF69D7">
      <w:pPr>
        <w:pStyle w:val="50"/>
        <w:spacing w:line="460" w:lineRule="exact"/>
        <w:ind w:firstLine="433"/>
        <w:rPr>
          <w:rFonts w:hint="eastAsia" w:ascii="宋体" w:hAnsi="宋体" w:eastAsia="宋体" w:cs="宋体"/>
          <w:color w:val="auto"/>
          <w:sz w:val="21"/>
          <w:szCs w:val="21"/>
        </w:rPr>
      </w:pPr>
    </w:p>
    <w:p w14:paraId="748C1CF1">
      <w:pPr>
        <w:ind w:firstLine="420" w:firstLineChars="200"/>
        <w:rPr>
          <w:rFonts w:hint="eastAsia" w:ascii="宋体" w:hAnsi="宋体" w:eastAsia="宋体" w:cs="宋体"/>
          <w:color w:val="auto"/>
        </w:rPr>
      </w:pPr>
      <w:r>
        <w:rPr>
          <w:rFonts w:hint="eastAsia" w:ascii="宋体" w:hAnsi="宋体" w:eastAsia="宋体" w:cs="宋体"/>
          <w:color w:val="auto"/>
          <w:szCs w:val="21"/>
        </w:rPr>
        <w:t>须附：被授权人身份证复印件。</w:t>
      </w:r>
    </w:p>
    <w:tbl>
      <w:tblPr>
        <w:tblStyle w:val="34"/>
        <w:tblW w:w="84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32"/>
        <w:gridCol w:w="4232"/>
      </w:tblGrid>
      <w:tr w14:paraId="50DF87D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661" w:hRule="atLeast"/>
          <w:jc w:val="center"/>
        </w:trPr>
        <w:tc>
          <w:tcPr>
            <w:tcW w:w="4232" w:type="dxa"/>
            <w:vAlign w:val="center"/>
          </w:tcPr>
          <w:p w14:paraId="3E3F4076">
            <w:pPr>
              <w:pStyle w:val="50"/>
              <w:spacing w:line="460" w:lineRule="exact"/>
              <w:ind w:firstLine="0" w:firstLineChars="0"/>
              <w:jc w:val="center"/>
              <w:rPr>
                <w:rFonts w:hint="eastAsia" w:ascii="宋体" w:hAnsi="宋体" w:eastAsia="宋体" w:cs="宋体"/>
                <w:color w:val="auto"/>
                <w:sz w:val="22"/>
              </w:rPr>
            </w:pPr>
            <w:r>
              <w:rPr>
                <w:rFonts w:hint="eastAsia" w:ascii="宋体" w:hAnsi="宋体" w:eastAsia="宋体" w:cs="宋体"/>
                <w:color w:val="auto"/>
                <w:sz w:val="22"/>
              </w:rPr>
              <w:t>正面</w:t>
            </w:r>
          </w:p>
        </w:tc>
        <w:tc>
          <w:tcPr>
            <w:tcW w:w="4232" w:type="dxa"/>
            <w:vAlign w:val="center"/>
          </w:tcPr>
          <w:p w14:paraId="1B98D2E6">
            <w:pPr>
              <w:pStyle w:val="50"/>
              <w:spacing w:line="460" w:lineRule="exact"/>
              <w:ind w:firstLine="0" w:firstLineChars="0"/>
              <w:jc w:val="center"/>
              <w:rPr>
                <w:rFonts w:hint="eastAsia" w:ascii="宋体" w:hAnsi="宋体" w:eastAsia="宋体" w:cs="宋体"/>
                <w:color w:val="auto"/>
                <w:sz w:val="22"/>
              </w:rPr>
            </w:pPr>
            <w:r>
              <w:rPr>
                <w:rFonts w:hint="eastAsia" w:ascii="宋体" w:hAnsi="宋体" w:eastAsia="宋体" w:cs="宋体"/>
                <w:color w:val="auto"/>
                <w:sz w:val="22"/>
              </w:rPr>
              <w:t>背面</w:t>
            </w:r>
          </w:p>
        </w:tc>
      </w:tr>
    </w:tbl>
    <w:p w14:paraId="2A6B051E">
      <w:pPr>
        <w:adjustRightInd/>
        <w:snapToGrid/>
        <w:spacing w:line="276" w:lineRule="auto"/>
        <w:rPr>
          <w:rFonts w:hint="eastAsia" w:ascii="宋体" w:hAnsi="宋体" w:eastAsia="宋体" w:cs="宋体"/>
          <w:color w:val="auto"/>
        </w:rPr>
      </w:pPr>
      <w:bookmarkStart w:id="153" w:name="_Toc22486"/>
      <w:r>
        <w:rPr>
          <w:rFonts w:hint="eastAsia" w:ascii="宋体" w:hAnsi="宋体" w:eastAsia="宋体" w:cs="宋体"/>
          <w:color w:val="auto"/>
          <w:szCs w:val="21"/>
        </w:rPr>
        <w:br w:type="page"/>
      </w:r>
    </w:p>
    <w:p w14:paraId="66B02AB6">
      <w:pPr>
        <w:pStyle w:val="5"/>
        <w:widowControl w:val="0"/>
        <w:overflowPunct w:val="0"/>
        <w:spacing w:line="240" w:lineRule="auto"/>
        <w:rPr>
          <w:rFonts w:hint="eastAsia" w:ascii="宋体" w:hAnsi="宋体" w:eastAsia="宋体" w:cs="宋体"/>
          <w:color w:val="auto"/>
          <w:sz w:val="21"/>
          <w:szCs w:val="21"/>
        </w:rPr>
      </w:pPr>
      <w:bookmarkStart w:id="154" w:name="_Toc29942"/>
      <w:r>
        <w:rPr>
          <w:rFonts w:hint="eastAsia" w:ascii="宋体" w:hAnsi="宋体" w:eastAsia="宋体" w:cs="宋体"/>
          <w:color w:val="auto"/>
          <w:sz w:val="21"/>
          <w:szCs w:val="21"/>
        </w:rPr>
        <w:t>附件7.资格申明</w:t>
      </w:r>
      <w:bookmarkEnd w:id="154"/>
    </w:p>
    <w:p w14:paraId="0F6367A7">
      <w:pPr>
        <w:jc w:val="center"/>
        <w:rPr>
          <w:rFonts w:hint="eastAsia" w:ascii="宋体" w:hAnsi="宋体" w:eastAsia="宋体" w:cs="宋体"/>
          <w:color w:val="auto"/>
          <w:sz w:val="28"/>
          <w:szCs w:val="28"/>
        </w:rPr>
      </w:pPr>
      <w:r>
        <w:rPr>
          <w:rFonts w:hint="eastAsia" w:ascii="宋体" w:hAnsi="宋体" w:eastAsia="宋体" w:cs="宋体"/>
          <w:color w:val="auto"/>
          <w:sz w:val="28"/>
          <w:szCs w:val="28"/>
        </w:rPr>
        <w:t>资格申明</w:t>
      </w:r>
    </w:p>
    <w:p w14:paraId="738C3BD8">
      <w:pPr>
        <w:pStyle w:val="50"/>
        <w:spacing w:line="420" w:lineRule="atLeast"/>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广东中科招标有限公司：</w:t>
      </w:r>
    </w:p>
    <w:p w14:paraId="65E0C6ED">
      <w:pPr>
        <w:ind w:firstLine="420" w:firstLineChars="200"/>
        <w:rPr>
          <w:rFonts w:hint="eastAsia" w:ascii="宋体" w:hAnsi="宋体" w:eastAsia="宋体" w:cs="宋体"/>
          <w:color w:val="auto"/>
          <w:szCs w:val="21"/>
        </w:rPr>
      </w:pPr>
    </w:p>
    <w:p w14:paraId="7B3C5CDE">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我方愿响应贵方关于（项目名称：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）（采购项目编号：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）的投标邀请，参与投标，提供用户需求书中规定的货物及相关服务，并按采购文件要求提交所附资格文件且声明和保证如下：</w:t>
      </w:r>
    </w:p>
    <w:p w14:paraId="55C3AAA1">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一、我方具备投标人邀请中所要求得资格条件，已清楚采购文件所有要求及有关规定；并承诺参加本次采购活动中，如有违法、违规、弄虚作假行为，所造成的损失、不良后果及法律责任，一律由我方承担；</w:t>
      </w:r>
    </w:p>
    <w:p w14:paraId="4E75D79A">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二、我方依法注册，在法律上、财务上和运作上完全独立于</w:t>
      </w:r>
      <w:r>
        <w:rPr>
          <w:rFonts w:hint="eastAsia" w:ascii="宋体" w:hAnsi="宋体" w:eastAsia="宋体" w:cs="宋体"/>
          <w:color w:val="auto"/>
          <w:szCs w:val="21"/>
          <w:u w:val="single"/>
        </w:rPr>
        <w:t xml:space="preserve">  xxxx   </w:t>
      </w:r>
      <w:r>
        <w:rPr>
          <w:rFonts w:hint="eastAsia" w:ascii="宋体" w:hAnsi="宋体" w:eastAsia="宋体" w:cs="宋体"/>
          <w:color w:val="auto"/>
          <w:szCs w:val="21"/>
        </w:rPr>
        <w:t>公司（采购人）及</w:t>
      </w:r>
      <w:r>
        <w:rPr>
          <w:rFonts w:hint="eastAsia" w:ascii="宋体" w:hAnsi="宋体" w:eastAsia="宋体" w:cs="宋体"/>
          <w:color w:val="auto"/>
          <w:szCs w:val="21"/>
          <w:u w:val="single"/>
        </w:rPr>
        <w:t xml:space="preserve">    xxx   </w:t>
      </w:r>
      <w:r>
        <w:rPr>
          <w:rFonts w:hint="eastAsia" w:ascii="宋体" w:hAnsi="宋体" w:eastAsia="宋体" w:cs="宋体"/>
          <w:color w:val="auto"/>
          <w:szCs w:val="21"/>
        </w:rPr>
        <w:t>公司（采购代理机构）。</w:t>
      </w:r>
    </w:p>
    <w:p w14:paraId="19DD051E">
      <w:pPr>
        <w:pStyle w:val="50"/>
        <w:spacing w:line="500" w:lineRule="atLeast"/>
        <w:ind w:firstLine="3517" w:firstLineChars="1675"/>
        <w:rPr>
          <w:rFonts w:hint="eastAsia" w:ascii="宋体" w:hAnsi="宋体" w:eastAsia="宋体" w:cs="宋体"/>
          <w:color w:val="auto"/>
          <w:sz w:val="21"/>
          <w:szCs w:val="21"/>
        </w:rPr>
      </w:pPr>
    </w:p>
    <w:p w14:paraId="4F19FF07">
      <w:pPr>
        <w:pStyle w:val="50"/>
        <w:spacing w:line="500" w:lineRule="atLeast"/>
        <w:ind w:firstLine="3517" w:firstLineChars="1675"/>
        <w:rPr>
          <w:rFonts w:hint="eastAsia" w:ascii="宋体" w:hAnsi="宋体" w:eastAsia="宋体" w:cs="宋体"/>
          <w:color w:val="auto"/>
          <w:sz w:val="21"/>
          <w:szCs w:val="21"/>
        </w:rPr>
      </w:pPr>
    </w:p>
    <w:p w14:paraId="3359930D">
      <w:pPr>
        <w:pStyle w:val="50"/>
        <w:spacing w:line="500" w:lineRule="atLeast"/>
        <w:ind w:firstLine="433"/>
        <w:rPr>
          <w:rFonts w:hint="eastAsia" w:ascii="宋体" w:hAnsi="宋体" w:eastAsia="宋体" w:cs="宋体"/>
          <w:color w:val="auto"/>
          <w:sz w:val="21"/>
          <w:szCs w:val="21"/>
        </w:rPr>
      </w:pPr>
      <w:r>
        <w:rPr>
          <w:rFonts w:hint="eastAsia" w:ascii="宋体" w:hAnsi="宋体" w:eastAsia="宋体" w:cs="宋体"/>
          <w:color w:val="auto"/>
          <w:sz w:val="21"/>
          <w:szCs w:val="21"/>
        </w:rPr>
        <w:t>投标人名称（加盖公章）：</w:t>
      </w:r>
    </w:p>
    <w:p w14:paraId="0E6B1598">
      <w:pPr>
        <w:pStyle w:val="50"/>
        <w:spacing w:line="500" w:lineRule="atLeast"/>
        <w:ind w:firstLine="433"/>
        <w:rPr>
          <w:rFonts w:hint="eastAsia" w:ascii="宋体" w:hAnsi="宋体" w:eastAsia="宋体" w:cs="宋体"/>
          <w:color w:val="auto"/>
          <w:sz w:val="21"/>
          <w:szCs w:val="21"/>
        </w:rPr>
      </w:pPr>
      <w:r>
        <w:rPr>
          <w:rFonts w:hint="eastAsia" w:ascii="宋体" w:hAnsi="宋体" w:eastAsia="宋体" w:cs="宋体"/>
          <w:color w:val="auto"/>
          <w:sz w:val="21"/>
          <w:szCs w:val="21"/>
        </w:rPr>
        <w:t>法定代表人签字（签名或盖私章）：</w:t>
      </w:r>
    </w:p>
    <w:p w14:paraId="3D2820B7">
      <w:pPr>
        <w:pStyle w:val="50"/>
        <w:spacing w:line="500" w:lineRule="atLeast"/>
        <w:ind w:firstLine="433"/>
        <w:rPr>
          <w:rFonts w:hint="eastAsia" w:ascii="宋体" w:hAnsi="宋体" w:eastAsia="宋体" w:cs="宋体"/>
          <w:color w:val="auto"/>
          <w:sz w:val="21"/>
          <w:szCs w:val="21"/>
        </w:rPr>
      </w:pPr>
      <w:r>
        <w:rPr>
          <w:rFonts w:hint="eastAsia" w:ascii="宋体" w:hAnsi="宋体" w:eastAsia="宋体" w:cs="宋体"/>
          <w:color w:val="auto"/>
          <w:sz w:val="21"/>
          <w:szCs w:val="21"/>
        </w:rPr>
        <w:t>日     期：年月日</w:t>
      </w:r>
    </w:p>
    <w:p w14:paraId="477BE4AC">
      <w:pPr>
        <w:pStyle w:val="50"/>
        <w:spacing w:line="500" w:lineRule="atLeast"/>
        <w:ind w:firstLine="433"/>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14:paraId="77006C4E">
      <w:pPr>
        <w:pStyle w:val="5"/>
        <w:widowControl w:val="0"/>
        <w:overflowPunct w:val="0"/>
        <w:spacing w:line="240" w:lineRule="auto"/>
        <w:rPr>
          <w:rFonts w:hint="eastAsia" w:ascii="宋体" w:hAnsi="宋体" w:eastAsia="宋体" w:cs="宋体"/>
          <w:color w:val="auto"/>
          <w:sz w:val="21"/>
          <w:szCs w:val="21"/>
        </w:rPr>
      </w:pPr>
      <w:bookmarkStart w:id="155" w:name="_Toc5300"/>
      <w:r>
        <w:rPr>
          <w:rFonts w:hint="eastAsia" w:ascii="宋体" w:hAnsi="宋体" w:eastAsia="宋体" w:cs="宋体"/>
          <w:color w:val="auto"/>
          <w:sz w:val="21"/>
          <w:szCs w:val="21"/>
        </w:rPr>
        <w:t>附件8.营业执照</w:t>
      </w:r>
      <w:bookmarkEnd w:id="155"/>
    </w:p>
    <w:p w14:paraId="6647D3A9">
      <w:pPr>
        <w:jc w:val="center"/>
        <w:rPr>
          <w:rFonts w:hint="eastAsia" w:ascii="宋体" w:hAnsi="宋体" w:eastAsia="宋体" w:cs="宋体"/>
          <w:color w:val="auto"/>
          <w:sz w:val="28"/>
          <w:szCs w:val="28"/>
        </w:rPr>
      </w:pPr>
      <w:bookmarkStart w:id="156" w:name="_Toc1511"/>
      <w:bookmarkStart w:id="157" w:name="_Toc17470"/>
      <w:bookmarkStart w:id="158" w:name="_Toc24210"/>
      <w:bookmarkStart w:id="159" w:name="_Toc4926"/>
      <w:bookmarkStart w:id="160" w:name="_Toc5919"/>
      <w:r>
        <w:rPr>
          <w:rFonts w:hint="eastAsia" w:ascii="宋体" w:hAnsi="宋体" w:eastAsia="宋体" w:cs="宋体"/>
          <w:color w:val="auto"/>
          <w:sz w:val="28"/>
          <w:szCs w:val="28"/>
        </w:rPr>
        <w:t>营业执照</w:t>
      </w:r>
      <w:bookmarkEnd w:id="156"/>
      <w:bookmarkEnd w:id="157"/>
      <w:bookmarkEnd w:id="158"/>
      <w:bookmarkEnd w:id="159"/>
      <w:bookmarkEnd w:id="160"/>
    </w:p>
    <w:p w14:paraId="6C8FE6D0">
      <w:pPr>
        <w:jc w:val="center"/>
        <w:rPr>
          <w:rFonts w:hint="eastAsia" w:ascii="宋体" w:hAnsi="宋体" w:eastAsia="宋体" w:cs="宋体"/>
          <w:color w:val="auto"/>
          <w:sz w:val="28"/>
          <w:szCs w:val="28"/>
        </w:rPr>
      </w:pPr>
      <w:r>
        <w:rPr>
          <w:rFonts w:hint="eastAsia" w:ascii="宋体" w:hAnsi="宋体" w:eastAsia="宋体" w:cs="宋体"/>
          <w:color w:val="auto"/>
          <w:sz w:val="28"/>
          <w:szCs w:val="28"/>
        </w:rPr>
        <w:br w:type="page"/>
      </w:r>
    </w:p>
    <w:p w14:paraId="6796B365">
      <w:pPr>
        <w:pStyle w:val="5"/>
        <w:widowControl w:val="0"/>
        <w:overflowPunct w:val="0"/>
        <w:spacing w:line="240" w:lineRule="auto"/>
        <w:rPr>
          <w:rFonts w:hint="eastAsia" w:ascii="宋体" w:hAnsi="宋体" w:eastAsia="宋体" w:cs="宋体"/>
          <w:color w:val="auto"/>
          <w:sz w:val="21"/>
          <w:szCs w:val="21"/>
        </w:rPr>
      </w:pPr>
      <w:bookmarkStart w:id="161" w:name="_Toc4617"/>
      <w:r>
        <w:rPr>
          <w:rFonts w:hint="eastAsia" w:ascii="宋体" w:hAnsi="宋体" w:eastAsia="宋体" w:cs="宋体"/>
          <w:color w:val="auto"/>
          <w:sz w:val="21"/>
          <w:szCs w:val="21"/>
        </w:rPr>
        <w:t>附件9.相关资质证明文件</w:t>
      </w:r>
      <w:bookmarkEnd w:id="161"/>
    </w:p>
    <w:p w14:paraId="1B6D1105">
      <w:pPr>
        <w:rPr>
          <w:rFonts w:hint="eastAsia" w:ascii="宋体" w:hAnsi="宋体" w:eastAsia="宋体" w:cs="宋体"/>
          <w:color w:val="auto"/>
        </w:rPr>
      </w:pPr>
    </w:p>
    <w:p w14:paraId="4232B2CD">
      <w:pPr>
        <w:jc w:val="center"/>
        <w:rPr>
          <w:rFonts w:hint="eastAsia" w:ascii="宋体" w:hAnsi="宋体" w:eastAsia="宋体" w:cs="宋体"/>
          <w:color w:val="auto"/>
          <w:sz w:val="28"/>
          <w:szCs w:val="28"/>
        </w:rPr>
      </w:pPr>
      <w:bookmarkStart w:id="162" w:name="_Toc16698"/>
      <w:bookmarkStart w:id="163" w:name="_Toc30307"/>
      <w:bookmarkStart w:id="164" w:name="_Toc13458"/>
      <w:bookmarkStart w:id="165" w:name="_Toc16233"/>
      <w:bookmarkStart w:id="166" w:name="_Toc9592"/>
      <w:r>
        <w:rPr>
          <w:rFonts w:hint="eastAsia" w:ascii="宋体" w:hAnsi="宋体" w:eastAsia="宋体" w:cs="宋体"/>
          <w:color w:val="auto"/>
          <w:sz w:val="28"/>
          <w:szCs w:val="28"/>
        </w:rPr>
        <w:t>相关资质证明文件</w:t>
      </w:r>
      <w:bookmarkEnd w:id="153"/>
      <w:bookmarkEnd w:id="162"/>
      <w:bookmarkEnd w:id="163"/>
      <w:bookmarkEnd w:id="164"/>
      <w:bookmarkEnd w:id="165"/>
      <w:bookmarkEnd w:id="166"/>
    </w:p>
    <w:p w14:paraId="2E022EFA">
      <w:pPr>
        <w:numPr>
          <w:ilvl w:val="0"/>
          <w:numId w:val="9"/>
        </w:numPr>
        <w:tabs>
          <w:tab w:val="left" w:pos="1680"/>
        </w:tabs>
        <w:jc w:val="both"/>
        <w:rPr>
          <w:rFonts w:hint="eastAsia" w:ascii="宋体" w:hAnsi="宋体" w:eastAsia="宋体" w:cs="宋体"/>
          <w:b/>
          <w:bCs/>
          <w:color w:val="auto"/>
          <w:szCs w:val="21"/>
        </w:rPr>
      </w:pPr>
      <w:r>
        <w:rPr>
          <w:rFonts w:hint="eastAsia" w:ascii="宋体" w:hAnsi="宋体" w:eastAsia="宋体" w:cs="宋体"/>
          <w:b/>
          <w:bCs/>
          <w:color w:val="auto"/>
          <w:szCs w:val="21"/>
        </w:rPr>
        <w:t>符合投标邀请书“投标人资格要求”其他要求对应的证明文件；</w:t>
      </w:r>
    </w:p>
    <w:p w14:paraId="24D0F1C2">
      <w:pPr>
        <w:numPr>
          <w:ilvl w:val="0"/>
          <w:numId w:val="9"/>
        </w:numPr>
        <w:tabs>
          <w:tab w:val="left" w:pos="1680"/>
        </w:tabs>
        <w:jc w:val="both"/>
        <w:rPr>
          <w:rFonts w:hint="eastAsia" w:ascii="宋体" w:hAnsi="宋体" w:eastAsia="宋体" w:cs="宋体"/>
          <w:b/>
          <w:bCs/>
          <w:color w:val="auto"/>
          <w:szCs w:val="21"/>
        </w:rPr>
      </w:pPr>
      <w:r>
        <w:rPr>
          <w:rFonts w:hint="eastAsia" w:ascii="宋体" w:hAnsi="宋体" w:eastAsia="宋体" w:cs="宋体"/>
          <w:b/>
          <w:bCs/>
          <w:color w:val="auto"/>
          <w:szCs w:val="21"/>
        </w:rPr>
        <w:t>投标人认为必要的文件。</w:t>
      </w:r>
      <w:r>
        <w:rPr>
          <w:rFonts w:hint="eastAsia" w:ascii="宋体" w:hAnsi="宋体" w:eastAsia="宋体" w:cs="宋体"/>
          <w:b/>
          <w:bCs/>
          <w:color w:val="auto"/>
          <w:szCs w:val="21"/>
        </w:rPr>
        <w:br w:type="page"/>
      </w:r>
    </w:p>
    <w:p w14:paraId="7ED75725">
      <w:pPr>
        <w:pStyle w:val="5"/>
        <w:widowControl w:val="0"/>
        <w:overflowPunct w:val="0"/>
        <w:spacing w:line="240" w:lineRule="auto"/>
        <w:rPr>
          <w:rFonts w:hint="eastAsia" w:ascii="宋体" w:hAnsi="宋体" w:eastAsia="宋体" w:cs="宋体"/>
          <w:color w:val="auto"/>
        </w:rPr>
      </w:pPr>
      <w:bookmarkStart w:id="167" w:name="_Toc16142"/>
      <w:r>
        <w:rPr>
          <w:rFonts w:hint="eastAsia" w:ascii="宋体" w:hAnsi="宋体" w:eastAsia="宋体" w:cs="宋体"/>
          <w:color w:val="auto"/>
          <w:sz w:val="21"/>
          <w:szCs w:val="21"/>
        </w:rPr>
        <w:t>附件10.在经营活动中没有重大违法记录的书面声明格式</w:t>
      </w:r>
      <w:bookmarkEnd w:id="167"/>
    </w:p>
    <w:p w14:paraId="26372512">
      <w:pPr>
        <w:rPr>
          <w:rFonts w:hint="eastAsia" w:ascii="宋体" w:hAnsi="宋体" w:eastAsia="宋体" w:cs="宋体"/>
          <w:color w:val="auto"/>
        </w:rPr>
      </w:pPr>
    </w:p>
    <w:p w14:paraId="2C95FC7B">
      <w:pPr>
        <w:jc w:val="center"/>
        <w:rPr>
          <w:rFonts w:hint="eastAsia" w:ascii="宋体" w:hAnsi="宋体" w:eastAsia="宋体" w:cs="宋体"/>
          <w:color w:val="auto"/>
          <w:sz w:val="28"/>
          <w:szCs w:val="28"/>
        </w:rPr>
      </w:pPr>
      <w:r>
        <w:rPr>
          <w:rFonts w:hint="eastAsia" w:ascii="宋体" w:hAnsi="宋体" w:eastAsia="宋体" w:cs="宋体"/>
          <w:color w:val="auto"/>
          <w:sz w:val="28"/>
          <w:szCs w:val="28"/>
        </w:rPr>
        <w:t>投标人在经营活动中前三年内未有重大违法记录、没有不良信用记录的声明函</w:t>
      </w:r>
    </w:p>
    <w:p w14:paraId="1103C577">
      <w:pPr>
        <w:ind w:firstLine="420" w:firstLineChars="200"/>
        <w:rPr>
          <w:rFonts w:hint="eastAsia" w:ascii="宋体" w:hAnsi="宋体" w:eastAsia="宋体" w:cs="宋体"/>
          <w:color w:val="auto"/>
          <w:szCs w:val="21"/>
        </w:rPr>
      </w:pPr>
    </w:p>
    <w:p w14:paraId="58BB2458">
      <w:pPr>
        <w:spacing w:line="480" w:lineRule="auto"/>
        <w:rPr>
          <w:rFonts w:hint="eastAsia" w:ascii="宋体" w:hAnsi="宋体" w:eastAsia="宋体" w:cs="宋体"/>
          <w:color w:val="auto"/>
          <w:szCs w:val="21"/>
        </w:rPr>
      </w:pPr>
      <w:r>
        <w:rPr>
          <w:rFonts w:hint="eastAsia" w:ascii="宋体" w:hAnsi="宋体" w:eastAsia="宋体" w:cs="宋体"/>
          <w:color w:val="auto"/>
          <w:szCs w:val="21"/>
        </w:rPr>
        <w:t>东莞市安居建设投资有限公司：</w:t>
      </w:r>
    </w:p>
    <w:p w14:paraId="1E6E3410">
      <w:pPr>
        <w:spacing w:line="48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我公司郑重承诺：在参加“</w:t>
      </w:r>
      <w:r>
        <w:rPr>
          <w:rFonts w:hint="eastAsia" w:ascii="宋体" w:hAnsi="宋体" w:eastAsia="宋体" w:cs="宋体"/>
          <w:color w:val="auto"/>
          <w:szCs w:val="21"/>
          <w:u w:val="single"/>
        </w:rPr>
        <w:t xml:space="preserve">       （采购项目名称）</w:t>
      </w:r>
      <w:r>
        <w:rPr>
          <w:rFonts w:hint="eastAsia" w:ascii="宋体" w:hAnsi="宋体" w:eastAsia="宋体" w:cs="宋体"/>
          <w:color w:val="auto"/>
          <w:szCs w:val="21"/>
        </w:rPr>
        <w:t>” （项目编号: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采购活动前三年内（设立不满三年的从设立之日计算），在经营活动中没有重大违法记录；至本项目提交投标文件截止时间止未被列入“信用中国”网站失信被执行人、重大税收违法失信主体、政府采购严重违法失信行为记录名单。</w:t>
      </w:r>
    </w:p>
    <w:p w14:paraId="04D01977">
      <w:pPr>
        <w:spacing w:line="48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我公司以上承诺均为真实有效，绝无任何虚假、伪造的成份，否则，愿承担相应的后果和法律责任。</w:t>
      </w:r>
    </w:p>
    <w:p w14:paraId="3E6DA0EE">
      <w:pPr>
        <w:ind w:firstLine="420" w:firstLineChars="200"/>
        <w:rPr>
          <w:rFonts w:hint="eastAsia" w:ascii="宋体" w:hAnsi="宋体" w:eastAsia="宋体" w:cs="宋体"/>
          <w:color w:val="auto"/>
          <w:szCs w:val="21"/>
        </w:rPr>
      </w:pPr>
    </w:p>
    <w:p w14:paraId="0EC394DE">
      <w:pPr>
        <w:rPr>
          <w:rFonts w:hint="eastAsia" w:ascii="宋体" w:hAnsi="宋体" w:eastAsia="宋体" w:cs="宋体"/>
          <w:color w:val="auto"/>
          <w:szCs w:val="21"/>
        </w:rPr>
      </w:pPr>
    </w:p>
    <w:p w14:paraId="0032CA4A">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投标人名称（盖章）：</w:t>
      </w:r>
    </w:p>
    <w:p w14:paraId="378730DB">
      <w:pPr>
        <w:rPr>
          <w:rFonts w:hint="eastAsia" w:ascii="宋体" w:hAnsi="宋体" w:eastAsia="宋体" w:cs="宋体"/>
          <w:color w:val="auto"/>
          <w:szCs w:val="21"/>
        </w:rPr>
      </w:pPr>
    </w:p>
    <w:p w14:paraId="586A0F56">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日期：</w:t>
      </w:r>
    </w:p>
    <w:p w14:paraId="77DB2CEE">
      <w:pPr>
        <w:rPr>
          <w:rFonts w:hint="eastAsia" w:ascii="宋体" w:hAnsi="宋体" w:eastAsia="宋体" w:cs="宋体"/>
          <w:color w:val="auto"/>
        </w:rPr>
      </w:pPr>
    </w:p>
    <w:p w14:paraId="2E57ACBC">
      <w:pPr>
        <w:rPr>
          <w:rFonts w:hint="eastAsia" w:ascii="宋体" w:hAnsi="宋体" w:eastAsia="宋体" w:cs="宋体"/>
          <w:color w:val="auto"/>
          <w:szCs w:val="21"/>
        </w:rPr>
      </w:pPr>
    </w:p>
    <w:p w14:paraId="748A6EF4">
      <w:pPr>
        <w:pStyle w:val="11"/>
        <w:rPr>
          <w:rFonts w:hint="eastAsia" w:ascii="宋体" w:hAnsi="宋体" w:eastAsia="宋体" w:cs="宋体"/>
          <w:color w:val="auto"/>
          <w:sz w:val="21"/>
          <w:szCs w:val="21"/>
        </w:rPr>
      </w:pPr>
    </w:p>
    <w:p w14:paraId="7DCF6B7E">
      <w:pPr>
        <w:rPr>
          <w:rFonts w:hint="eastAsia" w:ascii="宋体" w:hAnsi="宋体" w:eastAsia="宋体" w:cs="宋体"/>
          <w:color w:val="auto"/>
          <w:szCs w:val="21"/>
        </w:rPr>
      </w:pPr>
    </w:p>
    <w:p w14:paraId="195BAD7F">
      <w:pPr>
        <w:pStyle w:val="11"/>
        <w:rPr>
          <w:rFonts w:hint="eastAsia" w:ascii="宋体" w:hAnsi="宋体" w:eastAsia="宋体" w:cs="宋体"/>
          <w:color w:val="auto"/>
          <w:sz w:val="21"/>
          <w:szCs w:val="21"/>
        </w:rPr>
      </w:pPr>
    </w:p>
    <w:p w14:paraId="6D1BAA30">
      <w:pPr>
        <w:rPr>
          <w:rFonts w:hint="eastAsia" w:ascii="宋体" w:hAnsi="宋体" w:eastAsia="宋体" w:cs="宋体"/>
          <w:color w:val="auto"/>
          <w:szCs w:val="21"/>
        </w:rPr>
      </w:pPr>
    </w:p>
    <w:p w14:paraId="595CF776">
      <w:pPr>
        <w:pStyle w:val="11"/>
        <w:rPr>
          <w:rFonts w:hint="eastAsia" w:ascii="宋体" w:hAnsi="宋体" w:eastAsia="宋体" w:cs="宋体"/>
          <w:color w:val="auto"/>
          <w:sz w:val="21"/>
          <w:szCs w:val="21"/>
        </w:rPr>
      </w:pPr>
    </w:p>
    <w:p w14:paraId="5E8E45CD">
      <w:pPr>
        <w:rPr>
          <w:rFonts w:hint="eastAsia" w:ascii="宋体" w:hAnsi="宋体" w:eastAsia="宋体" w:cs="宋体"/>
          <w:color w:val="auto"/>
          <w:szCs w:val="21"/>
        </w:rPr>
      </w:pPr>
    </w:p>
    <w:p w14:paraId="1318C4CF">
      <w:pPr>
        <w:pStyle w:val="11"/>
        <w:rPr>
          <w:rFonts w:hint="eastAsia" w:ascii="宋体" w:hAnsi="宋体" w:eastAsia="宋体" w:cs="宋体"/>
          <w:color w:val="auto"/>
          <w:sz w:val="21"/>
          <w:szCs w:val="21"/>
        </w:rPr>
      </w:pPr>
    </w:p>
    <w:p w14:paraId="3842EBED">
      <w:pPr>
        <w:rPr>
          <w:rFonts w:hint="eastAsia" w:ascii="宋体" w:hAnsi="宋体" w:eastAsia="宋体" w:cs="宋体"/>
          <w:color w:val="auto"/>
          <w:szCs w:val="21"/>
        </w:rPr>
      </w:pPr>
    </w:p>
    <w:p w14:paraId="7A61BBCF">
      <w:pPr>
        <w:pStyle w:val="11"/>
        <w:rPr>
          <w:rFonts w:hint="eastAsia" w:ascii="宋体" w:hAnsi="宋体" w:eastAsia="宋体" w:cs="宋体"/>
          <w:color w:val="auto"/>
          <w:sz w:val="21"/>
          <w:szCs w:val="21"/>
        </w:rPr>
      </w:pPr>
    </w:p>
    <w:p w14:paraId="126EF6CD">
      <w:pPr>
        <w:rPr>
          <w:rFonts w:hint="eastAsia" w:ascii="宋体" w:hAnsi="宋体" w:eastAsia="宋体" w:cs="宋体"/>
          <w:color w:val="auto"/>
        </w:rPr>
      </w:pPr>
    </w:p>
    <w:p w14:paraId="45FEE107">
      <w:pPr>
        <w:pStyle w:val="5"/>
        <w:widowControl w:val="0"/>
        <w:overflowPunct w:val="0"/>
        <w:spacing w:line="240" w:lineRule="auto"/>
        <w:rPr>
          <w:rFonts w:hint="eastAsia" w:ascii="宋体" w:hAnsi="宋体" w:eastAsia="宋体" w:cs="宋体"/>
          <w:color w:val="auto"/>
        </w:rPr>
      </w:pPr>
      <w:bookmarkStart w:id="168" w:name="_Toc22756"/>
      <w:r>
        <w:rPr>
          <w:rFonts w:hint="eastAsia" w:ascii="宋体" w:hAnsi="宋体" w:eastAsia="宋体" w:cs="宋体"/>
          <w:color w:val="auto"/>
          <w:sz w:val="21"/>
          <w:szCs w:val="21"/>
        </w:rPr>
        <w:t>附件11.承诺书格式</w:t>
      </w:r>
      <w:bookmarkEnd w:id="168"/>
    </w:p>
    <w:p w14:paraId="5E0B991E">
      <w:pPr>
        <w:jc w:val="center"/>
        <w:rPr>
          <w:rFonts w:hint="eastAsia" w:ascii="宋体" w:hAnsi="宋体" w:eastAsia="宋体" w:cs="宋体"/>
          <w:color w:val="auto"/>
          <w:sz w:val="28"/>
          <w:szCs w:val="28"/>
        </w:rPr>
      </w:pPr>
      <w:r>
        <w:rPr>
          <w:rFonts w:hint="eastAsia" w:ascii="宋体" w:hAnsi="宋体" w:eastAsia="宋体" w:cs="宋体"/>
          <w:color w:val="auto"/>
          <w:sz w:val="28"/>
          <w:szCs w:val="28"/>
        </w:rPr>
        <w:t>承诺书</w:t>
      </w:r>
    </w:p>
    <w:p w14:paraId="7DFDE9FD">
      <w:pPr>
        <w:pStyle w:val="50"/>
        <w:spacing w:line="420" w:lineRule="atLeast"/>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致广东中科招标有限公司：</w:t>
      </w:r>
    </w:p>
    <w:p w14:paraId="110683CD">
      <w:pPr>
        <w:jc w:val="center"/>
        <w:rPr>
          <w:rFonts w:hint="eastAsia" w:ascii="宋体" w:hAnsi="宋体" w:eastAsia="宋体" w:cs="宋体"/>
          <w:color w:val="auto"/>
          <w:szCs w:val="21"/>
        </w:rPr>
      </w:pPr>
    </w:p>
    <w:p w14:paraId="41FB10BC">
      <w:pPr>
        <w:pStyle w:val="50"/>
        <w:spacing w:line="420" w:lineRule="exact"/>
        <w:ind w:firstLine="433"/>
        <w:rPr>
          <w:rFonts w:hint="eastAsia" w:ascii="宋体" w:hAnsi="宋体" w:eastAsia="宋体" w:cs="宋体"/>
          <w:color w:val="auto"/>
          <w:sz w:val="21"/>
          <w:szCs w:val="21"/>
        </w:rPr>
      </w:pPr>
      <w:r>
        <w:rPr>
          <w:rFonts w:hint="eastAsia" w:ascii="宋体" w:hAnsi="宋体" w:eastAsia="宋体" w:cs="宋体"/>
          <w:color w:val="auto"/>
          <w:sz w:val="21"/>
          <w:szCs w:val="21"/>
        </w:rPr>
        <w:t>我方已完整阅读了</w:t>
      </w:r>
      <w:r>
        <w:rPr>
          <w:rFonts w:hint="eastAsia" w:ascii="宋体" w:hAnsi="宋体" w:eastAsia="宋体" w:cs="宋体"/>
          <w:color w:val="auto"/>
          <w:sz w:val="21"/>
          <w:szCs w:val="21"/>
          <w:u w:val="single"/>
        </w:rPr>
        <w:t xml:space="preserve">  （项目名称）     </w:t>
      </w:r>
      <w:r>
        <w:rPr>
          <w:rFonts w:hint="eastAsia" w:ascii="宋体" w:hAnsi="宋体" w:eastAsia="宋体" w:cs="宋体"/>
          <w:color w:val="auto"/>
          <w:sz w:val="21"/>
          <w:szCs w:val="21"/>
        </w:rPr>
        <w:t>项目（项目编号：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）采购文件的所有内容（包括澄清，以及所有已提供的参考资料和有关附件），并完全理解上述文件所表达的意思，该项目递交投标文件时间截止后，我方承诺不再对上述文件内容有异议。</w:t>
      </w:r>
      <w:r>
        <w:rPr>
          <w:rFonts w:hint="eastAsia" w:ascii="宋体" w:hAnsi="宋体" w:eastAsia="宋体" w:cs="宋体"/>
          <w:color w:val="auto"/>
          <w:sz w:val="21"/>
          <w:szCs w:val="21"/>
        </w:rPr>
        <w:cr/>
      </w:r>
    </w:p>
    <w:p w14:paraId="57BDDE27">
      <w:pPr>
        <w:pStyle w:val="50"/>
        <w:spacing w:line="420" w:lineRule="exact"/>
        <w:ind w:firstLine="433"/>
        <w:rPr>
          <w:rFonts w:hint="eastAsia" w:ascii="宋体" w:hAnsi="宋体" w:eastAsia="宋体" w:cs="宋体"/>
          <w:color w:val="auto"/>
          <w:sz w:val="21"/>
          <w:szCs w:val="21"/>
        </w:rPr>
      </w:pPr>
    </w:p>
    <w:p w14:paraId="2A00608D">
      <w:pPr>
        <w:ind w:right="561" w:firstLine="420" w:firstLineChars="200"/>
        <w:rPr>
          <w:rFonts w:hint="eastAsia" w:ascii="宋体" w:hAnsi="宋体" w:eastAsia="宋体" w:cs="宋体"/>
          <w:color w:val="auto"/>
          <w:szCs w:val="21"/>
        </w:rPr>
      </w:pPr>
      <w:r>
        <w:rPr>
          <w:rFonts w:hint="eastAsia" w:ascii="宋体" w:hAnsi="宋体" w:eastAsia="宋体" w:cs="宋体"/>
          <w:color w:val="auto"/>
          <w:szCs w:val="21"/>
        </w:rPr>
        <w:t>投标人名称（加盖公章）：</w:t>
      </w:r>
    </w:p>
    <w:p w14:paraId="6B84C7A7">
      <w:pPr>
        <w:ind w:right="561" w:firstLine="420" w:firstLineChars="200"/>
        <w:rPr>
          <w:rFonts w:hint="eastAsia" w:ascii="宋体" w:hAnsi="宋体" w:eastAsia="宋体" w:cs="宋体"/>
          <w:color w:val="auto"/>
          <w:szCs w:val="21"/>
        </w:rPr>
      </w:pPr>
      <w:r>
        <w:rPr>
          <w:rFonts w:hint="eastAsia" w:ascii="宋体" w:hAnsi="宋体" w:eastAsia="宋体" w:cs="宋体"/>
          <w:color w:val="auto"/>
          <w:szCs w:val="21"/>
        </w:rPr>
        <w:t>法定代表人或被授权人（签名或盖私章）：</w:t>
      </w:r>
    </w:p>
    <w:p w14:paraId="5FEC47FA">
      <w:pPr>
        <w:ind w:right="561" w:firstLine="420" w:firstLineChars="200"/>
        <w:rPr>
          <w:rFonts w:hint="eastAsia" w:ascii="宋体" w:hAnsi="宋体" w:eastAsia="宋体" w:cs="宋体"/>
          <w:color w:val="auto"/>
          <w:szCs w:val="21"/>
        </w:rPr>
      </w:pPr>
      <w:r>
        <w:rPr>
          <w:rFonts w:hint="eastAsia" w:ascii="宋体" w:hAnsi="宋体" w:eastAsia="宋体" w:cs="宋体"/>
          <w:color w:val="auto"/>
          <w:szCs w:val="21"/>
        </w:rPr>
        <w:t>日      期：</w:t>
      </w:r>
    </w:p>
    <w:p w14:paraId="06923AD5">
      <w:pPr>
        <w:rPr>
          <w:rFonts w:hint="eastAsia" w:ascii="宋体" w:hAnsi="宋体" w:eastAsia="宋体" w:cs="宋体"/>
          <w:color w:val="auto"/>
        </w:rPr>
      </w:pPr>
    </w:p>
    <w:p w14:paraId="32E7BE45">
      <w:pPr>
        <w:rPr>
          <w:rFonts w:hint="eastAsia" w:ascii="宋体" w:hAnsi="宋体" w:eastAsia="宋体" w:cs="宋体"/>
          <w:color w:val="auto"/>
          <w:szCs w:val="21"/>
        </w:rPr>
      </w:pPr>
    </w:p>
    <w:p w14:paraId="7F7B1C14">
      <w:pPr>
        <w:pStyle w:val="11"/>
        <w:rPr>
          <w:rFonts w:hint="eastAsia" w:ascii="宋体" w:hAnsi="宋体" w:eastAsia="宋体" w:cs="宋体"/>
          <w:color w:val="auto"/>
          <w:sz w:val="21"/>
          <w:szCs w:val="21"/>
        </w:rPr>
      </w:pPr>
    </w:p>
    <w:p w14:paraId="30F12241">
      <w:pPr>
        <w:rPr>
          <w:rFonts w:hint="eastAsia" w:ascii="宋体" w:hAnsi="宋体" w:eastAsia="宋体" w:cs="宋体"/>
          <w:color w:val="auto"/>
          <w:szCs w:val="21"/>
        </w:rPr>
      </w:pPr>
    </w:p>
    <w:p w14:paraId="2DBBDC2D">
      <w:pPr>
        <w:pStyle w:val="11"/>
        <w:rPr>
          <w:rFonts w:hint="eastAsia" w:ascii="宋体" w:hAnsi="宋体" w:eastAsia="宋体" w:cs="宋体"/>
          <w:color w:val="auto"/>
          <w:sz w:val="21"/>
          <w:szCs w:val="21"/>
        </w:rPr>
      </w:pPr>
    </w:p>
    <w:p w14:paraId="1AFA658B">
      <w:pPr>
        <w:rPr>
          <w:rFonts w:hint="eastAsia" w:ascii="宋体" w:hAnsi="宋体" w:eastAsia="宋体" w:cs="宋体"/>
          <w:color w:val="auto"/>
          <w:szCs w:val="21"/>
        </w:rPr>
      </w:pPr>
    </w:p>
    <w:p w14:paraId="13164C02">
      <w:pPr>
        <w:pStyle w:val="11"/>
        <w:rPr>
          <w:rFonts w:hint="eastAsia" w:ascii="宋体" w:hAnsi="宋体" w:eastAsia="宋体" w:cs="宋体"/>
          <w:color w:val="auto"/>
          <w:sz w:val="21"/>
          <w:szCs w:val="21"/>
        </w:rPr>
      </w:pPr>
    </w:p>
    <w:p w14:paraId="596E9947">
      <w:pPr>
        <w:rPr>
          <w:rFonts w:hint="eastAsia" w:ascii="宋体" w:hAnsi="宋体" w:eastAsia="宋体" w:cs="宋体"/>
          <w:color w:val="auto"/>
          <w:szCs w:val="21"/>
        </w:rPr>
      </w:pPr>
    </w:p>
    <w:p w14:paraId="02FB2D9C">
      <w:pPr>
        <w:pStyle w:val="11"/>
        <w:rPr>
          <w:rFonts w:hint="eastAsia" w:ascii="宋体" w:hAnsi="宋体" w:eastAsia="宋体" w:cs="宋体"/>
          <w:color w:val="auto"/>
          <w:sz w:val="21"/>
          <w:szCs w:val="21"/>
        </w:rPr>
      </w:pPr>
    </w:p>
    <w:p w14:paraId="791173F7">
      <w:pPr>
        <w:rPr>
          <w:rFonts w:hint="eastAsia" w:ascii="宋体" w:hAnsi="宋体" w:eastAsia="宋体" w:cs="宋体"/>
          <w:color w:val="auto"/>
          <w:szCs w:val="21"/>
        </w:rPr>
      </w:pPr>
    </w:p>
    <w:p w14:paraId="2D9AB0B6">
      <w:pPr>
        <w:pStyle w:val="11"/>
        <w:rPr>
          <w:rFonts w:hint="eastAsia" w:ascii="宋体" w:hAnsi="宋体" w:eastAsia="宋体" w:cs="宋体"/>
          <w:color w:val="auto"/>
          <w:sz w:val="21"/>
          <w:szCs w:val="21"/>
        </w:rPr>
      </w:pPr>
    </w:p>
    <w:p w14:paraId="227A08C4">
      <w:pPr>
        <w:rPr>
          <w:rFonts w:hint="eastAsia" w:ascii="宋体" w:hAnsi="宋体" w:eastAsia="宋体" w:cs="宋体"/>
          <w:color w:val="auto"/>
          <w:szCs w:val="21"/>
        </w:rPr>
      </w:pPr>
    </w:p>
    <w:p w14:paraId="3EAF0817">
      <w:pPr>
        <w:pStyle w:val="11"/>
        <w:rPr>
          <w:rFonts w:hint="eastAsia" w:ascii="宋体" w:hAnsi="宋体" w:eastAsia="宋体" w:cs="宋体"/>
          <w:color w:val="auto"/>
          <w:sz w:val="21"/>
          <w:szCs w:val="21"/>
        </w:rPr>
      </w:pPr>
    </w:p>
    <w:p w14:paraId="5BD63FBB">
      <w:pPr>
        <w:rPr>
          <w:rFonts w:hint="eastAsia" w:ascii="宋体" w:hAnsi="宋体" w:eastAsia="宋体" w:cs="宋体"/>
          <w:color w:val="auto"/>
          <w:szCs w:val="21"/>
        </w:rPr>
      </w:pPr>
    </w:p>
    <w:p w14:paraId="4557DFEB">
      <w:pPr>
        <w:pStyle w:val="11"/>
        <w:rPr>
          <w:rFonts w:hint="eastAsia" w:ascii="宋体" w:hAnsi="宋体" w:eastAsia="宋体" w:cs="宋体"/>
          <w:color w:val="auto"/>
          <w:sz w:val="21"/>
          <w:szCs w:val="21"/>
        </w:rPr>
      </w:pPr>
    </w:p>
    <w:p w14:paraId="5736254B">
      <w:pPr>
        <w:rPr>
          <w:rFonts w:hint="eastAsia" w:ascii="宋体" w:hAnsi="宋体" w:eastAsia="宋体" w:cs="宋体"/>
          <w:color w:val="auto"/>
          <w:szCs w:val="21"/>
        </w:rPr>
      </w:pPr>
    </w:p>
    <w:p w14:paraId="53418FCD">
      <w:pPr>
        <w:pStyle w:val="11"/>
        <w:rPr>
          <w:rFonts w:hint="eastAsia" w:ascii="宋体" w:hAnsi="宋体" w:eastAsia="宋体" w:cs="宋体"/>
          <w:color w:val="auto"/>
          <w:sz w:val="21"/>
          <w:szCs w:val="21"/>
        </w:rPr>
      </w:pPr>
    </w:p>
    <w:p w14:paraId="15369859">
      <w:pPr>
        <w:rPr>
          <w:rFonts w:hint="eastAsia" w:ascii="宋体" w:hAnsi="宋体" w:eastAsia="宋体" w:cs="宋体"/>
          <w:color w:val="auto"/>
        </w:rPr>
      </w:pPr>
    </w:p>
    <w:p w14:paraId="6A7F3EE2">
      <w:pPr>
        <w:pStyle w:val="5"/>
        <w:widowControl w:val="0"/>
        <w:overflowPunct w:val="0"/>
        <w:spacing w:line="240" w:lineRule="auto"/>
        <w:rPr>
          <w:rFonts w:hint="eastAsia" w:ascii="宋体" w:hAnsi="宋体" w:eastAsia="宋体" w:cs="宋体"/>
          <w:color w:val="auto"/>
          <w:sz w:val="21"/>
          <w:szCs w:val="21"/>
        </w:rPr>
      </w:pPr>
      <w:bookmarkStart w:id="169" w:name="_Toc14560"/>
      <w:r>
        <w:rPr>
          <w:rFonts w:hint="eastAsia" w:ascii="宋体" w:hAnsi="宋体" w:eastAsia="宋体" w:cs="宋体"/>
          <w:color w:val="auto"/>
          <w:sz w:val="21"/>
          <w:szCs w:val="21"/>
        </w:rPr>
        <w:t>附件12.商务需求条款偏离表格式</w:t>
      </w:r>
      <w:bookmarkEnd w:id="169"/>
    </w:p>
    <w:p w14:paraId="2E9C58EB">
      <w:pPr>
        <w:jc w:val="center"/>
        <w:rPr>
          <w:rFonts w:hint="eastAsia" w:ascii="宋体" w:hAnsi="宋体" w:eastAsia="宋体" w:cs="宋体"/>
          <w:color w:val="auto"/>
          <w:sz w:val="28"/>
          <w:szCs w:val="28"/>
        </w:rPr>
      </w:pPr>
    </w:p>
    <w:p w14:paraId="3F0BE9AA">
      <w:pPr>
        <w:jc w:val="center"/>
        <w:rPr>
          <w:rFonts w:hint="eastAsia" w:ascii="宋体" w:hAnsi="宋体" w:eastAsia="宋体" w:cs="宋体"/>
          <w:color w:val="auto"/>
          <w:sz w:val="28"/>
          <w:szCs w:val="28"/>
        </w:rPr>
      </w:pPr>
      <w:r>
        <w:rPr>
          <w:rFonts w:hint="eastAsia" w:ascii="宋体" w:hAnsi="宋体" w:eastAsia="宋体" w:cs="宋体"/>
          <w:color w:val="auto"/>
          <w:sz w:val="28"/>
          <w:szCs w:val="28"/>
        </w:rPr>
        <w:t>商务需求条款偏离表</w:t>
      </w:r>
    </w:p>
    <w:tbl>
      <w:tblPr>
        <w:tblStyle w:val="34"/>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20"/>
        <w:gridCol w:w="1360"/>
        <w:gridCol w:w="1587"/>
        <w:gridCol w:w="1133"/>
        <w:gridCol w:w="1730"/>
      </w:tblGrid>
      <w:tr w14:paraId="0CFD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08" w:type="dxa"/>
            <w:vAlign w:val="center"/>
          </w:tcPr>
          <w:p w14:paraId="471004BC">
            <w:pPr>
              <w:jc w:val="center"/>
              <w:rPr>
                <w:rFonts w:hint="eastAsia" w:ascii="宋体" w:hAnsi="宋体" w:eastAsia="宋体" w:cs="宋体"/>
                <w:color w:val="auto"/>
                <w:szCs w:val="21"/>
              </w:rPr>
            </w:pPr>
            <w:r>
              <w:rPr>
                <w:rFonts w:hint="eastAsia" w:ascii="宋体" w:hAnsi="宋体" w:eastAsia="宋体" w:cs="宋体"/>
                <w:color w:val="auto"/>
                <w:szCs w:val="21"/>
              </w:rPr>
              <w:t>序号</w:t>
            </w:r>
          </w:p>
        </w:tc>
        <w:tc>
          <w:tcPr>
            <w:tcW w:w="1620" w:type="dxa"/>
            <w:vAlign w:val="center"/>
          </w:tcPr>
          <w:p w14:paraId="4C92824D">
            <w:pPr>
              <w:jc w:val="center"/>
              <w:rPr>
                <w:rFonts w:hint="eastAsia" w:ascii="宋体" w:hAnsi="宋体" w:eastAsia="宋体" w:cs="宋体"/>
                <w:color w:val="auto"/>
                <w:szCs w:val="21"/>
              </w:rPr>
            </w:pPr>
            <w:r>
              <w:rPr>
                <w:rFonts w:hint="eastAsia" w:ascii="宋体" w:hAnsi="宋体" w:eastAsia="宋体" w:cs="宋体"/>
                <w:color w:val="auto"/>
                <w:szCs w:val="21"/>
              </w:rPr>
              <w:t>服务项目名称</w:t>
            </w:r>
          </w:p>
        </w:tc>
        <w:tc>
          <w:tcPr>
            <w:tcW w:w="1360" w:type="dxa"/>
            <w:vAlign w:val="center"/>
          </w:tcPr>
          <w:p w14:paraId="2B9DB44B">
            <w:pPr>
              <w:jc w:val="center"/>
              <w:rPr>
                <w:rFonts w:hint="eastAsia" w:ascii="宋体" w:hAnsi="宋体" w:eastAsia="宋体" w:cs="宋体"/>
                <w:color w:val="auto"/>
                <w:szCs w:val="21"/>
              </w:rPr>
            </w:pPr>
            <w:r>
              <w:rPr>
                <w:rFonts w:hint="eastAsia" w:ascii="宋体" w:hAnsi="宋体" w:eastAsia="宋体" w:cs="宋体"/>
                <w:color w:val="auto"/>
                <w:szCs w:val="21"/>
              </w:rPr>
              <w:t>采购要求</w:t>
            </w:r>
          </w:p>
        </w:tc>
        <w:tc>
          <w:tcPr>
            <w:tcW w:w="1587" w:type="dxa"/>
            <w:vAlign w:val="center"/>
          </w:tcPr>
          <w:p w14:paraId="5C1A5F6F">
            <w:pPr>
              <w:jc w:val="center"/>
              <w:rPr>
                <w:rFonts w:hint="eastAsia" w:ascii="宋体" w:hAnsi="宋体" w:eastAsia="宋体" w:cs="宋体"/>
                <w:color w:val="auto"/>
                <w:szCs w:val="21"/>
              </w:rPr>
            </w:pPr>
            <w:r>
              <w:rPr>
                <w:rFonts w:hint="eastAsia" w:ascii="宋体" w:hAnsi="宋体" w:eastAsia="宋体" w:cs="宋体"/>
                <w:color w:val="auto"/>
                <w:szCs w:val="21"/>
              </w:rPr>
              <w:t>投标实际响应</w:t>
            </w:r>
          </w:p>
        </w:tc>
        <w:tc>
          <w:tcPr>
            <w:tcW w:w="1133" w:type="dxa"/>
            <w:vAlign w:val="center"/>
          </w:tcPr>
          <w:p w14:paraId="7ACC1C62">
            <w:pPr>
              <w:jc w:val="center"/>
              <w:rPr>
                <w:rFonts w:hint="eastAsia" w:ascii="宋体" w:hAnsi="宋体" w:eastAsia="宋体" w:cs="宋体"/>
                <w:color w:val="auto"/>
                <w:szCs w:val="21"/>
              </w:rPr>
            </w:pPr>
            <w:r>
              <w:rPr>
                <w:rFonts w:hint="eastAsia" w:ascii="宋体" w:hAnsi="宋体" w:eastAsia="宋体" w:cs="宋体"/>
                <w:color w:val="auto"/>
                <w:szCs w:val="21"/>
              </w:rPr>
              <w:t>是否偏离</w:t>
            </w:r>
          </w:p>
        </w:tc>
        <w:tc>
          <w:tcPr>
            <w:tcW w:w="1730" w:type="dxa"/>
            <w:vAlign w:val="center"/>
          </w:tcPr>
          <w:p w14:paraId="0369CD7F">
            <w:pPr>
              <w:jc w:val="center"/>
              <w:rPr>
                <w:rFonts w:hint="eastAsia" w:ascii="宋体" w:hAnsi="宋体" w:eastAsia="宋体" w:cs="宋体"/>
                <w:color w:val="auto"/>
                <w:szCs w:val="21"/>
              </w:rPr>
            </w:pPr>
            <w:r>
              <w:rPr>
                <w:rFonts w:hint="eastAsia" w:ascii="宋体" w:hAnsi="宋体" w:eastAsia="宋体" w:cs="宋体"/>
                <w:color w:val="auto"/>
                <w:szCs w:val="21"/>
              </w:rPr>
              <w:t>说明</w:t>
            </w:r>
          </w:p>
        </w:tc>
      </w:tr>
      <w:tr w14:paraId="14681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6962367F">
            <w:pPr>
              <w:jc w:val="center"/>
              <w:rPr>
                <w:rFonts w:hint="eastAsia" w:ascii="宋体" w:hAnsi="宋体" w:eastAsia="宋体" w:cs="宋体"/>
                <w:color w:val="auto"/>
                <w:szCs w:val="21"/>
              </w:rPr>
            </w:pPr>
          </w:p>
        </w:tc>
        <w:tc>
          <w:tcPr>
            <w:tcW w:w="1620" w:type="dxa"/>
            <w:vAlign w:val="center"/>
          </w:tcPr>
          <w:p w14:paraId="77D19FE4">
            <w:pPr>
              <w:jc w:val="center"/>
              <w:rPr>
                <w:rFonts w:hint="eastAsia" w:ascii="宋体" w:hAnsi="宋体" w:eastAsia="宋体" w:cs="宋体"/>
                <w:color w:val="auto"/>
                <w:szCs w:val="21"/>
              </w:rPr>
            </w:pPr>
          </w:p>
        </w:tc>
        <w:tc>
          <w:tcPr>
            <w:tcW w:w="1360" w:type="dxa"/>
            <w:vAlign w:val="center"/>
          </w:tcPr>
          <w:p w14:paraId="3FEFF466">
            <w:pPr>
              <w:jc w:val="center"/>
              <w:rPr>
                <w:rFonts w:hint="eastAsia" w:ascii="宋体" w:hAnsi="宋体" w:eastAsia="宋体" w:cs="宋体"/>
                <w:color w:val="auto"/>
                <w:szCs w:val="21"/>
              </w:rPr>
            </w:pPr>
          </w:p>
        </w:tc>
        <w:tc>
          <w:tcPr>
            <w:tcW w:w="1587" w:type="dxa"/>
            <w:vAlign w:val="center"/>
          </w:tcPr>
          <w:p w14:paraId="737FCF95">
            <w:pPr>
              <w:jc w:val="center"/>
              <w:rPr>
                <w:rFonts w:hint="eastAsia" w:ascii="宋体" w:hAnsi="宋体" w:eastAsia="宋体" w:cs="宋体"/>
                <w:color w:val="auto"/>
                <w:szCs w:val="21"/>
              </w:rPr>
            </w:pPr>
          </w:p>
        </w:tc>
        <w:tc>
          <w:tcPr>
            <w:tcW w:w="1133" w:type="dxa"/>
            <w:vAlign w:val="center"/>
          </w:tcPr>
          <w:p w14:paraId="094B81DD">
            <w:pPr>
              <w:jc w:val="center"/>
              <w:rPr>
                <w:rFonts w:hint="eastAsia" w:ascii="宋体" w:hAnsi="宋体" w:eastAsia="宋体" w:cs="宋体"/>
                <w:color w:val="auto"/>
                <w:szCs w:val="21"/>
              </w:rPr>
            </w:pPr>
          </w:p>
        </w:tc>
        <w:tc>
          <w:tcPr>
            <w:tcW w:w="1730" w:type="dxa"/>
            <w:vAlign w:val="center"/>
          </w:tcPr>
          <w:p w14:paraId="30C1C325">
            <w:pPr>
              <w:jc w:val="center"/>
              <w:rPr>
                <w:rFonts w:hint="eastAsia" w:ascii="宋体" w:hAnsi="宋体" w:eastAsia="宋体" w:cs="宋体"/>
                <w:color w:val="auto"/>
                <w:szCs w:val="21"/>
              </w:rPr>
            </w:pPr>
          </w:p>
        </w:tc>
      </w:tr>
      <w:tr w14:paraId="44D03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793A3D3D">
            <w:pPr>
              <w:jc w:val="center"/>
              <w:rPr>
                <w:rFonts w:hint="eastAsia" w:ascii="宋体" w:hAnsi="宋体" w:eastAsia="宋体" w:cs="宋体"/>
                <w:color w:val="auto"/>
                <w:szCs w:val="21"/>
              </w:rPr>
            </w:pPr>
          </w:p>
        </w:tc>
        <w:tc>
          <w:tcPr>
            <w:tcW w:w="1620" w:type="dxa"/>
            <w:vAlign w:val="center"/>
          </w:tcPr>
          <w:p w14:paraId="4A4C3490">
            <w:pPr>
              <w:jc w:val="center"/>
              <w:rPr>
                <w:rFonts w:hint="eastAsia" w:ascii="宋体" w:hAnsi="宋体" w:eastAsia="宋体" w:cs="宋体"/>
                <w:color w:val="auto"/>
                <w:szCs w:val="21"/>
              </w:rPr>
            </w:pPr>
          </w:p>
        </w:tc>
        <w:tc>
          <w:tcPr>
            <w:tcW w:w="1360" w:type="dxa"/>
            <w:vAlign w:val="center"/>
          </w:tcPr>
          <w:p w14:paraId="68894543">
            <w:pPr>
              <w:jc w:val="center"/>
              <w:rPr>
                <w:rFonts w:hint="eastAsia" w:ascii="宋体" w:hAnsi="宋体" w:eastAsia="宋体" w:cs="宋体"/>
                <w:color w:val="auto"/>
                <w:szCs w:val="21"/>
              </w:rPr>
            </w:pPr>
          </w:p>
        </w:tc>
        <w:tc>
          <w:tcPr>
            <w:tcW w:w="1587" w:type="dxa"/>
            <w:vAlign w:val="center"/>
          </w:tcPr>
          <w:p w14:paraId="75330A15">
            <w:pPr>
              <w:jc w:val="center"/>
              <w:rPr>
                <w:rFonts w:hint="eastAsia" w:ascii="宋体" w:hAnsi="宋体" w:eastAsia="宋体" w:cs="宋体"/>
                <w:color w:val="auto"/>
                <w:szCs w:val="21"/>
              </w:rPr>
            </w:pPr>
          </w:p>
        </w:tc>
        <w:tc>
          <w:tcPr>
            <w:tcW w:w="1133" w:type="dxa"/>
            <w:vAlign w:val="center"/>
          </w:tcPr>
          <w:p w14:paraId="4216B34D">
            <w:pPr>
              <w:jc w:val="center"/>
              <w:rPr>
                <w:rFonts w:hint="eastAsia" w:ascii="宋体" w:hAnsi="宋体" w:eastAsia="宋体" w:cs="宋体"/>
                <w:color w:val="auto"/>
                <w:szCs w:val="21"/>
              </w:rPr>
            </w:pPr>
          </w:p>
        </w:tc>
        <w:tc>
          <w:tcPr>
            <w:tcW w:w="1730" w:type="dxa"/>
            <w:vAlign w:val="center"/>
          </w:tcPr>
          <w:p w14:paraId="7BE96B8F">
            <w:pPr>
              <w:jc w:val="center"/>
              <w:rPr>
                <w:rFonts w:hint="eastAsia" w:ascii="宋体" w:hAnsi="宋体" w:eastAsia="宋体" w:cs="宋体"/>
                <w:color w:val="auto"/>
                <w:szCs w:val="21"/>
              </w:rPr>
            </w:pPr>
          </w:p>
        </w:tc>
      </w:tr>
      <w:tr w14:paraId="13E76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03E51D19">
            <w:pPr>
              <w:jc w:val="center"/>
              <w:rPr>
                <w:rFonts w:hint="eastAsia" w:ascii="宋体" w:hAnsi="宋体" w:eastAsia="宋体" w:cs="宋体"/>
                <w:color w:val="auto"/>
                <w:szCs w:val="21"/>
              </w:rPr>
            </w:pPr>
          </w:p>
        </w:tc>
        <w:tc>
          <w:tcPr>
            <w:tcW w:w="1620" w:type="dxa"/>
            <w:vAlign w:val="center"/>
          </w:tcPr>
          <w:p w14:paraId="0799F3B2">
            <w:pPr>
              <w:jc w:val="center"/>
              <w:rPr>
                <w:rFonts w:hint="eastAsia" w:ascii="宋体" w:hAnsi="宋体" w:eastAsia="宋体" w:cs="宋体"/>
                <w:color w:val="auto"/>
                <w:szCs w:val="21"/>
              </w:rPr>
            </w:pPr>
          </w:p>
        </w:tc>
        <w:tc>
          <w:tcPr>
            <w:tcW w:w="1360" w:type="dxa"/>
            <w:vAlign w:val="center"/>
          </w:tcPr>
          <w:p w14:paraId="38269C33">
            <w:pPr>
              <w:jc w:val="center"/>
              <w:rPr>
                <w:rFonts w:hint="eastAsia" w:ascii="宋体" w:hAnsi="宋体" w:eastAsia="宋体" w:cs="宋体"/>
                <w:color w:val="auto"/>
                <w:szCs w:val="21"/>
              </w:rPr>
            </w:pPr>
          </w:p>
        </w:tc>
        <w:tc>
          <w:tcPr>
            <w:tcW w:w="1587" w:type="dxa"/>
            <w:vAlign w:val="center"/>
          </w:tcPr>
          <w:p w14:paraId="3C4334A2">
            <w:pPr>
              <w:jc w:val="center"/>
              <w:rPr>
                <w:rFonts w:hint="eastAsia" w:ascii="宋体" w:hAnsi="宋体" w:eastAsia="宋体" w:cs="宋体"/>
                <w:color w:val="auto"/>
                <w:szCs w:val="21"/>
              </w:rPr>
            </w:pPr>
          </w:p>
        </w:tc>
        <w:tc>
          <w:tcPr>
            <w:tcW w:w="1133" w:type="dxa"/>
            <w:vAlign w:val="center"/>
          </w:tcPr>
          <w:p w14:paraId="7946F819">
            <w:pPr>
              <w:jc w:val="center"/>
              <w:rPr>
                <w:rFonts w:hint="eastAsia" w:ascii="宋体" w:hAnsi="宋体" w:eastAsia="宋体" w:cs="宋体"/>
                <w:color w:val="auto"/>
                <w:szCs w:val="21"/>
              </w:rPr>
            </w:pPr>
          </w:p>
        </w:tc>
        <w:tc>
          <w:tcPr>
            <w:tcW w:w="1730" w:type="dxa"/>
            <w:vAlign w:val="center"/>
          </w:tcPr>
          <w:p w14:paraId="32A8E1B3">
            <w:pPr>
              <w:jc w:val="center"/>
              <w:rPr>
                <w:rFonts w:hint="eastAsia" w:ascii="宋体" w:hAnsi="宋体" w:eastAsia="宋体" w:cs="宋体"/>
                <w:color w:val="auto"/>
                <w:szCs w:val="21"/>
              </w:rPr>
            </w:pPr>
          </w:p>
        </w:tc>
      </w:tr>
      <w:tr w14:paraId="2E1A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300EB8BC">
            <w:pPr>
              <w:jc w:val="center"/>
              <w:rPr>
                <w:rFonts w:hint="eastAsia" w:ascii="宋体" w:hAnsi="宋体" w:eastAsia="宋体" w:cs="宋体"/>
                <w:color w:val="auto"/>
                <w:szCs w:val="21"/>
              </w:rPr>
            </w:pPr>
          </w:p>
        </w:tc>
        <w:tc>
          <w:tcPr>
            <w:tcW w:w="1620" w:type="dxa"/>
            <w:vAlign w:val="center"/>
          </w:tcPr>
          <w:p w14:paraId="3FD1D7FE">
            <w:pPr>
              <w:jc w:val="center"/>
              <w:rPr>
                <w:rFonts w:hint="eastAsia" w:ascii="宋体" w:hAnsi="宋体" w:eastAsia="宋体" w:cs="宋体"/>
                <w:color w:val="auto"/>
                <w:szCs w:val="21"/>
              </w:rPr>
            </w:pPr>
          </w:p>
        </w:tc>
        <w:tc>
          <w:tcPr>
            <w:tcW w:w="1360" w:type="dxa"/>
            <w:vAlign w:val="center"/>
          </w:tcPr>
          <w:p w14:paraId="705800FD">
            <w:pPr>
              <w:jc w:val="center"/>
              <w:rPr>
                <w:rFonts w:hint="eastAsia" w:ascii="宋体" w:hAnsi="宋体" w:eastAsia="宋体" w:cs="宋体"/>
                <w:color w:val="auto"/>
                <w:szCs w:val="21"/>
              </w:rPr>
            </w:pPr>
          </w:p>
        </w:tc>
        <w:tc>
          <w:tcPr>
            <w:tcW w:w="1587" w:type="dxa"/>
            <w:vAlign w:val="center"/>
          </w:tcPr>
          <w:p w14:paraId="7B2AE251">
            <w:pPr>
              <w:jc w:val="center"/>
              <w:rPr>
                <w:rFonts w:hint="eastAsia" w:ascii="宋体" w:hAnsi="宋体" w:eastAsia="宋体" w:cs="宋体"/>
                <w:color w:val="auto"/>
                <w:szCs w:val="21"/>
              </w:rPr>
            </w:pPr>
          </w:p>
        </w:tc>
        <w:tc>
          <w:tcPr>
            <w:tcW w:w="1133" w:type="dxa"/>
            <w:vAlign w:val="center"/>
          </w:tcPr>
          <w:p w14:paraId="373939BC">
            <w:pPr>
              <w:jc w:val="center"/>
              <w:rPr>
                <w:rFonts w:hint="eastAsia" w:ascii="宋体" w:hAnsi="宋体" w:eastAsia="宋体" w:cs="宋体"/>
                <w:color w:val="auto"/>
                <w:szCs w:val="21"/>
              </w:rPr>
            </w:pPr>
          </w:p>
        </w:tc>
        <w:tc>
          <w:tcPr>
            <w:tcW w:w="1730" w:type="dxa"/>
            <w:vAlign w:val="center"/>
          </w:tcPr>
          <w:p w14:paraId="2968A1F6">
            <w:pPr>
              <w:jc w:val="center"/>
              <w:rPr>
                <w:rFonts w:hint="eastAsia" w:ascii="宋体" w:hAnsi="宋体" w:eastAsia="宋体" w:cs="宋体"/>
                <w:color w:val="auto"/>
                <w:szCs w:val="21"/>
              </w:rPr>
            </w:pPr>
          </w:p>
        </w:tc>
      </w:tr>
      <w:tr w14:paraId="290B6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3CEA5718">
            <w:pPr>
              <w:jc w:val="center"/>
              <w:rPr>
                <w:rFonts w:hint="eastAsia" w:ascii="宋体" w:hAnsi="宋体" w:eastAsia="宋体" w:cs="宋体"/>
                <w:color w:val="auto"/>
                <w:szCs w:val="21"/>
              </w:rPr>
            </w:pPr>
          </w:p>
        </w:tc>
        <w:tc>
          <w:tcPr>
            <w:tcW w:w="1620" w:type="dxa"/>
            <w:vAlign w:val="center"/>
          </w:tcPr>
          <w:p w14:paraId="051BF728">
            <w:pPr>
              <w:jc w:val="center"/>
              <w:rPr>
                <w:rFonts w:hint="eastAsia" w:ascii="宋体" w:hAnsi="宋体" w:eastAsia="宋体" w:cs="宋体"/>
                <w:color w:val="auto"/>
                <w:szCs w:val="21"/>
              </w:rPr>
            </w:pPr>
          </w:p>
        </w:tc>
        <w:tc>
          <w:tcPr>
            <w:tcW w:w="1360" w:type="dxa"/>
            <w:vAlign w:val="center"/>
          </w:tcPr>
          <w:p w14:paraId="1CE57F4B">
            <w:pPr>
              <w:jc w:val="center"/>
              <w:rPr>
                <w:rFonts w:hint="eastAsia" w:ascii="宋体" w:hAnsi="宋体" w:eastAsia="宋体" w:cs="宋体"/>
                <w:color w:val="auto"/>
                <w:szCs w:val="21"/>
              </w:rPr>
            </w:pPr>
          </w:p>
        </w:tc>
        <w:tc>
          <w:tcPr>
            <w:tcW w:w="1587" w:type="dxa"/>
            <w:vAlign w:val="center"/>
          </w:tcPr>
          <w:p w14:paraId="2B5117D8">
            <w:pPr>
              <w:jc w:val="center"/>
              <w:rPr>
                <w:rFonts w:hint="eastAsia" w:ascii="宋体" w:hAnsi="宋体" w:eastAsia="宋体" w:cs="宋体"/>
                <w:color w:val="auto"/>
                <w:szCs w:val="21"/>
              </w:rPr>
            </w:pPr>
          </w:p>
        </w:tc>
        <w:tc>
          <w:tcPr>
            <w:tcW w:w="1133" w:type="dxa"/>
            <w:vAlign w:val="center"/>
          </w:tcPr>
          <w:p w14:paraId="610C8AC4">
            <w:pPr>
              <w:jc w:val="center"/>
              <w:rPr>
                <w:rFonts w:hint="eastAsia" w:ascii="宋体" w:hAnsi="宋体" w:eastAsia="宋体" w:cs="宋体"/>
                <w:color w:val="auto"/>
                <w:szCs w:val="21"/>
              </w:rPr>
            </w:pPr>
          </w:p>
        </w:tc>
        <w:tc>
          <w:tcPr>
            <w:tcW w:w="1730" w:type="dxa"/>
            <w:vAlign w:val="center"/>
          </w:tcPr>
          <w:p w14:paraId="39345E1D">
            <w:pPr>
              <w:jc w:val="center"/>
              <w:rPr>
                <w:rFonts w:hint="eastAsia" w:ascii="宋体" w:hAnsi="宋体" w:eastAsia="宋体" w:cs="宋体"/>
                <w:color w:val="auto"/>
                <w:szCs w:val="21"/>
              </w:rPr>
            </w:pPr>
          </w:p>
        </w:tc>
      </w:tr>
      <w:tr w14:paraId="777D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34A31D07">
            <w:pPr>
              <w:jc w:val="center"/>
              <w:rPr>
                <w:rFonts w:hint="eastAsia" w:ascii="宋体" w:hAnsi="宋体" w:eastAsia="宋体" w:cs="宋体"/>
                <w:color w:val="auto"/>
                <w:szCs w:val="21"/>
              </w:rPr>
            </w:pPr>
          </w:p>
        </w:tc>
        <w:tc>
          <w:tcPr>
            <w:tcW w:w="1620" w:type="dxa"/>
            <w:vAlign w:val="center"/>
          </w:tcPr>
          <w:p w14:paraId="709D7320">
            <w:pPr>
              <w:jc w:val="center"/>
              <w:rPr>
                <w:rFonts w:hint="eastAsia" w:ascii="宋体" w:hAnsi="宋体" w:eastAsia="宋体" w:cs="宋体"/>
                <w:color w:val="auto"/>
                <w:szCs w:val="21"/>
              </w:rPr>
            </w:pPr>
          </w:p>
        </w:tc>
        <w:tc>
          <w:tcPr>
            <w:tcW w:w="1360" w:type="dxa"/>
            <w:vAlign w:val="center"/>
          </w:tcPr>
          <w:p w14:paraId="63568DCE">
            <w:pPr>
              <w:jc w:val="center"/>
              <w:rPr>
                <w:rFonts w:hint="eastAsia" w:ascii="宋体" w:hAnsi="宋体" w:eastAsia="宋体" w:cs="宋体"/>
                <w:color w:val="auto"/>
                <w:szCs w:val="21"/>
              </w:rPr>
            </w:pPr>
          </w:p>
        </w:tc>
        <w:tc>
          <w:tcPr>
            <w:tcW w:w="1587" w:type="dxa"/>
            <w:vAlign w:val="center"/>
          </w:tcPr>
          <w:p w14:paraId="0A8B095B">
            <w:pPr>
              <w:jc w:val="center"/>
              <w:rPr>
                <w:rFonts w:hint="eastAsia" w:ascii="宋体" w:hAnsi="宋体" w:eastAsia="宋体" w:cs="宋体"/>
                <w:color w:val="auto"/>
                <w:szCs w:val="21"/>
              </w:rPr>
            </w:pPr>
          </w:p>
        </w:tc>
        <w:tc>
          <w:tcPr>
            <w:tcW w:w="1133" w:type="dxa"/>
            <w:vAlign w:val="center"/>
          </w:tcPr>
          <w:p w14:paraId="12F2A2A8">
            <w:pPr>
              <w:jc w:val="center"/>
              <w:rPr>
                <w:rFonts w:hint="eastAsia" w:ascii="宋体" w:hAnsi="宋体" w:eastAsia="宋体" w:cs="宋体"/>
                <w:color w:val="auto"/>
                <w:szCs w:val="21"/>
              </w:rPr>
            </w:pPr>
          </w:p>
        </w:tc>
        <w:tc>
          <w:tcPr>
            <w:tcW w:w="1730" w:type="dxa"/>
            <w:vAlign w:val="center"/>
          </w:tcPr>
          <w:p w14:paraId="0156BC29">
            <w:pPr>
              <w:jc w:val="center"/>
              <w:rPr>
                <w:rFonts w:hint="eastAsia" w:ascii="宋体" w:hAnsi="宋体" w:eastAsia="宋体" w:cs="宋体"/>
                <w:color w:val="auto"/>
                <w:szCs w:val="21"/>
              </w:rPr>
            </w:pPr>
          </w:p>
        </w:tc>
      </w:tr>
      <w:tr w14:paraId="64526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15AA108B">
            <w:pPr>
              <w:jc w:val="center"/>
              <w:rPr>
                <w:rFonts w:hint="eastAsia" w:ascii="宋体" w:hAnsi="宋体" w:eastAsia="宋体" w:cs="宋体"/>
                <w:color w:val="auto"/>
                <w:szCs w:val="21"/>
              </w:rPr>
            </w:pPr>
          </w:p>
        </w:tc>
        <w:tc>
          <w:tcPr>
            <w:tcW w:w="1620" w:type="dxa"/>
            <w:vAlign w:val="center"/>
          </w:tcPr>
          <w:p w14:paraId="38496037">
            <w:pPr>
              <w:jc w:val="center"/>
              <w:rPr>
                <w:rFonts w:hint="eastAsia" w:ascii="宋体" w:hAnsi="宋体" w:eastAsia="宋体" w:cs="宋体"/>
                <w:color w:val="auto"/>
                <w:szCs w:val="21"/>
              </w:rPr>
            </w:pPr>
          </w:p>
        </w:tc>
        <w:tc>
          <w:tcPr>
            <w:tcW w:w="1360" w:type="dxa"/>
            <w:vAlign w:val="center"/>
          </w:tcPr>
          <w:p w14:paraId="71FCEEE6">
            <w:pPr>
              <w:jc w:val="center"/>
              <w:rPr>
                <w:rFonts w:hint="eastAsia" w:ascii="宋体" w:hAnsi="宋体" w:eastAsia="宋体" w:cs="宋体"/>
                <w:color w:val="auto"/>
                <w:szCs w:val="21"/>
              </w:rPr>
            </w:pPr>
          </w:p>
        </w:tc>
        <w:tc>
          <w:tcPr>
            <w:tcW w:w="1587" w:type="dxa"/>
            <w:vAlign w:val="center"/>
          </w:tcPr>
          <w:p w14:paraId="0F65F45B">
            <w:pPr>
              <w:jc w:val="center"/>
              <w:rPr>
                <w:rFonts w:hint="eastAsia" w:ascii="宋体" w:hAnsi="宋体" w:eastAsia="宋体" w:cs="宋体"/>
                <w:color w:val="auto"/>
                <w:szCs w:val="21"/>
              </w:rPr>
            </w:pPr>
          </w:p>
        </w:tc>
        <w:tc>
          <w:tcPr>
            <w:tcW w:w="1133" w:type="dxa"/>
            <w:vAlign w:val="center"/>
          </w:tcPr>
          <w:p w14:paraId="555BF1D7">
            <w:pPr>
              <w:jc w:val="center"/>
              <w:rPr>
                <w:rFonts w:hint="eastAsia" w:ascii="宋体" w:hAnsi="宋体" w:eastAsia="宋体" w:cs="宋体"/>
                <w:color w:val="auto"/>
                <w:szCs w:val="21"/>
              </w:rPr>
            </w:pPr>
          </w:p>
        </w:tc>
        <w:tc>
          <w:tcPr>
            <w:tcW w:w="1730" w:type="dxa"/>
            <w:vAlign w:val="center"/>
          </w:tcPr>
          <w:p w14:paraId="4359BA71">
            <w:pPr>
              <w:jc w:val="center"/>
              <w:rPr>
                <w:rFonts w:hint="eastAsia" w:ascii="宋体" w:hAnsi="宋体" w:eastAsia="宋体" w:cs="宋体"/>
                <w:color w:val="auto"/>
                <w:szCs w:val="21"/>
              </w:rPr>
            </w:pPr>
          </w:p>
        </w:tc>
      </w:tr>
      <w:tr w14:paraId="64D35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490AD0C1">
            <w:pPr>
              <w:jc w:val="center"/>
              <w:rPr>
                <w:rFonts w:hint="eastAsia" w:ascii="宋体" w:hAnsi="宋体" w:eastAsia="宋体" w:cs="宋体"/>
                <w:color w:val="auto"/>
                <w:szCs w:val="21"/>
              </w:rPr>
            </w:pPr>
          </w:p>
        </w:tc>
        <w:tc>
          <w:tcPr>
            <w:tcW w:w="1620" w:type="dxa"/>
            <w:vAlign w:val="center"/>
          </w:tcPr>
          <w:p w14:paraId="3EF760BE">
            <w:pPr>
              <w:jc w:val="center"/>
              <w:rPr>
                <w:rFonts w:hint="eastAsia" w:ascii="宋体" w:hAnsi="宋体" w:eastAsia="宋体" w:cs="宋体"/>
                <w:color w:val="auto"/>
                <w:szCs w:val="21"/>
              </w:rPr>
            </w:pPr>
          </w:p>
        </w:tc>
        <w:tc>
          <w:tcPr>
            <w:tcW w:w="1360" w:type="dxa"/>
            <w:vAlign w:val="center"/>
          </w:tcPr>
          <w:p w14:paraId="334730B1">
            <w:pPr>
              <w:jc w:val="center"/>
              <w:rPr>
                <w:rFonts w:hint="eastAsia" w:ascii="宋体" w:hAnsi="宋体" w:eastAsia="宋体" w:cs="宋体"/>
                <w:color w:val="auto"/>
                <w:szCs w:val="21"/>
              </w:rPr>
            </w:pPr>
          </w:p>
        </w:tc>
        <w:tc>
          <w:tcPr>
            <w:tcW w:w="1587" w:type="dxa"/>
            <w:vAlign w:val="center"/>
          </w:tcPr>
          <w:p w14:paraId="4D23BDB5">
            <w:pPr>
              <w:jc w:val="center"/>
              <w:rPr>
                <w:rFonts w:hint="eastAsia" w:ascii="宋体" w:hAnsi="宋体" w:eastAsia="宋体" w:cs="宋体"/>
                <w:color w:val="auto"/>
                <w:szCs w:val="21"/>
              </w:rPr>
            </w:pPr>
          </w:p>
        </w:tc>
        <w:tc>
          <w:tcPr>
            <w:tcW w:w="1133" w:type="dxa"/>
            <w:vAlign w:val="center"/>
          </w:tcPr>
          <w:p w14:paraId="6F31A690">
            <w:pPr>
              <w:jc w:val="center"/>
              <w:rPr>
                <w:rFonts w:hint="eastAsia" w:ascii="宋体" w:hAnsi="宋体" w:eastAsia="宋体" w:cs="宋体"/>
                <w:color w:val="auto"/>
                <w:szCs w:val="21"/>
              </w:rPr>
            </w:pPr>
          </w:p>
        </w:tc>
        <w:tc>
          <w:tcPr>
            <w:tcW w:w="1730" w:type="dxa"/>
            <w:vAlign w:val="center"/>
          </w:tcPr>
          <w:p w14:paraId="5ECFCC09">
            <w:pPr>
              <w:jc w:val="center"/>
              <w:rPr>
                <w:rFonts w:hint="eastAsia" w:ascii="宋体" w:hAnsi="宋体" w:eastAsia="宋体" w:cs="宋体"/>
                <w:color w:val="auto"/>
                <w:szCs w:val="21"/>
              </w:rPr>
            </w:pPr>
          </w:p>
        </w:tc>
      </w:tr>
      <w:tr w14:paraId="7003B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1B43A330">
            <w:pPr>
              <w:jc w:val="center"/>
              <w:rPr>
                <w:rFonts w:hint="eastAsia" w:ascii="宋体" w:hAnsi="宋体" w:eastAsia="宋体" w:cs="宋体"/>
                <w:color w:val="auto"/>
                <w:szCs w:val="21"/>
              </w:rPr>
            </w:pPr>
          </w:p>
        </w:tc>
        <w:tc>
          <w:tcPr>
            <w:tcW w:w="1620" w:type="dxa"/>
            <w:vAlign w:val="center"/>
          </w:tcPr>
          <w:p w14:paraId="0CD8353E">
            <w:pPr>
              <w:jc w:val="center"/>
              <w:rPr>
                <w:rFonts w:hint="eastAsia" w:ascii="宋体" w:hAnsi="宋体" w:eastAsia="宋体" w:cs="宋体"/>
                <w:color w:val="auto"/>
                <w:szCs w:val="21"/>
              </w:rPr>
            </w:pPr>
          </w:p>
        </w:tc>
        <w:tc>
          <w:tcPr>
            <w:tcW w:w="1360" w:type="dxa"/>
            <w:vAlign w:val="center"/>
          </w:tcPr>
          <w:p w14:paraId="5D7F45F7">
            <w:pPr>
              <w:jc w:val="center"/>
              <w:rPr>
                <w:rFonts w:hint="eastAsia" w:ascii="宋体" w:hAnsi="宋体" w:eastAsia="宋体" w:cs="宋体"/>
                <w:color w:val="auto"/>
                <w:szCs w:val="21"/>
              </w:rPr>
            </w:pPr>
          </w:p>
        </w:tc>
        <w:tc>
          <w:tcPr>
            <w:tcW w:w="1587" w:type="dxa"/>
            <w:vAlign w:val="center"/>
          </w:tcPr>
          <w:p w14:paraId="76AC08A4">
            <w:pPr>
              <w:jc w:val="center"/>
              <w:rPr>
                <w:rFonts w:hint="eastAsia" w:ascii="宋体" w:hAnsi="宋体" w:eastAsia="宋体" w:cs="宋体"/>
                <w:color w:val="auto"/>
                <w:szCs w:val="21"/>
              </w:rPr>
            </w:pPr>
          </w:p>
        </w:tc>
        <w:tc>
          <w:tcPr>
            <w:tcW w:w="1133" w:type="dxa"/>
            <w:vAlign w:val="center"/>
          </w:tcPr>
          <w:p w14:paraId="40D47BB5">
            <w:pPr>
              <w:jc w:val="center"/>
              <w:rPr>
                <w:rFonts w:hint="eastAsia" w:ascii="宋体" w:hAnsi="宋体" w:eastAsia="宋体" w:cs="宋体"/>
                <w:color w:val="auto"/>
                <w:szCs w:val="21"/>
              </w:rPr>
            </w:pPr>
          </w:p>
        </w:tc>
        <w:tc>
          <w:tcPr>
            <w:tcW w:w="1730" w:type="dxa"/>
            <w:vAlign w:val="center"/>
          </w:tcPr>
          <w:p w14:paraId="329A999C">
            <w:pPr>
              <w:jc w:val="center"/>
              <w:rPr>
                <w:rFonts w:hint="eastAsia" w:ascii="宋体" w:hAnsi="宋体" w:eastAsia="宋体" w:cs="宋体"/>
                <w:color w:val="auto"/>
                <w:szCs w:val="21"/>
              </w:rPr>
            </w:pPr>
          </w:p>
        </w:tc>
      </w:tr>
      <w:tr w14:paraId="0439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5A206A15">
            <w:pPr>
              <w:jc w:val="center"/>
              <w:rPr>
                <w:rFonts w:hint="eastAsia" w:ascii="宋体" w:hAnsi="宋体" w:eastAsia="宋体" w:cs="宋体"/>
                <w:color w:val="auto"/>
                <w:szCs w:val="21"/>
              </w:rPr>
            </w:pPr>
          </w:p>
        </w:tc>
        <w:tc>
          <w:tcPr>
            <w:tcW w:w="1620" w:type="dxa"/>
            <w:vAlign w:val="center"/>
          </w:tcPr>
          <w:p w14:paraId="28929E18">
            <w:pPr>
              <w:jc w:val="center"/>
              <w:rPr>
                <w:rFonts w:hint="eastAsia" w:ascii="宋体" w:hAnsi="宋体" w:eastAsia="宋体" w:cs="宋体"/>
                <w:color w:val="auto"/>
                <w:szCs w:val="21"/>
              </w:rPr>
            </w:pPr>
          </w:p>
        </w:tc>
        <w:tc>
          <w:tcPr>
            <w:tcW w:w="1360" w:type="dxa"/>
            <w:vAlign w:val="center"/>
          </w:tcPr>
          <w:p w14:paraId="1BC7B8DE">
            <w:pPr>
              <w:jc w:val="center"/>
              <w:rPr>
                <w:rFonts w:hint="eastAsia" w:ascii="宋体" w:hAnsi="宋体" w:eastAsia="宋体" w:cs="宋体"/>
                <w:color w:val="auto"/>
                <w:szCs w:val="21"/>
              </w:rPr>
            </w:pPr>
          </w:p>
        </w:tc>
        <w:tc>
          <w:tcPr>
            <w:tcW w:w="1587" w:type="dxa"/>
            <w:vAlign w:val="center"/>
          </w:tcPr>
          <w:p w14:paraId="580BCE53">
            <w:pPr>
              <w:jc w:val="center"/>
              <w:rPr>
                <w:rFonts w:hint="eastAsia" w:ascii="宋体" w:hAnsi="宋体" w:eastAsia="宋体" w:cs="宋体"/>
                <w:color w:val="auto"/>
                <w:szCs w:val="21"/>
              </w:rPr>
            </w:pPr>
          </w:p>
        </w:tc>
        <w:tc>
          <w:tcPr>
            <w:tcW w:w="1133" w:type="dxa"/>
            <w:vAlign w:val="center"/>
          </w:tcPr>
          <w:p w14:paraId="57F73066">
            <w:pPr>
              <w:jc w:val="center"/>
              <w:rPr>
                <w:rFonts w:hint="eastAsia" w:ascii="宋体" w:hAnsi="宋体" w:eastAsia="宋体" w:cs="宋体"/>
                <w:color w:val="auto"/>
                <w:szCs w:val="21"/>
              </w:rPr>
            </w:pPr>
          </w:p>
        </w:tc>
        <w:tc>
          <w:tcPr>
            <w:tcW w:w="1730" w:type="dxa"/>
            <w:vAlign w:val="center"/>
          </w:tcPr>
          <w:p w14:paraId="4108A8A0">
            <w:pPr>
              <w:jc w:val="center"/>
              <w:rPr>
                <w:rFonts w:hint="eastAsia" w:ascii="宋体" w:hAnsi="宋体" w:eastAsia="宋体" w:cs="宋体"/>
                <w:color w:val="auto"/>
                <w:szCs w:val="21"/>
              </w:rPr>
            </w:pPr>
          </w:p>
        </w:tc>
      </w:tr>
    </w:tbl>
    <w:p w14:paraId="37A1E7F8">
      <w:pPr>
        <w:rPr>
          <w:rFonts w:hint="eastAsia" w:ascii="宋体" w:hAnsi="宋体" w:eastAsia="宋体" w:cs="宋体"/>
          <w:color w:val="auto"/>
          <w:szCs w:val="21"/>
        </w:rPr>
      </w:pPr>
    </w:p>
    <w:p w14:paraId="594CDCE0">
      <w:pPr>
        <w:rPr>
          <w:rFonts w:hint="eastAsia" w:ascii="宋体" w:hAnsi="宋体" w:eastAsia="宋体" w:cs="宋体"/>
          <w:color w:val="auto"/>
          <w:szCs w:val="21"/>
        </w:rPr>
      </w:pPr>
      <w:r>
        <w:rPr>
          <w:rFonts w:hint="eastAsia" w:ascii="宋体" w:hAnsi="宋体" w:eastAsia="宋体" w:cs="宋体"/>
          <w:color w:val="auto"/>
          <w:szCs w:val="21"/>
        </w:rPr>
        <w:t>投标人代表签字：</w:t>
      </w:r>
    </w:p>
    <w:p w14:paraId="74C257A9">
      <w:pPr>
        <w:rPr>
          <w:rFonts w:hint="eastAsia" w:ascii="宋体" w:hAnsi="宋体" w:eastAsia="宋体" w:cs="宋体"/>
          <w:color w:val="auto"/>
          <w:szCs w:val="21"/>
        </w:rPr>
      </w:pPr>
      <w:r>
        <w:rPr>
          <w:rFonts w:hint="eastAsia" w:ascii="宋体" w:hAnsi="宋体" w:eastAsia="宋体" w:cs="宋体"/>
          <w:color w:val="auto"/>
          <w:szCs w:val="21"/>
        </w:rPr>
        <w:t>投标人盖章：</w:t>
      </w:r>
    </w:p>
    <w:p w14:paraId="5EA9E9E0">
      <w:pPr>
        <w:rPr>
          <w:rFonts w:hint="eastAsia" w:ascii="宋体" w:hAnsi="宋体" w:eastAsia="宋体" w:cs="宋体"/>
          <w:color w:val="auto"/>
          <w:szCs w:val="21"/>
        </w:rPr>
      </w:pPr>
    </w:p>
    <w:p w14:paraId="377E1D67">
      <w:pPr>
        <w:ind w:left="718" w:hanging="718" w:hangingChars="342"/>
        <w:rPr>
          <w:rFonts w:hint="eastAsia" w:ascii="宋体" w:hAnsi="宋体" w:eastAsia="宋体" w:cs="宋体"/>
          <w:color w:val="auto"/>
          <w:szCs w:val="21"/>
        </w:rPr>
      </w:pPr>
      <w:r>
        <w:rPr>
          <w:rFonts w:hint="eastAsia" w:ascii="宋体" w:hAnsi="宋体" w:eastAsia="宋体" w:cs="宋体"/>
          <w:color w:val="auto"/>
          <w:szCs w:val="21"/>
        </w:rPr>
        <w:t>注：</w:t>
      </w:r>
    </w:p>
    <w:p w14:paraId="7C3AC8E3">
      <w:pPr>
        <w:rPr>
          <w:rFonts w:hint="eastAsia" w:ascii="宋体" w:hAnsi="宋体" w:eastAsia="宋体" w:cs="宋体"/>
          <w:color w:val="auto"/>
          <w:szCs w:val="21"/>
        </w:rPr>
      </w:pPr>
      <w:r>
        <w:rPr>
          <w:rFonts w:hint="eastAsia" w:ascii="宋体" w:hAnsi="宋体" w:eastAsia="宋体" w:cs="宋体"/>
          <w:color w:val="auto"/>
          <w:szCs w:val="21"/>
        </w:rPr>
        <w:t>1、投标人应对照采购文件商务需求书中商务要求，说明已对采购文件的商务内容做出了实质性的响应。</w:t>
      </w:r>
    </w:p>
    <w:p w14:paraId="7639AFD0">
      <w:pPr>
        <w:rPr>
          <w:rFonts w:hint="eastAsia" w:ascii="宋体" w:hAnsi="宋体" w:eastAsia="宋体" w:cs="宋体"/>
          <w:color w:val="auto"/>
          <w:szCs w:val="21"/>
        </w:rPr>
      </w:pPr>
      <w:r>
        <w:rPr>
          <w:rFonts w:hint="eastAsia" w:ascii="宋体" w:hAnsi="宋体" w:eastAsia="宋体" w:cs="宋体"/>
          <w:color w:val="auto"/>
          <w:szCs w:val="21"/>
        </w:rPr>
        <w:t>2、不论出于何种原因此表未填写完整，投标人都被认为已清楚了解采购文件“商务需求书”的内容并对采购人所需的服务要求作全面响应，投标人必须承担完成“商务需求书”所描述内容的义务，因此对投标人投标产生负面影响的，投标人自行承担后果。</w:t>
      </w:r>
    </w:p>
    <w:p w14:paraId="1E1AA870">
      <w:pPr>
        <w:rPr>
          <w:rFonts w:hint="eastAsia" w:ascii="宋体" w:hAnsi="宋体" w:eastAsia="宋体" w:cs="宋体"/>
          <w:color w:val="auto"/>
          <w:szCs w:val="21"/>
        </w:rPr>
      </w:pPr>
      <w:r>
        <w:rPr>
          <w:rFonts w:hint="eastAsia" w:ascii="宋体" w:hAnsi="宋体" w:eastAsia="宋体" w:cs="宋体"/>
          <w:color w:val="auto"/>
          <w:szCs w:val="21"/>
        </w:rPr>
        <w:t>3、如有偏离，应在“偏离情况”栏内注明“正”、“负”或“无”，并在“说明”栏内予以说明。</w:t>
      </w:r>
    </w:p>
    <w:p w14:paraId="7FBC9D7C">
      <w:pPr>
        <w:rPr>
          <w:rFonts w:hint="eastAsia" w:ascii="宋体" w:hAnsi="宋体" w:eastAsia="宋体" w:cs="宋体"/>
          <w:color w:val="auto"/>
          <w:szCs w:val="21"/>
        </w:rPr>
      </w:pPr>
      <w:r>
        <w:rPr>
          <w:rFonts w:hint="eastAsia" w:ascii="宋体" w:hAnsi="宋体" w:eastAsia="宋体" w:cs="宋体"/>
          <w:color w:val="auto"/>
          <w:szCs w:val="21"/>
        </w:rPr>
        <w:t>4、如投标人差异内容较多可另附页说明。</w:t>
      </w:r>
    </w:p>
    <w:p w14:paraId="01F2A539">
      <w:pPr>
        <w:rPr>
          <w:rFonts w:hint="eastAsia" w:ascii="宋体" w:hAnsi="宋体" w:eastAsia="宋体" w:cs="宋体"/>
          <w:color w:val="auto"/>
          <w:szCs w:val="21"/>
        </w:rPr>
      </w:pPr>
      <w:r>
        <w:rPr>
          <w:rFonts w:hint="eastAsia" w:ascii="宋体" w:hAnsi="宋体" w:eastAsia="宋体" w:cs="宋体"/>
          <w:color w:val="auto"/>
          <w:szCs w:val="21"/>
        </w:rPr>
        <w:t>5、如投标人对用户需求书商务要求的条款全部响应的，也可以在表格下面用文字总括性的说明。</w:t>
      </w:r>
    </w:p>
    <w:p w14:paraId="54B922E5">
      <w:pPr>
        <w:rPr>
          <w:rFonts w:hint="eastAsia" w:ascii="宋体" w:hAnsi="宋体" w:eastAsia="宋体" w:cs="宋体"/>
          <w:color w:val="auto"/>
          <w:szCs w:val="21"/>
        </w:rPr>
      </w:pPr>
      <w:r>
        <w:rPr>
          <w:rFonts w:hint="eastAsia" w:ascii="宋体" w:hAnsi="宋体" w:eastAsia="宋体" w:cs="宋体"/>
          <w:color w:val="auto"/>
          <w:szCs w:val="21"/>
        </w:rPr>
        <w:br w:type="page"/>
      </w:r>
    </w:p>
    <w:p w14:paraId="5D7C84F5">
      <w:pPr>
        <w:pStyle w:val="5"/>
        <w:widowControl w:val="0"/>
        <w:overflowPunct w:val="0"/>
        <w:spacing w:line="240" w:lineRule="auto"/>
        <w:rPr>
          <w:rFonts w:hint="eastAsia" w:ascii="宋体" w:hAnsi="宋体" w:eastAsia="宋体" w:cs="宋体"/>
          <w:color w:val="auto"/>
          <w:sz w:val="30"/>
          <w:szCs w:val="30"/>
        </w:rPr>
      </w:pPr>
      <w:bookmarkStart w:id="170" w:name="_Toc8164"/>
      <w:r>
        <w:rPr>
          <w:rFonts w:hint="eastAsia" w:ascii="宋体" w:hAnsi="宋体" w:eastAsia="宋体" w:cs="宋体"/>
          <w:color w:val="auto"/>
          <w:sz w:val="21"/>
          <w:szCs w:val="21"/>
        </w:rPr>
        <w:t>附件13.业绩表</w:t>
      </w:r>
      <w:bookmarkEnd w:id="170"/>
    </w:p>
    <w:p w14:paraId="0D058CB7">
      <w:pPr>
        <w:jc w:val="center"/>
        <w:rPr>
          <w:rFonts w:hint="eastAsia" w:ascii="宋体" w:hAnsi="宋体" w:eastAsia="宋体" w:cs="宋体"/>
          <w:color w:val="auto"/>
          <w:sz w:val="28"/>
          <w:szCs w:val="28"/>
        </w:rPr>
      </w:pPr>
      <w:r>
        <w:rPr>
          <w:rFonts w:hint="eastAsia" w:ascii="宋体" w:hAnsi="宋体" w:eastAsia="宋体" w:cs="宋体"/>
          <w:color w:val="auto"/>
          <w:sz w:val="28"/>
          <w:szCs w:val="28"/>
        </w:rPr>
        <w:t>业绩表</w:t>
      </w:r>
    </w:p>
    <w:tbl>
      <w:tblPr>
        <w:tblStyle w:val="35"/>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6"/>
        <w:gridCol w:w="1705"/>
        <w:gridCol w:w="1697"/>
      </w:tblGrid>
      <w:tr w14:paraId="0D075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14:paraId="28F3F690">
            <w:pPr>
              <w:adjustRightInd/>
              <w:snapToGrid/>
              <w:jc w:val="center"/>
              <w:rPr>
                <w:rFonts w:hint="eastAsia" w:ascii="宋体" w:hAnsi="宋体" w:eastAsia="宋体" w:cs="宋体"/>
                <w:color w:val="auto"/>
                <w:szCs w:val="21"/>
              </w:rPr>
            </w:pPr>
            <w:r>
              <w:rPr>
                <w:rFonts w:hint="eastAsia" w:ascii="宋体" w:hAnsi="宋体" w:eastAsia="宋体" w:cs="宋体"/>
                <w:color w:val="auto"/>
                <w:szCs w:val="21"/>
              </w:rPr>
              <w:t>序号</w:t>
            </w:r>
          </w:p>
        </w:tc>
        <w:tc>
          <w:tcPr>
            <w:tcW w:w="1705" w:type="dxa"/>
            <w:vAlign w:val="center"/>
          </w:tcPr>
          <w:p w14:paraId="3246C0FD">
            <w:pPr>
              <w:adjustRightInd/>
              <w:snapToGrid/>
              <w:jc w:val="center"/>
              <w:rPr>
                <w:rFonts w:hint="eastAsia" w:ascii="宋体" w:hAnsi="宋体" w:eastAsia="宋体" w:cs="宋体"/>
                <w:color w:val="auto"/>
                <w:szCs w:val="21"/>
              </w:rPr>
            </w:pPr>
            <w:r>
              <w:rPr>
                <w:rFonts w:hint="eastAsia" w:ascii="宋体" w:hAnsi="宋体" w:eastAsia="宋体" w:cs="宋体"/>
                <w:color w:val="auto"/>
                <w:szCs w:val="21"/>
              </w:rPr>
              <w:t>项目名称</w:t>
            </w:r>
          </w:p>
        </w:tc>
        <w:tc>
          <w:tcPr>
            <w:tcW w:w="1706" w:type="dxa"/>
            <w:vAlign w:val="center"/>
          </w:tcPr>
          <w:p w14:paraId="5F66791C">
            <w:pPr>
              <w:adjustRightInd/>
              <w:snapToGrid/>
              <w:jc w:val="center"/>
              <w:rPr>
                <w:rFonts w:hint="eastAsia" w:ascii="宋体" w:hAnsi="宋体" w:eastAsia="宋体" w:cs="宋体"/>
                <w:color w:val="auto"/>
                <w:szCs w:val="21"/>
              </w:rPr>
            </w:pPr>
            <w:r>
              <w:rPr>
                <w:rFonts w:hint="eastAsia" w:ascii="宋体" w:hAnsi="宋体" w:eastAsia="宋体" w:cs="宋体"/>
                <w:color w:val="auto"/>
                <w:szCs w:val="21"/>
              </w:rPr>
              <w:t>项目金额</w:t>
            </w:r>
          </w:p>
        </w:tc>
        <w:tc>
          <w:tcPr>
            <w:tcW w:w="1705" w:type="dxa"/>
            <w:vAlign w:val="center"/>
          </w:tcPr>
          <w:p w14:paraId="794100C8">
            <w:pPr>
              <w:adjustRightInd/>
              <w:snapToGrid/>
              <w:jc w:val="center"/>
              <w:rPr>
                <w:rFonts w:hint="eastAsia" w:ascii="宋体" w:hAnsi="宋体" w:eastAsia="宋体" w:cs="宋体"/>
                <w:color w:val="auto"/>
                <w:szCs w:val="21"/>
              </w:rPr>
            </w:pPr>
            <w:r>
              <w:rPr>
                <w:rFonts w:hint="eastAsia" w:ascii="宋体" w:hAnsi="宋体" w:eastAsia="宋体" w:cs="宋体"/>
                <w:color w:val="auto"/>
                <w:szCs w:val="21"/>
              </w:rPr>
              <w:t>项目合同签订时间</w:t>
            </w:r>
          </w:p>
        </w:tc>
        <w:tc>
          <w:tcPr>
            <w:tcW w:w="1697" w:type="dxa"/>
            <w:vAlign w:val="center"/>
          </w:tcPr>
          <w:p w14:paraId="4DC80226">
            <w:pPr>
              <w:adjustRightInd/>
              <w:snapToGrid/>
              <w:jc w:val="center"/>
              <w:rPr>
                <w:rFonts w:hint="eastAsia" w:ascii="宋体" w:hAnsi="宋体" w:eastAsia="宋体" w:cs="宋体"/>
                <w:color w:val="auto"/>
                <w:szCs w:val="21"/>
              </w:rPr>
            </w:pPr>
            <w:r>
              <w:rPr>
                <w:rFonts w:hint="eastAsia" w:ascii="宋体" w:hAnsi="宋体" w:eastAsia="宋体" w:cs="宋体"/>
                <w:color w:val="auto"/>
                <w:szCs w:val="21"/>
              </w:rPr>
              <w:t>备注</w:t>
            </w:r>
          </w:p>
        </w:tc>
      </w:tr>
      <w:tr w14:paraId="751C4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14:paraId="6CD387EB">
            <w:pPr>
              <w:adjustRightInd/>
              <w:snapToGrid/>
              <w:jc w:val="center"/>
              <w:rPr>
                <w:rFonts w:hint="eastAsia" w:ascii="宋体" w:hAnsi="宋体" w:eastAsia="宋体" w:cs="宋体"/>
                <w:color w:val="auto"/>
                <w:szCs w:val="21"/>
              </w:rPr>
            </w:pPr>
          </w:p>
        </w:tc>
        <w:tc>
          <w:tcPr>
            <w:tcW w:w="1705" w:type="dxa"/>
            <w:vAlign w:val="center"/>
          </w:tcPr>
          <w:p w14:paraId="0A123AEF">
            <w:pPr>
              <w:adjustRightInd/>
              <w:snapToGrid/>
              <w:jc w:val="center"/>
              <w:rPr>
                <w:rFonts w:hint="eastAsia" w:ascii="宋体" w:hAnsi="宋体" w:eastAsia="宋体" w:cs="宋体"/>
                <w:color w:val="auto"/>
                <w:szCs w:val="21"/>
              </w:rPr>
            </w:pPr>
          </w:p>
        </w:tc>
        <w:tc>
          <w:tcPr>
            <w:tcW w:w="1706" w:type="dxa"/>
            <w:vAlign w:val="center"/>
          </w:tcPr>
          <w:p w14:paraId="786BA056">
            <w:pPr>
              <w:adjustRightInd/>
              <w:snapToGrid/>
              <w:jc w:val="center"/>
              <w:rPr>
                <w:rFonts w:hint="eastAsia" w:ascii="宋体" w:hAnsi="宋体" w:eastAsia="宋体" w:cs="宋体"/>
                <w:color w:val="auto"/>
                <w:szCs w:val="21"/>
              </w:rPr>
            </w:pPr>
          </w:p>
        </w:tc>
        <w:tc>
          <w:tcPr>
            <w:tcW w:w="1705" w:type="dxa"/>
            <w:vAlign w:val="center"/>
          </w:tcPr>
          <w:p w14:paraId="53F30850">
            <w:pPr>
              <w:adjustRightInd/>
              <w:snapToGrid/>
              <w:jc w:val="center"/>
              <w:rPr>
                <w:rFonts w:hint="eastAsia" w:ascii="宋体" w:hAnsi="宋体" w:eastAsia="宋体" w:cs="宋体"/>
                <w:color w:val="auto"/>
                <w:szCs w:val="21"/>
              </w:rPr>
            </w:pPr>
          </w:p>
        </w:tc>
        <w:tc>
          <w:tcPr>
            <w:tcW w:w="1697" w:type="dxa"/>
            <w:vAlign w:val="center"/>
          </w:tcPr>
          <w:p w14:paraId="2D92D5AE">
            <w:pPr>
              <w:adjustRightInd/>
              <w:snapToGrid/>
              <w:jc w:val="center"/>
              <w:rPr>
                <w:rFonts w:hint="eastAsia" w:ascii="宋体" w:hAnsi="宋体" w:eastAsia="宋体" w:cs="宋体"/>
                <w:color w:val="auto"/>
                <w:szCs w:val="21"/>
              </w:rPr>
            </w:pPr>
          </w:p>
        </w:tc>
      </w:tr>
      <w:tr w14:paraId="7BA14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59F3BA01">
            <w:pPr>
              <w:adjustRightInd/>
              <w:snapToGrid/>
              <w:rPr>
                <w:rFonts w:hint="eastAsia" w:ascii="宋体" w:hAnsi="宋体" w:eastAsia="宋体" w:cs="宋体"/>
                <w:color w:val="auto"/>
                <w:szCs w:val="21"/>
              </w:rPr>
            </w:pPr>
          </w:p>
        </w:tc>
        <w:tc>
          <w:tcPr>
            <w:tcW w:w="1705" w:type="dxa"/>
          </w:tcPr>
          <w:p w14:paraId="7633ABD3">
            <w:pPr>
              <w:adjustRightInd/>
              <w:snapToGrid/>
              <w:rPr>
                <w:rFonts w:hint="eastAsia" w:ascii="宋体" w:hAnsi="宋体" w:eastAsia="宋体" w:cs="宋体"/>
                <w:color w:val="auto"/>
                <w:szCs w:val="21"/>
              </w:rPr>
            </w:pPr>
          </w:p>
        </w:tc>
        <w:tc>
          <w:tcPr>
            <w:tcW w:w="1706" w:type="dxa"/>
          </w:tcPr>
          <w:p w14:paraId="3753BA55">
            <w:pPr>
              <w:adjustRightInd/>
              <w:snapToGrid/>
              <w:rPr>
                <w:rFonts w:hint="eastAsia" w:ascii="宋体" w:hAnsi="宋体" w:eastAsia="宋体" w:cs="宋体"/>
                <w:color w:val="auto"/>
                <w:szCs w:val="21"/>
              </w:rPr>
            </w:pPr>
          </w:p>
        </w:tc>
        <w:tc>
          <w:tcPr>
            <w:tcW w:w="1705" w:type="dxa"/>
          </w:tcPr>
          <w:p w14:paraId="22203250">
            <w:pPr>
              <w:adjustRightInd/>
              <w:snapToGrid/>
              <w:rPr>
                <w:rFonts w:hint="eastAsia" w:ascii="宋体" w:hAnsi="宋体" w:eastAsia="宋体" w:cs="宋体"/>
                <w:color w:val="auto"/>
                <w:szCs w:val="21"/>
              </w:rPr>
            </w:pPr>
          </w:p>
        </w:tc>
        <w:tc>
          <w:tcPr>
            <w:tcW w:w="1697" w:type="dxa"/>
          </w:tcPr>
          <w:p w14:paraId="4836DBF6">
            <w:pPr>
              <w:adjustRightInd/>
              <w:snapToGrid/>
              <w:rPr>
                <w:rFonts w:hint="eastAsia" w:ascii="宋体" w:hAnsi="宋体" w:eastAsia="宋体" w:cs="宋体"/>
                <w:color w:val="auto"/>
                <w:szCs w:val="21"/>
              </w:rPr>
            </w:pPr>
          </w:p>
        </w:tc>
      </w:tr>
      <w:tr w14:paraId="169D4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766DE125">
            <w:pPr>
              <w:adjustRightInd/>
              <w:snapToGrid/>
              <w:rPr>
                <w:rFonts w:hint="eastAsia" w:ascii="宋体" w:hAnsi="宋体" w:eastAsia="宋体" w:cs="宋体"/>
                <w:color w:val="auto"/>
                <w:szCs w:val="21"/>
              </w:rPr>
            </w:pPr>
          </w:p>
        </w:tc>
        <w:tc>
          <w:tcPr>
            <w:tcW w:w="1705" w:type="dxa"/>
          </w:tcPr>
          <w:p w14:paraId="70634425">
            <w:pPr>
              <w:adjustRightInd/>
              <w:snapToGrid/>
              <w:rPr>
                <w:rFonts w:hint="eastAsia" w:ascii="宋体" w:hAnsi="宋体" w:eastAsia="宋体" w:cs="宋体"/>
                <w:color w:val="auto"/>
                <w:szCs w:val="21"/>
              </w:rPr>
            </w:pPr>
          </w:p>
        </w:tc>
        <w:tc>
          <w:tcPr>
            <w:tcW w:w="1706" w:type="dxa"/>
          </w:tcPr>
          <w:p w14:paraId="2B3A3B73">
            <w:pPr>
              <w:adjustRightInd/>
              <w:snapToGrid/>
              <w:rPr>
                <w:rFonts w:hint="eastAsia" w:ascii="宋体" w:hAnsi="宋体" w:eastAsia="宋体" w:cs="宋体"/>
                <w:color w:val="auto"/>
                <w:szCs w:val="21"/>
              </w:rPr>
            </w:pPr>
          </w:p>
        </w:tc>
        <w:tc>
          <w:tcPr>
            <w:tcW w:w="1705" w:type="dxa"/>
          </w:tcPr>
          <w:p w14:paraId="740775ED">
            <w:pPr>
              <w:adjustRightInd/>
              <w:snapToGrid/>
              <w:rPr>
                <w:rFonts w:hint="eastAsia" w:ascii="宋体" w:hAnsi="宋体" w:eastAsia="宋体" w:cs="宋体"/>
                <w:color w:val="auto"/>
                <w:szCs w:val="21"/>
              </w:rPr>
            </w:pPr>
          </w:p>
        </w:tc>
        <w:tc>
          <w:tcPr>
            <w:tcW w:w="1697" w:type="dxa"/>
          </w:tcPr>
          <w:p w14:paraId="5D440C6B">
            <w:pPr>
              <w:adjustRightInd/>
              <w:snapToGrid/>
              <w:rPr>
                <w:rFonts w:hint="eastAsia" w:ascii="宋体" w:hAnsi="宋体" w:eastAsia="宋体" w:cs="宋体"/>
                <w:color w:val="auto"/>
                <w:szCs w:val="21"/>
              </w:rPr>
            </w:pPr>
          </w:p>
        </w:tc>
      </w:tr>
      <w:tr w14:paraId="4AA20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29C09AB0">
            <w:pPr>
              <w:adjustRightInd/>
              <w:snapToGrid/>
              <w:rPr>
                <w:rFonts w:hint="eastAsia" w:ascii="宋体" w:hAnsi="宋体" w:eastAsia="宋体" w:cs="宋体"/>
                <w:color w:val="auto"/>
                <w:szCs w:val="21"/>
              </w:rPr>
            </w:pPr>
          </w:p>
        </w:tc>
        <w:tc>
          <w:tcPr>
            <w:tcW w:w="1705" w:type="dxa"/>
          </w:tcPr>
          <w:p w14:paraId="5CFB1526">
            <w:pPr>
              <w:adjustRightInd/>
              <w:snapToGrid/>
              <w:rPr>
                <w:rFonts w:hint="eastAsia" w:ascii="宋体" w:hAnsi="宋体" w:eastAsia="宋体" w:cs="宋体"/>
                <w:color w:val="auto"/>
                <w:szCs w:val="21"/>
              </w:rPr>
            </w:pPr>
          </w:p>
        </w:tc>
        <w:tc>
          <w:tcPr>
            <w:tcW w:w="1706" w:type="dxa"/>
          </w:tcPr>
          <w:p w14:paraId="27672A06">
            <w:pPr>
              <w:adjustRightInd/>
              <w:snapToGrid/>
              <w:rPr>
                <w:rFonts w:hint="eastAsia" w:ascii="宋体" w:hAnsi="宋体" w:eastAsia="宋体" w:cs="宋体"/>
                <w:color w:val="auto"/>
                <w:szCs w:val="21"/>
              </w:rPr>
            </w:pPr>
          </w:p>
        </w:tc>
        <w:tc>
          <w:tcPr>
            <w:tcW w:w="1705" w:type="dxa"/>
          </w:tcPr>
          <w:p w14:paraId="3BC3EC24">
            <w:pPr>
              <w:adjustRightInd/>
              <w:snapToGrid/>
              <w:rPr>
                <w:rFonts w:hint="eastAsia" w:ascii="宋体" w:hAnsi="宋体" w:eastAsia="宋体" w:cs="宋体"/>
                <w:color w:val="auto"/>
                <w:szCs w:val="21"/>
              </w:rPr>
            </w:pPr>
          </w:p>
        </w:tc>
        <w:tc>
          <w:tcPr>
            <w:tcW w:w="1697" w:type="dxa"/>
          </w:tcPr>
          <w:p w14:paraId="6646F140">
            <w:pPr>
              <w:adjustRightInd/>
              <w:snapToGrid/>
              <w:rPr>
                <w:rFonts w:hint="eastAsia" w:ascii="宋体" w:hAnsi="宋体" w:eastAsia="宋体" w:cs="宋体"/>
                <w:color w:val="auto"/>
                <w:szCs w:val="21"/>
              </w:rPr>
            </w:pPr>
          </w:p>
        </w:tc>
      </w:tr>
      <w:tr w14:paraId="4757F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45A8B27D">
            <w:pPr>
              <w:adjustRightInd/>
              <w:snapToGrid/>
              <w:rPr>
                <w:rFonts w:hint="eastAsia" w:ascii="宋体" w:hAnsi="宋体" w:eastAsia="宋体" w:cs="宋体"/>
                <w:color w:val="auto"/>
                <w:szCs w:val="21"/>
              </w:rPr>
            </w:pPr>
          </w:p>
        </w:tc>
        <w:tc>
          <w:tcPr>
            <w:tcW w:w="1705" w:type="dxa"/>
          </w:tcPr>
          <w:p w14:paraId="73D45008">
            <w:pPr>
              <w:adjustRightInd/>
              <w:snapToGrid/>
              <w:rPr>
                <w:rFonts w:hint="eastAsia" w:ascii="宋体" w:hAnsi="宋体" w:eastAsia="宋体" w:cs="宋体"/>
                <w:color w:val="auto"/>
                <w:szCs w:val="21"/>
              </w:rPr>
            </w:pPr>
          </w:p>
        </w:tc>
        <w:tc>
          <w:tcPr>
            <w:tcW w:w="1706" w:type="dxa"/>
          </w:tcPr>
          <w:p w14:paraId="330F2EF4">
            <w:pPr>
              <w:adjustRightInd/>
              <w:snapToGrid/>
              <w:rPr>
                <w:rFonts w:hint="eastAsia" w:ascii="宋体" w:hAnsi="宋体" w:eastAsia="宋体" w:cs="宋体"/>
                <w:color w:val="auto"/>
                <w:szCs w:val="21"/>
              </w:rPr>
            </w:pPr>
          </w:p>
        </w:tc>
        <w:tc>
          <w:tcPr>
            <w:tcW w:w="1705" w:type="dxa"/>
          </w:tcPr>
          <w:p w14:paraId="68891DC8">
            <w:pPr>
              <w:adjustRightInd/>
              <w:snapToGrid/>
              <w:rPr>
                <w:rFonts w:hint="eastAsia" w:ascii="宋体" w:hAnsi="宋体" w:eastAsia="宋体" w:cs="宋体"/>
                <w:color w:val="auto"/>
                <w:szCs w:val="21"/>
              </w:rPr>
            </w:pPr>
          </w:p>
        </w:tc>
        <w:tc>
          <w:tcPr>
            <w:tcW w:w="1697" w:type="dxa"/>
          </w:tcPr>
          <w:p w14:paraId="6F486502">
            <w:pPr>
              <w:adjustRightInd/>
              <w:snapToGrid/>
              <w:rPr>
                <w:rFonts w:hint="eastAsia" w:ascii="宋体" w:hAnsi="宋体" w:eastAsia="宋体" w:cs="宋体"/>
                <w:color w:val="auto"/>
                <w:szCs w:val="21"/>
              </w:rPr>
            </w:pPr>
          </w:p>
        </w:tc>
      </w:tr>
      <w:tr w14:paraId="6AC8E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14E0AEC8">
            <w:pPr>
              <w:adjustRightInd/>
              <w:snapToGrid/>
              <w:rPr>
                <w:rFonts w:hint="eastAsia" w:ascii="宋体" w:hAnsi="宋体" w:eastAsia="宋体" w:cs="宋体"/>
                <w:color w:val="auto"/>
                <w:szCs w:val="21"/>
              </w:rPr>
            </w:pPr>
          </w:p>
        </w:tc>
        <w:tc>
          <w:tcPr>
            <w:tcW w:w="1705" w:type="dxa"/>
          </w:tcPr>
          <w:p w14:paraId="0A9DE6B5">
            <w:pPr>
              <w:adjustRightInd/>
              <w:snapToGrid/>
              <w:rPr>
                <w:rFonts w:hint="eastAsia" w:ascii="宋体" w:hAnsi="宋体" w:eastAsia="宋体" w:cs="宋体"/>
                <w:color w:val="auto"/>
                <w:szCs w:val="21"/>
              </w:rPr>
            </w:pPr>
          </w:p>
        </w:tc>
        <w:tc>
          <w:tcPr>
            <w:tcW w:w="1706" w:type="dxa"/>
          </w:tcPr>
          <w:p w14:paraId="66A85C22">
            <w:pPr>
              <w:adjustRightInd/>
              <w:snapToGrid/>
              <w:rPr>
                <w:rFonts w:hint="eastAsia" w:ascii="宋体" w:hAnsi="宋体" w:eastAsia="宋体" w:cs="宋体"/>
                <w:color w:val="auto"/>
                <w:szCs w:val="21"/>
              </w:rPr>
            </w:pPr>
          </w:p>
        </w:tc>
        <w:tc>
          <w:tcPr>
            <w:tcW w:w="1705" w:type="dxa"/>
          </w:tcPr>
          <w:p w14:paraId="63E36EE6">
            <w:pPr>
              <w:adjustRightInd/>
              <w:snapToGrid/>
              <w:rPr>
                <w:rFonts w:hint="eastAsia" w:ascii="宋体" w:hAnsi="宋体" w:eastAsia="宋体" w:cs="宋体"/>
                <w:color w:val="auto"/>
                <w:szCs w:val="21"/>
              </w:rPr>
            </w:pPr>
          </w:p>
        </w:tc>
        <w:tc>
          <w:tcPr>
            <w:tcW w:w="1697" w:type="dxa"/>
          </w:tcPr>
          <w:p w14:paraId="272252A3">
            <w:pPr>
              <w:adjustRightInd/>
              <w:snapToGrid/>
              <w:rPr>
                <w:rFonts w:hint="eastAsia" w:ascii="宋体" w:hAnsi="宋体" w:eastAsia="宋体" w:cs="宋体"/>
                <w:color w:val="auto"/>
                <w:szCs w:val="21"/>
              </w:rPr>
            </w:pPr>
          </w:p>
        </w:tc>
      </w:tr>
    </w:tbl>
    <w:p w14:paraId="391137C6">
      <w:pPr>
        <w:pStyle w:val="47"/>
        <w:rPr>
          <w:rFonts w:hint="eastAsia" w:ascii="宋体" w:hAnsi="宋体" w:eastAsia="宋体" w:cs="宋体"/>
          <w:color w:val="auto"/>
          <w:szCs w:val="21"/>
        </w:rPr>
      </w:pPr>
    </w:p>
    <w:p w14:paraId="64958710">
      <w:pPr>
        <w:pStyle w:val="47"/>
        <w:rPr>
          <w:rFonts w:hint="eastAsia" w:ascii="宋体" w:hAnsi="宋体" w:eastAsia="宋体" w:cs="宋体"/>
          <w:color w:val="auto"/>
          <w:szCs w:val="21"/>
        </w:rPr>
      </w:pPr>
      <w:r>
        <w:rPr>
          <w:rFonts w:hint="eastAsia" w:ascii="宋体" w:hAnsi="宋体" w:eastAsia="宋体" w:cs="宋体"/>
          <w:color w:val="auto"/>
          <w:szCs w:val="21"/>
        </w:rPr>
        <w:t>注：</w:t>
      </w:r>
    </w:p>
    <w:p w14:paraId="576B4C60">
      <w:pPr>
        <w:pStyle w:val="47"/>
        <w:numPr>
          <w:ilvl w:val="0"/>
          <w:numId w:val="10"/>
        </w:numPr>
        <w:rPr>
          <w:rFonts w:hint="eastAsia" w:ascii="宋体" w:hAnsi="宋体" w:eastAsia="宋体" w:cs="宋体"/>
          <w:color w:val="auto"/>
          <w:szCs w:val="21"/>
        </w:rPr>
      </w:pPr>
      <w:r>
        <w:rPr>
          <w:rFonts w:hint="eastAsia" w:ascii="宋体" w:hAnsi="宋体" w:eastAsia="宋体" w:cs="宋体"/>
          <w:color w:val="auto"/>
          <w:szCs w:val="21"/>
        </w:rPr>
        <w:t>该表格为参考格式，投标人可按实际情况自行制订。</w:t>
      </w:r>
    </w:p>
    <w:p w14:paraId="4A5DD75D">
      <w:pPr>
        <w:pStyle w:val="47"/>
        <w:numPr>
          <w:ilvl w:val="0"/>
          <w:numId w:val="10"/>
        </w:numPr>
        <w:rPr>
          <w:rFonts w:hint="eastAsia" w:ascii="宋体" w:hAnsi="宋体" w:eastAsia="宋体" w:cs="宋体"/>
          <w:color w:val="auto"/>
          <w:szCs w:val="21"/>
        </w:rPr>
      </w:pPr>
      <w:r>
        <w:rPr>
          <w:rFonts w:hint="eastAsia" w:ascii="宋体" w:hAnsi="宋体" w:eastAsia="宋体" w:cs="宋体"/>
          <w:color w:val="auto"/>
          <w:szCs w:val="21"/>
        </w:rPr>
        <w:t>业绩表所列出的材料应为真实准确的，并应提供相关证明材料复印件加盖公章。请勿提供虚假、过期材料，否则将依据相关规定严肃处理。</w:t>
      </w:r>
    </w:p>
    <w:p w14:paraId="0D1BF87C">
      <w:pPr>
        <w:rPr>
          <w:rFonts w:hint="eastAsia" w:ascii="宋体" w:hAnsi="宋体" w:eastAsia="宋体" w:cs="宋体"/>
          <w:color w:val="auto"/>
          <w:szCs w:val="21"/>
        </w:rPr>
      </w:pPr>
      <w:r>
        <w:rPr>
          <w:rFonts w:hint="eastAsia" w:ascii="宋体" w:hAnsi="宋体" w:eastAsia="宋体" w:cs="宋体"/>
          <w:color w:val="auto"/>
          <w:szCs w:val="21"/>
        </w:rPr>
        <w:br w:type="page"/>
      </w:r>
    </w:p>
    <w:p w14:paraId="05185D88">
      <w:pPr>
        <w:pStyle w:val="11"/>
        <w:rPr>
          <w:rFonts w:hint="eastAsia" w:ascii="宋体" w:hAnsi="宋体" w:eastAsia="宋体" w:cs="宋体"/>
          <w:color w:val="auto"/>
          <w:szCs w:val="21"/>
        </w:rPr>
        <w:sectPr>
          <w:headerReference r:id="rId10" w:type="first"/>
          <w:footerReference r:id="rId12" w:type="first"/>
          <w:headerReference r:id="rId9" w:type="default"/>
          <w:footerReference r:id="rId11" w:type="default"/>
          <w:pgSz w:w="11906" w:h="16838"/>
          <w:pgMar w:top="1440" w:right="1797" w:bottom="1440" w:left="1797" w:header="709" w:footer="709" w:gutter="0"/>
          <w:cols w:space="708" w:num="1"/>
          <w:titlePg/>
          <w:docGrid w:type="linesAndChars" w:linePitch="360" w:charSpace="0"/>
        </w:sectPr>
      </w:pPr>
    </w:p>
    <w:p w14:paraId="12C8CB87">
      <w:pPr>
        <w:pStyle w:val="5"/>
        <w:widowControl w:val="0"/>
        <w:overflowPunct w:val="0"/>
        <w:spacing w:line="240" w:lineRule="auto"/>
        <w:rPr>
          <w:rFonts w:hint="eastAsia" w:ascii="宋体" w:hAnsi="宋体" w:eastAsia="宋体" w:cs="宋体"/>
          <w:color w:val="auto"/>
        </w:rPr>
      </w:pPr>
      <w:bookmarkStart w:id="171" w:name="_Toc26526"/>
      <w:r>
        <w:rPr>
          <w:rFonts w:hint="eastAsia" w:ascii="宋体" w:hAnsi="宋体" w:eastAsia="宋体" w:cs="宋体"/>
          <w:color w:val="auto"/>
          <w:sz w:val="21"/>
          <w:szCs w:val="21"/>
        </w:rPr>
        <w:t>附件14.联合体协议书</w:t>
      </w:r>
      <w:r>
        <w:rPr>
          <w:rFonts w:hint="eastAsia" w:ascii="宋体" w:hAnsi="宋体" w:eastAsia="宋体" w:cs="宋体"/>
          <w:color w:val="auto"/>
        </w:rPr>
        <w:t>（如有）</w:t>
      </w:r>
      <w:bookmarkEnd w:id="171"/>
    </w:p>
    <w:p w14:paraId="3C34B875">
      <w:pPr>
        <w:rPr>
          <w:rFonts w:hint="eastAsia" w:ascii="宋体" w:hAnsi="宋体" w:eastAsia="宋体" w:cs="宋体"/>
          <w:color w:val="auto"/>
        </w:rPr>
      </w:pPr>
    </w:p>
    <w:p w14:paraId="4D95461B">
      <w:pPr>
        <w:jc w:val="center"/>
        <w:rPr>
          <w:rFonts w:hint="eastAsia" w:ascii="宋体" w:hAnsi="宋体" w:eastAsia="宋体" w:cs="宋体"/>
          <w:color w:val="auto"/>
        </w:rPr>
      </w:pPr>
      <w:r>
        <w:rPr>
          <w:rFonts w:hint="eastAsia" w:ascii="宋体" w:hAnsi="宋体" w:eastAsia="宋体" w:cs="宋体"/>
          <w:b/>
          <w:bCs/>
          <w:color w:val="auto"/>
        </w:rPr>
        <w:t>联合体共同投标协议书</w:t>
      </w:r>
    </w:p>
    <w:p w14:paraId="72AF5F55">
      <w:pPr>
        <w:jc w:val="center"/>
        <w:rPr>
          <w:rFonts w:hint="eastAsia" w:ascii="宋体" w:hAnsi="宋体" w:eastAsia="宋体" w:cs="宋体"/>
          <w:color w:val="auto"/>
        </w:rPr>
      </w:pPr>
    </w:p>
    <w:p w14:paraId="4CE944CD">
      <w:pPr>
        <w:rPr>
          <w:rFonts w:hint="eastAsia" w:ascii="宋体" w:hAnsi="宋体" w:eastAsia="宋体" w:cs="宋体"/>
          <w:color w:val="auto"/>
          <w:szCs w:val="21"/>
        </w:rPr>
      </w:pPr>
      <w:r>
        <w:rPr>
          <w:rFonts w:hint="eastAsia" w:ascii="宋体" w:hAnsi="宋体" w:eastAsia="宋体" w:cs="宋体"/>
          <w:color w:val="auto"/>
          <w:szCs w:val="21"/>
        </w:rPr>
        <w:t>立约方：（甲公司全称）</w:t>
      </w:r>
    </w:p>
    <w:p w14:paraId="2C014F4E">
      <w:pPr>
        <w:rPr>
          <w:rFonts w:hint="eastAsia" w:ascii="宋体" w:hAnsi="宋体" w:eastAsia="宋体" w:cs="宋体"/>
          <w:color w:val="auto"/>
          <w:szCs w:val="21"/>
        </w:rPr>
      </w:pPr>
      <w:r>
        <w:rPr>
          <w:rFonts w:hint="eastAsia" w:ascii="宋体" w:hAnsi="宋体" w:eastAsia="宋体" w:cs="宋体"/>
          <w:color w:val="auto"/>
          <w:szCs w:val="21"/>
        </w:rPr>
        <w:t>（乙公司全称）</w:t>
      </w:r>
    </w:p>
    <w:p w14:paraId="494C2D37">
      <w:pPr>
        <w:rPr>
          <w:rFonts w:hint="eastAsia" w:ascii="宋体" w:hAnsi="宋体" w:eastAsia="宋体" w:cs="宋体"/>
          <w:color w:val="auto"/>
          <w:szCs w:val="21"/>
        </w:rPr>
      </w:pPr>
      <w:r>
        <w:rPr>
          <w:rFonts w:hint="eastAsia" w:ascii="宋体" w:hAnsi="宋体" w:eastAsia="宋体" w:cs="宋体"/>
          <w:color w:val="auto"/>
          <w:szCs w:val="21"/>
        </w:rPr>
        <w:t>（……公司全称）</w:t>
      </w:r>
    </w:p>
    <w:p w14:paraId="0A6F7492">
      <w:pPr>
        <w:rPr>
          <w:rFonts w:hint="eastAsia" w:ascii="宋体" w:hAnsi="宋体" w:eastAsia="宋体" w:cs="宋体"/>
          <w:color w:val="auto"/>
          <w:szCs w:val="21"/>
        </w:rPr>
      </w:pPr>
      <w:r>
        <w:rPr>
          <w:rFonts w:hint="eastAsia" w:ascii="宋体" w:hAnsi="宋体" w:eastAsia="宋体" w:cs="宋体"/>
          <w:color w:val="auto"/>
          <w:szCs w:val="21"/>
          <w:u w:val="single"/>
        </w:rPr>
        <w:t>（甲公司全称）、（乙公司全称）、（……公司全称）</w:t>
      </w:r>
      <w:r>
        <w:rPr>
          <w:rFonts w:hint="eastAsia" w:ascii="宋体" w:hAnsi="宋体" w:eastAsia="宋体" w:cs="宋体"/>
          <w:color w:val="auto"/>
          <w:szCs w:val="21"/>
        </w:rPr>
        <w:t>自愿组成联合体，以一个投标人的身份共同参加</w:t>
      </w:r>
      <w:r>
        <w:rPr>
          <w:rFonts w:hint="eastAsia" w:ascii="宋体" w:hAnsi="宋体" w:eastAsia="宋体" w:cs="宋体"/>
          <w:color w:val="auto"/>
          <w:szCs w:val="21"/>
          <w:u w:val="single"/>
        </w:rPr>
        <w:t>（xxxx项目） （项目编号：xxxx）</w:t>
      </w:r>
      <w:r>
        <w:rPr>
          <w:rFonts w:hint="eastAsia" w:ascii="宋体" w:hAnsi="宋体" w:eastAsia="宋体" w:cs="宋体"/>
          <w:color w:val="auto"/>
          <w:szCs w:val="21"/>
        </w:rPr>
        <w:t>的采购活动。经各方充分协商一致，就项目的投标和合同实施阶段的有关事务协商一致订立协议如下：</w:t>
      </w:r>
    </w:p>
    <w:p w14:paraId="70D7B37E">
      <w:pPr>
        <w:rPr>
          <w:rFonts w:hint="eastAsia" w:ascii="宋体" w:hAnsi="宋体" w:eastAsia="宋体" w:cs="宋体"/>
          <w:color w:val="auto"/>
          <w:szCs w:val="21"/>
        </w:rPr>
      </w:pPr>
      <w:r>
        <w:rPr>
          <w:rFonts w:hint="eastAsia" w:ascii="宋体" w:hAnsi="宋体" w:eastAsia="宋体" w:cs="宋体"/>
          <w:color w:val="auto"/>
          <w:szCs w:val="21"/>
        </w:rPr>
        <w:t>一、联合体各方关系</w:t>
      </w:r>
    </w:p>
    <w:p w14:paraId="1E0DDA4B">
      <w:pPr>
        <w:rPr>
          <w:rFonts w:hint="eastAsia" w:ascii="宋体" w:hAnsi="宋体" w:eastAsia="宋体" w:cs="宋体"/>
          <w:color w:val="auto"/>
          <w:szCs w:val="21"/>
        </w:rPr>
      </w:pPr>
      <w:r>
        <w:rPr>
          <w:rFonts w:hint="eastAsia" w:ascii="宋体" w:hAnsi="宋体" w:eastAsia="宋体" w:cs="宋体"/>
          <w:color w:val="auto"/>
          <w:szCs w:val="21"/>
          <w:u w:val="single"/>
        </w:rPr>
        <w:t>1.（甲公司全称）、（乙公司全称）、（……公司全称）</w:t>
      </w:r>
      <w:r>
        <w:rPr>
          <w:rFonts w:hint="eastAsia" w:ascii="宋体" w:hAnsi="宋体" w:eastAsia="宋体" w:cs="宋体"/>
          <w:color w:val="auto"/>
          <w:szCs w:val="21"/>
        </w:rPr>
        <w:t>共同组成一个联合体，以一个投标人的身份共同参加本项目的投标。</w:t>
      </w:r>
      <w:r>
        <w:rPr>
          <w:rFonts w:hint="eastAsia" w:ascii="宋体" w:hAnsi="宋体" w:eastAsia="宋体" w:cs="宋体"/>
          <w:color w:val="auto"/>
          <w:szCs w:val="21"/>
          <w:u w:val="single"/>
        </w:rPr>
        <w:t>（甲公司全称）、（乙公司全称）、（……公司全称）</w:t>
      </w:r>
      <w:r>
        <w:rPr>
          <w:rFonts w:hint="eastAsia" w:ascii="宋体" w:hAnsi="宋体" w:eastAsia="宋体" w:cs="宋体"/>
          <w:color w:val="auto"/>
          <w:szCs w:val="21"/>
        </w:rPr>
        <w:t>作为联合体成员，若中标，联合体各方共同与</w:t>
      </w:r>
      <w:r>
        <w:rPr>
          <w:rFonts w:hint="eastAsia" w:ascii="宋体" w:hAnsi="宋体" w:eastAsia="宋体" w:cs="宋体"/>
          <w:color w:val="auto"/>
          <w:szCs w:val="21"/>
          <w:u w:val="single"/>
        </w:rPr>
        <w:t>（采购人）</w:t>
      </w:r>
      <w:r>
        <w:rPr>
          <w:rFonts w:hint="eastAsia" w:ascii="宋体" w:hAnsi="宋体" w:eastAsia="宋体" w:cs="宋体"/>
          <w:color w:val="auto"/>
          <w:szCs w:val="21"/>
        </w:rPr>
        <w:t>签订合同。</w:t>
      </w:r>
    </w:p>
    <w:p w14:paraId="147C29EB">
      <w:pPr>
        <w:rPr>
          <w:rFonts w:hint="eastAsia" w:ascii="宋体" w:hAnsi="宋体" w:eastAsia="宋体" w:cs="宋体"/>
          <w:color w:val="auto"/>
          <w:szCs w:val="21"/>
        </w:rPr>
      </w:pPr>
      <w:r>
        <w:rPr>
          <w:rFonts w:hint="eastAsia" w:ascii="宋体" w:hAnsi="宋体" w:eastAsia="宋体" w:cs="宋体"/>
          <w:color w:val="auto"/>
          <w:szCs w:val="21"/>
        </w:rPr>
        <w:t>2.本次投标中，以</w:t>
      </w:r>
      <w:r>
        <w:rPr>
          <w:rFonts w:hint="eastAsia" w:ascii="宋体" w:hAnsi="宋体" w:eastAsia="宋体" w:cs="宋体"/>
          <w:color w:val="auto"/>
          <w:szCs w:val="21"/>
          <w:u w:val="single"/>
        </w:rPr>
        <w:t>（公司全称）</w:t>
      </w:r>
      <w:r>
        <w:rPr>
          <w:rFonts w:hint="eastAsia" w:ascii="宋体" w:hAnsi="宋体" w:eastAsia="宋体" w:cs="宋体"/>
          <w:color w:val="auto"/>
          <w:szCs w:val="21"/>
        </w:rPr>
        <w:t>为联合体牵头人。</w:t>
      </w:r>
    </w:p>
    <w:p w14:paraId="7A60D876">
      <w:pPr>
        <w:rPr>
          <w:rFonts w:hint="eastAsia" w:ascii="宋体" w:hAnsi="宋体" w:eastAsia="宋体" w:cs="宋体"/>
          <w:color w:val="auto"/>
          <w:szCs w:val="21"/>
        </w:rPr>
      </w:pPr>
      <w:r>
        <w:rPr>
          <w:rFonts w:hint="eastAsia" w:ascii="宋体" w:hAnsi="宋体" w:eastAsia="宋体" w:cs="宋体"/>
          <w:color w:val="auto"/>
          <w:szCs w:val="21"/>
        </w:rPr>
        <w:t>二、联合体内部有关事项约定如下：</w:t>
      </w:r>
    </w:p>
    <w:p w14:paraId="705D1AA1">
      <w:pPr>
        <w:rPr>
          <w:rFonts w:hint="eastAsia" w:ascii="宋体" w:hAnsi="宋体" w:eastAsia="宋体" w:cs="宋体"/>
          <w:color w:val="auto"/>
          <w:szCs w:val="21"/>
        </w:rPr>
      </w:pPr>
      <w:r>
        <w:rPr>
          <w:rFonts w:hint="eastAsia" w:ascii="宋体" w:hAnsi="宋体" w:eastAsia="宋体" w:cs="宋体"/>
          <w:color w:val="auto"/>
          <w:szCs w:val="21"/>
        </w:rPr>
        <w:t>1.联合体牵头人合法代表联合体各成员，负责本项目投标文件编制和投标工作，并代表联合体成员递交和接受相关的资料、信息及指示，并处理与之有关的一切事务，负责合同实施阶段的主办、组织和协调工作。</w:t>
      </w:r>
    </w:p>
    <w:p w14:paraId="3ED384C1">
      <w:pPr>
        <w:rPr>
          <w:rFonts w:hint="eastAsia" w:ascii="宋体" w:hAnsi="宋体" w:eastAsia="宋体" w:cs="宋体"/>
          <w:color w:val="auto"/>
          <w:szCs w:val="21"/>
        </w:rPr>
      </w:pPr>
      <w:r>
        <w:rPr>
          <w:rFonts w:hint="eastAsia" w:ascii="宋体" w:hAnsi="宋体" w:eastAsia="宋体" w:cs="宋体"/>
          <w:color w:val="auto"/>
          <w:szCs w:val="21"/>
        </w:rPr>
        <w:t>2.联合体将严格按照文件的各项要求，递交投标文件，切实执行一切合同文件，共同承担合同规定的一切义务和责任，同时按照内部职责的划分，承担自身所负的责任和风险，在法律上承担连带责任。</w:t>
      </w:r>
    </w:p>
    <w:p w14:paraId="5398BA1A">
      <w:pPr>
        <w:rPr>
          <w:rFonts w:hint="eastAsia" w:ascii="宋体" w:hAnsi="宋体" w:eastAsia="宋体" w:cs="宋体"/>
          <w:color w:val="auto"/>
          <w:szCs w:val="21"/>
        </w:rPr>
      </w:pPr>
      <w:r>
        <w:rPr>
          <w:rFonts w:hint="eastAsia" w:ascii="宋体" w:hAnsi="宋体" w:eastAsia="宋体" w:cs="宋体"/>
          <w:color w:val="auto"/>
          <w:szCs w:val="21"/>
        </w:rPr>
        <w:t>3.如中标，联合体各方共同与（采购人）签订合同书，并就中标项目向采购人负有连带的和各自的法律责任；</w:t>
      </w:r>
    </w:p>
    <w:p w14:paraId="2528570E">
      <w:pPr>
        <w:rPr>
          <w:rFonts w:hint="eastAsia" w:ascii="宋体" w:hAnsi="宋体" w:eastAsia="宋体" w:cs="宋体"/>
          <w:color w:val="auto"/>
          <w:szCs w:val="21"/>
        </w:rPr>
      </w:pPr>
      <w:r>
        <w:rPr>
          <w:rFonts w:hint="eastAsia" w:ascii="宋体" w:hAnsi="宋体" w:eastAsia="宋体" w:cs="宋体"/>
          <w:color w:val="auto"/>
          <w:szCs w:val="21"/>
        </w:rPr>
        <w:t>4.联合体各成员单位内部的职责分工如下：</w:t>
      </w:r>
    </w:p>
    <w:p w14:paraId="17A0853C">
      <w:pPr>
        <w:rPr>
          <w:rFonts w:hint="eastAsia" w:ascii="宋体" w:hAnsi="宋体" w:eastAsia="宋体" w:cs="宋体"/>
          <w:color w:val="auto"/>
          <w:szCs w:val="21"/>
        </w:rPr>
      </w:pPr>
      <w:r>
        <w:rPr>
          <w:rFonts w:hint="eastAsia" w:ascii="宋体" w:hAnsi="宋体" w:eastAsia="宋体" w:cs="宋体"/>
          <w:color w:val="auto"/>
          <w:szCs w:val="21"/>
        </w:rPr>
        <w:t>（1）</w:t>
      </w:r>
    </w:p>
    <w:p w14:paraId="04241DC6">
      <w:pPr>
        <w:rPr>
          <w:rFonts w:hint="eastAsia" w:ascii="宋体" w:hAnsi="宋体" w:eastAsia="宋体" w:cs="宋体"/>
          <w:color w:val="auto"/>
        </w:rPr>
      </w:pPr>
      <w:r>
        <w:rPr>
          <w:rFonts w:hint="eastAsia" w:ascii="宋体" w:hAnsi="宋体" w:eastAsia="宋体" w:cs="宋体"/>
          <w:color w:val="auto"/>
          <w:szCs w:val="21"/>
        </w:rPr>
        <w:t>（2）</w:t>
      </w:r>
    </w:p>
    <w:p w14:paraId="7896F9A3">
      <w:pPr>
        <w:rPr>
          <w:rFonts w:hint="eastAsia" w:ascii="宋体" w:hAnsi="宋体" w:eastAsia="宋体" w:cs="宋体"/>
          <w:color w:val="auto"/>
          <w:szCs w:val="21"/>
        </w:rPr>
      </w:pPr>
      <w:r>
        <w:rPr>
          <w:rFonts w:hint="eastAsia" w:ascii="宋体" w:hAnsi="宋体" w:eastAsia="宋体" w:cs="宋体"/>
          <w:color w:val="auto"/>
          <w:szCs w:val="21"/>
        </w:rPr>
        <w:t>三、联合体各方不得再以自己名义参与本项目投标，联合体各方不能作为其它联合体或单独投标单位的项目组成员参加本项目投标。因发生上述问题导致联合体成为无效投标，联合体的其他成员可追究其违约责任和经济损失。</w:t>
      </w:r>
    </w:p>
    <w:p w14:paraId="52F3D1B5">
      <w:pPr>
        <w:rPr>
          <w:rFonts w:hint="eastAsia" w:ascii="宋体" w:hAnsi="宋体" w:eastAsia="宋体" w:cs="宋体"/>
          <w:color w:val="auto"/>
          <w:szCs w:val="21"/>
        </w:rPr>
      </w:pPr>
      <w:r>
        <w:rPr>
          <w:rFonts w:hint="eastAsia" w:ascii="宋体" w:hAnsi="宋体" w:eastAsia="宋体" w:cs="宋体"/>
          <w:color w:val="auto"/>
          <w:szCs w:val="21"/>
        </w:rPr>
        <w:t>四、联合体如因违约过失责任而导致采购人经济损失或被索赔时，本联合体任何一方均同意无条件优先清偿采购人的一切债务和经济赔偿。</w:t>
      </w:r>
    </w:p>
    <w:p w14:paraId="6EC0F161">
      <w:pPr>
        <w:rPr>
          <w:rFonts w:hint="eastAsia" w:ascii="宋体" w:hAnsi="宋体" w:eastAsia="宋体" w:cs="宋体"/>
          <w:color w:val="auto"/>
          <w:szCs w:val="21"/>
        </w:rPr>
      </w:pPr>
      <w:r>
        <w:rPr>
          <w:rFonts w:hint="eastAsia" w:ascii="宋体" w:hAnsi="宋体" w:eastAsia="宋体" w:cs="宋体"/>
          <w:color w:val="auto"/>
          <w:szCs w:val="21"/>
        </w:rPr>
        <w:t>五、联合体中标后，本联合体协议是合同的附件，对联合体各成员单位有合同约束力。</w:t>
      </w:r>
    </w:p>
    <w:p w14:paraId="7AF91444">
      <w:pPr>
        <w:rPr>
          <w:rFonts w:hint="eastAsia" w:ascii="宋体" w:hAnsi="宋体" w:eastAsia="宋体" w:cs="宋体"/>
          <w:color w:val="auto"/>
          <w:szCs w:val="21"/>
        </w:rPr>
      </w:pPr>
      <w:r>
        <w:rPr>
          <w:rFonts w:hint="eastAsia" w:ascii="宋体" w:hAnsi="宋体" w:eastAsia="宋体" w:cs="宋体"/>
          <w:color w:val="auto"/>
          <w:szCs w:val="21"/>
        </w:rPr>
        <w:t>六、本协议在自签署之日起生效，投标有效期内有效，如获中标资格，本协议有效期延续至合同履行完毕之日。</w:t>
      </w:r>
    </w:p>
    <w:p w14:paraId="408B62A0">
      <w:pPr>
        <w:rPr>
          <w:rFonts w:hint="eastAsia" w:ascii="宋体" w:hAnsi="宋体" w:eastAsia="宋体" w:cs="宋体"/>
          <w:color w:val="auto"/>
          <w:szCs w:val="21"/>
        </w:rPr>
      </w:pPr>
      <w:r>
        <w:rPr>
          <w:rFonts w:hint="eastAsia" w:ascii="宋体" w:hAnsi="宋体" w:eastAsia="宋体" w:cs="宋体"/>
          <w:color w:val="auto"/>
          <w:szCs w:val="21"/>
        </w:rPr>
        <w:t xml:space="preserve">七、本协议书一式____份，联合体成员和采购人各执一份。 </w:t>
      </w:r>
    </w:p>
    <w:p w14:paraId="3E535995">
      <w:pPr>
        <w:rPr>
          <w:rFonts w:hint="eastAsia" w:ascii="宋体" w:hAnsi="宋体" w:eastAsia="宋体" w:cs="宋体"/>
          <w:color w:val="auto"/>
          <w:szCs w:val="21"/>
        </w:rPr>
      </w:pPr>
    </w:p>
    <w:p w14:paraId="1EA09195">
      <w:pPr>
        <w:pStyle w:val="11"/>
        <w:rPr>
          <w:rFonts w:hint="eastAsia" w:ascii="宋体" w:hAnsi="宋体" w:eastAsia="宋体" w:cs="宋体"/>
          <w:color w:val="auto"/>
          <w:sz w:val="21"/>
          <w:szCs w:val="21"/>
        </w:rPr>
      </w:pPr>
      <w:r>
        <w:rPr>
          <w:rFonts w:hint="eastAsia" w:ascii="宋体" w:hAnsi="宋体" w:eastAsia="宋体" w:cs="宋体"/>
          <w:color w:val="auto"/>
          <w:sz w:val="21"/>
          <w:szCs w:val="21"/>
        </w:rPr>
        <w:t>注：本协议书由委托人签字的，应附法定代表人签字的授权委托书。</w:t>
      </w:r>
    </w:p>
    <w:p w14:paraId="10FDBC8D">
      <w:pPr>
        <w:pStyle w:val="11"/>
        <w:rPr>
          <w:rFonts w:hint="eastAsia" w:ascii="宋体" w:hAnsi="宋体" w:eastAsia="宋体" w:cs="宋体"/>
          <w:color w:val="auto"/>
          <w:sz w:val="21"/>
          <w:szCs w:val="21"/>
        </w:rPr>
      </w:pPr>
      <w:r>
        <w:rPr>
          <w:rFonts w:hint="eastAsia" w:ascii="宋体" w:hAnsi="宋体" w:eastAsia="宋体" w:cs="宋体"/>
          <w:color w:val="auto"/>
          <w:sz w:val="21"/>
          <w:szCs w:val="21"/>
        </w:rPr>
        <w:t>牵头人名称：_______________________（盖单位公章）</w:t>
      </w:r>
    </w:p>
    <w:p w14:paraId="71372245">
      <w:pPr>
        <w:pStyle w:val="11"/>
        <w:rPr>
          <w:rFonts w:hint="eastAsia" w:ascii="宋体" w:hAnsi="宋体" w:eastAsia="宋体" w:cs="宋体"/>
          <w:color w:val="auto"/>
          <w:sz w:val="21"/>
          <w:szCs w:val="21"/>
        </w:rPr>
      </w:pPr>
      <w:r>
        <w:rPr>
          <w:rFonts w:hint="eastAsia" w:ascii="宋体" w:hAnsi="宋体" w:eastAsia="宋体" w:cs="宋体"/>
          <w:color w:val="auto"/>
          <w:sz w:val="21"/>
          <w:szCs w:val="21"/>
        </w:rPr>
        <w:t>法定代表人或其委托代理人：_____________（签字）</w:t>
      </w:r>
    </w:p>
    <w:p w14:paraId="6B2AA1FB">
      <w:pPr>
        <w:pStyle w:val="11"/>
        <w:rPr>
          <w:rFonts w:hint="eastAsia" w:ascii="宋体" w:hAnsi="宋体" w:eastAsia="宋体" w:cs="宋体"/>
          <w:color w:val="auto"/>
          <w:sz w:val="21"/>
          <w:szCs w:val="21"/>
        </w:rPr>
      </w:pPr>
    </w:p>
    <w:p w14:paraId="5D951032">
      <w:pPr>
        <w:pStyle w:val="11"/>
        <w:rPr>
          <w:rFonts w:hint="eastAsia" w:ascii="宋体" w:hAnsi="宋体" w:eastAsia="宋体" w:cs="宋体"/>
          <w:color w:val="auto"/>
          <w:sz w:val="21"/>
          <w:szCs w:val="21"/>
        </w:rPr>
      </w:pPr>
      <w:r>
        <w:rPr>
          <w:rFonts w:hint="eastAsia" w:ascii="宋体" w:hAnsi="宋体" w:eastAsia="宋体" w:cs="宋体"/>
          <w:color w:val="auto"/>
          <w:sz w:val="21"/>
          <w:szCs w:val="21"/>
        </w:rPr>
        <w:t>成员一名称：_______________________（盖单位公章）</w:t>
      </w:r>
    </w:p>
    <w:p w14:paraId="3A9B2B4D">
      <w:pPr>
        <w:pStyle w:val="11"/>
        <w:rPr>
          <w:rFonts w:hint="eastAsia" w:ascii="宋体" w:hAnsi="宋体" w:eastAsia="宋体" w:cs="宋体"/>
          <w:color w:val="auto"/>
          <w:sz w:val="21"/>
          <w:szCs w:val="21"/>
        </w:rPr>
      </w:pPr>
      <w:r>
        <w:rPr>
          <w:rFonts w:hint="eastAsia" w:ascii="宋体" w:hAnsi="宋体" w:eastAsia="宋体" w:cs="宋体"/>
          <w:color w:val="auto"/>
          <w:sz w:val="21"/>
          <w:szCs w:val="21"/>
        </w:rPr>
        <w:t>法定代表人或其委托代理人：_____________（签字）</w:t>
      </w:r>
    </w:p>
    <w:p w14:paraId="6DD8FA58">
      <w:pPr>
        <w:pStyle w:val="11"/>
        <w:rPr>
          <w:rFonts w:hint="eastAsia" w:ascii="宋体" w:hAnsi="宋体" w:eastAsia="宋体" w:cs="宋体"/>
          <w:color w:val="auto"/>
          <w:sz w:val="21"/>
          <w:szCs w:val="21"/>
        </w:rPr>
      </w:pPr>
    </w:p>
    <w:p w14:paraId="3808E5D9">
      <w:pPr>
        <w:pStyle w:val="11"/>
        <w:rPr>
          <w:rFonts w:hint="eastAsia" w:ascii="宋体" w:hAnsi="宋体" w:eastAsia="宋体" w:cs="宋体"/>
          <w:color w:val="auto"/>
          <w:sz w:val="21"/>
          <w:szCs w:val="21"/>
        </w:rPr>
      </w:pPr>
      <w:r>
        <w:rPr>
          <w:rFonts w:hint="eastAsia" w:ascii="宋体" w:hAnsi="宋体" w:eastAsia="宋体" w:cs="宋体"/>
          <w:color w:val="auto"/>
          <w:sz w:val="21"/>
          <w:szCs w:val="21"/>
        </w:rPr>
        <w:t>成员二名称：_______________________（盖单位公章）</w:t>
      </w:r>
    </w:p>
    <w:p w14:paraId="4866949E">
      <w:pPr>
        <w:pStyle w:val="11"/>
        <w:rPr>
          <w:rFonts w:hint="eastAsia" w:ascii="宋体" w:hAnsi="宋体" w:eastAsia="宋体" w:cs="宋体"/>
          <w:color w:val="auto"/>
          <w:sz w:val="21"/>
          <w:szCs w:val="21"/>
        </w:rPr>
      </w:pPr>
      <w:r>
        <w:rPr>
          <w:rFonts w:hint="eastAsia" w:ascii="宋体" w:hAnsi="宋体" w:eastAsia="宋体" w:cs="宋体"/>
          <w:color w:val="auto"/>
          <w:sz w:val="21"/>
          <w:szCs w:val="21"/>
        </w:rPr>
        <w:t>法定代表人或其委托代理人：_____________（签字）</w:t>
      </w:r>
    </w:p>
    <w:p w14:paraId="2260429F">
      <w:pPr>
        <w:pStyle w:val="11"/>
        <w:ind w:firstLine="210" w:firstLineChars="100"/>
        <w:jc w:val="both"/>
        <w:rPr>
          <w:rFonts w:hint="eastAsia" w:ascii="宋体" w:hAnsi="宋体" w:eastAsia="宋体" w:cs="宋体"/>
          <w:color w:val="auto"/>
          <w:sz w:val="21"/>
          <w:szCs w:val="21"/>
        </w:rPr>
      </w:pPr>
      <w:r>
        <w:rPr>
          <w:rFonts w:hint="eastAsia" w:ascii="宋体" w:hAnsi="宋体" w:eastAsia="宋体" w:cs="宋体"/>
          <w:color w:val="auto"/>
          <w:sz w:val="21"/>
          <w:szCs w:val="21"/>
        </w:rPr>
        <w:t>……</w:t>
      </w:r>
    </w:p>
    <w:p w14:paraId="61E8A3B4">
      <w:pPr>
        <w:pStyle w:val="11"/>
        <w:rPr>
          <w:rFonts w:hint="eastAsia" w:ascii="宋体" w:hAnsi="宋体" w:eastAsia="宋体" w:cs="宋体"/>
          <w:color w:val="auto"/>
          <w:lang w:val="en-US"/>
        </w:rPr>
        <w:sectPr>
          <w:pgSz w:w="11906" w:h="16838"/>
          <w:pgMar w:top="1440" w:right="1797" w:bottom="1440" w:left="1797" w:header="709" w:footer="709" w:gutter="0"/>
          <w:cols w:space="708" w:num="1"/>
          <w:titlePg/>
          <w:docGrid w:type="linesAndChars" w:linePitch="360" w:charSpace="0"/>
        </w:sectPr>
      </w:pPr>
      <w:r>
        <w:rPr>
          <w:rFonts w:hint="eastAsia" w:ascii="宋体" w:hAnsi="宋体" w:eastAsia="宋体" w:cs="宋体"/>
          <w:color w:val="auto"/>
          <w:sz w:val="21"/>
          <w:szCs w:val="21"/>
        </w:rPr>
        <w:t xml:space="preserve">        年     月     日</w:t>
      </w:r>
    </w:p>
    <w:p w14:paraId="34DD1758">
      <w:pPr>
        <w:pStyle w:val="11"/>
        <w:rPr>
          <w:rFonts w:hint="eastAsia" w:ascii="宋体" w:hAnsi="宋体" w:eastAsia="宋体" w:cs="宋体"/>
          <w:color w:val="auto"/>
        </w:rPr>
      </w:pPr>
    </w:p>
    <w:p w14:paraId="20D5547A">
      <w:pPr>
        <w:pStyle w:val="3"/>
        <w:spacing w:before="0" w:after="0" w:line="360" w:lineRule="auto"/>
        <w:jc w:val="center"/>
        <w:rPr>
          <w:rFonts w:hint="eastAsia" w:ascii="宋体" w:hAnsi="宋体" w:eastAsia="宋体" w:cs="宋体"/>
          <w:color w:val="auto"/>
          <w:sz w:val="72"/>
          <w:szCs w:val="72"/>
        </w:rPr>
      </w:pPr>
      <w:bookmarkStart w:id="172" w:name="_Toc9487"/>
      <w:r>
        <w:rPr>
          <w:rFonts w:hint="eastAsia" w:ascii="宋体" w:hAnsi="宋体" w:eastAsia="宋体" w:cs="宋体"/>
          <w:color w:val="auto"/>
          <w:sz w:val="72"/>
          <w:szCs w:val="72"/>
        </w:rPr>
        <w:t>技术文件</w:t>
      </w:r>
      <w:bookmarkEnd w:id="172"/>
    </w:p>
    <w:p w14:paraId="33168711">
      <w:pPr>
        <w:jc w:val="center"/>
        <w:rPr>
          <w:rFonts w:hint="eastAsia" w:ascii="宋体" w:hAnsi="宋体" w:eastAsia="宋体" w:cs="宋体"/>
          <w:color w:val="auto"/>
          <w:sz w:val="72"/>
          <w:szCs w:val="72"/>
        </w:rPr>
      </w:pPr>
      <w:r>
        <w:rPr>
          <w:rFonts w:hint="eastAsia" w:ascii="宋体" w:hAnsi="宋体" w:eastAsia="宋体" w:cs="宋体"/>
          <w:color w:val="auto"/>
          <w:sz w:val="72"/>
          <w:szCs w:val="72"/>
        </w:rPr>
        <w:t>（单独装订成册）</w:t>
      </w:r>
    </w:p>
    <w:p w14:paraId="02485A3E">
      <w:pPr>
        <w:rPr>
          <w:rFonts w:hint="eastAsia" w:ascii="宋体" w:hAnsi="宋体" w:eastAsia="宋体" w:cs="宋体"/>
          <w:color w:val="auto"/>
        </w:rPr>
      </w:pPr>
    </w:p>
    <w:p w14:paraId="2CBA9F71">
      <w:pPr>
        <w:pStyle w:val="11"/>
        <w:rPr>
          <w:rFonts w:hint="eastAsia" w:ascii="宋体" w:hAnsi="宋体" w:eastAsia="宋体" w:cs="宋体"/>
          <w:color w:val="auto"/>
        </w:rPr>
      </w:pPr>
    </w:p>
    <w:p w14:paraId="0E837E42">
      <w:pPr>
        <w:pStyle w:val="12"/>
        <w:ind w:firstLine="240"/>
        <w:rPr>
          <w:rFonts w:hint="eastAsia" w:ascii="宋体" w:hAnsi="宋体" w:eastAsia="宋体" w:cs="宋体"/>
          <w:color w:val="auto"/>
        </w:rPr>
      </w:pPr>
    </w:p>
    <w:p w14:paraId="658F6A0A">
      <w:pPr>
        <w:rPr>
          <w:rFonts w:hint="eastAsia" w:ascii="宋体" w:hAnsi="宋体" w:eastAsia="宋体" w:cs="宋体"/>
          <w:b/>
          <w:bCs/>
          <w:color w:val="auto"/>
          <w:spacing w:val="-6"/>
          <w:sz w:val="32"/>
          <w:szCs w:val="32"/>
        </w:rPr>
      </w:pPr>
      <w:r>
        <w:rPr>
          <w:rFonts w:hint="eastAsia" w:ascii="宋体" w:hAnsi="宋体" w:eastAsia="宋体" w:cs="宋体"/>
          <w:b/>
          <w:bCs/>
          <w:color w:val="auto"/>
          <w:spacing w:val="53"/>
          <w:kern w:val="0"/>
          <w:sz w:val="32"/>
          <w:szCs w:val="32"/>
          <w:fitText w:val="1600" w:id="292250509"/>
        </w:rPr>
        <w:t>项目名</w:t>
      </w:r>
      <w:r>
        <w:rPr>
          <w:rFonts w:hint="eastAsia" w:ascii="宋体" w:hAnsi="宋体" w:eastAsia="宋体" w:cs="宋体"/>
          <w:b/>
          <w:bCs/>
          <w:color w:val="auto"/>
          <w:spacing w:val="1"/>
          <w:kern w:val="0"/>
          <w:sz w:val="32"/>
          <w:szCs w:val="32"/>
          <w:fitText w:val="1600" w:id="292250509"/>
        </w:rPr>
        <w:t>称</w:t>
      </w:r>
      <w:r>
        <w:rPr>
          <w:rFonts w:hint="eastAsia" w:ascii="宋体" w:hAnsi="宋体" w:eastAsia="宋体" w:cs="宋体"/>
          <w:b/>
          <w:bCs/>
          <w:color w:val="auto"/>
          <w:spacing w:val="-6"/>
          <w:sz w:val="32"/>
          <w:szCs w:val="32"/>
        </w:rPr>
        <w:t>：</w:t>
      </w:r>
    </w:p>
    <w:p w14:paraId="49E3E716">
      <w:pPr>
        <w:rPr>
          <w:rFonts w:hint="eastAsia" w:ascii="宋体" w:hAnsi="宋体" w:eastAsia="宋体" w:cs="宋体"/>
          <w:b/>
          <w:bCs/>
          <w:color w:val="auto"/>
          <w:sz w:val="32"/>
          <w:szCs w:val="32"/>
        </w:rPr>
      </w:pPr>
      <w:r>
        <w:rPr>
          <w:rFonts w:hint="eastAsia" w:ascii="宋体" w:hAnsi="宋体" w:eastAsia="宋体" w:cs="宋体"/>
          <w:b/>
          <w:bCs/>
          <w:color w:val="auto"/>
          <w:spacing w:val="53"/>
          <w:kern w:val="0"/>
          <w:sz w:val="32"/>
          <w:szCs w:val="32"/>
          <w:fitText w:val="1600" w:id="1231831253"/>
        </w:rPr>
        <w:t>项目编</w:t>
      </w:r>
      <w:r>
        <w:rPr>
          <w:rFonts w:hint="eastAsia" w:ascii="宋体" w:hAnsi="宋体" w:eastAsia="宋体" w:cs="宋体"/>
          <w:b/>
          <w:bCs/>
          <w:color w:val="auto"/>
          <w:spacing w:val="1"/>
          <w:kern w:val="0"/>
          <w:sz w:val="32"/>
          <w:szCs w:val="32"/>
          <w:fitText w:val="1600" w:id="1231831253"/>
        </w:rPr>
        <w:t>号</w:t>
      </w:r>
      <w:r>
        <w:rPr>
          <w:rFonts w:hint="eastAsia" w:ascii="宋体" w:hAnsi="宋体" w:eastAsia="宋体" w:cs="宋体"/>
          <w:b/>
          <w:bCs/>
          <w:color w:val="auto"/>
          <w:sz w:val="32"/>
          <w:szCs w:val="32"/>
        </w:rPr>
        <w:t>：</w:t>
      </w:r>
    </w:p>
    <w:p w14:paraId="47250E95">
      <w:pPr>
        <w:pStyle w:val="11"/>
        <w:ind w:left="0"/>
        <w:rPr>
          <w:rFonts w:hint="eastAsia" w:ascii="宋体" w:hAnsi="宋体" w:eastAsia="宋体" w:cs="宋体"/>
          <w:b/>
          <w:color w:val="auto"/>
          <w:spacing w:val="1280"/>
          <w:sz w:val="32"/>
          <w:szCs w:val="32"/>
        </w:rPr>
      </w:pPr>
      <w:r>
        <w:rPr>
          <w:rFonts w:hint="eastAsia" w:ascii="宋体" w:hAnsi="宋体" w:eastAsia="宋体" w:cs="宋体"/>
          <w:b/>
          <w:color w:val="auto"/>
          <w:spacing w:val="106"/>
          <w:sz w:val="32"/>
          <w:szCs w:val="32"/>
          <w:lang w:val="en-US" w:bidi="ar-SA"/>
        </w:rPr>
        <w:t>包组号（如有）：</w:t>
      </w:r>
    </w:p>
    <w:p w14:paraId="73AD50ED">
      <w:pPr>
        <w:rPr>
          <w:rFonts w:hint="eastAsia" w:ascii="宋体" w:hAnsi="宋体" w:eastAsia="宋体" w:cs="宋体"/>
          <w:b/>
          <w:color w:val="auto"/>
          <w:sz w:val="32"/>
          <w:szCs w:val="32"/>
        </w:rPr>
      </w:pPr>
      <w:r>
        <w:rPr>
          <w:rFonts w:hint="eastAsia" w:ascii="宋体" w:hAnsi="宋体" w:eastAsia="宋体" w:cs="宋体"/>
          <w:b/>
          <w:color w:val="auto"/>
          <w:spacing w:val="0"/>
          <w:kern w:val="0"/>
          <w:sz w:val="32"/>
          <w:szCs w:val="32"/>
          <w:fitText w:val="1600" w:id="1764384445"/>
        </w:rPr>
        <w:t>投标人名称</w:t>
      </w:r>
      <w:r>
        <w:rPr>
          <w:rFonts w:hint="eastAsia" w:ascii="宋体" w:hAnsi="宋体" w:eastAsia="宋体" w:cs="宋体"/>
          <w:b/>
          <w:color w:val="auto"/>
          <w:sz w:val="32"/>
          <w:szCs w:val="32"/>
        </w:rPr>
        <w:t>：</w:t>
      </w:r>
    </w:p>
    <w:p w14:paraId="5B069C64">
      <w:pPr>
        <w:rPr>
          <w:rFonts w:hint="eastAsia" w:ascii="宋体" w:hAnsi="宋体" w:eastAsia="宋体" w:cs="宋体"/>
          <w:b/>
          <w:color w:val="auto"/>
          <w:sz w:val="32"/>
          <w:szCs w:val="32"/>
        </w:rPr>
      </w:pPr>
      <w:r>
        <w:rPr>
          <w:rFonts w:hint="eastAsia" w:ascii="宋体" w:hAnsi="宋体" w:eastAsia="宋体" w:cs="宋体"/>
          <w:b/>
          <w:color w:val="auto"/>
          <w:spacing w:val="32"/>
          <w:kern w:val="0"/>
          <w:sz w:val="32"/>
          <w:szCs w:val="32"/>
          <w:fitText w:val="1600" w:id="2061173831"/>
        </w:rPr>
        <w:t xml:space="preserve">日    </w:t>
      </w:r>
      <w:r>
        <w:rPr>
          <w:rFonts w:hint="eastAsia" w:ascii="宋体" w:hAnsi="宋体" w:eastAsia="宋体" w:cs="宋体"/>
          <w:b/>
          <w:color w:val="auto"/>
          <w:spacing w:val="0"/>
          <w:kern w:val="0"/>
          <w:sz w:val="32"/>
          <w:szCs w:val="32"/>
          <w:fitText w:val="1600" w:id="2061173831"/>
        </w:rPr>
        <w:t>期</w:t>
      </w:r>
      <w:r>
        <w:rPr>
          <w:rFonts w:hint="eastAsia" w:ascii="宋体" w:hAnsi="宋体" w:eastAsia="宋体" w:cs="宋体"/>
          <w:b/>
          <w:color w:val="auto"/>
          <w:sz w:val="32"/>
          <w:szCs w:val="32"/>
        </w:rPr>
        <w:t>：</w:t>
      </w:r>
    </w:p>
    <w:p w14:paraId="27AA91C1">
      <w:pPr>
        <w:rPr>
          <w:rFonts w:hint="eastAsia" w:ascii="宋体" w:hAnsi="宋体" w:eastAsia="宋体" w:cs="宋体"/>
          <w:color w:val="auto"/>
          <w:szCs w:val="21"/>
        </w:rPr>
      </w:pPr>
      <w:r>
        <w:rPr>
          <w:rFonts w:hint="eastAsia" w:ascii="宋体" w:hAnsi="宋体" w:eastAsia="宋体" w:cs="宋体"/>
          <w:color w:val="auto"/>
          <w:szCs w:val="21"/>
        </w:rPr>
        <w:br w:type="page"/>
      </w:r>
    </w:p>
    <w:p w14:paraId="55A66264">
      <w:pPr>
        <w:pStyle w:val="5"/>
        <w:widowControl w:val="0"/>
        <w:overflowPunct w:val="0"/>
        <w:spacing w:line="240" w:lineRule="auto"/>
        <w:rPr>
          <w:rFonts w:hint="eastAsia" w:ascii="宋体" w:hAnsi="宋体" w:eastAsia="宋体" w:cs="宋体"/>
          <w:color w:val="auto"/>
          <w:sz w:val="21"/>
          <w:szCs w:val="21"/>
        </w:rPr>
      </w:pPr>
      <w:bookmarkStart w:id="173" w:name="_Toc19985"/>
      <w:r>
        <w:rPr>
          <w:rFonts w:hint="eastAsia" w:ascii="宋体" w:hAnsi="宋体" w:eastAsia="宋体" w:cs="宋体"/>
          <w:color w:val="auto"/>
          <w:sz w:val="21"/>
          <w:szCs w:val="21"/>
        </w:rPr>
        <w:t>附件15. 技术规格偏离表格式</w:t>
      </w:r>
      <w:bookmarkEnd w:id="173"/>
    </w:p>
    <w:p w14:paraId="6B1988E4">
      <w:pPr>
        <w:jc w:val="center"/>
        <w:rPr>
          <w:rFonts w:hint="eastAsia" w:ascii="宋体" w:hAnsi="宋体" w:eastAsia="宋体" w:cs="宋体"/>
          <w:color w:val="auto"/>
          <w:sz w:val="28"/>
          <w:szCs w:val="28"/>
        </w:rPr>
      </w:pPr>
    </w:p>
    <w:p w14:paraId="4DA5889D">
      <w:pPr>
        <w:jc w:val="center"/>
        <w:rPr>
          <w:rFonts w:hint="eastAsia" w:ascii="宋体" w:hAnsi="宋体" w:eastAsia="宋体" w:cs="宋体"/>
          <w:color w:val="auto"/>
          <w:sz w:val="28"/>
          <w:szCs w:val="28"/>
        </w:rPr>
      </w:pPr>
      <w:r>
        <w:rPr>
          <w:rFonts w:hint="eastAsia" w:ascii="宋体" w:hAnsi="宋体" w:eastAsia="宋体" w:cs="宋体"/>
          <w:color w:val="auto"/>
          <w:sz w:val="28"/>
          <w:szCs w:val="28"/>
        </w:rPr>
        <w:t>技术规格偏离表</w:t>
      </w:r>
    </w:p>
    <w:tbl>
      <w:tblPr>
        <w:tblStyle w:val="3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902"/>
        <w:gridCol w:w="1370"/>
        <w:gridCol w:w="1629"/>
        <w:gridCol w:w="1239"/>
        <w:gridCol w:w="1544"/>
      </w:tblGrid>
      <w:tr w14:paraId="5B61D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838" w:type="dxa"/>
            <w:vAlign w:val="center"/>
          </w:tcPr>
          <w:p w14:paraId="6276DD8D">
            <w:pPr>
              <w:jc w:val="center"/>
              <w:rPr>
                <w:rFonts w:hint="eastAsia" w:ascii="宋体" w:hAnsi="宋体" w:eastAsia="宋体" w:cs="宋体"/>
                <w:color w:val="auto"/>
                <w:szCs w:val="21"/>
              </w:rPr>
            </w:pPr>
            <w:r>
              <w:rPr>
                <w:rFonts w:hint="eastAsia" w:ascii="宋体" w:hAnsi="宋体" w:eastAsia="宋体" w:cs="宋体"/>
                <w:color w:val="auto"/>
                <w:szCs w:val="21"/>
              </w:rPr>
              <w:t>序号</w:t>
            </w:r>
          </w:p>
        </w:tc>
        <w:tc>
          <w:tcPr>
            <w:tcW w:w="1902" w:type="dxa"/>
            <w:vAlign w:val="center"/>
          </w:tcPr>
          <w:p w14:paraId="051E675B">
            <w:pPr>
              <w:jc w:val="center"/>
              <w:rPr>
                <w:rFonts w:hint="eastAsia" w:ascii="宋体" w:hAnsi="宋体" w:eastAsia="宋体" w:cs="宋体"/>
                <w:color w:val="auto"/>
                <w:szCs w:val="21"/>
              </w:rPr>
            </w:pPr>
            <w:r>
              <w:rPr>
                <w:rFonts w:hint="eastAsia" w:ascii="宋体" w:hAnsi="宋体" w:eastAsia="宋体" w:cs="宋体"/>
                <w:color w:val="auto"/>
                <w:szCs w:val="21"/>
              </w:rPr>
              <w:t>服务项目名称</w:t>
            </w:r>
          </w:p>
        </w:tc>
        <w:tc>
          <w:tcPr>
            <w:tcW w:w="1370" w:type="dxa"/>
            <w:vAlign w:val="center"/>
          </w:tcPr>
          <w:p w14:paraId="7A6FCE92">
            <w:pPr>
              <w:jc w:val="center"/>
              <w:rPr>
                <w:rFonts w:hint="eastAsia" w:ascii="宋体" w:hAnsi="宋体" w:eastAsia="宋体" w:cs="宋体"/>
                <w:color w:val="auto"/>
                <w:szCs w:val="21"/>
              </w:rPr>
            </w:pPr>
            <w:r>
              <w:rPr>
                <w:rFonts w:hint="eastAsia" w:ascii="宋体" w:hAnsi="宋体" w:eastAsia="宋体" w:cs="宋体"/>
                <w:color w:val="auto"/>
                <w:szCs w:val="21"/>
              </w:rPr>
              <w:t>采购要求</w:t>
            </w:r>
          </w:p>
        </w:tc>
        <w:tc>
          <w:tcPr>
            <w:tcW w:w="1629" w:type="dxa"/>
            <w:vAlign w:val="center"/>
          </w:tcPr>
          <w:p w14:paraId="2E549FF1">
            <w:pPr>
              <w:jc w:val="center"/>
              <w:rPr>
                <w:rFonts w:hint="eastAsia" w:ascii="宋体" w:hAnsi="宋体" w:eastAsia="宋体" w:cs="宋体"/>
                <w:color w:val="auto"/>
                <w:szCs w:val="21"/>
              </w:rPr>
            </w:pPr>
            <w:r>
              <w:rPr>
                <w:rFonts w:hint="eastAsia" w:ascii="宋体" w:hAnsi="宋体" w:eastAsia="宋体" w:cs="宋体"/>
                <w:color w:val="auto"/>
                <w:szCs w:val="21"/>
              </w:rPr>
              <w:t>投标实际响应</w:t>
            </w:r>
          </w:p>
        </w:tc>
        <w:tc>
          <w:tcPr>
            <w:tcW w:w="1239" w:type="dxa"/>
            <w:vAlign w:val="center"/>
          </w:tcPr>
          <w:p w14:paraId="7F889F69">
            <w:pPr>
              <w:jc w:val="center"/>
              <w:rPr>
                <w:rFonts w:hint="eastAsia" w:ascii="宋体" w:hAnsi="宋体" w:eastAsia="宋体" w:cs="宋体"/>
                <w:color w:val="auto"/>
                <w:szCs w:val="21"/>
              </w:rPr>
            </w:pPr>
            <w:r>
              <w:rPr>
                <w:rFonts w:hint="eastAsia" w:ascii="宋体" w:hAnsi="宋体" w:eastAsia="宋体" w:cs="宋体"/>
                <w:color w:val="auto"/>
                <w:szCs w:val="21"/>
              </w:rPr>
              <w:t>是否偏离</w:t>
            </w:r>
          </w:p>
        </w:tc>
        <w:tc>
          <w:tcPr>
            <w:tcW w:w="1544" w:type="dxa"/>
            <w:vAlign w:val="center"/>
          </w:tcPr>
          <w:p w14:paraId="37588E8F">
            <w:pPr>
              <w:jc w:val="center"/>
              <w:rPr>
                <w:rFonts w:hint="eastAsia" w:ascii="宋体" w:hAnsi="宋体" w:eastAsia="宋体" w:cs="宋体"/>
                <w:color w:val="auto"/>
                <w:szCs w:val="21"/>
              </w:rPr>
            </w:pPr>
            <w:r>
              <w:rPr>
                <w:rFonts w:hint="eastAsia" w:ascii="宋体" w:hAnsi="宋体" w:eastAsia="宋体" w:cs="宋体"/>
                <w:color w:val="auto"/>
                <w:szCs w:val="21"/>
              </w:rPr>
              <w:t>说明</w:t>
            </w:r>
          </w:p>
        </w:tc>
      </w:tr>
      <w:tr w14:paraId="5CE08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5297F64C">
            <w:pPr>
              <w:jc w:val="center"/>
              <w:rPr>
                <w:rFonts w:hint="eastAsia" w:ascii="宋体" w:hAnsi="宋体" w:eastAsia="宋体" w:cs="宋体"/>
                <w:color w:val="auto"/>
                <w:szCs w:val="21"/>
              </w:rPr>
            </w:pPr>
          </w:p>
        </w:tc>
        <w:tc>
          <w:tcPr>
            <w:tcW w:w="1902" w:type="dxa"/>
            <w:vAlign w:val="center"/>
          </w:tcPr>
          <w:p w14:paraId="2AD0AD48">
            <w:pPr>
              <w:jc w:val="center"/>
              <w:rPr>
                <w:rFonts w:hint="eastAsia" w:ascii="宋体" w:hAnsi="宋体" w:eastAsia="宋体" w:cs="宋体"/>
                <w:color w:val="auto"/>
                <w:szCs w:val="21"/>
              </w:rPr>
            </w:pPr>
          </w:p>
        </w:tc>
        <w:tc>
          <w:tcPr>
            <w:tcW w:w="1370" w:type="dxa"/>
            <w:vAlign w:val="center"/>
          </w:tcPr>
          <w:p w14:paraId="22947DAC">
            <w:pPr>
              <w:jc w:val="center"/>
              <w:rPr>
                <w:rFonts w:hint="eastAsia" w:ascii="宋体" w:hAnsi="宋体" w:eastAsia="宋体" w:cs="宋体"/>
                <w:color w:val="auto"/>
                <w:szCs w:val="21"/>
              </w:rPr>
            </w:pPr>
          </w:p>
        </w:tc>
        <w:tc>
          <w:tcPr>
            <w:tcW w:w="1629" w:type="dxa"/>
            <w:vAlign w:val="center"/>
          </w:tcPr>
          <w:p w14:paraId="35A5F325">
            <w:pPr>
              <w:jc w:val="center"/>
              <w:rPr>
                <w:rFonts w:hint="eastAsia" w:ascii="宋体" w:hAnsi="宋体" w:eastAsia="宋体" w:cs="宋体"/>
                <w:color w:val="auto"/>
                <w:szCs w:val="21"/>
              </w:rPr>
            </w:pPr>
          </w:p>
        </w:tc>
        <w:tc>
          <w:tcPr>
            <w:tcW w:w="1239" w:type="dxa"/>
            <w:vAlign w:val="center"/>
          </w:tcPr>
          <w:p w14:paraId="3A6DAD1B">
            <w:pPr>
              <w:jc w:val="center"/>
              <w:rPr>
                <w:rFonts w:hint="eastAsia" w:ascii="宋体" w:hAnsi="宋体" w:eastAsia="宋体" w:cs="宋体"/>
                <w:color w:val="auto"/>
                <w:szCs w:val="21"/>
              </w:rPr>
            </w:pPr>
          </w:p>
        </w:tc>
        <w:tc>
          <w:tcPr>
            <w:tcW w:w="1544" w:type="dxa"/>
            <w:vAlign w:val="center"/>
          </w:tcPr>
          <w:p w14:paraId="1C96B668">
            <w:pPr>
              <w:jc w:val="center"/>
              <w:rPr>
                <w:rFonts w:hint="eastAsia" w:ascii="宋体" w:hAnsi="宋体" w:eastAsia="宋体" w:cs="宋体"/>
                <w:color w:val="auto"/>
                <w:szCs w:val="21"/>
              </w:rPr>
            </w:pPr>
          </w:p>
        </w:tc>
      </w:tr>
      <w:tr w14:paraId="037FF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2C894B3D">
            <w:pPr>
              <w:jc w:val="center"/>
              <w:rPr>
                <w:rFonts w:hint="eastAsia" w:ascii="宋体" w:hAnsi="宋体" w:eastAsia="宋体" w:cs="宋体"/>
                <w:color w:val="auto"/>
                <w:szCs w:val="21"/>
              </w:rPr>
            </w:pPr>
          </w:p>
        </w:tc>
        <w:tc>
          <w:tcPr>
            <w:tcW w:w="1902" w:type="dxa"/>
            <w:vAlign w:val="center"/>
          </w:tcPr>
          <w:p w14:paraId="2A182E8A">
            <w:pPr>
              <w:jc w:val="center"/>
              <w:rPr>
                <w:rFonts w:hint="eastAsia" w:ascii="宋体" w:hAnsi="宋体" w:eastAsia="宋体" w:cs="宋体"/>
                <w:color w:val="auto"/>
                <w:szCs w:val="21"/>
              </w:rPr>
            </w:pPr>
          </w:p>
        </w:tc>
        <w:tc>
          <w:tcPr>
            <w:tcW w:w="1370" w:type="dxa"/>
            <w:vAlign w:val="center"/>
          </w:tcPr>
          <w:p w14:paraId="7CBE33A1">
            <w:pPr>
              <w:jc w:val="center"/>
              <w:rPr>
                <w:rFonts w:hint="eastAsia" w:ascii="宋体" w:hAnsi="宋体" w:eastAsia="宋体" w:cs="宋体"/>
                <w:color w:val="auto"/>
                <w:szCs w:val="21"/>
              </w:rPr>
            </w:pPr>
          </w:p>
        </w:tc>
        <w:tc>
          <w:tcPr>
            <w:tcW w:w="1629" w:type="dxa"/>
            <w:vAlign w:val="center"/>
          </w:tcPr>
          <w:p w14:paraId="27CF9CFA">
            <w:pPr>
              <w:jc w:val="center"/>
              <w:rPr>
                <w:rFonts w:hint="eastAsia" w:ascii="宋体" w:hAnsi="宋体" w:eastAsia="宋体" w:cs="宋体"/>
                <w:color w:val="auto"/>
                <w:szCs w:val="21"/>
              </w:rPr>
            </w:pPr>
          </w:p>
        </w:tc>
        <w:tc>
          <w:tcPr>
            <w:tcW w:w="1239" w:type="dxa"/>
            <w:vAlign w:val="center"/>
          </w:tcPr>
          <w:p w14:paraId="62C5F577">
            <w:pPr>
              <w:jc w:val="center"/>
              <w:rPr>
                <w:rFonts w:hint="eastAsia" w:ascii="宋体" w:hAnsi="宋体" w:eastAsia="宋体" w:cs="宋体"/>
                <w:color w:val="auto"/>
                <w:szCs w:val="21"/>
              </w:rPr>
            </w:pPr>
          </w:p>
        </w:tc>
        <w:tc>
          <w:tcPr>
            <w:tcW w:w="1544" w:type="dxa"/>
            <w:vAlign w:val="center"/>
          </w:tcPr>
          <w:p w14:paraId="5F66BD7B">
            <w:pPr>
              <w:jc w:val="center"/>
              <w:rPr>
                <w:rFonts w:hint="eastAsia" w:ascii="宋体" w:hAnsi="宋体" w:eastAsia="宋体" w:cs="宋体"/>
                <w:color w:val="auto"/>
                <w:szCs w:val="21"/>
              </w:rPr>
            </w:pPr>
          </w:p>
        </w:tc>
      </w:tr>
      <w:tr w14:paraId="7F655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601C1F6F">
            <w:pPr>
              <w:jc w:val="center"/>
              <w:rPr>
                <w:rFonts w:hint="eastAsia" w:ascii="宋体" w:hAnsi="宋体" w:eastAsia="宋体" w:cs="宋体"/>
                <w:color w:val="auto"/>
                <w:szCs w:val="21"/>
              </w:rPr>
            </w:pPr>
          </w:p>
        </w:tc>
        <w:tc>
          <w:tcPr>
            <w:tcW w:w="1902" w:type="dxa"/>
            <w:vAlign w:val="center"/>
          </w:tcPr>
          <w:p w14:paraId="31EED040">
            <w:pPr>
              <w:jc w:val="center"/>
              <w:rPr>
                <w:rFonts w:hint="eastAsia" w:ascii="宋体" w:hAnsi="宋体" w:eastAsia="宋体" w:cs="宋体"/>
                <w:color w:val="auto"/>
                <w:szCs w:val="21"/>
              </w:rPr>
            </w:pPr>
          </w:p>
        </w:tc>
        <w:tc>
          <w:tcPr>
            <w:tcW w:w="1370" w:type="dxa"/>
            <w:vAlign w:val="center"/>
          </w:tcPr>
          <w:p w14:paraId="31B7E272">
            <w:pPr>
              <w:jc w:val="center"/>
              <w:rPr>
                <w:rFonts w:hint="eastAsia" w:ascii="宋体" w:hAnsi="宋体" w:eastAsia="宋体" w:cs="宋体"/>
                <w:color w:val="auto"/>
                <w:szCs w:val="21"/>
              </w:rPr>
            </w:pPr>
          </w:p>
        </w:tc>
        <w:tc>
          <w:tcPr>
            <w:tcW w:w="1629" w:type="dxa"/>
            <w:vAlign w:val="center"/>
          </w:tcPr>
          <w:p w14:paraId="7676F5EB">
            <w:pPr>
              <w:jc w:val="center"/>
              <w:rPr>
                <w:rFonts w:hint="eastAsia" w:ascii="宋体" w:hAnsi="宋体" w:eastAsia="宋体" w:cs="宋体"/>
                <w:color w:val="auto"/>
                <w:szCs w:val="21"/>
              </w:rPr>
            </w:pPr>
          </w:p>
        </w:tc>
        <w:tc>
          <w:tcPr>
            <w:tcW w:w="1239" w:type="dxa"/>
            <w:vAlign w:val="center"/>
          </w:tcPr>
          <w:p w14:paraId="4CC535A7">
            <w:pPr>
              <w:jc w:val="center"/>
              <w:rPr>
                <w:rFonts w:hint="eastAsia" w:ascii="宋体" w:hAnsi="宋体" w:eastAsia="宋体" w:cs="宋体"/>
                <w:color w:val="auto"/>
                <w:szCs w:val="21"/>
              </w:rPr>
            </w:pPr>
          </w:p>
        </w:tc>
        <w:tc>
          <w:tcPr>
            <w:tcW w:w="1544" w:type="dxa"/>
            <w:vAlign w:val="center"/>
          </w:tcPr>
          <w:p w14:paraId="44A8161E">
            <w:pPr>
              <w:jc w:val="center"/>
              <w:rPr>
                <w:rFonts w:hint="eastAsia" w:ascii="宋体" w:hAnsi="宋体" w:eastAsia="宋体" w:cs="宋体"/>
                <w:color w:val="auto"/>
                <w:szCs w:val="21"/>
              </w:rPr>
            </w:pPr>
          </w:p>
        </w:tc>
      </w:tr>
      <w:tr w14:paraId="341E3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6EC2F690">
            <w:pPr>
              <w:jc w:val="center"/>
              <w:rPr>
                <w:rFonts w:hint="eastAsia" w:ascii="宋体" w:hAnsi="宋体" w:eastAsia="宋体" w:cs="宋体"/>
                <w:color w:val="auto"/>
                <w:szCs w:val="21"/>
              </w:rPr>
            </w:pPr>
          </w:p>
        </w:tc>
        <w:tc>
          <w:tcPr>
            <w:tcW w:w="1902" w:type="dxa"/>
            <w:vAlign w:val="center"/>
          </w:tcPr>
          <w:p w14:paraId="4879D465">
            <w:pPr>
              <w:jc w:val="center"/>
              <w:rPr>
                <w:rFonts w:hint="eastAsia" w:ascii="宋体" w:hAnsi="宋体" w:eastAsia="宋体" w:cs="宋体"/>
                <w:color w:val="auto"/>
                <w:szCs w:val="21"/>
              </w:rPr>
            </w:pPr>
          </w:p>
        </w:tc>
        <w:tc>
          <w:tcPr>
            <w:tcW w:w="1370" w:type="dxa"/>
            <w:vAlign w:val="center"/>
          </w:tcPr>
          <w:p w14:paraId="04D5F7B1">
            <w:pPr>
              <w:jc w:val="center"/>
              <w:rPr>
                <w:rFonts w:hint="eastAsia" w:ascii="宋体" w:hAnsi="宋体" w:eastAsia="宋体" w:cs="宋体"/>
                <w:color w:val="auto"/>
                <w:szCs w:val="21"/>
              </w:rPr>
            </w:pPr>
          </w:p>
        </w:tc>
        <w:tc>
          <w:tcPr>
            <w:tcW w:w="1629" w:type="dxa"/>
            <w:vAlign w:val="center"/>
          </w:tcPr>
          <w:p w14:paraId="1F8C0257">
            <w:pPr>
              <w:jc w:val="center"/>
              <w:rPr>
                <w:rFonts w:hint="eastAsia" w:ascii="宋体" w:hAnsi="宋体" w:eastAsia="宋体" w:cs="宋体"/>
                <w:color w:val="auto"/>
                <w:szCs w:val="21"/>
              </w:rPr>
            </w:pPr>
          </w:p>
        </w:tc>
        <w:tc>
          <w:tcPr>
            <w:tcW w:w="1239" w:type="dxa"/>
            <w:vAlign w:val="center"/>
          </w:tcPr>
          <w:p w14:paraId="5942908E">
            <w:pPr>
              <w:jc w:val="center"/>
              <w:rPr>
                <w:rFonts w:hint="eastAsia" w:ascii="宋体" w:hAnsi="宋体" w:eastAsia="宋体" w:cs="宋体"/>
                <w:color w:val="auto"/>
                <w:szCs w:val="21"/>
              </w:rPr>
            </w:pPr>
          </w:p>
        </w:tc>
        <w:tc>
          <w:tcPr>
            <w:tcW w:w="1544" w:type="dxa"/>
            <w:vAlign w:val="center"/>
          </w:tcPr>
          <w:p w14:paraId="69B08654">
            <w:pPr>
              <w:jc w:val="center"/>
              <w:rPr>
                <w:rFonts w:hint="eastAsia" w:ascii="宋体" w:hAnsi="宋体" w:eastAsia="宋体" w:cs="宋体"/>
                <w:color w:val="auto"/>
                <w:szCs w:val="21"/>
              </w:rPr>
            </w:pPr>
          </w:p>
        </w:tc>
      </w:tr>
      <w:tr w14:paraId="7B77E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052B7BF4">
            <w:pPr>
              <w:jc w:val="center"/>
              <w:rPr>
                <w:rFonts w:hint="eastAsia" w:ascii="宋体" w:hAnsi="宋体" w:eastAsia="宋体" w:cs="宋体"/>
                <w:color w:val="auto"/>
                <w:szCs w:val="21"/>
              </w:rPr>
            </w:pPr>
          </w:p>
        </w:tc>
        <w:tc>
          <w:tcPr>
            <w:tcW w:w="1902" w:type="dxa"/>
            <w:vAlign w:val="center"/>
          </w:tcPr>
          <w:p w14:paraId="703F034C">
            <w:pPr>
              <w:jc w:val="center"/>
              <w:rPr>
                <w:rFonts w:hint="eastAsia" w:ascii="宋体" w:hAnsi="宋体" w:eastAsia="宋体" w:cs="宋体"/>
                <w:color w:val="auto"/>
                <w:szCs w:val="21"/>
              </w:rPr>
            </w:pPr>
          </w:p>
        </w:tc>
        <w:tc>
          <w:tcPr>
            <w:tcW w:w="1370" w:type="dxa"/>
            <w:vAlign w:val="center"/>
          </w:tcPr>
          <w:p w14:paraId="3C6E7BA3">
            <w:pPr>
              <w:jc w:val="center"/>
              <w:rPr>
                <w:rFonts w:hint="eastAsia" w:ascii="宋体" w:hAnsi="宋体" w:eastAsia="宋体" w:cs="宋体"/>
                <w:color w:val="auto"/>
                <w:szCs w:val="21"/>
              </w:rPr>
            </w:pPr>
          </w:p>
        </w:tc>
        <w:tc>
          <w:tcPr>
            <w:tcW w:w="1629" w:type="dxa"/>
            <w:vAlign w:val="center"/>
          </w:tcPr>
          <w:p w14:paraId="7589EDF5">
            <w:pPr>
              <w:jc w:val="center"/>
              <w:rPr>
                <w:rFonts w:hint="eastAsia" w:ascii="宋体" w:hAnsi="宋体" w:eastAsia="宋体" w:cs="宋体"/>
                <w:color w:val="auto"/>
                <w:szCs w:val="21"/>
              </w:rPr>
            </w:pPr>
          </w:p>
        </w:tc>
        <w:tc>
          <w:tcPr>
            <w:tcW w:w="1239" w:type="dxa"/>
            <w:vAlign w:val="center"/>
          </w:tcPr>
          <w:p w14:paraId="477AD6BA">
            <w:pPr>
              <w:jc w:val="center"/>
              <w:rPr>
                <w:rFonts w:hint="eastAsia" w:ascii="宋体" w:hAnsi="宋体" w:eastAsia="宋体" w:cs="宋体"/>
                <w:color w:val="auto"/>
                <w:szCs w:val="21"/>
              </w:rPr>
            </w:pPr>
          </w:p>
        </w:tc>
        <w:tc>
          <w:tcPr>
            <w:tcW w:w="1544" w:type="dxa"/>
            <w:vAlign w:val="center"/>
          </w:tcPr>
          <w:p w14:paraId="4E8C67D3">
            <w:pPr>
              <w:jc w:val="center"/>
              <w:rPr>
                <w:rFonts w:hint="eastAsia" w:ascii="宋体" w:hAnsi="宋体" w:eastAsia="宋体" w:cs="宋体"/>
                <w:color w:val="auto"/>
                <w:szCs w:val="21"/>
              </w:rPr>
            </w:pPr>
          </w:p>
        </w:tc>
      </w:tr>
      <w:tr w14:paraId="108F0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4167CA0F">
            <w:pPr>
              <w:jc w:val="center"/>
              <w:rPr>
                <w:rFonts w:hint="eastAsia" w:ascii="宋体" w:hAnsi="宋体" w:eastAsia="宋体" w:cs="宋体"/>
                <w:color w:val="auto"/>
                <w:szCs w:val="21"/>
              </w:rPr>
            </w:pPr>
          </w:p>
        </w:tc>
        <w:tc>
          <w:tcPr>
            <w:tcW w:w="1902" w:type="dxa"/>
            <w:vAlign w:val="center"/>
          </w:tcPr>
          <w:p w14:paraId="45BF6E8D">
            <w:pPr>
              <w:jc w:val="center"/>
              <w:rPr>
                <w:rFonts w:hint="eastAsia" w:ascii="宋体" w:hAnsi="宋体" w:eastAsia="宋体" w:cs="宋体"/>
                <w:color w:val="auto"/>
                <w:szCs w:val="21"/>
              </w:rPr>
            </w:pPr>
          </w:p>
        </w:tc>
        <w:tc>
          <w:tcPr>
            <w:tcW w:w="1370" w:type="dxa"/>
            <w:vAlign w:val="center"/>
          </w:tcPr>
          <w:p w14:paraId="5C00ED8A">
            <w:pPr>
              <w:jc w:val="center"/>
              <w:rPr>
                <w:rFonts w:hint="eastAsia" w:ascii="宋体" w:hAnsi="宋体" w:eastAsia="宋体" w:cs="宋体"/>
                <w:color w:val="auto"/>
                <w:szCs w:val="21"/>
              </w:rPr>
            </w:pPr>
          </w:p>
        </w:tc>
        <w:tc>
          <w:tcPr>
            <w:tcW w:w="1629" w:type="dxa"/>
            <w:vAlign w:val="center"/>
          </w:tcPr>
          <w:p w14:paraId="2AA5AA90">
            <w:pPr>
              <w:jc w:val="center"/>
              <w:rPr>
                <w:rFonts w:hint="eastAsia" w:ascii="宋体" w:hAnsi="宋体" w:eastAsia="宋体" w:cs="宋体"/>
                <w:color w:val="auto"/>
                <w:szCs w:val="21"/>
              </w:rPr>
            </w:pPr>
          </w:p>
        </w:tc>
        <w:tc>
          <w:tcPr>
            <w:tcW w:w="1239" w:type="dxa"/>
            <w:vAlign w:val="center"/>
          </w:tcPr>
          <w:p w14:paraId="308D3194">
            <w:pPr>
              <w:jc w:val="center"/>
              <w:rPr>
                <w:rFonts w:hint="eastAsia" w:ascii="宋体" w:hAnsi="宋体" w:eastAsia="宋体" w:cs="宋体"/>
                <w:color w:val="auto"/>
                <w:szCs w:val="21"/>
              </w:rPr>
            </w:pPr>
          </w:p>
        </w:tc>
        <w:tc>
          <w:tcPr>
            <w:tcW w:w="1544" w:type="dxa"/>
            <w:vAlign w:val="center"/>
          </w:tcPr>
          <w:p w14:paraId="33B3B762">
            <w:pPr>
              <w:jc w:val="center"/>
              <w:rPr>
                <w:rFonts w:hint="eastAsia" w:ascii="宋体" w:hAnsi="宋体" w:eastAsia="宋体" w:cs="宋体"/>
                <w:color w:val="auto"/>
                <w:szCs w:val="21"/>
              </w:rPr>
            </w:pPr>
          </w:p>
        </w:tc>
      </w:tr>
      <w:tr w14:paraId="409AF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595C9837">
            <w:pPr>
              <w:jc w:val="center"/>
              <w:rPr>
                <w:rFonts w:hint="eastAsia" w:ascii="宋体" w:hAnsi="宋体" w:eastAsia="宋体" w:cs="宋体"/>
                <w:color w:val="auto"/>
                <w:szCs w:val="21"/>
              </w:rPr>
            </w:pPr>
          </w:p>
        </w:tc>
        <w:tc>
          <w:tcPr>
            <w:tcW w:w="1902" w:type="dxa"/>
            <w:vAlign w:val="center"/>
          </w:tcPr>
          <w:p w14:paraId="50484B8C">
            <w:pPr>
              <w:jc w:val="center"/>
              <w:rPr>
                <w:rFonts w:hint="eastAsia" w:ascii="宋体" w:hAnsi="宋体" w:eastAsia="宋体" w:cs="宋体"/>
                <w:color w:val="auto"/>
                <w:szCs w:val="21"/>
              </w:rPr>
            </w:pPr>
          </w:p>
        </w:tc>
        <w:tc>
          <w:tcPr>
            <w:tcW w:w="1370" w:type="dxa"/>
            <w:vAlign w:val="center"/>
          </w:tcPr>
          <w:p w14:paraId="00872456">
            <w:pPr>
              <w:jc w:val="center"/>
              <w:rPr>
                <w:rFonts w:hint="eastAsia" w:ascii="宋体" w:hAnsi="宋体" w:eastAsia="宋体" w:cs="宋体"/>
                <w:color w:val="auto"/>
                <w:szCs w:val="21"/>
              </w:rPr>
            </w:pPr>
          </w:p>
        </w:tc>
        <w:tc>
          <w:tcPr>
            <w:tcW w:w="1629" w:type="dxa"/>
            <w:vAlign w:val="center"/>
          </w:tcPr>
          <w:p w14:paraId="5B89AEFD">
            <w:pPr>
              <w:jc w:val="center"/>
              <w:rPr>
                <w:rFonts w:hint="eastAsia" w:ascii="宋体" w:hAnsi="宋体" w:eastAsia="宋体" w:cs="宋体"/>
                <w:color w:val="auto"/>
                <w:szCs w:val="21"/>
              </w:rPr>
            </w:pPr>
          </w:p>
        </w:tc>
        <w:tc>
          <w:tcPr>
            <w:tcW w:w="1239" w:type="dxa"/>
            <w:vAlign w:val="center"/>
          </w:tcPr>
          <w:p w14:paraId="4C0AFF25">
            <w:pPr>
              <w:jc w:val="center"/>
              <w:rPr>
                <w:rFonts w:hint="eastAsia" w:ascii="宋体" w:hAnsi="宋体" w:eastAsia="宋体" w:cs="宋体"/>
                <w:color w:val="auto"/>
                <w:szCs w:val="21"/>
              </w:rPr>
            </w:pPr>
          </w:p>
        </w:tc>
        <w:tc>
          <w:tcPr>
            <w:tcW w:w="1544" w:type="dxa"/>
            <w:vAlign w:val="center"/>
          </w:tcPr>
          <w:p w14:paraId="5CEB0E93">
            <w:pPr>
              <w:jc w:val="center"/>
              <w:rPr>
                <w:rFonts w:hint="eastAsia" w:ascii="宋体" w:hAnsi="宋体" w:eastAsia="宋体" w:cs="宋体"/>
                <w:color w:val="auto"/>
                <w:szCs w:val="21"/>
              </w:rPr>
            </w:pPr>
          </w:p>
        </w:tc>
      </w:tr>
      <w:tr w14:paraId="445B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144DF439">
            <w:pPr>
              <w:jc w:val="center"/>
              <w:rPr>
                <w:rFonts w:hint="eastAsia" w:ascii="宋体" w:hAnsi="宋体" w:eastAsia="宋体" w:cs="宋体"/>
                <w:color w:val="auto"/>
                <w:szCs w:val="21"/>
              </w:rPr>
            </w:pPr>
          </w:p>
        </w:tc>
        <w:tc>
          <w:tcPr>
            <w:tcW w:w="1902" w:type="dxa"/>
            <w:vAlign w:val="center"/>
          </w:tcPr>
          <w:p w14:paraId="0D9EF60B">
            <w:pPr>
              <w:jc w:val="center"/>
              <w:rPr>
                <w:rFonts w:hint="eastAsia" w:ascii="宋体" w:hAnsi="宋体" w:eastAsia="宋体" w:cs="宋体"/>
                <w:color w:val="auto"/>
                <w:szCs w:val="21"/>
              </w:rPr>
            </w:pPr>
          </w:p>
        </w:tc>
        <w:tc>
          <w:tcPr>
            <w:tcW w:w="1370" w:type="dxa"/>
            <w:vAlign w:val="center"/>
          </w:tcPr>
          <w:p w14:paraId="2651B47A">
            <w:pPr>
              <w:jc w:val="center"/>
              <w:rPr>
                <w:rFonts w:hint="eastAsia" w:ascii="宋体" w:hAnsi="宋体" w:eastAsia="宋体" w:cs="宋体"/>
                <w:color w:val="auto"/>
                <w:szCs w:val="21"/>
              </w:rPr>
            </w:pPr>
          </w:p>
        </w:tc>
        <w:tc>
          <w:tcPr>
            <w:tcW w:w="1629" w:type="dxa"/>
            <w:vAlign w:val="center"/>
          </w:tcPr>
          <w:p w14:paraId="278573CE">
            <w:pPr>
              <w:jc w:val="center"/>
              <w:rPr>
                <w:rFonts w:hint="eastAsia" w:ascii="宋体" w:hAnsi="宋体" w:eastAsia="宋体" w:cs="宋体"/>
                <w:color w:val="auto"/>
                <w:szCs w:val="21"/>
              </w:rPr>
            </w:pPr>
          </w:p>
        </w:tc>
        <w:tc>
          <w:tcPr>
            <w:tcW w:w="1239" w:type="dxa"/>
            <w:vAlign w:val="center"/>
          </w:tcPr>
          <w:p w14:paraId="45B86440">
            <w:pPr>
              <w:jc w:val="center"/>
              <w:rPr>
                <w:rFonts w:hint="eastAsia" w:ascii="宋体" w:hAnsi="宋体" w:eastAsia="宋体" w:cs="宋体"/>
                <w:color w:val="auto"/>
                <w:szCs w:val="21"/>
              </w:rPr>
            </w:pPr>
          </w:p>
        </w:tc>
        <w:tc>
          <w:tcPr>
            <w:tcW w:w="1544" w:type="dxa"/>
            <w:vAlign w:val="center"/>
          </w:tcPr>
          <w:p w14:paraId="4DEAD0DA">
            <w:pPr>
              <w:jc w:val="center"/>
              <w:rPr>
                <w:rFonts w:hint="eastAsia" w:ascii="宋体" w:hAnsi="宋体" w:eastAsia="宋体" w:cs="宋体"/>
                <w:color w:val="auto"/>
                <w:szCs w:val="21"/>
              </w:rPr>
            </w:pPr>
          </w:p>
        </w:tc>
      </w:tr>
      <w:tr w14:paraId="4A94E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770337C3">
            <w:pPr>
              <w:jc w:val="center"/>
              <w:rPr>
                <w:rFonts w:hint="eastAsia" w:ascii="宋体" w:hAnsi="宋体" w:eastAsia="宋体" w:cs="宋体"/>
                <w:color w:val="auto"/>
                <w:szCs w:val="21"/>
              </w:rPr>
            </w:pPr>
          </w:p>
        </w:tc>
        <w:tc>
          <w:tcPr>
            <w:tcW w:w="1902" w:type="dxa"/>
            <w:vAlign w:val="center"/>
          </w:tcPr>
          <w:p w14:paraId="517F3CE2">
            <w:pPr>
              <w:jc w:val="center"/>
              <w:rPr>
                <w:rFonts w:hint="eastAsia" w:ascii="宋体" w:hAnsi="宋体" w:eastAsia="宋体" w:cs="宋体"/>
                <w:color w:val="auto"/>
                <w:szCs w:val="21"/>
              </w:rPr>
            </w:pPr>
          </w:p>
        </w:tc>
        <w:tc>
          <w:tcPr>
            <w:tcW w:w="1370" w:type="dxa"/>
            <w:vAlign w:val="center"/>
          </w:tcPr>
          <w:p w14:paraId="194F8C7C">
            <w:pPr>
              <w:jc w:val="center"/>
              <w:rPr>
                <w:rFonts w:hint="eastAsia" w:ascii="宋体" w:hAnsi="宋体" w:eastAsia="宋体" w:cs="宋体"/>
                <w:color w:val="auto"/>
                <w:szCs w:val="21"/>
              </w:rPr>
            </w:pPr>
          </w:p>
        </w:tc>
        <w:tc>
          <w:tcPr>
            <w:tcW w:w="1629" w:type="dxa"/>
            <w:vAlign w:val="center"/>
          </w:tcPr>
          <w:p w14:paraId="1BCD377B">
            <w:pPr>
              <w:jc w:val="center"/>
              <w:rPr>
                <w:rFonts w:hint="eastAsia" w:ascii="宋体" w:hAnsi="宋体" w:eastAsia="宋体" w:cs="宋体"/>
                <w:color w:val="auto"/>
                <w:szCs w:val="21"/>
              </w:rPr>
            </w:pPr>
          </w:p>
        </w:tc>
        <w:tc>
          <w:tcPr>
            <w:tcW w:w="1239" w:type="dxa"/>
            <w:vAlign w:val="center"/>
          </w:tcPr>
          <w:p w14:paraId="2AD639A2">
            <w:pPr>
              <w:jc w:val="center"/>
              <w:rPr>
                <w:rFonts w:hint="eastAsia" w:ascii="宋体" w:hAnsi="宋体" w:eastAsia="宋体" w:cs="宋体"/>
                <w:color w:val="auto"/>
                <w:szCs w:val="21"/>
              </w:rPr>
            </w:pPr>
          </w:p>
        </w:tc>
        <w:tc>
          <w:tcPr>
            <w:tcW w:w="1544" w:type="dxa"/>
            <w:vAlign w:val="center"/>
          </w:tcPr>
          <w:p w14:paraId="776DCE6B">
            <w:pPr>
              <w:jc w:val="center"/>
              <w:rPr>
                <w:rFonts w:hint="eastAsia" w:ascii="宋体" w:hAnsi="宋体" w:eastAsia="宋体" w:cs="宋体"/>
                <w:color w:val="auto"/>
                <w:szCs w:val="21"/>
              </w:rPr>
            </w:pPr>
          </w:p>
        </w:tc>
      </w:tr>
      <w:tr w14:paraId="2FD6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4D35E287">
            <w:pPr>
              <w:jc w:val="center"/>
              <w:rPr>
                <w:rFonts w:hint="eastAsia" w:ascii="宋体" w:hAnsi="宋体" w:eastAsia="宋体" w:cs="宋体"/>
                <w:color w:val="auto"/>
                <w:szCs w:val="21"/>
              </w:rPr>
            </w:pPr>
          </w:p>
        </w:tc>
        <w:tc>
          <w:tcPr>
            <w:tcW w:w="1902" w:type="dxa"/>
            <w:vAlign w:val="center"/>
          </w:tcPr>
          <w:p w14:paraId="27402C43">
            <w:pPr>
              <w:jc w:val="center"/>
              <w:rPr>
                <w:rFonts w:hint="eastAsia" w:ascii="宋体" w:hAnsi="宋体" w:eastAsia="宋体" w:cs="宋体"/>
                <w:color w:val="auto"/>
                <w:szCs w:val="21"/>
              </w:rPr>
            </w:pPr>
          </w:p>
        </w:tc>
        <w:tc>
          <w:tcPr>
            <w:tcW w:w="1370" w:type="dxa"/>
            <w:vAlign w:val="center"/>
          </w:tcPr>
          <w:p w14:paraId="63EECA4C">
            <w:pPr>
              <w:jc w:val="center"/>
              <w:rPr>
                <w:rFonts w:hint="eastAsia" w:ascii="宋体" w:hAnsi="宋体" w:eastAsia="宋体" w:cs="宋体"/>
                <w:color w:val="auto"/>
                <w:szCs w:val="21"/>
              </w:rPr>
            </w:pPr>
          </w:p>
        </w:tc>
        <w:tc>
          <w:tcPr>
            <w:tcW w:w="1629" w:type="dxa"/>
            <w:vAlign w:val="center"/>
          </w:tcPr>
          <w:p w14:paraId="5AD3BC25">
            <w:pPr>
              <w:jc w:val="center"/>
              <w:rPr>
                <w:rFonts w:hint="eastAsia" w:ascii="宋体" w:hAnsi="宋体" w:eastAsia="宋体" w:cs="宋体"/>
                <w:color w:val="auto"/>
                <w:szCs w:val="21"/>
              </w:rPr>
            </w:pPr>
          </w:p>
        </w:tc>
        <w:tc>
          <w:tcPr>
            <w:tcW w:w="1239" w:type="dxa"/>
            <w:vAlign w:val="center"/>
          </w:tcPr>
          <w:p w14:paraId="07E5BEEC">
            <w:pPr>
              <w:jc w:val="center"/>
              <w:rPr>
                <w:rFonts w:hint="eastAsia" w:ascii="宋体" w:hAnsi="宋体" w:eastAsia="宋体" w:cs="宋体"/>
                <w:color w:val="auto"/>
                <w:szCs w:val="21"/>
              </w:rPr>
            </w:pPr>
          </w:p>
        </w:tc>
        <w:tc>
          <w:tcPr>
            <w:tcW w:w="1544" w:type="dxa"/>
            <w:vAlign w:val="center"/>
          </w:tcPr>
          <w:p w14:paraId="13DA114B">
            <w:pPr>
              <w:jc w:val="center"/>
              <w:rPr>
                <w:rFonts w:hint="eastAsia" w:ascii="宋体" w:hAnsi="宋体" w:eastAsia="宋体" w:cs="宋体"/>
                <w:color w:val="auto"/>
                <w:szCs w:val="21"/>
              </w:rPr>
            </w:pPr>
          </w:p>
        </w:tc>
      </w:tr>
    </w:tbl>
    <w:p w14:paraId="46C2F6E9">
      <w:pPr>
        <w:rPr>
          <w:rFonts w:hint="eastAsia" w:ascii="宋体" w:hAnsi="宋体" w:eastAsia="宋体" w:cs="宋体"/>
          <w:color w:val="auto"/>
          <w:szCs w:val="21"/>
        </w:rPr>
      </w:pPr>
    </w:p>
    <w:p w14:paraId="40871FA3">
      <w:pPr>
        <w:rPr>
          <w:rFonts w:hint="eastAsia" w:ascii="宋体" w:hAnsi="宋体" w:eastAsia="宋体" w:cs="宋体"/>
          <w:color w:val="auto"/>
          <w:szCs w:val="21"/>
        </w:rPr>
      </w:pPr>
      <w:r>
        <w:rPr>
          <w:rFonts w:hint="eastAsia" w:ascii="宋体" w:hAnsi="宋体" w:eastAsia="宋体" w:cs="宋体"/>
          <w:color w:val="auto"/>
          <w:szCs w:val="21"/>
        </w:rPr>
        <w:t>投标人代表签字：</w:t>
      </w:r>
    </w:p>
    <w:p w14:paraId="1AD585A3">
      <w:pPr>
        <w:rPr>
          <w:rFonts w:hint="eastAsia" w:ascii="宋体" w:hAnsi="宋体" w:eastAsia="宋体" w:cs="宋体"/>
          <w:color w:val="auto"/>
          <w:szCs w:val="21"/>
        </w:rPr>
      </w:pPr>
      <w:r>
        <w:rPr>
          <w:rFonts w:hint="eastAsia" w:ascii="宋体" w:hAnsi="宋体" w:eastAsia="宋体" w:cs="宋体"/>
          <w:color w:val="auto"/>
          <w:szCs w:val="21"/>
        </w:rPr>
        <w:t>投标人盖章：</w:t>
      </w:r>
    </w:p>
    <w:p w14:paraId="0C747464">
      <w:pPr>
        <w:ind w:firstLine="178" w:firstLineChars="85"/>
        <w:rPr>
          <w:rFonts w:hint="eastAsia" w:ascii="宋体" w:hAnsi="宋体" w:eastAsia="宋体" w:cs="宋体"/>
          <w:color w:val="auto"/>
          <w:szCs w:val="21"/>
        </w:rPr>
      </w:pPr>
    </w:p>
    <w:p w14:paraId="6AA1E051">
      <w:pPr>
        <w:rPr>
          <w:rFonts w:hint="eastAsia" w:ascii="宋体" w:hAnsi="宋体" w:eastAsia="宋体" w:cs="宋体"/>
          <w:color w:val="auto"/>
          <w:szCs w:val="21"/>
        </w:rPr>
      </w:pPr>
      <w:r>
        <w:rPr>
          <w:rFonts w:hint="eastAsia" w:ascii="宋体" w:hAnsi="宋体" w:eastAsia="宋体" w:cs="宋体"/>
          <w:color w:val="auto"/>
          <w:szCs w:val="21"/>
        </w:rPr>
        <w:t>注：</w:t>
      </w:r>
    </w:p>
    <w:p w14:paraId="5F2761E9">
      <w:pPr>
        <w:rPr>
          <w:rFonts w:hint="eastAsia" w:ascii="宋体" w:hAnsi="宋体" w:eastAsia="宋体" w:cs="宋体"/>
          <w:color w:val="auto"/>
          <w:szCs w:val="21"/>
        </w:rPr>
      </w:pPr>
      <w:r>
        <w:rPr>
          <w:rFonts w:hint="eastAsia" w:ascii="宋体" w:hAnsi="宋体" w:eastAsia="宋体" w:cs="宋体"/>
          <w:color w:val="auto"/>
          <w:szCs w:val="21"/>
        </w:rPr>
        <w:t>1、投标人应对照采购文件技术需求书中技术规格，说明所提供服务已对采购文件的技术规格做出了实质性的响应，并申明与技术规格条文的偏差和例外。特别对有具体参数要求的指标，投标人必须提供所投设备的具体参数值。</w:t>
      </w:r>
    </w:p>
    <w:p w14:paraId="04E4035C">
      <w:pPr>
        <w:rPr>
          <w:rFonts w:hint="eastAsia" w:ascii="宋体" w:hAnsi="宋体" w:eastAsia="宋体" w:cs="宋体"/>
          <w:color w:val="auto"/>
          <w:szCs w:val="21"/>
        </w:rPr>
      </w:pPr>
      <w:r>
        <w:rPr>
          <w:rFonts w:hint="eastAsia" w:ascii="宋体" w:hAnsi="宋体" w:eastAsia="宋体" w:cs="宋体"/>
          <w:color w:val="auto"/>
          <w:szCs w:val="21"/>
        </w:rPr>
        <w:t>2、不论出于何种原因此表未填写完整，投标人都被认为已清楚了解采购文件“技术需求书”的内容并对采购人所需的服务要求作全面响应，投标人必须承担完成“技术需求书”所描述内容的义务，因此对投标人投标产生负面影响的，投标人自行承担后果。</w:t>
      </w:r>
    </w:p>
    <w:p w14:paraId="3A61A07C">
      <w:pPr>
        <w:rPr>
          <w:rFonts w:hint="eastAsia" w:ascii="宋体" w:hAnsi="宋体" w:eastAsia="宋体" w:cs="宋体"/>
          <w:color w:val="auto"/>
          <w:szCs w:val="21"/>
        </w:rPr>
      </w:pPr>
      <w:r>
        <w:rPr>
          <w:rFonts w:hint="eastAsia" w:ascii="宋体" w:hAnsi="宋体" w:eastAsia="宋体" w:cs="宋体"/>
          <w:color w:val="auto"/>
          <w:szCs w:val="21"/>
        </w:rPr>
        <w:t>3、如有偏离，应在“偏离情况”栏内注明“正”、“负”或“无”，并在“说明”栏内予以说明。</w:t>
      </w:r>
    </w:p>
    <w:p w14:paraId="4E569A80">
      <w:pPr>
        <w:rPr>
          <w:rFonts w:hint="eastAsia" w:ascii="宋体" w:hAnsi="宋体" w:eastAsia="宋体" w:cs="宋体"/>
          <w:color w:val="auto"/>
          <w:szCs w:val="21"/>
        </w:rPr>
      </w:pPr>
      <w:r>
        <w:rPr>
          <w:rFonts w:hint="eastAsia" w:ascii="宋体" w:hAnsi="宋体" w:eastAsia="宋体" w:cs="宋体"/>
          <w:color w:val="auto"/>
          <w:szCs w:val="21"/>
        </w:rPr>
        <w:t>4、如投标人差异内容较多可另附页说明。</w:t>
      </w:r>
    </w:p>
    <w:p w14:paraId="6B71F817">
      <w:pPr>
        <w:rPr>
          <w:rFonts w:hint="eastAsia" w:ascii="宋体" w:hAnsi="宋体" w:eastAsia="宋体" w:cs="宋体"/>
          <w:color w:val="auto"/>
          <w:szCs w:val="21"/>
        </w:rPr>
      </w:pPr>
      <w:r>
        <w:rPr>
          <w:rFonts w:hint="eastAsia" w:ascii="宋体" w:hAnsi="宋体" w:eastAsia="宋体" w:cs="宋体"/>
          <w:color w:val="auto"/>
          <w:szCs w:val="21"/>
        </w:rPr>
        <w:t>5、如投标人对用户需求书</w:t>
      </w:r>
      <w:r>
        <w:rPr>
          <w:rFonts w:hint="eastAsia" w:ascii="宋体" w:hAnsi="宋体" w:eastAsia="宋体" w:cs="宋体"/>
          <w:color w:val="auto"/>
          <w:szCs w:val="21"/>
          <w:lang w:val="en-US" w:eastAsia="zh-CN"/>
        </w:rPr>
        <w:t>技术</w:t>
      </w:r>
      <w:r>
        <w:rPr>
          <w:rFonts w:hint="eastAsia" w:ascii="宋体" w:hAnsi="宋体" w:eastAsia="宋体" w:cs="宋体"/>
          <w:color w:val="auto"/>
          <w:szCs w:val="21"/>
        </w:rPr>
        <w:t>要求的条款全部响应的，也可以在表格下面用文字总括性的说明。</w:t>
      </w:r>
    </w:p>
    <w:p w14:paraId="0E477129">
      <w:pPr>
        <w:adjustRightInd/>
        <w:snapToGrid/>
        <w:spacing w:line="276" w:lineRule="auto"/>
        <w:rPr>
          <w:rFonts w:hint="eastAsia" w:ascii="宋体" w:hAnsi="宋体" w:eastAsia="宋体" w:cs="宋体"/>
          <w:color w:val="auto"/>
        </w:rPr>
      </w:pPr>
    </w:p>
    <w:p w14:paraId="65CCED76">
      <w:pPr>
        <w:adjustRightInd/>
        <w:snapToGrid/>
        <w:spacing w:line="276" w:lineRule="auto"/>
        <w:rPr>
          <w:rFonts w:hint="eastAsia" w:ascii="宋体" w:hAnsi="宋体" w:eastAsia="宋体" w:cs="宋体"/>
          <w:color w:val="auto"/>
        </w:rPr>
      </w:pPr>
    </w:p>
    <w:p w14:paraId="01BEB138">
      <w:pPr>
        <w:rPr>
          <w:rFonts w:hint="eastAsia" w:ascii="宋体" w:hAnsi="宋体" w:eastAsia="宋体" w:cs="宋体"/>
          <w:color w:val="auto"/>
          <w:szCs w:val="21"/>
        </w:rPr>
      </w:pPr>
      <w:bookmarkStart w:id="174" w:name="_Toc17691"/>
      <w:r>
        <w:rPr>
          <w:rFonts w:hint="eastAsia" w:ascii="宋体" w:hAnsi="宋体" w:eastAsia="宋体" w:cs="宋体"/>
          <w:color w:val="auto"/>
          <w:szCs w:val="21"/>
        </w:rPr>
        <w:br w:type="page"/>
      </w:r>
    </w:p>
    <w:bookmarkEnd w:id="174"/>
    <w:p w14:paraId="0BA173A9">
      <w:pPr>
        <w:pStyle w:val="5"/>
        <w:widowControl w:val="0"/>
        <w:overflowPunct w:val="0"/>
        <w:spacing w:line="240" w:lineRule="auto"/>
        <w:rPr>
          <w:rFonts w:hint="eastAsia" w:ascii="宋体" w:hAnsi="宋体" w:eastAsia="宋体" w:cs="宋体"/>
          <w:color w:val="auto"/>
          <w:sz w:val="21"/>
          <w:szCs w:val="21"/>
        </w:rPr>
      </w:pPr>
      <w:bookmarkStart w:id="175" w:name="_Toc4473"/>
      <w:r>
        <w:rPr>
          <w:rFonts w:hint="eastAsia" w:ascii="宋体" w:hAnsi="宋体" w:eastAsia="宋体" w:cs="宋体"/>
          <w:color w:val="auto"/>
          <w:sz w:val="21"/>
          <w:szCs w:val="21"/>
        </w:rPr>
        <w:t>附件16.项目实施方案格式</w:t>
      </w:r>
      <w:bookmarkEnd w:id="175"/>
    </w:p>
    <w:p w14:paraId="4BDEC45B">
      <w:pPr>
        <w:jc w:val="center"/>
        <w:rPr>
          <w:rFonts w:hint="eastAsia" w:ascii="宋体" w:hAnsi="宋体" w:eastAsia="宋体" w:cs="宋体"/>
          <w:color w:val="auto"/>
          <w:sz w:val="32"/>
          <w:szCs w:val="32"/>
        </w:rPr>
      </w:pPr>
    </w:p>
    <w:p w14:paraId="3C1FBD1A">
      <w:pPr>
        <w:jc w:val="center"/>
        <w:rPr>
          <w:rFonts w:hint="eastAsia" w:ascii="宋体" w:hAnsi="宋体" w:eastAsia="宋体" w:cs="宋体"/>
          <w:color w:val="auto"/>
          <w:sz w:val="32"/>
          <w:szCs w:val="32"/>
        </w:rPr>
      </w:pPr>
      <w:r>
        <w:rPr>
          <w:rFonts w:hint="eastAsia" w:ascii="宋体" w:hAnsi="宋体" w:eastAsia="宋体" w:cs="宋体"/>
          <w:color w:val="auto"/>
          <w:sz w:val="32"/>
          <w:szCs w:val="32"/>
        </w:rPr>
        <w:t>项目实施方案</w:t>
      </w:r>
    </w:p>
    <w:p w14:paraId="28A66823">
      <w:pPr>
        <w:jc w:val="center"/>
        <w:rPr>
          <w:rFonts w:hint="eastAsia" w:ascii="宋体" w:hAnsi="宋体" w:eastAsia="宋体" w:cs="宋体"/>
          <w:color w:val="auto"/>
          <w:sz w:val="32"/>
          <w:szCs w:val="32"/>
        </w:rPr>
      </w:pPr>
    </w:p>
    <w:p w14:paraId="12F5CA74">
      <w:pPr>
        <w:ind w:left="718" w:leftChars="200" w:hanging="298" w:hangingChars="142"/>
        <w:rPr>
          <w:rFonts w:hint="eastAsia" w:ascii="宋体" w:hAnsi="宋体" w:eastAsia="宋体" w:cs="宋体"/>
          <w:color w:val="auto"/>
          <w:szCs w:val="21"/>
        </w:rPr>
      </w:pPr>
      <w:r>
        <w:rPr>
          <w:rFonts w:hint="eastAsia" w:ascii="宋体" w:hAnsi="宋体" w:eastAsia="宋体" w:cs="宋体"/>
          <w:color w:val="auto"/>
          <w:szCs w:val="21"/>
        </w:rPr>
        <w:t>1、为完成本项目投标人临时投入的设备</w:t>
      </w:r>
    </w:p>
    <w:p w14:paraId="7A647F68">
      <w:pPr>
        <w:ind w:left="718" w:leftChars="200" w:hanging="298" w:hangingChars="142"/>
        <w:rPr>
          <w:rFonts w:hint="eastAsia" w:ascii="宋体" w:hAnsi="宋体" w:eastAsia="宋体" w:cs="宋体"/>
          <w:color w:val="auto"/>
          <w:szCs w:val="21"/>
        </w:rPr>
      </w:pPr>
      <w:r>
        <w:rPr>
          <w:rFonts w:hint="eastAsia" w:ascii="宋体" w:hAnsi="宋体" w:eastAsia="宋体" w:cs="宋体"/>
          <w:color w:val="auto"/>
          <w:szCs w:val="21"/>
        </w:rPr>
        <w:t>2、为完成本项目投标人投入的人员以及具体工作安排</w:t>
      </w:r>
    </w:p>
    <w:p w14:paraId="7C78AC9E">
      <w:pPr>
        <w:ind w:left="718" w:leftChars="200" w:hanging="298" w:hangingChars="142"/>
        <w:rPr>
          <w:rFonts w:hint="eastAsia" w:ascii="宋体" w:hAnsi="宋体" w:eastAsia="宋体" w:cs="宋体"/>
          <w:color w:val="auto"/>
          <w:szCs w:val="21"/>
        </w:rPr>
      </w:pPr>
      <w:r>
        <w:rPr>
          <w:rFonts w:hint="eastAsia" w:ascii="宋体" w:hAnsi="宋体" w:eastAsia="宋体" w:cs="宋体"/>
          <w:color w:val="auto"/>
          <w:szCs w:val="21"/>
        </w:rPr>
        <w:t>3、投标人为本项目制定的具体项目实施方案与项目实施流程</w:t>
      </w:r>
    </w:p>
    <w:p w14:paraId="3C8322B5">
      <w:pPr>
        <w:ind w:left="718" w:leftChars="200" w:hanging="298" w:hangingChars="142"/>
        <w:rPr>
          <w:rFonts w:hint="eastAsia" w:ascii="宋体" w:hAnsi="宋体" w:eastAsia="宋体" w:cs="宋体"/>
          <w:color w:val="auto"/>
          <w:szCs w:val="21"/>
        </w:rPr>
      </w:pPr>
      <w:r>
        <w:rPr>
          <w:rFonts w:hint="eastAsia" w:ascii="宋体" w:hAnsi="宋体" w:eastAsia="宋体" w:cs="宋体"/>
          <w:color w:val="auto"/>
          <w:szCs w:val="21"/>
        </w:rPr>
        <w:t>4、服务方案</w:t>
      </w:r>
    </w:p>
    <w:p w14:paraId="0DD75698">
      <w:pPr>
        <w:ind w:left="718" w:leftChars="200" w:hanging="298" w:hangingChars="142"/>
        <w:rPr>
          <w:rFonts w:hint="eastAsia" w:ascii="宋体" w:hAnsi="宋体" w:eastAsia="宋体" w:cs="宋体"/>
          <w:color w:val="auto"/>
          <w:szCs w:val="21"/>
        </w:rPr>
      </w:pPr>
      <w:r>
        <w:rPr>
          <w:rFonts w:hint="eastAsia" w:ascii="宋体" w:hAnsi="宋体" w:eastAsia="宋体" w:cs="宋体"/>
          <w:color w:val="auto"/>
          <w:szCs w:val="21"/>
        </w:rPr>
        <w:t>5、..........</w:t>
      </w:r>
    </w:p>
    <w:p w14:paraId="1921BAB8">
      <w:pPr>
        <w:ind w:left="718" w:leftChars="200" w:hanging="298" w:hangingChars="142"/>
        <w:rPr>
          <w:rFonts w:hint="eastAsia" w:ascii="宋体" w:hAnsi="宋体" w:eastAsia="宋体" w:cs="宋体"/>
          <w:color w:val="auto"/>
          <w:szCs w:val="21"/>
        </w:rPr>
      </w:pPr>
      <w:r>
        <w:rPr>
          <w:rFonts w:hint="eastAsia" w:ascii="宋体" w:hAnsi="宋体" w:eastAsia="宋体" w:cs="宋体"/>
          <w:color w:val="auto"/>
          <w:szCs w:val="21"/>
        </w:rPr>
        <w:t>自行编写。</w:t>
      </w:r>
    </w:p>
    <w:p w14:paraId="3E04F2D8">
      <w:pPr>
        <w:ind w:left="718" w:leftChars="200" w:hanging="298" w:hangingChars="142"/>
        <w:rPr>
          <w:rFonts w:hint="eastAsia" w:ascii="宋体" w:hAnsi="宋体" w:eastAsia="宋体" w:cs="宋体"/>
          <w:color w:val="auto"/>
          <w:szCs w:val="21"/>
        </w:rPr>
      </w:pPr>
    </w:p>
    <w:p w14:paraId="5EE525AE">
      <w:pPr>
        <w:ind w:left="718" w:leftChars="200" w:hanging="298" w:hangingChars="142"/>
        <w:rPr>
          <w:rFonts w:hint="eastAsia" w:ascii="宋体" w:hAnsi="宋体" w:eastAsia="宋体" w:cs="宋体"/>
          <w:color w:val="auto"/>
          <w:szCs w:val="21"/>
        </w:rPr>
      </w:pPr>
    </w:p>
    <w:p w14:paraId="17E35C8E">
      <w:pPr>
        <w:ind w:left="718" w:leftChars="200" w:hanging="298" w:hangingChars="142"/>
        <w:rPr>
          <w:rFonts w:hint="eastAsia" w:ascii="宋体" w:hAnsi="宋体" w:eastAsia="宋体" w:cs="宋体"/>
          <w:color w:val="auto"/>
          <w:szCs w:val="21"/>
        </w:rPr>
      </w:pPr>
      <w:r>
        <w:rPr>
          <w:rFonts w:hint="eastAsia" w:ascii="宋体" w:hAnsi="宋体" w:eastAsia="宋体" w:cs="宋体"/>
          <w:color w:val="auto"/>
          <w:szCs w:val="21"/>
        </w:rPr>
        <w:br w:type="page"/>
      </w:r>
    </w:p>
    <w:p w14:paraId="08626CFC">
      <w:pPr>
        <w:pStyle w:val="5"/>
        <w:widowControl w:val="0"/>
        <w:overflowPunct w:val="0"/>
        <w:spacing w:line="240" w:lineRule="auto"/>
        <w:rPr>
          <w:rFonts w:hint="eastAsia" w:ascii="宋体" w:hAnsi="宋体" w:eastAsia="宋体" w:cs="宋体"/>
          <w:color w:val="auto"/>
          <w:sz w:val="21"/>
          <w:szCs w:val="21"/>
        </w:rPr>
      </w:pPr>
      <w:bookmarkStart w:id="176" w:name="_Toc9381"/>
      <w:r>
        <w:rPr>
          <w:rFonts w:hint="eastAsia" w:ascii="宋体" w:hAnsi="宋体" w:eastAsia="宋体" w:cs="宋体"/>
          <w:color w:val="auto"/>
          <w:sz w:val="21"/>
          <w:szCs w:val="21"/>
        </w:rPr>
        <w:t>附件17.实施本项目的有关人员资料表格式</w:t>
      </w:r>
      <w:bookmarkEnd w:id="176"/>
    </w:p>
    <w:p w14:paraId="42FBB845">
      <w:pPr>
        <w:jc w:val="center"/>
        <w:rPr>
          <w:rFonts w:hint="eastAsia" w:ascii="宋体" w:hAnsi="宋体" w:eastAsia="宋体" w:cs="宋体"/>
          <w:color w:val="auto"/>
          <w:szCs w:val="21"/>
        </w:rPr>
      </w:pPr>
    </w:p>
    <w:p w14:paraId="4DD8F5CC">
      <w:pPr>
        <w:jc w:val="center"/>
        <w:rPr>
          <w:rFonts w:hint="eastAsia" w:ascii="宋体" w:hAnsi="宋体" w:eastAsia="宋体" w:cs="宋体"/>
          <w:color w:val="auto"/>
          <w:sz w:val="32"/>
          <w:szCs w:val="32"/>
        </w:rPr>
      </w:pPr>
      <w:r>
        <w:rPr>
          <w:rFonts w:hint="eastAsia" w:ascii="宋体" w:hAnsi="宋体" w:eastAsia="宋体" w:cs="宋体"/>
          <w:color w:val="auto"/>
          <w:sz w:val="32"/>
          <w:szCs w:val="32"/>
        </w:rPr>
        <w:t>实施本项目的有关人员资料表</w:t>
      </w:r>
    </w:p>
    <w:tbl>
      <w:tblPr>
        <w:tblStyle w:val="3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702"/>
        <w:gridCol w:w="1863"/>
        <w:gridCol w:w="703"/>
        <w:gridCol w:w="703"/>
        <w:gridCol w:w="1165"/>
        <w:gridCol w:w="819"/>
        <w:gridCol w:w="1165"/>
        <w:gridCol w:w="703"/>
      </w:tblGrid>
      <w:tr w14:paraId="63B68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175A7EEF">
            <w:pPr>
              <w:jc w:val="center"/>
              <w:rPr>
                <w:rFonts w:hint="eastAsia" w:ascii="宋体" w:hAnsi="宋体" w:eastAsia="宋体" w:cs="宋体"/>
                <w:color w:val="auto"/>
                <w:szCs w:val="21"/>
              </w:rPr>
            </w:pPr>
            <w:r>
              <w:rPr>
                <w:rFonts w:hint="eastAsia" w:ascii="宋体" w:hAnsi="宋体" w:eastAsia="宋体" w:cs="宋体"/>
                <w:color w:val="auto"/>
                <w:szCs w:val="21"/>
              </w:rPr>
              <w:t>序号</w:t>
            </w:r>
          </w:p>
        </w:tc>
        <w:tc>
          <w:tcPr>
            <w:tcW w:w="412" w:type="pct"/>
            <w:vAlign w:val="center"/>
          </w:tcPr>
          <w:p w14:paraId="05C458EA">
            <w:pPr>
              <w:jc w:val="center"/>
              <w:rPr>
                <w:rFonts w:hint="eastAsia" w:ascii="宋体" w:hAnsi="宋体" w:eastAsia="宋体" w:cs="宋体"/>
                <w:color w:val="auto"/>
                <w:szCs w:val="21"/>
              </w:rPr>
            </w:pPr>
            <w:r>
              <w:rPr>
                <w:rFonts w:hint="eastAsia" w:ascii="宋体" w:hAnsi="宋体" w:eastAsia="宋体" w:cs="宋体"/>
                <w:color w:val="auto"/>
                <w:szCs w:val="21"/>
              </w:rPr>
              <w:t>姓名</w:t>
            </w:r>
          </w:p>
        </w:tc>
        <w:tc>
          <w:tcPr>
            <w:tcW w:w="1092" w:type="pct"/>
            <w:vAlign w:val="center"/>
          </w:tcPr>
          <w:p w14:paraId="5893C46D">
            <w:pPr>
              <w:jc w:val="center"/>
              <w:rPr>
                <w:rFonts w:hint="eastAsia" w:ascii="宋体" w:hAnsi="宋体" w:eastAsia="宋体" w:cs="宋体"/>
                <w:color w:val="auto"/>
                <w:szCs w:val="21"/>
              </w:rPr>
            </w:pPr>
            <w:r>
              <w:rPr>
                <w:rFonts w:hint="eastAsia" w:ascii="宋体" w:hAnsi="宋体" w:eastAsia="宋体" w:cs="宋体"/>
                <w:color w:val="auto"/>
                <w:szCs w:val="21"/>
              </w:rPr>
              <w:t>本项目拟任岗位</w:t>
            </w:r>
          </w:p>
        </w:tc>
        <w:tc>
          <w:tcPr>
            <w:tcW w:w="412" w:type="pct"/>
            <w:vAlign w:val="center"/>
          </w:tcPr>
          <w:p w14:paraId="37E36503">
            <w:pPr>
              <w:jc w:val="center"/>
              <w:rPr>
                <w:rFonts w:hint="eastAsia" w:ascii="宋体" w:hAnsi="宋体" w:eastAsia="宋体" w:cs="宋体"/>
                <w:color w:val="auto"/>
                <w:szCs w:val="21"/>
              </w:rPr>
            </w:pPr>
            <w:r>
              <w:rPr>
                <w:rFonts w:hint="eastAsia" w:ascii="宋体" w:hAnsi="宋体" w:eastAsia="宋体" w:cs="宋体"/>
                <w:color w:val="auto"/>
                <w:szCs w:val="21"/>
              </w:rPr>
              <w:t>性别</w:t>
            </w:r>
          </w:p>
        </w:tc>
        <w:tc>
          <w:tcPr>
            <w:tcW w:w="412" w:type="pct"/>
            <w:vAlign w:val="center"/>
          </w:tcPr>
          <w:p w14:paraId="29A6EEA5">
            <w:pPr>
              <w:jc w:val="center"/>
              <w:rPr>
                <w:rFonts w:hint="eastAsia" w:ascii="宋体" w:hAnsi="宋体" w:eastAsia="宋体" w:cs="宋体"/>
                <w:color w:val="auto"/>
                <w:szCs w:val="21"/>
              </w:rPr>
            </w:pPr>
            <w:r>
              <w:rPr>
                <w:rFonts w:hint="eastAsia" w:ascii="宋体" w:hAnsi="宋体" w:eastAsia="宋体" w:cs="宋体"/>
                <w:color w:val="auto"/>
                <w:szCs w:val="21"/>
              </w:rPr>
              <w:t>年龄</w:t>
            </w:r>
          </w:p>
        </w:tc>
        <w:tc>
          <w:tcPr>
            <w:tcW w:w="683" w:type="pct"/>
            <w:vAlign w:val="center"/>
          </w:tcPr>
          <w:p w14:paraId="041DFF85">
            <w:pPr>
              <w:jc w:val="center"/>
              <w:rPr>
                <w:rFonts w:hint="eastAsia" w:ascii="宋体" w:hAnsi="宋体" w:eastAsia="宋体" w:cs="宋体"/>
                <w:color w:val="auto"/>
                <w:szCs w:val="21"/>
              </w:rPr>
            </w:pPr>
            <w:r>
              <w:rPr>
                <w:rFonts w:hint="eastAsia" w:ascii="宋体" w:hAnsi="宋体" w:eastAsia="宋体" w:cs="宋体"/>
                <w:color w:val="auto"/>
                <w:szCs w:val="21"/>
              </w:rPr>
              <w:t>技术职称</w:t>
            </w:r>
          </w:p>
        </w:tc>
        <w:tc>
          <w:tcPr>
            <w:tcW w:w="480" w:type="pct"/>
            <w:vAlign w:val="center"/>
          </w:tcPr>
          <w:p w14:paraId="0DE0410D">
            <w:pPr>
              <w:jc w:val="center"/>
              <w:rPr>
                <w:rFonts w:hint="eastAsia" w:ascii="宋体" w:hAnsi="宋体" w:eastAsia="宋体" w:cs="宋体"/>
                <w:color w:val="auto"/>
                <w:szCs w:val="21"/>
              </w:rPr>
            </w:pPr>
            <w:r>
              <w:rPr>
                <w:rFonts w:hint="eastAsia" w:ascii="宋体" w:hAnsi="宋体" w:eastAsia="宋体" w:cs="宋体"/>
                <w:color w:val="auto"/>
                <w:szCs w:val="21"/>
              </w:rPr>
              <w:t>专 业</w:t>
            </w:r>
          </w:p>
        </w:tc>
        <w:tc>
          <w:tcPr>
            <w:tcW w:w="683" w:type="pct"/>
            <w:vAlign w:val="center"/>
          </w:tcPr>
          <w:p w14:paraId="6F2C37E2">
            <w:pPr>
              <w:jc w:val="center"/>
              <w:rPr>
                <w:rFonts w:hint="eastAsia" w:ascii="宋体" w:hAnsi="宋体" w:eastAsia="宋体" w:cs="宋体"/>
                <w:color w:val="auto"/>
                <w:szCs w:val="21"/>
              </w:rPr>
            </w:pPr>
            <w:r>
              <w:rPr>
                <w:rFonts w:hint="eastAsia" w:ascii="宋体" w:hAnsi="宋体" w:eastAsia="宋体" w:cs="宋体"/>
                <w:color w:val="auto"/>
                <w:szCs w:val="21"/>
              </w:rPr>
              <w:t>资质证书</w:t>
            </w:r>
          </w:p>
        </w:tc>
        <w:tc>
          <w:tcPr>
            <w:tcW w:w="412" w:type="pct"/>
            <w:tcBorders>
              <w:right w:val="single" w:color="auto" w:sz="6" w:space="0"/>
            </w:tcBorders>
            <w:vAlign w:val="center"/>
          </w:tcPr>
          <w:p w14:paraId="0E68C0BB">
            <w:pPr>
              <w:jc w:val="center"/>
              <w:rPr>
                <w:rFonts w:hint="eastAsia" w:ascii="宋体" w:hAnsi="宋体" w:eastAsia="宋体" w:cs="宋体"/>
                <w:color w:val="auto"/>
                <w:szCs w:val="21"/>
              </w:rPr>
            </w:pPr>
            <w:r>
              <w:rPr>
                <w:rFonts w:hint="eastAsia" w:ascii="宋体" w:hAnsi="宋体" w:eastAsia="宋体" w:cs="宋体"/>
                <w:color w:val="auto"/>
                <w:szCs w:val="21"/>
              </w:rPr>
              <w:t>备注</w:t>
            </w:r>
          </w:p>
        </w:tc>
      </w:tr>
      <w:tr w14:paraId="6CDFB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6B92F4D9">
            <w:pPr>
              <w:spacing w:line="288" w:lineRule="auto"/>
              <w:jc w:val="center"/>
              <w:rPr>
                <w:rFonts w:hint="eastAsia" w:ascii="宋体" w:hAnsi="宋体" w:eastAsia="宋体" w:cs="宋体"/>
                <w:color w:val="auto"/>
                <w:szCs w:val="21"/>
              </w:rPr>
            </w:pPr>
          </w:p>
        </w:tc>
        <w:tc>
          <w:tcPr>
            <w:tcW w:w="412" w:type="pct"/>
            <w:vAlign w:val="center"/>
          </w:tcPr>
          <w:p w14:paraId="7FC81181">
            <w:pPr>
              <w:spacing w:line="288" w:lineRule="auto"/>
              <w:jc w:val="center"/>
              <w:rPr>
                <w:rFonts w:hint="eastAsia" w:ascii="宋体" w:hAnsi="宋体" w:eastAsia="宋体" w:cs="宋体"/>
                <w:color w:val="auto"/>
                <w:szCs w:val="21"/>
              </w:rPr>
            </w:pPr>
          </w:p>
        </w:tc>
        <w:tc>
          <w:tcPr>
            <w:tcW w:w="1092" w:type="pct"/>
            <w:vAlign w:val="center"/>
          </w:tcPr>
          <w:p w14:paraId="395478A0">
            <w:pPr>
              <w:spacing w:line="288" w:lineRule="auto"/>
              <w:jc w:val="center"/>
              <w:rPr>
                <w:rFonts w:hint="eastAsia" w:ascii="宋体" w:hAnsi="宋体" w:eastAsia="宋体" w:cs="宋体"/>
                <w:color w:val="auto"/>
                <w:szCs w:val="21"/>
              </w:rPr>
            </w:pPr>
          </w:p>
        </w:tc>
        <w:tc>
          <w:tcPr>
            <w:tcW w:w="412" w:type="pct"/>
            <w:vAlign w:val="center"/>
          </w:tcPr>
          <w:p w14:paraId="78A46837">
            <w:pPr>
              <w:spacing w:line="288" w:lineRule="auto"/>
              <w:jc w:val="center"/>
              <w:rPr>
                <w:rFonts w:hint="eastAsia" w:ascii="宋体" w:hAnsi="宋体" w:eastAsia="宋体" w:cs="宋体"/>
                <w:color w:val="auto"/>
                <w:szCs w:val="21"/>
              </w:rPr>
            </w:pPr>
          </w:p>
        </w:tc>
        <w:tc>
          <w:tcPr>
            <w:tcW w:w="412" w:type="pct"/>
            <w:vAlign w:val="center"/>
          </w:tcPr>
          <w:p w14:paraId="563EFADE">
            <w:pPr>
              <w:spacing w:line="288" w:lineRule="auto"/>
              <w:jc w:val="center"/>
              <w:rPr>
                <w:rFonts w:hint="eastAsia" w:ascii="宋体" w:hAnsi="宋体" w:eastAsia="宋体" w:cs="宋体"/>
                <w:color w:val="auto"/>
                <w:szCs w:val="21"/>
              </w:rPr>
            </w:pPr>
          </w:p>
        </w:tc>
        <w:tc>
          <w:tcPr>
            <w:tcW w:w="683" w:type="pct"/>
            <w:vAlign w:val="center"/>
          </w:tcPr>
          <w:p w14:paraId="492AFE46">
            <w:pPr>
              <w:spacing w:line="288" w:lineRule="auto"/>
              <w:jc w:val="center"/>
              <w:rPr>
                <w:rFonts w:hint="eastAsia" w:ascii="宋体" w:hAnsi="宋体" w:eastAsia="宋体" w:cs="宋体"/>
                <w:color w:val="auto"/>
                <w:szCs w:val="21"/>
              </w:rPr>
            </w:pPr>
          </w:p>
        </w:tc>
        <w:tc>
          <w:tcPr>
            <w:tcW w:w="480" w:type="pct"/>
            <w:vAlign w:val="center"/>
          </w:tcPr>
          <w:p w14:paraId="1169A54A">
            <w:pPr>
              <w:spacing w:line="288" w:lineRule="auto"/>
              <w:jc w:val="center"/>
              <w:rPr>
                <w:rFonts w:hint="eastAsia" w:ascii="宋体" w:hAnsi="宋体" w:eastAsia="宋体" w:cs="宋体"/>
                <w:color w:val="auto"/>
                <w:szCs w:val="21"/>
              </w:rPr>
            </w:pPr>
          </w:p>
        </w:tc>
        <w:tc>
          <w:tcPr>
            <w:tcW w:w="683" w:type="pct"/>
            <w:vAlign w:val="center"/>
          </w:tcPr>
          <w:p w14:paraId="1CF6C3E7">
            <w:pPr>
              <w:spacing w:line="288" w:lineRule="auto"/>
              <w:jc w:val="center"/>
              <w:rPr>
                <w:rFonts w:hint="eastAsia" w:ascii="宋体" w:hAnsi="宋体" w:eastAsia="宋体" w:cs="宋体"/>
                <w:color w:val="auto"/>
                <w:szCs w:val="21"/>
              </w:rPr>
            </w:pPr>
          </w:p>
        </w:tc>
        <w:tc>
          <w:tcPr>
            <w:tcW w:w="412" w:type="pct"/>
            <w:tcBorders>
              <w:right w:val="single" w:color="auto" w:sz="6" w:space="0"/>
            </w:tcBorders>
            <w:vAlign w:val="center"/>
          </w:tcPr>
          <w:p w14:paraId="41C63B5A">
            <w:pPr>
              <w:spacing w:line="288" w:lineRule="auto"/>
              <w:jc w:val="center"/>
              <w:rPr>
                <w:rFonts w:hint="eastAsia" w:ascii="宋体" w:hAnsi="宋体" w:eastAsia="宋体" w:cs="宋体"/>
                <w:color w:val="auto"/>
                <w:szCs w:val="21"/>
              </w:rPr>
            </w:pPr>
          </w:p>
        </w:tc>
      </w:tr>
      <w:tr w14:paraId="213C0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5E2E7B83">
            <w:pPr>
              <w:spacing w:line="288" w:lineRule="auto"/>
              <w:jc w:val="center"/>
              <w:rPr>
                <w:rFonts w:hint="eastAsia" w:ascii="宋体" w:hAnsi="宋体" w:eastAsia="宋体" w:cs="宋体"/>
                <w:color w:val="auto"/>
                <w:szCs w:val="21"/>
              </w:rPr>
            </w:pPr>
          </w:p>
        </w:tc>
        <w:tc>
          <w:tcPr>
            <w:tcW w:w="412" w:type="pct"/>
            <w:vAlign w:val="center"/>
          </w:tcPr>
          <w:p w14:paraId="38453106">
            <w:pPr>
              <w:spacing w:line="288" w:lineRule="auto"/>
              <w:jc w:val="center"/>
              <w:rPr>
                <w:rFonts w:hint="eastAsia" w:ascii="宋体" w:hAnsi="宋体" w:eastAsia="宋体" w:cs="宋体"/>
                <w:color w:val="auto"/>
                <w:szCs w:val="21"/>
              </w:rPr>
            </w:pPr>
          </w:p>
        </w:tc>
        <w:tc>
          <w:tcPr>
            <w:tcW w:w="1092" w:type="pct"/>
            <w:vAlign w:val="center"/>
          </w:tcPr>
          <w:p w14:paraId="51768440">
            <w:pPr>
              <w:spacing w:line="288" w:lineRule="auto"/>
              <w:jc w:val="center"/>
              <w:rPr>
                <w:rFonts w:hint="eastAsia" w:ascii="宋体" w:hAnsi="宋体" w:eastAsia="宋体" w:cs="宋体"/>
                <w:color w:val="auto"/>
                <w:szCs w:val="21"/>
              </w:rPr>
            </w:pPr>
          </w:p>
        </w:tc>
        <w:tc>
          <w:tcPr>
            <w:tcW w:w="412" w:type="pct"/>
            <w:vAlign w:val="center"/>
          </w:tcPr>
          <w:p w14:paraId="4ABC799E">
            <w:pPr>
              <w:spacing w:line="288" w:lineRule="auto"/>
              <w:jc w:val="center"/>
              <w:rPr>
                <w:rFonts w:hint="eastAsia" w:ascii="宋体" w:hAnsi="宋体" w:eastAsia="宋体" w:cs="宋体"/>
                <w:color w:val="auto"/>
                <w:szCs w:val="21"/>
              </w:rPr>
            </w:pPr>
          </w:p>
        </w:tc>
        <w:tc>
          <w:tcPr>
            <w:tcW w:w="412" w:type="pct"/>
            <w:vAlign w:val="center"/>
          </w:tcPr>
          <w:p w14:paraId="3B929198">
            <w:pPr>
              <w:spacing w:line="288" w:lineRule="auto"/>
              <w:jc w:val="center"/>
              <w:rPr>
                <w:rFonts w:hint="eastAsia" w:ascii="宋体" w:hAnsi="宋体" w:eastAsia="宋体" w:cs="宋体"/>
                <w:color w:val="auto"/>
                <w:szCs w:val="21"/>
              </w:rPr>
            </w:pPr>
          </w:p>
        </w:tc>
        <w:tc>
          <w:tcPr>
            <w:tcW w:w="683" w:type="pct"/>
            <w:vAlign w:val="center"/>
          </w:tcPr>
          <w:p w14:paraId="00E83CFA">
            <w:pPr>
              <w:spacing w:line="288" w:lineRule="auto"/>
              <w:jc w:val="center"/>
              <w:rPr>
                <w:rFonts w:hint="eastAsia" w:ascii="宋体" w:hAnsi="宋体" w:eastAsia="宋体" w:cs="宋体"/>
                <w:color w:val="auto"/>
                <w:szCs w:val="21"/>
              </w:rPr>
            </w:pPr>
          </w:p>
        </w:tc>
        <w:tc>
          <w:tcPr>
            <w:tcW w:w="480" w:type="pct"/>
            <w:vAlign w:val="center"/>
          </w:tcPr>
          <w:p w14:paraId="6878049B">
            <w:pPr>
              <w:spacing w:line="288" w:lineRule="auto"/>
              <w:jc w:val="center"/>
              <w:rPr>
                <w:rFonts w:hint="eastAsia" w:ascii="宋体" w:hAnsi="宋体" w:eastAsia="宋体" w:cs="宋体"/>
                <w:color w:val="auto"/>
                <w:szCs w:val="21"/>
              </w:rPr>
            </w:pPr>
          </w:p>
        </w:tc>
        <w:tc>
          <w:tcPr>
            <w:tcW w:w="683" w:type="pct"/>
            <w:vAlign w:val="center"/>
          </w:tcPr>
          <w:p w14:paraId="5F559A94">
            <w:pPr>
              <w:spacing w:line="288" w:lineRule="auto"/>
              <w:jc w:val="center"/>
              <w:rPr>
                <w:rFonts w:hint="eastAsia" w:ascii="宋体" w:hAnsi="宋体" w:eastAsia="宋体" w:cs="宋体"/>
                <w:color w:val="auto"/>
                <w:szCs w:val="21"/>
              </w:rPr>
            </w:pPr>
          </w:p>
        </w:tc>
        <w:tc>
          <w:tcPr>
            <w:tcW w:w="412" w:type="pct"/>
            <w:tcBorders>
              <w:right w:val="single" w:color="auto" w:sz="6" w:space="0"/>
            </w:tcBorders>
            <w:vAlign w:val="center"/>
          </w:tcPr>
          <w:p w14:paraId="72181720">
            <w:pPr>
              <w:spacing w:line="288" w:lineRule="auto"/>
              <w:jc w:val="center"/>
              <w:rPr>
                <w:rFonts w:hint="eastAsia" w:ascii="宋体" w:hAnsi="宋体" w:eastAsia="宋体" w:cs="宋体"/>
                <w:color w:val="auto"/>
                <w:szCs w:val="21"/>
              </w:rPr>
            </w:pPr>
          </w:p>
        </w:tc>
      </w:tr>
      <w:tr w14:paraId="01A65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17F2EF7F">
            <w:pPr>
              <w:spacing w:line="288" w:lineRule="auto"/>
              <w:jc w:val="center"/>
              <w:rPr>
                <w:rFonts w:hint="eastAsia" w:ascii="宋体" w:hAnsi="宋体" w:eastAsia="宋体" w:cs="宋体"/>
                <w:color w:val="auto"/>
                <w:szCs w:val="21"/>
              </w:rPr>
            </w:pPr>
          </w:p>
        </w:tc>
        <w:tc>
          <w:tcPr>
            <w:tcW w:w="412" w:type="pct"/>
            <w:vAlign w:val="center"/>
          </w:tcPr>
          <w:p w14:paraId="5DDAA384">
            <w:pPr>
              <w:spacing w:line="288" w:lineRule="auto"/>
              <w:jc w:val="center"/>
              <w:rPr>
                <w:rFonts w:hint="eastAsia" w:ascii="宋体" w:hAnsi="宋体" w:eastAsia="宋体" w:cs="宋体"/>
                <w:color w:val="auto"/>
                <w:szCs w:val="21"/>
              </w:rPr>
            </w:pPr>
          </w:p>
        </w:tc>
        <w:tc>
          <w:tcPr>
            <w:tcW w:w="1092" w:type="pct"/>
            <w:vAlign w:val="center"/>
          </w:tcPr>
          <w:p w14:paraId="27BFEAA0">
            <w:pPr>
              <w:spacing w:line="288" w:lineRule="auto"/>
              <w:jc w:val="center"/>
              <w:rPr>
                <w:rFonts w:hint="eastAsia" w:ascii="宋体" w:hAnsi="宋体" w:eastAsia="宋体" w:cs="宋体"/>
                <w:color w:val="auto"/>
                <w:szCs w:val="21"/>
              </w:rPr>
            </w:pPr>
          </w:p>
        </w:tc>
        <w:tc>
          <w:tcPr>
            <w:tcW w:w="412" w:type="pct"/>
            <w:vAlign w:val="center"/>
          </w:tcPr>
          <w:p w14:paraId="0898D6A4">
            <w:pPr>
              <w:spacing w:line="288" w:lineRule="auto"/>
              <w:jc w:val="center"/>
              <w:rPr>
                <w:rFonts w:hint="eastAsia" w:ascii="宋体" w:hAnsi="宋体" w:eastAsia="宋体" w:cs="宋体"/>
                <w:color w:val="auto"/>
                <w:szCs w:val="21"/>
              </w:rPr>
            </w:pPr>
          </w:p>
        </w:tc>
        <w:tc>
          <w:tcPr>
            <w:tcW w:w="412" w:type="pct"/>
            <w:vAlign w:val="center"/>
          </w:tcPr>
          <w:p w14:paraId="6A6F153C">
            <w:pPr>
              <w:spacing w:line="288" w:lineRule="auto"/>
              <w:jc w:val="center"/>
              <w:rPr>
                <w:rFonts w:hint="eastAsia" w:ascii="宋体" w:hAnsi="宋体" w:eastAsia="宋体" w:cs="宋体"/>
                <w:color w:val="auto"/>
                <w:szCs w:val="21"/>
              </w:rPr>
            </w:pPr>
          </w:p>
        </w:tc>
        <w:tc>
          <w:tcPr>
            <w:tcW w:w="683" w:type="pct"/>
            <w:vAlign w:val="center"/>
          </w:tcPr>
          <w:p w14:paraId="428E9FD3">
            <w:pPr>
              <w:spacing w:line="288" w:lineRule="auto"/>
              <w:jc w:val="center"/>
              <w:rPr>
                <w:rFonts w:hint="eastAsia" w:ascii="宋体" w:hAnsi="宋体" w:eastAsia="宋体" w:cs="宋体"/>
                <w:color w:val="auto"/>
                <w:szCs w:val="21"/>
              </w:rPr>
            </w:pPr>
          </w:p>
        </w:tc>
        <w:tc>
          <w:tcPr>
            <w:tcW w:w="480" w:type="pct"/>
            <w:vAlign w:val="center"/>
          </w:tcPr>
          <w:p w14:paraId="7496333F">
            <w:pPr>
              <w:spacing w:line="288" w:lineRule="auto"/>
              <w:jc w:val="center"/>
              <w:rPr>
                <w:rFonts w:hint="eastAsia" w:ascii="宋体" w:hAnsi="宋体" w:eastAsia="宋体" w:cs="宋体"/>
                <w:color w:val="auto"/>
                <w:szCs w:val="21"/>
              </w:rPr>
            </w:pPr>
          </w:p>
        </w:tc>
        <w:tc>
          <w:tcPr>
            <w:tcW w:w="683" w:type="pct"/>
            <w:vAlign w:val="center"/>
          </w:tcPr>
          <w:p w14:paraId="4138F0AC">
            <w:pPr>
              <w:spacing w:line="288" w:lineRule="auto"/>
              <w:jc w:val="center"/>
              <w:rPr>
                <w:rFonts w:hint="eastAsia" w:ascii="宋体" w:hAnsi="宋体" w:eastAsia="宋体" w:cs="宋体"/>
                <w:color w:val="auto"/>
                <w:szCs w:val="21"/>
              </w:rPr>
            </w:pPr>
          </w:p>
        </w:tc>
        <w:tc>
          <w:tcPr>
            <w:tcW w:w="412" w:type="pct"/>
            <w:tcBorders>
              <w:right w:val="single" w:color="auto" w:sz="6" w:space="0"/>
            </w:tcBorders>
            <w:vAlign w:val="center"/>
          </w:tcPr>
          <w:p w14:paraId="4075C8D5">
            <w:pPr>
              <w:spacing w:line="288" w:lineRule="auto"/>
              <w:jc w:val="center"/>
              <w:rPr>
                <w:rFonts w:hint="eastAsia" w:ascii="宋体" w:hAnsi="宋体" w:eastAsia="宋体" w:cs="宋体"/>
                <w:color w:val="auto"/>
                <w:szCs w:val="21"/>
              </w:rPr>
            </w:pPr>
          </w:p>
        </w:tc>
      </w:tr>
      <w:tr w14:paraId="40BC2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668E07F9">
            <w:pPr>
              <w:spacing w:line="288" w:lineRule="auto"/>
              <w:jc w:val="center"/>
              <w:rPr>
                <w:rFonts w:hint="eastAsia" w:ascii="宋体" w:hAnsi="宋体" w:eastAsia="宋体" w:cs="宋体"/>
                <w:color w:val="auto"/>
                <w:szCs w:val="21"/>
              </w:rPr>
            </w:pPr>
          </w:p>
        </w:tc>
        <w:tc>
          <w:tcPr>
            <w:tcW w:w="412" w:type="pct"/>
            <w:vAlign w:val="center"/>
          </w:tcPr>
          <w:p w14:paraId="71D4D0F1">
            <w:pPr>
              <w:spacing w:line="288" w:lineRule="auto"/>
              <w:jc w:val="center"/>
              <w:rPr>
                <w:rFonts w:hint="eastAsia" w:ascii="宋体" w:hAnsi="宋体" w:eastAsia="宋体" w:cs="宋体"/>
                <w:color w:val="auto"/>
                <w:szCs w:val="21"/>
              </w:rPr>
            </w:pPr>
          </w:p>
        </w:tc>
        <w:tc>
          <w:tcPr>
            <w:tcW w:w="1092" w:type="pct"/>
            <w:vAlign w:val="center"/>
          </w:tcPr>
          <w:p w14:paraId="0C60B207">
            <w:pPr>
              <w:spacing w:line="288" w:lineRule="auto"/>
              <w:jc w:val="center"/>
              <w:rPr>
                <w:rFonts w:hint="eastAsia" w:ascii="宋体" w:hAnsi="宋体" w:eastAsia="宋体" w:cs="宋体"/>
                <w:color w:val="auto"/>
                <w:szCs w:val="21"/>
              </w:rPr>
            </w:pPr>
          </w:p>
        </w:tc>
        <w:tc>
          <w:tcPr>
            <w:tcW w:w="412" w:type="pct"/>
            <w:vAlign w:val="center"/>
          </w:tcPr>
          <w:p w14:paraId="749A6F69">
            <w:pPr>
              <w:spacing w:line="288" w:lineRule="auto"/>
              <w:jc w:val="center"/>
              <w:rPr>
                <w:rFonts w:hint="eastAsia" w:ascii="宋体" w:hAnsi="宋体" w:eastAsia="宋体" w:cs="宋体"/>
                <w:color w:val="auto"/>
                <w:szCs w:val="21"/>
              </w:rPr>
            </w:pPr>
          </w:p>
        </w:tc>
        <w:tc>
          <w:tcPr>
            <w:tcW w:w="412" w:type="pct"/>
            <w:vAlign w:val="center"/>
          </w:tcPr>
          <w:p w14:paraId="63B10A2D">
            <w:pPr>
              <w:spacing w:line="288" w:lineRule="auto"/>
              <w:jc w:val="center"/>
              <w:rPr>
                <w:rFonts w:hint="eastAsia" w:ascii="宋体" w:hAnsi="宋体" w:eastAsia="宋体" w:cs="宋体"/>
                <w:color w:val="auto"/>
                <w:szCs w:val="21"/>
              </w:rPr>
            </w:pPr>
          </w:p>
        </w:tc>
        <w:tc>
          <w:tcPr>
            <w:tcW w:w="683" w:type="pct"/>
            <w:vAlign w:val="center"/>
          </w:tcPr>
          <w:p w14:paraId="19E04414">
            <w:pPr>
              <w:spacing w:line="288" w:lineRule="auto"/>
              <w:jc w:val="center"/>
              <w:rPr>
                <w:rFonts w:hint="eastAsia" w:ascii="宋体" w:hAnsi="宋体" w:eastAsia="宋体" w:cs="宋体"/>
                <w:color w:val="auto"/>
                <w:szCs w:val="21"/>
              </w:rPr>
            </w:pPr>
          </w:p>
        </w:tc>
        <w:tc>
          <w:tcPr>
            <w:tcW w:w="480" w:type="pct"/>
            <w:vAlign w:val="center"/>
          </w:tcPr>
          <w:p w14:paraId="4BA0840A">
            <w:pPr>
              <w:spacing w:line="288" w:lineRule="auto"/>
              <w:jc w:val="center"/>
              <w:rPr>
                <w:rFonts w:hint="eastAsia" w:ascii="宋体" w:hAnsi="宋体" w:eastAsia="宋体" w:cs="宋体"/>
                <w:color w:val="auto"/>
                <w:szCs w:val="21"/>
              </w:rPr>
            </w:pPr>
          </w:p>
        </w:tc>
        <w:tc>
          <w:tcPr>
            <w:tcW w:w="683" w:type="pct"/>
            <w:vAlign w:val="center"/>
          </w:tcPr>
          <w:p w14:paraId="67F64620">
            <w:pPr>
              <w:spacing w:line="288" w:lineRule="auto"/>
              <w:jc w:val="center"/>
              <w:rPr>
                <w:rFonts w:hint="eastAsia" w:ascii="宋体" w:hAnsi="宋体" w:eastAsia="宋体" w:cs="宋体"/>
                <w:color w:val="auto"/>
                <w:szCs w:val="21"/>
              </w:rPr>
            </w:pPr>
          </w:p>
        </w:tc>
        <w:tc>
          <w:tcPr>
            <w:tcW w:w="412" w:type="pct"/>
            <w:tcBorders>
              <w:right w:val="single" w:color="auto" w:sz="6" w:space="0"/>
            </w:tcBorders>
            <w:vAlign w:val="center"/>
          </w:tcPr>
          <w:p w14:paraId="6DED394D">
            <w:pPr>
              <w:spacing w:line="288" w:lineRule="auto"/>
              <w:jc w:val="center"/>
              <w:rPr>
                <w:rFonts w:hint="eastAsia" w:ascii="宋体" w:hAnsi="宋体" w:eastAsia="宋体" w:cs="宋体"/>
                <w:color w:val="auto"/>
                <w:szCs w:val="21"/>
              </w:rPr>
            </w:pPr>
          </w:p>
        </w:tc>
      </w:tr>
      <w:tr w14:paraId="662AA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0E07932C">
            <w:pPr>
              <w:spacing w:line="288" w:lineRule="auto"/>
              <w:jc w:val="center"/>
              <w:rPr>
                <w:rFonts w:hint="eastAsia" w:ascii="宋体" w:hAnsi="宋体" w:eastAsia="宋体" w:cs="宋体"/>
                <w:color w:val="auto"/>
                <w:szCs w:val="21"/>
              </w:rPr>
            </w:pPr>
          </w:p>
        </w:tc>
        <w:tc>
          <w:tcPr>
            <w:tcW w:w="412" w:type="pct"/>
            <w:vAlign w:val="center"/>
          </w:tcPr>
          <w:p w14:paraId="53A5AB31">
            <w:pPr>
              <w:spacing w:line="288" w:lineRule="auto"/>
              <w:jc w:val="center"/>
              <w:rPr>
                <w:rFonts w:hint="eastAsia" w:ascii="宋体" w:hAnsi="宋体" w:eastAsia="宋体" w:cs="宋体"/>
                <w:color w:val="auto"/>
                <w:szCs w:val="21"/>
              </w:rPr>
            </w:pPr>
          </w:p>
        </w:tc>
        <w:tc>
          <w:tcPr>
            <w:tcW w:w="1092" w:type="pct"/>
            <w:vAlign w:val="center"/>
          </w:tcPr>
          <w:p w14:paraId="15A55716">
            <w:pPr>
              <w:spacing w:line="288" w:lineRule="auto"/>
              <w:jc w:val="center"/>
              <w:rPr>
                <w:rFonts w:hint="eastAsia" w:ascii="宋体" w:hAnsi="宋体" w:eastAsia="宋体" w:cs="宋体"/>
                <w:color w:val="auto"/>
                <w:szCs w:val="21"/>
              </w:rPr>
            </w:pPr>
          </w:p>
        </w:tc>
        <w:tc>
          <w:tcPr>
            <w:tcW w:w="412" w:type="pct"/>
            <w:vAlign w:val="center"/>
          </w:tcPr>
          <w:p w14:paraId="030AAA22">
            <w:pPr>
              <w:spacing w:line="288" w:lineRule="auto"/>
              <w:jc w:val="center"/>
              <w:rPr>
                <w:rFonts w:hint="eastAsia" w:ascii="宋体" w:hAnsi="宋体" w:eastAsia="宋体" w:cs="宋体"/>
                <w:color w:val="auto"/>
                <w:szCs w:val="21"/>
              </w:rPr>
            </w:pPr>
          </w:p>
        </w:tc>
        <w:tc>
          <w:tcPr>
            <w:tcW w:w="412" w:type="pct"/>
            <w:vAlign w:val="center"/>
          </w:tcPr>
          <w:p w14:paraId="4B2D843C">
            <w:pPr>
              <w:spacing w:line="288" w:lineRule="auto"/>
              <w:jc w:val="center"/>
              <w:rPr>
                <w:rFonts w:hint="eastAsia" w:ascii="宋体" w:hAnsi="宋体" w:eastAsia="宋体" w:cs="宋体"/>
                <w:color w:val="auto"/>
                <w:szCs w:val="21"/>
              </w:rPr>
            </w:pPr>
          </w:p>
        </w:tc>
        <w:tc>
          <w:tcPr>
            <w:tcW w:w="683" w:type="pct"/>
            <w:vAlign w:val="center"/>
          </w:tcPr>
          <w:p w14:paraId="2C36E03F">
            <w:pPr>
              <w:spacing w:line="288" w:lineRule="auto"/>
              <w:jc w:val="center"/>
              <w:rPr>
                <w:rFonts w:hint="eastAsia" w:ascii="宋体" w:hAnsi="宋体" w:eastAsia="宋体" w:cs="宋体"/>
                <w:color w:val="auto"/>
                <w:szCs w:val="21"/>
              </w:rPr>
            </w:pPr>
          </w:p>
        </w:tc>
        <w:tc>
          <w:tcPr>
            <w:tcW w:w="480" w:type="pct"/>
            <w:vAlign w:val="center"/>
          </w:tcPr>
          <w:p w14:paraId="50459153">
            <w:pPr>
              <w:spacing w:line="288" w:lineRule="auto"/>
              <w:jc w:val="center"/>
              <w:rPr>
                <w:rFonts w:hint="eastAsia" w:ascii="宋体" w:hAnsi="宋体" w:eastAsia="宋体" w:cs="宋体"/>
                <w:color w:val="auto"/>
                <w:szCs w:val="21"/>
              </w:rPr>
            </w:pPr>
          </w:p>
        </w:tc>
        <w:tc>
          <w:tcPr>
            <w:tcW w:w="683" w:type="pct"/>
            <w:vAlign w:val="center"/>
          </w:tcPr>
          <w:p w14:paraId="17E4FF16">
            <w:pPr>
              <w:spacing w:line="288" w:lineRule="auto"/>
              <w:jc w:val="center"/>
              <w:rPr>
                <w:rFonts w:hint="eastAsia" w:ascii="宋体" w:hAnsi="宋体" w:eastAsia="宋体" w:cs="宋体"/>
                <w:color w:val="auto"/>
                <w:szCs w:val="21"/>
              </w:rPr>
            </w:pPr>
          </w:p>
        </w:tc>
        <w:tc>
          <w:tcPr>
            <w:tcW w:w="412" w:type="pct"/>
            <w:tcBorders>
              <w:right w:val="single" w:color="auto" w:sz="6" w:space="0"/>
            </w:tcBorders>
            <w:vAlign w:val="center"/>
          </w:tcPr>
          <w:p w14:paraId="471AB1FA">
            <w:pPr>
              <w:spacing w:line="288" w:lineRule="auto"/>
              <w:jc w:val="center"/>
              <w:rPr>
                <w:rFonts w:hint="eastAsia" w:ascii="宋体" w:hAnsi="宋体" w:eastAsia="宋体" w:cs="宋体"/>
                <w:color w:val="auto"/>
                <w:szCs w:val="21"/>
              </w:rPr>
            </w:pPr>
          </w:p>
        </w:tc>
      </w:tr>
      <w:tr w14:paraId="74D43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0E285477">
            <w:pPr>
              <w:spacing w:line="288" w:lineRule="auto"/>
              <w:jc w:val="center"/>
              <w:rPr>
                <w:rFonts w:hint="eastAsia" w:ascii="宋体" w:hAnsi="宋体" w:eastAsia="宋体" w:cs="宋体"/>
                <w:color w:val="auto"/>
                <w:szCs w:val="21"/>
              </w:rPr>
            </w:pPr>
          </w:p>
        </w:tc>
        <w:tc>
          <w:tcPr>
            <w:tcW w:w="412" w:type="pct"/>
            <w:vAlign w:val="center"/>
          </w:tcPr>
          <w:p w14:paraId="3C3D01EB">
            <w:pPr>
              <w:spacing w:line="288" w:lineRule="auto"/>
              <w:jc w:val="center"/>
              <w:rPr>
                <w:rFonts w:hint="eastAsia" w:ascii="宋体" w:hAnsi="宋体" w:eastAsia="宋体" w:cs="宋体"/>
                <w:color w:val="auto"/>
                <w:szCs w:val="21"/>
              </w:rPr>
            </w:pPr>
          </w:p>
        </w:tc>
        <w:tc>
          <w:tcPr>
            <w:tcW w:w="1092" w:type="pct"/>
            <w:vAlign w:val="center"/>
          </w:tcPr>
          <w:p w14:paraId="0B7F600D">
            <w:pPr>
              <w:spacing w:line="288" w:lineRule="auto"/>
              <w:jc w:val="center"/>
              <w:rPr>
                <w:rFonts w:hint="eastAsia" w:ascii="宋体" w:hAnsi="宋体" w:eastAsia="宋体" w:cs="宋体"/>
                <w:color w:val="auto"/>
                <w:szCs w:val="21"/>
              </w:rPr>
            </w:pPr>
          </w:p>
        </w:tc>
        <w:tc>
          <w:tcPr>
            <w:tcW w:w="412" w:type="pct"/>
            <w:vAlign w:val="center"/>
          </w:tcPr>
          <w:p w14:paraId="309497BC">
            <w:pPr>
              <w:spacing w:line="288" w:lineRule="auto"/>
              <w:jc w:val="center"/>
              <w:rPr>
                <w:rFonts w:hint="eastAsia" w:ascii="宋体" w:hAnsi="宋体" w:eastAsia="宋体" w:cs="宋体"/>
                <w:color w:val="auto"/>
                <w:szCs w:val="21"/>
              </w:rPr>
            </w:pPr>
          </w:p>
        </w:tc>
        <w:tc>
          <w:tcPr>
            <w:tcW w:w="412" w:type="pct"/>
            <w:vAlign w:val="center"/>
          </w:tcPr>
          <w:p w14:paraId="4F8DC5F0">
            <w:pPr>
              <w:spacing w:line="288" w:lineRule="auto"/>
              <w:jc w:val="center"/>
              <w:rPr>
                <w:rFonts w:hint="eastAsia" w:ascii="宋体" w:hAnsi="宋体" w:eastAsia="宋体" w:cs="宋体"/>
                <w:color w:val="auto"/>
                <w:szCs w:val="21"/>
              </w:rPr>
            </w:pPr>
          </w:p>
        </w:tc>
        <w:tc>
          <w:tcPr>
            <w:tcW w:w="683" w:type="pct"/>
            <w:vAlign w:val="center"/>
          </w:tcPr>
          <w:p w14:paraId="0CEF5C56">
            <w:pPr>
              <w:spacing w:line="288" w:lineRule="auto"/>
              <w:jc w:val="center"/>
              <w:rPr>
                <w:rFonts w:hint="eastAsia" w:ascii="宋体" w:hAnsi="宋体" w:eastAsia="宋体" w:cs="宋体"/>
                <w:color w:val="auto"/>
                <w:szCs w:val="21"/>
              </w:rPr>
            </w:pPr>
          </w:p>
        </w:tc>
        <w:tc>
          <w:tcPr>
            <w:tcW w:w="480" w:type="pct"/>
            <w:vAlign w:val="center"/>
          </w:tcPr>
          <w:p w14:paraId="55B6020B">
            <w:pPr>
              <w:spacing w:line="288" w:lineRule="auto"/>
              <w:jc w:val="center"/>
              <w:rPr>
                <w:rFonts w:hint="eastAsia" w:ascii="宋体" w:hAnsi="宋体" w:eastAsia="宋体" w:cs="宋体"/>
                <w:color w:val="auto"/>
                <w:szCs w:val="21"/>
              </w:rPr>
            </w:pPr>
          </w:p>
        </w:tc>
        <w:tc>
          <w:tcPr>
            <w:tcW w:w="683" w:type="pct"/>
            <w:vAlign w:val="center"/>
          </w:tcPr>
          <w:p w14:paraId="42793FAE">
            <w:pPr>
              <w:spacing w:line="288" w:lineRule="auto"/>
              <w:jc w:val="center"/>
              <w:rPr>
                <w:rFonts w:hint="eastAsia" w:ascii="宋体" w:hAnsi="宋体" w:eastAsia="宋体" w:cs="宋体"/>
                <w:color w:val="auto"/>
                <w:szCs w:val="21"/>
              </w:rPr>
            </w:pPr>
          </w:p>
        </w:tc>
        <w:tc>
          <w:tcPr>
            <w:tcW w:w="412" w:type="pct"/>
            <w:tcBorders>
              <w:right w:val="single" w:color="auto" w:sz="6" w:space="0"/>
            </w:tcBorders>
            <w:vAlign w:val="center"/>
          </w:tcPr>
          <w:p w14:paraId="408CCE54">
            <w:pPr>
              <w:spacing w:line="288" w:lineRule="auto"/>
              <w:jc w:val="center"/>
              <w:rPr>
                <w:rFonts w:hint="eastAsia" w:ascii="宋体" w:hAnsi="宋体" w:eastAsia="宋体" w:cs="宋体"/>
                <w:color w:val="auto"/>
                <w:szCs w:val="21"/>
              </w:rPr>
            </w:pPr>
          </w:p>
        </w:tc>
      </w:tr>
      <w:tr w14:paraId="2A20C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0C5CFC99">
            <w:pPr>
              <w:spacing w:line="288" w:lineRule="auto"/>
              <w:jc w:val="center"/>
              <w:rPr>
                <w:rFonts w:hint="eastAsia" w:ascii="宋体" w:hAnsi="宋体" w:eastAsia="宋体" w:cs="宋体"/>
                <w:color w:val="auto"/>
                <w:szCs w:val="21"/>
              </w:rPr>
            </w:pPr>
          </w:p>
        </w:tc>
        <w:tc>
          <w:tcPr>
            <w:tcW w:w="412" w:type="pct"/>
            <w:vAlign w:val="center"/>
          </w:tcPr>
          <w:p w14:paraId="66533F57">
            <w:pPr>
              <w:spacing w:line="288" w:lineRule="auto"/>
              <w:jc w:val="center"/>
              <w:rPr>
                <w:rFonts w:hint="eastAsia" w:ascii="宋体" w:hAnsi="宋体" w:eastAsia="宋体" w:cs="宋体"/>
                <w:color w:val="auto"/>
                <w:szCs w:val="21"/>
              </w:rPr>
            </w:pPr>
          </w:p>
        </w:tc>
        <w:tc>
          <w:tcPr>
            <w:tcW w:w="1092" w:type="pct"/>
            <w:vAlign w:val="center"/>
          </w:tcPr>
          <w:p w14:paraId="22B1CA91">
            <w:pPr>
              <w:spacing w:line="288" w:lineRule="auto"/>
              <w:jc w:val="center"/>
              <w:rPr>
                <w:rFonts w:hint="eastAsia" w:ascii="宋体" w:hAnsi="宋体" w:eastAsia="宋体" w:cs="宋体"/>
                <w:color w:val="auto"/>
                <w:szCs w:val="21"/>
              </w:rPr>
            </w:pPr>
          </w:p>
        </w:tc>
        <w:tc>
          <w:tcPr>
            <w:tcW w:w="412" w:type="pct"/>
            <w:vAlign w:val="center"/>
          </w:tcPr>
          <w:p w14:paraId="19B4EDFA">
            <w:pPr>
              <w:spacing w:line="288" w:lineRule="auto"/>
              <w:jc w:val="center"/>
              <w:rPr>
                <w:rFonts w:hint="eastAsia" w:ascii="宋体" w:hAnsi="宋体" w:eastAsia="宋体" w:cs="宋体"/>
                <w:color w:val="auto"/>
                <w:szCs w:val="21"/>
              </w:rPr>
            </w:pPr>
          </w:p>
        </w:tc>
        <w:tc>
          <w:tcPr>
            <w:tcW w:w="412" w:type="pct"/>
            <w:vAlign w:val="center"/>
          </w:tcPr>
          <w:p w14:paraId="4D1A465E">
            <w:pPr>
              <w:spacing w:line="288" w:lineRule="auto"/>
              <w:jc w:val="center"/>
              <w:rPr>
                <w:rFonts w:hint="eastAsia" w:ascii="宋体" w:hAnsi="宋体" w:eastAsia="宋体" w:cs="宋体"/>
                <w:color w:val="auto"/>
                <w:szCs w:val="21"/>
              </w:rPr>
            </w:pPr>
          </w:p>
        </w:tc>
        <w:tc>
          <w:tcPr>
            <w:tcW w:w="683" w:type="pct"/>
            <w:vAlign w:val="center"/>
          </w:tcPr>
          <w:p w14:paraId="040A66FC">
            <w:pPr>
              <w:spacing w:line="288" w:lineRule="auto"/>
              <w:jc w:val="center"/>
              <w:rPr>
                <w:rFonts w:hint="eastAsia" w:ascii="宋体" w:hAnsi="宋体" w:eastAsia="宋体" w:cs="宋体"/>
                <w:color w:val="auto"/>
                <w:szCs w:val="21"/>
              </w:rPr>
            </w:pPr>
          </w:p>
        </w:tc>
        <w:tc>
          <w:tcPr>
            <w:tcW w:w="480" w:type="pct"/>
            <w:vAlign w:val="center"/>
          </w:tcPr>
          <w:p w14:paraId="1E1D7511">
            <w:pPr>
              <w:spacing w:line="288" w:lineRule="auto"/>
              <w:jc w:val="center"/>
              <w:rPr>
                <w:rFonts w:hint="eastAsia" w:ascii="宋体" w:hAnsi="宋体" w:eastAsia="宋体" w:cs="宋体"/>
                <w:color w:val="auto"/>
                <w:szCs w:val="21"/>
              </w:rPr>
            </w:pPr>
          </w:p>
        </w:tc>
        <w:tc>
          <w:tcPr>
            <w:tcW w:w="683" w:type="pct"/>
            <w:vAlign w:val="center"/>
          </w:tcPr>
          <w:p w14:paraId="6B20C465">
            <w:pPr>
              <w:spacing w:line="288" w:lineRule="auto"/>
              <w:jc w:val="center"/>
              <w:rPr>
                <w:rFonts w:hint="eastAsia" w:ascii="宋体" w:hAnsi="宋体" w:eastAsia="宋体" w:cs="宋体"/>
                <w:color w:val="auto"/>
                <w:szCs w:val="21"/>
              </w:rPr>
            </w:pPr>
          </w:p>
        </w:tc>
        <w:tc>
          <w:tcPr>
            <w:tcW w:w="412" w:type="pct"/>
            <w:tcBorders>
              <w:right w:val="single" w:color="auto" w:sz="6" w:space="0"/>
            </w:tcBorders>
            <w:vAlign w:val="center"/>
          </w:tcPr>
          <w:p w14:paraId="631B51DF">
            <w:pPr>
              <w:spacing w:line="288" w:lineRule="auto"/>
              <w:jc w:val="center"/>
              <w:rPr>
                <w:rFonts w:hint="eastAsia" w:ascii="宋体" w:hAnsi="宋体" w:eastAsia="宋体" w:cs="宋体"/>
                <w:color w:val="auto"/>
                <w:szCs w:val="21"/>
              </w:rPr>
            </w:pPr>
          </w:p>
        </w:tc>
      </w:tr>
      <w:tr w14:paraId="103E0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46E02100">
            <w:pPr>
              <w:spacing w:line="288" w:lineRule="auto"/>
              <w:jc w:val="center"/>
              <w:rPr>
                <w:rFonts w:hint="eastAsia" w:ascii="宋体" w:hAnsi="宋体" w:eastAsia="宋体" w:cs="宋体"/>
                <w:color w:val="auto"/>
                <w:szCs w:val="21"/>
              </w:rPr>
            </w:pPr>
          </w:p>
        </w:tc>
        <w:tc>
          <w:tcPr>
            <w:tcW w:w="412" w:type="pct"/>
            <w:vAlign w:val="center"/>
          </w:tcPr>
          <w:p w14:paraId="1F5ED87D">
            <w:pPr>
              <w:spacing w:line="288" w:lineRule="auto"/>
              <w:jc w:val="center"/>
              <w:rPr>
                <w:rFonts w:hint="eastAsia" w:ascii="宋体" w:hAnsi="宋体" w:eastAsia="宋体" w:cs="宋体"/>
                <w:color w:val="auto"/>
                <w:szCs w:val="21"/>
              </w:rPr>
            </w:pPr>
          </w:p>
        </w:tc>
        <w:tc>
          <w:tcPr>
            <w:tcW w:w="1092" w:type="pct"/>
            <w:vAlign w:val="center"/>
          </w:tcPr>
          <w:p w14:paraId="14A404EF">
            <w:pPr>
              <w:spacing w:line="288" w:lineRule="auto"/>
              <w:jc w:val="center"/>
              <w:rPr>
                <w:rFonts w:hint="eastAsia" w:ascii="宋体" w:hAnsi="宋体" w:eastAsia="宋体" w:cs="宋体"/>
                <w:color w:val="auto"/>
                <w:szCs w:val="21"/>
              </w:rPr>
            </w:pPr>
          </w:p>
        </w:tc>
        <w:tc>
          <w:tcPr>
            <w:tcW w:w="412" w:type="pct"/>
            <w:vAlign w:val="center"/>
          </w:tcPr>
          <w:p w14:paraId="735E1046">
            <w:pPr>
              <w:spacing w:line="288" w:lineRule="auto"/>
              <w:jc w:val="center"/>
              <w:rPr>
                <w:rFonts w:hint="eastAsia" w:ascii="宋体" w:hAnsi="宋体" w:eastAsia="宋体" w:cs="宋体"/>
                <w:color w:val="auto"/>
                <w:szCs w:val="21"/>
              </w:rPr>
            </w:pPr>
          </w:p>
        </w:tc>
        <w:tc>
          <w:tcPr>
            <w:tcW w:w="412" w:type="pct"/>
            <w:vAlign w:val="center"/>
          </w:tcPr>
          <w:p w14:paraId="7AA34A42">
            <w:pPr>
              <w:spacing w:line="288" w:lineRule="auto"/>
              <w:jc w:val="center"/>
              <w:rPr>
                <w:rFonts w:hint="eastAsia" w:ascii="宋体" w:hAnsi="宋体" w:eastAsia="宋体" w:cs="宋体"/>
                <w:color w:val="auto"/>
                <w:szCs w:val="21"/>
              </w:rPr>
            </w:pPr>
          </w:p>
        </w:tc>
        <w:tc>
          <w:tcPr>
            <w:tcW w:w="683" w:type="pct"/>
            <w:vAlign w:val="center"/>
          </w:tcPr>
          <w:p w14:paraId="6564B77E">
            <w:pPr>
              <w:spacing w:line="288" w:lineRule="auto"/>
              <w:jc w:val="center"/>
              <w:rPr>
                <w:rFonts w:hint="eastAsia" w:ascii="宋体" w:hAnsi="宋体" w:eastAsia="宋体" w:cs="宋体"/>
                <w:color w:val="auto"/>
                <w:szCs w:val="21"/>
              </w:rPr>
            </w:pPr>
          </w:p>
        </w:tc>
        <w:tc>
          <w:tcPr>
            <w:tcW w:w="480" w:type="pct"/>
            <w:vAlign w:val="center"/>
          </w:tcPr>
          <w:p w14:paraId="63E03DCE">
            <w:pPr>
              <w:spacing w:line="288" w:lineRule="auto"/>
              <w:jc w:val="center"/>
              <w:rPr>
                <w:rFonts w:hint="eastAsia" w:ascii="宋体" w:hAnsi="宋体" w:eastAsia="宋体" w:cs="宋体"/>
                <w:color w:val="auto"/>
                <w:szCs w:val="21"/>
              </w:rPr>
            </w:pPr>
          </w:p>
        </w:tc>
        <w:tc>
          <w:tcPr>
            <w:tcW w:w="683" w:type="pct"/>
            <w:vAlign w:val="center"/>
          </w:tcPr>
          <w:p w14:paraId="2CAFEA4B">
            <w:pPr>
              <w:spacing w:line="288" w:lineRule="auto"/>
              <w:jc w:val="center"/>
              <w:rPr>
                <w:rFonts w:hint="eastAsia" w:ascii="宋体" w:hAnsi="宋体" w:eastAsia="宋体" w:cs="宋体"/>
                <w:color w:val="auto"/>
                <w:szCs w:val="21"/>
              </w:rPr>
            </w:pPr>
          </w:p>
        </w:tc>
        <w:tc>
          <w:tcPr>
            <w:tcW w:w="412" w:type="pct"/>
            <w:tcBorders>
              <w:right w:val="single" w:color="auto" w:sz="6" w:space="0"/>
            </w:tcBorders>
            <w:vAlign w:val="center"/>
          </w:tcPr>
          <w:p w14:paraId="73BC0CA5">
            <w:pPr>
              <w:spacing w:line="288" w:lineRule="auto"/>
              <w:jc w:val="center"/>
              <w:rPr>
                <w:rFonts w:hint="eastAsia" w:ascii="宋体" w:hAnsi="宋体" w:eastAsia="宋体" w:cs="宋体"/>
                <w:color w:val="auto"/>
                <w:szCs w:val="21"/>
              </w:rPr>
            </w:pPr>
          </w:p>
        </w:tc>
      </w:tr>
      <w:tr w14:paraId="6B959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36CAD34C">
            <w:pPr>
              <w:spacing w:line="288" w:lineRule="auto"/>
              <w:jc w:val="center"/>
              <w:rPr>
                <w:rFonts w:hint="eastAsia" w:ascii="宋体" w:hAnsi="宋体" w:eastAsia="宋体" w:cs="宋体"/>
                <w:color w:val="auto"/>
                <w:szCs w:val="21"/>
              </w:rPr>
            </w:pPr>
          </w:p>
        </w:tc>
        <w:tc>
          <w:tcPr>
            <w:tcW w:w="412" w:type="pct"/>
            <w:vAlign w:val="center"/>
          </w:tcPr>
          <w:p w14:paraId="1E18E75F">
            <w:pPr>
              <w:spacing w:line="288" w:lineRule="auto"/>
              <w:jc w:val="center"/>
              <w:rPr>
                <w:rFonts w:hint="eastAsia" w:ascii="宋体" w:hAnsi="宋体" w:eastAsia="宋体" w:cs="宋体"/>
                <w:color w:val="auto"/>
                <w:szCs w:val="21"/>
              </w:rPr>
            </w:pPr>
          </w:p>
        </w:tc>
        <w:tc>
          <w:tcPr>
            <w:tcW w:w="1092" w:type="pct"/>
            <w:vAlign w:val="center"/>
          </w:tcPr>
          <w:p w14:paraId="3C70FC68">
            <w:pPr>
              <w:spacing w:line="288" w:lineRule="auto"/>
              <w:jc w:val="center"/>
              <w:rPr>
                <w:rFonts w:hint="eastAsia" w:ascii="宋体" w:hAnsi="宋体" w:eastAsia="宋体" w:cs="宋体"/>
                <w:color w:val="auto"/>
                <w:szCs w:val="21"/>
              </w:rPr>
            </w:pPr>
          </w:p>
        </w:tc>
        <w:tc>
          <w:tcPr>
            <w:tcW w:w="412" w:type="pct"/>
            <w:vAlign w:val="center"/>
          </w:tcPr>
          <w:p w14:paraId="558FF3E7">
            <w:pPr>
              <w:spacing w:line="288" w:lineRule="auto"/>
              <w:jc w:val="center"/>
              <w:rPr>
                <w:rFonts w:hint="eastAsia" w:ascii="宋体" w:hAnsi="宋体" w:eastAsia="宋体" w:cs="宋体"/>
                <w:color w:val="auto"/>
                <w:szCs w:val="21"/>
              </w:rPr>
            </w:pPr>
          </w:p>
        </w:tc>
        <w:tc>
          <w:tcPr>
            <w:tcW w:w="412" w:type="pct"/>
            <w:vAlign w:val="center"/>
          </w:tcPr>
          <w:p w14:paraId="0E8CC1C2">
            <w:pPr>
              <w:spacing w:line="288" w:lineRule="auto"/>
              <w:jc w:val="center"/>
              <w:rPr>
                <w:rFonts w:hint="eastAsia" w:ascii="宋体" w:hAnsi="宋体" w:eastAsia="宋体" w:cs="宋体"/>
                <w:color w:val="auto"/>
                <w:szCs w:val="21"/>
              </w:rPr>
            </w:pPr>
          </w:p>
        </w:tc>
        <w:tc>
          <w:tcPr>
            <w:tcW w:w="683" w:type="pct"/>
            <w:vAlign w:val="center"/>
          </w:tcPr>
          <w:p w14:paraId="48F1E4FA">
            <w:pPr>
              <w:spacing w:line="288" w:lineRule="auto"/>
              <w:jc w:val="center"/>
              <w:rPr>
                <w:rFonts w:hint="eastAsia" w:ascii="宋体" w:hAnsi="宋体" w:eastAsia="宋体" w:cs="宋体"/>
                <w:color w:val="auto"/>
                <w:szCs w:val="21"/>
              </w:rPr>
            </w:pPr>
          </w:p>
        </w:tc>
        <w:tc>
          <w:tcPr>
            <w:tcW w:w="480" w:type="pct"/>
            <w:vAlign w:val="center"/>
          </w:tcPr>
          <w:p w14:paraId="02EA18D3">
            <w:pPr>
              <w:spacing w:line="288" w:lineRule="auto"/>
              <w:jc w:val="center"/>
              <w:rPr>
                <w:rFonts w:hint="eastAsia" w:ascii="宋体" w:hAnsi="宋体" w:eastAsia="宋体" w:cs="宋体"/>
                <w:color w:val="auto"/>
                <w:szCs w:val="21"/>
              </w:rPr>
            </w:pPr>
          </w:p>
        </w:tc>
        <w:tc>
          <w:tcPr>
            <w:tcW w:w="683" w:type="pct"/>
            <w:vAlign w:val="center"/>
          </w:tcPr>
          <w:p w14:paraId="69C70D7F">
            <w:pPr>
              <w:spacing w:line="288" w:lineRule="auto"/>
              <w:jc w:val="center"/>
              <w:rPr>
                <w:rFonts w:hint="eastAsia" w:ascii="宋体" w:hAnsi="宋体" w:eastAsia="宋体" w:cs="宋体"/>
                <w:color w:val="auto"/>
                <w:szCs w:val="21"/>
              </w:rPr>
            </w:pPr>
          </w:p>
        </w:tc>
        <w:tc>
          <w:tcPr>
            <w:tcW w:w="412" w:type="pct"/>
            <w:tcBorders>
              <w:right w:val="single" w:color="auto" w:sz="6" w:space="0"/>
            </w:tcBorders>
            <w:vAlign w:val="center"/>
          </w:tcPr>
          <w:p w14:paraId="145DBFD9">
            <w:pPr>
              <w:spacing w:line="288" w:lineRule="auto"/>
              <w:jc w:val="center"/>
              <w:rPr>
                <w:rFonts w:hint="eastAsia" w:ascii="宋体" w:hAnsi="宋体" w:eastAsia="宋体" w:cs="宋体"/>
                <w:color w:val="auto"/>
                <w:szCs w:val="21"/>
              </w:rPr>
            </w:pPr>
          </w:p>
        </w:tc>
      </w:tr>
      <w:tr w14:paraId="640E2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6409C7AA">
            <w:pPr>
              <w:spacing w:line="288" w:lineRule="auto"/>
              <w:jc w:val="center"/>
              <w:rPr>
                <w:rFonts w:hint="eastAsia" w:ascii="宋体" w:hAnsi="宋体" w:eastAsia="宋体" w:cs="宋体"/>
                <w:color w:val="auto"/>
                <w:szCs w:val="21"/>
              </w:rPr>
            </w:pPr>
          </w:p>
        </w:tc>
        <w:tc>
          <w:tcPr>
            <w:tcW w:w="412" w:type="pct"/>
            <w:vAlign w:val="center"/>
          </w:tcPr>
          <w:p w14:paraId="663DB2AD">
            <w:pPr>
              <w:spacing w:line="288" w:lineRule="auto"/>
              <w:jc w:val="center"/>
              <w:rPr>
                <w:rFonts w:hint="eastAsia" w:ascii="宋体" w:hAnsi="宋体" w:eastAsia="宋体" w:cs="宋体"/>
                <w:color w:val="auto"/>
                <w:szCs w:val="21"/>
              </w:rPr>
            </w:pPr>
          </w:p>
        </w:tc>
        <w:tc>
          <w:tcPr>
            <w:tcW w:w="1092" w:type="pct"/>
            <w:vAlign w:val="center"/>
          </w:tcPr>
          <w:p w14:paraId="67FC8298">
            <w:pPr>
              <w:spacing w:line="288" w:lineRule="auto"/>
              <w:jc w:val="center"/>
              <w:rPr>
                <w:rFonts w:hint="eastAsia" w:ascii="宋体" w:hAnsi="宋体" w:eastAsia="宋体" w:cs="宋体"/>
                <w:color w:val="auto"/>
                <w:szCs w:val="21"/>
              </w:rPr>
            </w:pPr>
          </w:p>
        </w:tc>
        <w:tc>
          <w:tcPr>
            <w:tcW w:w="412" w:type="pct"/>
            <w:vAlign w:val="center"/>
          </w:tcPr>
          <w:p w14:paraId="5D2AE2B3">
            <w:pPr>
              <w:spacing w:line="288" w:lineRule="auto"/>
              <w:jc w:val="center"/>
              <w:rPr>
                <w:rFonts w:hint="eastAsia" w:ascii="宋体" w:hAnsi="宋体" w:eastAsia="宋体" w:cs="宋体"/>
                <w:color w:val="auto"/>
                <w:szCs w:val="21"/>
              </w:rPr>
            </w:pPr>
          </w:p>
        </w:tc>
        <w:tc>
          <w:tcPr>
            <w:tcW w:w="412" w:type="pct"/>
            <w:vAlign w:val="center"/>
          </w:tcPr>
          <w:p w14:paraId="5147D2EE">
            <w:pPr>
              <w:spacing w:line="288" w:lineRule="auto"/>
              <w:jc w:val="center"/>
              <w:rPr>
                <w:rFonts w:hint="eastAsia" w:ascii="宋体" w:hAnsi="宋体" w:eastAsia="宋体" w:cs="宋体"/>
                <w:color w:val="auto"/>
                <w:szCs w:val="21"/>
              </w:rPr>
            </w:pPr>
          </w:p>
        </w:tc>
        <w:tc>
          <w:tcPr>
            <w:tcW w:w="683" w:type="pct"/>
            <w:vAlign w:val="center"/>
          </w:tcPr>
          <w:p w14:paraId="4B73CF80">
            <w:pPr>
              <w:spacing w:line="288" w:lineRule="auto"/>
              <w:jc w:val="center"/>
              <w:rPr>
                <w:rFonts w:hint="eastAsia" w:ascii="宋体" w:hAnsi="宋体" w:eastAsia="宋体" w:cs="宋体"/>
                <w:color w:val="auto"/>
                <w:szCs w:val="21"/>
              </w:rPr>
            </w:pPr>
          </w:p>
        </w:tc>
        <w:tc>
          <w:tcPr>
            <w:tcW w:w="480" w:type="pct"/>
            <w:vAlign w:val="center"/>
          </w:tcPr>
          <w:p w14:paraId="34EC2F94">
            <w:pPr>
              <w:spacing w:line="288" w:lineRule="auto"/>
              <w:jc w:val="center"/>
              <w:rPr>
                <w:rFonts w:hint="eastAsia" w:ascii="宋体" w:hAnsi="宋体" w:eastAsia="宋体" w:cs="宋体"/>
                <w:color w:val="auto"/>
                <w:szCs w:val="21"/>
              </w:rPr>
            </w:pPr>
          </w:p>
        </w:tc>
        <w:tc>
          <w:tcPr>
            <w:tcW w:w="683" w:type="pct"/>
            <w:vAlign w:val="center"/>
          </w:tcPr>
          <w:p w14:paraId="63E9FE94">
            <w:pPr>
              <w:spacing w:line="288" w:lineRule="auto"/>
              <w:jc w:val="center"/>
              <w:rPr>
                <w:rFonts w:hint="eastAsia" w:ascii="宋体" w:hAnsi="宋体" w:eastAsia="宋体" w:cs="宋体"/>
                <w:color w:val="auto"/>
                <w:szCs w:val="21"/>
              </w:rPr>
            </w:pPr>
          </w:p>
        </w:tc>
        <w:tc>
          <w:tcPr>
            <w:tcW w:w="412" w:type="pct"/>
            <w:tcBorders>
              <w:right w:val="single" w:color="auto" w:sz="6" w:space="0"/>
            </w:tcBorders>
            <w:vAlign w:val="center"/>
          </w:tcPr>
          <w:p w14:paraId="22D86E5A">
            <w:pPr>
              <w:spacing w:line="288" w:lineRule="auto"/>
              <w:jc w:val="center"/>
              <w:rPr>
                <w:rFonts w:hint="eastAsia" w:ascii="宋体" w:hAnsi="宋体" w:eastAsia="宋体" w:cs="宋体"/>
                <w:color w:val="auto"/>
                <w:szCs w:val="21"/>
              </w:rPr>
            </w:pPr>
          </w:p>
        </w:tc>
      </w:tr>
    </w:tbl>
    <w:p w14:paraId="0ECCACCC">
      <w:pPr>
        <w:ind w:firstLine="178" w:firstLineChars="85"/>
        <w:rPr>
          <w:rFonts w:hint="eastAsia" w:ascii="宋体" w:hAnsi="宋体" w:eastAsia="宋体" w:cs="宋体"/>
          <w:color w:val="auto"/>
          <w:szCs w:val="21"/>
        </w:rPr>
      </w:pPr>
    </w:p>
    <w:p w14:paraId="5D0DC03C">
      <w:pPr>
        <w:ind w:firstLine="178" w:firstLineChars="85"/>
        <w:rPr>
          <w:rFonts w:hint="eastAsia" w:ascii="宋体" w:hAnsi="宋体" w:eastAsia="宋体" w:cs="宋体"/>
          <w:color w:val="auto"/>
          <w:szCs w:val="21"/>
        </w:rPr>
      </w:pPr>
      <w:r>
        <w:rPr>
          <w:rFonts w:hint="eastAsia" w:ascii="宋体" w:hAnsi="宋体" w:eastAsia="宋体" w:cs="宋体"/>
          <w:color w:val="auto"/>
          <w:szCs w:val="21"/>
        </w:rPr>
        <w:t>附有关证明文件（复印件加盖公章）</w:t>
      </w:r>
    </w:p>
    <w:p w14:paraId="7394AB7D">
      <w:pPr>
        <w:ind w:firstLine="178" w:firstLineChars="85"/>
        <w:rPr>
          <w:rFonts w:hint="eastAsia" w:ascii="宋体" w:hAnsi="宋体" w:eastAsia="宋体" w:cs="宋体"/>
          <w:color w:val="auto"/>
          <w:szCs w:val="21"/>
        </w:rPr>
      </w:pPr>
      <w:r>
        <w:rPr>
          <w:rFonts w:hint="eastAsia" w:ascii="宋体" w:hAnsi="宋体" w:eastAsia="宋体" w:cs="宋体"/>
          <w:color w:val="auto"/>
          <w:szCs w:val="21"/>
        </w:rPr>
        <w:t>投标人代表签字：</w:t>
      </w:r>
    </w:p>
    <w:p w14:paraId="2983D79E">
      <w:pPr>
        <w:ind w:firstLine="178" w:firstLineChars="85"/>
        <w:rPr>
          <w:rFonts w:hint="eastAsia" w:ascii="宋体" w:hAnsi="宋体" w:eastAsia="宋体" w:cs="宋体"/>
          <w:color w:val="auto"/>
          <w:szCs w:val="21"/>
        </w:rPr>
      </w:pPr>
      <w:r>
        <w:rPr>
          <w:rFonts w:hint="eastAsia" w:ascii="宋体" w:hAnsi="宋体" w:eastAsia="宋体" w:cs="宋体"/>
          <w:color w:val="auto"/>
          <w:szCs w:val="21"/>
        </w:rPr>
        <w:t>投标人盖章：</w:t>
      </w:r>
    </w:p>
    <w:p w14:paraId="41F38FF5">
      <w:pPr>
        <w:rPr>
          <w:rFonts w:hint="eastAsia" w:ascii="宋体" w:hAnsi="宋体" w:eastAsia="宋体" w:cs="宋体"/>
          <w:color w:val="auto"/>
          <w:szCs w:val="21"/>
        </w:rPr>
      </w:pPr>
      <w:r>
        <w:rPr>
          <w:rFonts w:hint="eastAsia" w:ascii="宋体" w:hAnsi="宋体" w:eastAsia="宋体" w:cs="宋体"/>
          <w:color w:val="auto"/>
          <w:szCs w:val="21"/>
        </w:rPr>
        <w:t>注：</w:t>
      </w:r>
    </w:p>
    <w:p w14:paraId="37E66F63">
      <w:pPr>
        <w:pStyle w:val="47"/>
        <w:numPr>
          <w:ilvl w:val="0"/>
          <w:numId w:val="11"/>
        </w:numPr>
        <w:ind w:firstLineChars="0"/>
        <w:rPr>
          <w:rFonts w:hint="eastAsia" w:ascii="宋体" w:hAnsi="宋体" w:eastAsia="宋体" w:cs="宋体"/>
          <w:color w:val="auto"/>
          <w:szCs w:val="21"/>
        </w:rPr>
      </w:pPr>
      <w:r>
        <w:rPr>
          <w:rFonts w:hint="eastAsia" w:ascii="宋体" w:hAnsi="宋体" w:eastAsia="宋体" w:cs="宋体"/>
          <w:color w:val="auto"/>
          <w:szCs w:val="21"/>
        </w:rPr>
        <w:t>投标人可按项目的实际需要提供本表格。</w:t>
      </w:r>
    </w:p>
    <w:p w14:paraId="1E4C0A73">
      <w:pPr>
        <w:pStyle w:val="47"/>
        <w:numPr>
          <w:ilvl w:val="0"/>
          <w:numId w:val="11"/>
        </w:numPr>
        <w:ind w:firstLineChars="0"/>
        <w:rPr>
          <w:rFonts w:hint="eastAsia" w:ascii="宋体" w:hAnsi="宋体" w:eastAsia="宋体" w:cs="宋体"/>
          <w:color w:val="auto"/>
          <w:szCs w:val="21"/>
        </w:rPr>
      </w:pPr>
      <w:r>
        <w:rPr>
          <w:rFonts w:hint="eastAsia" w:ascii="宋体" w:hAnsi="宋体" w:eastAsia="宋体" w:cs="宋体"/>
          <w:color w:val="auto"/>
          <w:szCs w:val="21"/>
        </w:rPr>
        <w:t>该表格为参考格式，投标人可按实际情况自行制订。</w:t>
      </w:r>
    </w:p>
    <w:p w14:paraId="66399D51">
      <w:pPr>
        <w:rPr>
          <w:rFonts w:hint="eastAsia" w:ascii="宋体" w:hAnsi="宋体" w:eastAsia="宋体" w:cs="宋体"/>
          <w:color w:val="auto"/>
          <w:szCs w:val="21"/>
        </w:rPr>
      </w:pPr>
      <w:r>
        <w:rPr>
          <w:rFonts w:hint="eastAsia" w:ascii="宋体" w:hAnsi="宋体" w:eastAsia="宋体" w:cs="宋体"/>
          <w:color w:val="auto"/>
          <w:szCs w:val="21"/>
        </w:rPr>
        <w:t>3、投标人若未提供或未填写完整则视为完全响应采购文件的人员要求，因此对投标人投标产生负面影响的，投标人自行承担后果。</w:t>
      </w:r>
    </w:p>
    <w:p w14:paraId="4B550777">
      <w:pPr>
        <w:pStyle w:val="47"/>
        <w:numPr>
          <w:ilvl w:val="0"/>
          <w:numId w:val="11"/>
        </w:numPr>
        <w:ind w:firstLineChars="0"/>
        <w:rPr>
          <w:rFonts w:hint="eastAsia" w:ascii="宋体" w:hAnsi="宋体" w:eastAsia="宋体" w:cs="宋体"/>
          <w:color w:val="auto"/>
          <w:szCs w:val="21"/>
        </w:rPr>
      </w:pPr>
      <w:r>
        <w:rPr>
          <w:rFonts w:hint="eastAsia" w:ascii="宋体" w:hAnsi="宋体" w:eastAsia="宋体" w:cs="宋体"/>
          <w:color w:val="auto"/>
          <w:szCs w:val="21"/>
        </w:rPr>
        <w:br w:type="page"/>
      </w:r>
    </w:p>
    <w:p w14:paraId="180C2E4F">
      <w:pPr>
        <w:pStyle w:val="5"/>
        <w:widowControl w:val="0"/>
        <w:overflowPunct w:val="0"/>
        <w:spacing w:line="240" w:lineRule="auto"/>
        <w:rPr>
          <w:rFonts w:hint="eastAsia" w:ascii="宋体" w:hAnsi="宋体" w:eastAsia="宋体" w:cs="宋体"/>
          <w:color w:val="auto"/>
        </w:rPr>
      </w:pPr>
      <w:bookmarkStart w:id="177" w:name="_Toc18659"/>
      <w:r>
        <w:rPr>
          <w:rFonts w:hint="eastAsia" w:ascii="宋体" w:hAnsi="宋体" w:eastAsia="宋体" w:cs="宋体"/>
          <w:color w:val="auto"/>
          <w:sz w:val="21"/>
          <w:szCs w:val="21"/>
        </w:rPr>
        <w:t>附件18.投标保证金汇入情况说明格式</w:t>
      </w:r>
      <w:bookmarkEnd w:id="177"/>
    </w:p>
    <w:p w14:paraId="26594A84">
      <w:pPr>
        <w:rPr>
          <w:rFonts w:hint="eastAsia" w:ascii="宋体" w:hAnsi="宋体" w:eastAsia="宋体" w:cs="宋体"/>
          <w:color w:val="auto"/>
        </w:rPr>
      </w:pPr>
    </w:p>
    <w:p w14:paraId="4A8C7E2C">
      <w:pPr>
        <w:jc w:val="center"/>
        <w:rPr>
          <w:rFonts w:hint="eastAsia" w:ascii="宋体" w:hAnsi="宋体" w:eastAsia="宋体" w:cs="宋体"/>
          <w:color w:val="auto"/>
          <w:sz w:val="28"/>
          <w:szCs w:val="28"/>
        </w:rPr>
      </w:pPr>
      <w:r>
        <w:rPr>
          <w:rFonts w:hint="eastAsia" w:ascii="宋体" w:hAnsi="宋体" w:eastAsia="宋体" w:cs="宋体"/>
          <w:color w:val="auto"/>
          <w:sz w:val="28"/>
          <w:szCs w:val="28"/>
        </w:rPr>
        <w:t>投标保证金汇入情况说明</w:t>
      </w:r>
    </w:p>
    <w:p w14:paraId="0AD13E1F">
      <w:pPr>
        <w:spacing w:line="480" w:lineRule="auto"/>
        <w:rPr>
          <w:rFonts w:hint="eastAsia" w:ascii="宋体" w:hAnsi="宋体" w:eastAsia="宋体" w:cs="宋体"/>
          <w:color w:val="auto"/>
          <w:szCs w:val="21"/>
        </w:rPr>
      </w:pPr>
      <w:r>
        <w:rPr>
          <w:rFonts w:hint="eastAsia" w:ascii="宋体" w:hAnsi="宋体" w:eastAsia="宋体" w:cs="宋体"/>
          <w:color w:val="auto"/>
          <w:szCs w:val="21"/>
        </w:rPr>
        <w:t>致：东莞市安居建设投资有限公司：</w:t>
      </w:r>
    </w:p>
    <w:p w14:paraId="1848E077">
      <w:pPr>
        <w:spacing w:line="48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本单位已按</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项目（采购项目编号：）的采购文件要求，于年月日前以</w:t>
      </w:r>
      <w:r>
        <w:rPr>
          <w:rFonts w:hint="eastAsia" w:ascii="宋体" w:hAnsi="宋体" w:eastAsia="宋体" w:cs="宋体"/>
          <w:color w:val="auto"/>
          <w:szCs w:val="21"/>
          <w:u w:val="single"/>
        </w:rPr>
        <w:t xml:space="preserve">           （付款形式）</w:t>
      </w:r>
      <w:r>
        <w:rPr>
          <w:rFonts w:hint="eastAsia" w:ascii="宋体" w:hAnsi="宋体" w:eastAsia="宋体" w:cs="宋体"/>
          <w:color w:val="auto"/>
          <w:szCs w:val="21"/>
        </w:rPr>
        <w:t>方式汇入指定账户（账户名称：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，账号：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,开户银行：</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3ED7E75C">
      <w:pPr>
        <w:spacing w:line="48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本单位投标保证金的汇款情况：（详见附件－投标保证金进账单）</w:t>
      </w:r>
    </w:p>
    <w:p w14:paraId="7BD37BC0">
      <w:pPr>
        <w:spacing w:line="48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汇出时间：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7B3F71F4">
      <w:pPr>
        <w:spacing w:line="48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汇款金额：（大写）人民币</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元（小写：￥</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元），</w:t>
      </w:r>
    </w:p>
    <w:p w14:paraId="4C038B8F">
      <w:pPr>
        <w:spacing w:line="48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汇款账户名称：</w:t>
      </w:r>
      <w:r>
        <w:rPr>
          <w:rFonts w:hint="eastAsia" w:ascii="宋体" w:hAnsi="宋体" w:eastAsia="宋体" w:cs="宋体"/>
          <w:color w:val="auto"/>
          <w:szCs w:val="21"/>
          <w:u w:val="single"/>
        </w:rPr>
        <w:t xml:space="preserve">  （必须是投标时使用的账户名）   </w:t>
      </w:r>
    </w:p>
    <w:p w14:paraId="3F0DD8C5">
      <w:pPr>
        <w:spacing w:line="48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账        号：</w:t>
      </w:r>
      <w:r>
        <w:rPr>
          <w:rFonts w:hint="eastAsia" w:ascii="宋体" w:hAnsi="宋体" w:eastAsia="宋体" w:cs="宋体"/>
          <w:color w:val="auto"/>
          <w:szCs w:val="21"/>
          <w:u w:val="single"/>
        </w:rPr>
        <w:t xml:space="preserve">  （必须是投标时使用的账号）        </w:t>
      </w:r>
    </w:p>
    <w:p w14:paraId="1141E605">
      <w:pPr>
        <w:spacing w:line="480" w:lineRule="auto"/>
        <w:ind w:firstLine="420" w:firstLineChars="200"/>
        <w:rPr>
          <w:rFonts w:hint="eastAsia" w:ascii="宋体" w:hAnsi="宋体" w:eastAsia="宋体" w:cs="宋体"/>
          <w:color w:val="auto"/>
          <w:szCs w:val="21"/>
          <w:u w:val="single"/>
        </w:rPr>
      </w:pPr>
      <w:r>
        <w:rPr>
          <w:rFonts w:hint="eastAsia" w:ascii="宋体" w:hAnsi="宋体" w:eastAsia="宋体" w:cs="宋体"/>
          <w:color w:val="auto"/>
          <w:szCs w:val="21"/>
        </w:rPr>
        <w:t>开 户  银 行：</w:t>
      </w:r>
      <w:r>
        <w:rPr>
          <w:rFonts w:hint="eastAsia" w:ascii="宋体" w:hAnsi="宋体" w:eastAsia="宋体" w:cs="宋体"/>
          <w:color w:val="auto"/>
          <w:szCs w:val="21"/>
          <w:u w:val="single"/>
        </w:rPr>
        <w:t xml:space="preserve">  （  XX 银行 XX 分行 XX 支行   ）</w:t>
      </w:r>
    </w:p>
    <w:p w14:paraId="2822093C">
      <w:pPr>
        <w:spacing w:line="48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本单位谨承诺上述资料是正确、真实的，如因上述证明与事实不符导致的一切损失，本单位保证承担赔偿等一切法律责任。</w:t>
      </w:r>
    </w:p>
    <w:p w14:paraId="3CC91E36">
      <w:pPr>
        <w:spacing w:line="48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投标保证金退回时，请按上述资料退回。</w:t>
      </w:r>
    </w:p>
    <w:p w14:paraId="0A98C82D">
      <w:pPr>
        <w:spacing w:line="480" w:lineRule="auto"/>
        <w:ind w:right="844" w:rightChars="402"/>
        <w:jc w:val="right"/>
        <w:rPr>
          <w:rFonts w:hint="eastAsia" w:ascii="宋体" w:hAnsi="宋体" w:eastAsia="宋体" w:cs="宋体"/>
          <w:color w:val="auto"/>
          <w:szCs w:val="21"/>
        </w:rPr>
      </w:pPr>
      <w:r>
        <w:rPr>
          <w:rFonts w:hint="eastAsia" w:ascii="宋体" w:hAnsi="宋体" w:eastAsia="宋体" w:cs="宋体"/>
          <w:color w:val="auto"/>
          <w:szCs w:val="21"/>
        </w:rPr>
        <w:t>（单位公章）</w:t>
      </w:r>
    </w:p>
    <w:p w14:paraId="22440F8F">
      <w:pPr>
        <w:spacing w:line="480" w:lineRule="auto"/>
        <w:ind w:right="627" w:rightChars="299"/>
        <w:jc w:val="right"/>
        <w:rPr>
          <w:rFonts w:hint="eastAsia" w:ascii="宋体" w:hAnsi="宋体" w:eastAsia="宋体" w:cs="宋体"/>
          <w:color w:val="auto"/>
          <w:szCs w:val="21"/>
        </w:rPr>
      </w:pPr>
      <w:r>
        <w:rPr>
          <w:rFonts w:hint="eastAsia" w:ascii="宋体" w:hAnsi="宋体" w:eastAsia="宋体" w:cs="宋体"/>
          <w:color w:val="auto"/>
          <w:szCs w:val="21"/>
        </w:rPr>
        <w:t>年 月 日</w:t>
      </w:r>
    </w:p>
    <w:p w14:paraId="2815B70B">
      <w:pPr>
        <w:spacing w:line="480" w:lineRule="auto"/>
        <w:rPr>
          <w:rFonts w:hint="eastAsia" w:ascii="宋体" w:hAnsi="宋体" w:eastAsia="宋体" w:cs="宋体"/>
          <w:color w:val="auto"/>
          <w:szCs w:val="21"/>
        </w:rPr>
      </w:pPr>
      <w:r>
        <w:rPr>
          <w:rFonts w:hint="eastAsia" w:ascii="宋体" w:hAnsi="宋体" w:eastAsia="宋体" w:cs="宋体"/>
          <w:color w:val="auto"/>
          <w:szCs w:val="21"/>
        </w:rPr>
        <w:t>单位名称：</w:t>
      </w:r>
    </w:p>
    <w:p w14:paraId="641BEF85">
      <w:pPr>
        <w:spacing w:line="480" w:lineRule="auto"/>
        <w:rPr>
          <w:rFonts w:hint="eastAsia" w:ascii="宋体" w:hAnsi="宋体" w:eastAsia="宋体" w:cs="宋体"/>
          <w:color w:val="auto"/>
          <w:szCs w:val="21"/>
        </w:rPr>
      </w:pPr>
      <w:r>
        <w:rPr>
          <w:rFonts w:hint="eastAsia" w:ascii="宋体" w:hAnsi="宋体" w:eastAsia="宋体" w:cs="宋体"/>
          <w:color w:val="auto"/>
          <w:szCs w:val="21"/>
        </w:rPr>
        <w:t>单位地址：</w:t>
      </w:r>
    </w:p>
    <w:p w14:paraId="1EC0A8F2">
      <w:pPr>
        <w:spacing w:line="480" w:lineRule="auto"/>
        <w:rPr>
          <w:rFonts w:hint="eastAsia" w:ascii="宋体" w:hAnsi="宋体" w:eastAsia="宋体" w:cs="宋体"/>
          <w:color w:val="auto"/>
          <w:szCs w:val="21"/>
        </w:rPr>
      </w:pPr>
      <w:r>
        <w:rPr>
          <w:rFonts w:hint="eastAsia" w:ascii="宋体" w:hAnsi="宋体" w:eastAsia="宋体" w:cs="宋体"/>
          <w:color w:val="auto"/>
          <w:szCs w:val="21"/>
        </w:rPr>
        <w:t>联系人：</w:t>
      </w:r>
    </w:p>
    <w:p w14:paraId="601E0768">
      <w:pPr>
        <w:spacing w:line="480" w:lineRule="auto"/>
        <w:rPr>
          <w:rFonts w:hint="eastAsia" w:ascii="宋体" w:hAnsi="宋体" w:eastAsia="宋体" w:cs="宋体"/>
          <w:color w:val="auto"/>
          <w:szCs w:val="21"/>
        </w:rPr>
      </w:pPr>
      <w:r>
        <w:rPr>
          <w:rFonts w:hint="eastAsia" w:ascii="宋体" w:hAnsi="宋体" w:eastAsia="宋体" w:cs="宋体"/>
          <w:color w:val="auto"/>
          <w:szCs w:val="21"/>
        </w:rPr>
        <w:t>单位电话： 联系人手机：</w:t>
      </w:r>
    </w:p>
    <w:p w14:paraId="7B0F0329">
      <w:pPr>
        <w:rPr>
          <w:rFonts w:hint="eastAsia" w:ascii="宋体" w:hAnsi="宋体" w:eastAsia="宋体" w:cs="宋体"/>
          <w:color w:val="auto"/>
          <w:szCs w:val="21"/>
        </w:rPr>
      </w:pPr>
    </w:p>
    <w:p w14:paraId="09F928B2">
      <w:pPr>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br w:type="page"/>
      </w:r>
    </w:p>
    <w:p w14:paraId="369ADE40">
      <w:pPr>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附：我方投标保证金汇款凭证</w:t>
      </w:r>
    </w:p>
    <w:tbl>
      <w:tblPr>
        <w:tblStyle w:val="34"/>
        <w:tblW w:w="895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3"/>
      </w:tblGrid>
      <w:tr w14:paraId="1D64C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9" w:hRule="atLeast"/>
        </w:trPr>
        <w:tc>
          <w:tcPr>
            <w:tcW w:w="8953" w:type="dxa"/>
            <w:vAlign w:val="center"/>
          </w:tcPr>
          <w:p w14:paraId="6E4D0FD2">
            <w:pPr>
              <w:tabs>
                <w:tab w:val="left" w:pos="3885"/>
              </w:tabs>
              <w:jc w:val="center"/>
              <w:rPr>
                <w:rFonts w:hint="eastAsia" w:ascii="宋体" w:hAnsi="宋体" w:eastAsia="宋体" w:cs="宋体"/>
                <w:color w:val="auto"/>
                <w:szCs w:val="21"/>
              </w:rPr>
            </w:pPr>
            <w:r>
              <w:rPr>
                <w:rFonts w:hint="eastAsia" w:ascii="宋体" w:hAnsi="宋体" w:eastAsia="宋体" w:cs="宋体"/>
                <w:color w:val="auto"/>
                <w:szCs w:val="21"/>
              </w:rPr>
              <w:t>（粘贴汇款单或转账凭证复印件，并在骑缝上加盖投标人公章，或是直接把转账凭证复印到此张纸上）</w:t>
            </w:r>
          </w:p>
        </w:tc>
      </w:tr>
    </w:tbl>
    <w:p w14:paraId="3EE2899D">
      <w:pPr>
        <w:spacing w:line="48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注：此表既要装订在投标文件中，又要按投标人须知的规定与开标一览表、投标保证金汇款底单复印件及授权委托书一同密封装入唱标信封，唱标信封单独提交。</w:t>
      </w:r>
    </w:p>
    <w:p w14:paraId="13C62341">
      <w:pPr>
        <w:rPr>
          <w:rFonts w:hint="eastAsia" w:ascii="宋体" w:hAnsi="宋体" w:eastAsia="宋体" w:cs="宋体"/>
          <w:color w:val="auto"/>
          <w:szCs w:val="21"/>
        </w:rPr>
      </w:pPr>
    </w:p>
    <w:p w14:paraId="33433893">
      <w:pPr>
        <w:rPr>
          <w:rFonts w:hint="eastAsia" w:ascii="宋体" w:hAnsi="宋体" w:eastAsia="宋体" w:cs="宋体"/>
          <w:color w:val="auto"/>
          <w:szCs w:val="21"/>
        </w:rPr>
      </w:pPr>
    </w:p>
    <w:p w14:paraId="34DE2F94">
      <w:pPr>
        <w:rPr>
          <w:rFonts w:hint="eastAsia" w:ascii="宋体" w:hAnsi="宋体" w:eastAsia="宋体" w:cs="宋体"/>
          <w:color w:val="auto"/>
          <w:szCs w:val="21"/>
        </w:rPr>
      </w:pPr>
    </w:p>
    <w:p w14:paraId="4AD401E1">
      <w:pPr>
        <w:rPr>
          <w:rFonts w:hint="eastAsia" w:ascii="宋体" w:hAnsi="宋体" w:eastAsia="宋体" w:cs="宋体"/>
          <w:color w:val="auto"/>
          <w:szCs w:val="21"/>
        </w:rPr>
      </w:pPr>
    </w:p>
    <w:p w14:paraId="4258E8A8">
      <w:pPr>
        <w:rPr>
          <w:rFonts w:hint="eastAsia" w:ascii="宋体" w:hAnsi="宋体" w:eastAsia="宋体" w:cs="宋体"/>
          <w:color w:val="auto"/>
          <w:szCs w:val="21"/>
        </w:rPr>
      </w:pPr>
    </w:p>
    <w:p w14:paraId="67E25FA7">
      <w:pPr>
        <w:rPr>
          <w:rFonts w:hint="eastAsia" w:ascii="宋体" w:hAnsi="宋体" w:eastAsia="宋体" w:cs="宋体"/>
          <w:color w:val="auto"/>
          <w:szCs w:val="21"/>
        </w:rPr>
      </w:pPr>
    </w:p>
    <w:p w14:paraId="727C75B6">
      <w:pPr>
        <w:rPr>
          <w:rFonts w:hint="eastAsia" w:ascii="宋体" w:hAnsi="宋体" w:eastAsia="宋体" w:cs="宋体"/>
          <w:color w:val="auto"/>
          <w:szCs w:val="21"/>
        </w:rPr>
      </w:pPr>
    </w:p>
    <w:p w14:paraId="2BBCC479">
      <w:pPr>
        <w:rPr>
          <w:rFonts w:hint="eastAsia" w:ascii="宋体" w:hAnsi="宋体" w:eastAsia="宋体" w:cs="宋体"/>
          <w:color w:val="auto"/>
          <w:szCs w:val="21"/>
        </w:rPr>
      </w:pPr>
    </w:p>
    <w:p w14:paraId="03CA2B74">
      <w:pPr>
        <w:rPr>
          <w:rFonts w:hint="eastAsia" w:ascii="宋体" w:hAnsi="宋体" w:eastAsia="宋体" w:cs="宋体"/>
          <w:color w:val="auto"/>
          <w:szCs w:val="21"/>
        </w:rPr>
      </w:pPr>
    </w:p>
    <w:p w14:paraId="7DF1BE47">
      <w:pPr>
        <w:rPr>
          <w:rFonts w:hint="eastAsia" w:ascii="宋体" w:hAnsi="宋体" w:eastAsia="宋体" w:cs="宋体"/>
          <w:color w:val="auto"/>
          <w:szCs w:val="21"/>
        </w:rPr>
      </w:pPr>
    </w:p>
    <w:p w14:paraId="3E1DB263">
      <w:pPr>
        <w:rPr>
          <w:rFonts w:hint="eastAsia" w:ascii="宋体" w:hAnsi="宋体" w:eastAsia="宋体" w:cs="宋体"/>
          <w:color w:val="auto"/>
          <w:szCs w:val="21"/>
        </w:rPr>
      </w:pPr>
    </w:p>
    <w:p w14:paraId="14515EE7">
      <w:pPr>
        <w:rPr>
          <w:rFonts w:hint="eastAsia" w:ascii="宋体" w:hAnsi="宋体" w:eastAsia="宋体" w:cs="宋体"/>
          <w:color w:val="auto"/>
          <w:szCs w:val="21"/>
        </w:rPr>
      </w:pPr>
    </w:p>
    <w:p w14:paraId="10B27CB8">
      <w:pPr>
        <w:rPr>
          <w:rFonts w:hint="eastAsia" w:ascii="宋体" w:hAnsi="宋体" w:eastAsia="宋体" w:cs="宋体"/>
          <w:color w:val="auto"/>
          <w:szCs w:val="21"/>
        </w:rPr>
      </w:pPr>
    </w:p>
    <w:p w14:paraId="2A67462F">
      <w:pPr>
        <w:rPr>
          <w:rFonts w:hint="eastAsia" w:ascii="宋体" w:hAnsi="宋体" w:eastAsia="宋体" w:cs="宋体"/>
          <w:color w:val="auto"/>
          <w:szCs w:val="21"/>
        </w:rPr>
      </w:pPr>
    </w:p>
    <w:p w14:paraId="56FC3A69">
      <w:pPr>
        <w:rPr>
          <w:rFonts w:hint="eastAsia" w:ascii="宋体" w:hAnsi="宋体" w:eastAsia="宋体" w:cs="宋体"/>
          <w:color w:val="auto"/>
          <w:szCs w:val="21"/>
        </w:rPr>
      </w:pPr>
    </w:p>
    <w:p w14:paraId="2559B6F9">
      <w:pPr>
        <w:rPr>
          <w:rFonts w:hint="eastAsia" w:ascii="宋体" w:hAnsi="宋体" w:eastAsia="宋体" w:cs="宋体"/>
          <w:color w:val="auto"/>
          <w:szCs w:val="21"/>
        </w:rPr>
      </w:pPr>
    </w:p>
    <w:p w14:paraId="7DCD265A">
      <w:pPr>
        <w:rPr>
          <w:rFonts w:hint="eastAsia" w:ascii="宋体" w:hAnsi="宋体" w:eastAsia="宋体" w:cs="宋体"/>
          <w:color w:val="auto"/>
          <w:szCs w:val="21"/>
        </w:rPr>
      </w:pPr>
    </w:p>
    <w:p w14:paraId="424537DE">
      <w:pPr>
        <w:rPr>
          <w:rFonts w:hint="eastAsia" w:ascii="宋体" w:hAnsi="宋体" w:eastAsia="宋体" w:cs="宋体"/>
          <w:color w:val="auto"/>
          <w:szCs w:val="21"/>
        </w:rPr>
      </w:pPr>
    </w:p>
    <w:p w14:paraId="747D0C26">
      <w:pPr>
        <w:rPr>
          <w:rFonts w:hint="eastAsia" w:ascii="宋体" w:hAnsi="宋体" w:eastAsia="宋体" w:cs="宋体"/>
          <w:color w:val="auto"/>
          <w:szCs w:val="21"/>
        </w:rPr>
      </w:pPr>
    </w:p>
    <w:p w14:paraId="7C47F919">
      <w:pPr>
        <w:rPr>
          <w:rFonts w:hint="eastAsia" w:ascii="宋体" w:hAnsi="宋体" w:eastAsia="宋体" w:cs="宋体"/>
          <w:color w:val="auto"/>
          <w:szCs w:val="21"/>
        </w:rPr>
      </w:pPr>
    </w:p>
    <w:p w14:paraId="702C387A">
      <w:pPr>
        <w:rPr>
          <w:rFonts w:hint="eastAsia" w:ascii="宋体" w:hAnsi="宋体" w:eastAsia="宋体" w:cs="宋体"/>
          <w:color w:val="auto"/>
          <w:szCs w:val="21"/>
        </w:rPr>
      </w:pPr>
    </w:p>
    <w:p w14:paraId="6B7F9F06">
      <w:pPr>
        <w:pStyle w:val="5"/>
        <w:numPr>
          <w:ilvl w:val="255"/>
          <w:numId w:val="0"/>
        </w:numPr>
        <w:tabs>
          <w:tab w:val="left" w:pos="720"/>
          <w:tab w:val="left" w:pos="3840"/>
        </w:tabs>
        <w:ind w:left="283"/>
        <w:jc w:val="both"/>
        <w:rPr>
          <w:rFonts w:hint="eastAsia" w:ascii="宋体" w:hAnsi="宋体" w:eastAsia="宋体" w:cs="宋体"/>
          <w:color w:val="auto"/>
          <w:sz w:val="21"/>
          <w:szCs w:val="21"/>
        </w:rPr>
      </w:pPr>
      <w:bookmarkStart w:id="178" w:name="_Toc1562"/>
      <w:bookmarkStart w:id="179" w:name="_Toc25861"/>
      <w:bookmarkStart w:id="180" w:name="_Toc29855"/>
      <w:bookmarkStart w:id="181" w:name="_Toc4866"/>
      <w:bookmarkStart w:id="182" w:name="_Toc14605"/>
      <w:bookmarkStart w:id="183" w:name="_Toc2144"/>
      <w:bookmarkStart w:id="184" w:name="_Toc28623"/>
      <w:bookmarkStart w:id="185" w:name="_Toc8469"/>
      <w:bookmarkStart w:id="186" w:name="_Toc17028"/>
      <w:bookmarkStart w:id="187" w:name="_Toc19947"/>
      <w:bookmarkStart w:id="188" w:name="_Toc18296"/>
      <w:r>
        <w:rPr>
          <w:rFonts w:hint="eastAsia" w:ascii="宋体" w:hAnsi="宋体" w:eastAsia="宋体" w:cs="宋体"/>
          <w:color w:val="auto"/>
          <w:sz w:val="21"/>
          <w:szCs w:val="21"/>
        </w:rPr>
        <w:t>附件19.不可撤销履约保函</w:t>
      </w:r>
      <w:bookmarkEnd w:id="178"/>
      <w:bookmarkEnd w:id="179"/>
      <w:bookmarkEnd w:id="180"/>
      <w:bookmarkEnd w:id="181"/>
      <w:bookmarkEnd w:id="182"/>
      <w:bookmarkEnd w:id="183"/>
      <w:bookmarkEnd w:id="184"/>
      <w:bookmarkEnd w:id="185"/>
      <w:bookmarkEnd w:id="186"/>
      <w:bookmarkEnd w:id="187"/>
      <w:bookmarkEnd w:id="188"/>
    </w:p>
    <w:p w14:paraId="1A048904">
      <w:pPr>
        <w:jc w:val="center"/>
        <w:rPr>
          <w:rFonts w:hint="eastAsia" w:ascii="宋体" w:hAnsi="宋体" w:eastAsia="宋体" w:cs="宋体"/>
          <w:color w:val="auto"/>
        </w:rPr>
      </w:pPr>
      <w:r>
        <w:rPr>
          <w:rFonts w:hint="eastAsia" w:ascii="宋体" w:hAnsi="宋体" w:eastAsia="宋体" w:cs="宋体"/>
          <w:color w:val="auto"/>
        </w:rPr>
        <w:t>银行编号：</w:t>
      </w:r>
    </w:p>
    <w:p w14:paraId="3B091E38">
      <w:pPr>
        <w:rPr>
          <w:rFonts w:hint="eastAsia" w:ascii="宋体" w:hAnsi="宋体" w:eastAsia="宋体" w:cs="宋体"/>
          <w:color w:val="auto"/>
        </w:rPr>
      </w:pPr>
      <w:r>
        <w:rPr>
          <w:rFonts w:hint="eastAsia" w:ascii="宋体" w:hAnsi="宋体" w:eastAsia="宋体" w:cs="宋体"/>
          <w:color w:val="auto"/>
        </w:rPr>
        <w:t>致：</w:t>
      </w:r>
      <w:r>
        <w:rPr>
          <w:rFonts w:hint="eastAsia" w:ascii="宋体" w:hAnsi="宋体" w:eastAsia="宋体" w:cs="宋体"/>
          <w:color w:val="auto"/>
          <w:u w:val="single"/>
        </w:rPr>
        <w:t xml:space="preserve">                        </w:t>
      </w:r>
      <w:r>
        <w:rPr>
          <w:rFonts w:hint="eastAsia" w:ascii="宋体" w:hAnsi="宋体" w:eastAsia="宋体" w:cs="宋体"/>
          <w:color w:val="auto"/>
        </w:rPr>
        <w:t>（甲方）</w:t>
      </w:r>
    </w:p>
    <w:p w14:paraId="67D913EC">
      <w:pPr>
        <w:ind w:firstLine="420" w:firstLineChars="200"/>
        <w:rPr>
          <w:rFonts w:hint="eastAsia" w:ascii="宋体" w:hAnsi="宋体" w:eastAsia="宋体" w:cs="宋体"/>
          <w:color w:val="auto"/>
        </w:rPr>
      </w:pPr>
      <w:r>
        <w:rPr>
          <w:rFonts w:hint="eastAsia" w:ascii="宋体" w:hAnsi="宋体" w:eastAsia="宋体" w:cs="宋体"/>
          <w:color w:val="auto"/>
        </w:rPr>
        <w:t>鉴于</w:t>
      </w:r>
      <w:r>
        <w:rPr>
          <w:rFonts w:hint="eastAsia" w:ascii="宋体" w:hAnsi="宋体" w:eastAsia="宋体" w:cs="宋体"/>
          <w:color w:val="auto"/>
          <w:u w:val="single"/>
        </w:rPr>
        <w:t xml:space="preserve">         （地址：          ，下称 “乙方” ）</w:t>
      </w:r>
      <w:r>
        <w:rPr>
          <w:rFonts w:hint="eastAsia" w:ascii="宋体" w:hAnsi="宋体" w:eastAsia="宋体" w:cs="宋体"/>
          <w:color w:val="auto"/>
        </w:rPr>
        <w:t>已保证按</w:t>
      </w:r>
      <w:r>
        <w:rPr>
          <w:rFonts w:hint="eastAsia" w:ascii="宋体" w:hAnsi="宋体" w:eastAsia="宋体" w:cs="宋体"/>
          <w:color w:val="auto"/>
          <w:u w:val="single"/>
        </w:rPr>
        <w:t xml:space="preserve">        承包合同书（合同编号：    ）</w:t>
      </w:r>
      <w:r>
        <w:rPr>
          <w:rFonts w:hint="eastAsia" w:ascii="宋体" w:hAnsi="宋体" w:eastAsia="宋体" w:cs="宋体"/>
          <w:color w:val="auto"/>
        </w:rPr>
        <w:t>中规定的义务履行合同。</w:t>
      </w:r>
    </w:p>
    <w:p w14:paraId="0DDE2CD0">
      <w:pPr>
        <w:ind w:firstLine="420" w:firstLineChars="200"/>
        <w:rPr>
          <w:rFonts w:hint="eastAsia" w:ascii="宋体" w:hAnsi="宋体" w:eastAsia="宋体" w:cs="宋体"/>
          <w:color w:val="auto"/>
        </w:rPr>
      </w:pPr>
      <w:r>
        <w:rPr>
          <w:rFonts w:hint="eastAsia" w:ascii="宋体" w:hAnsi="宋体" w:eastAsia="宋体" w:cs="宋体"/>
          <w:color w:val="auto"/>
        </w:rPr>
        <w:t>根据上述合同约定，乙方应向甲方提供一份金额为合同总价的10%即</w:t>
      </w:r>
      <w:r>
        <w:rPr>
          <w:rFonts w:hint="eastAsia" w:ascii="宋体" w:hAnsi="宋体" w:eastAsia="宋体" w:cs="宋体"/>
          <w:color w:val="auto"/>
          <w:u w:val="single"/>
        </w:rPr>
        <w:t>人民币      （RMB    元）</w:t>
      </w:r>
      <w:r>
        <w:rPr>
          <w:rFonts w:hint="eastAsia" w:ascii="宋体" w:hAnsi="宋体" w:eastAsia="宋体" w:cs="宋体"/>
          <w:color w:val="auto"/>
        </w:rPr>
        <w:t>的</w:t>
      </w:r>
      <w:r>
        <w:rPr>
          <w:rFonts w:hint="eastAsia" w:ascii="宋体" w:hAnsi="宋体" w:eastAsia="宋体" w:cs="宋体"/>
          <w:bCs/>
          <w:color w:val="auto"/>
        </w:rPr>
        <w:t>不可撤销</w:t>
      </w:r>
      <w:r>
        <w:rPr>
          <w:rFonts w:hint="eastAsia" w:ascii="宋体" w:hAnsi="宋体" w:eastAsia="宋体" w:cs="宋体"/>
          <w:color w:val="auto"/>
        </w:rPr>
        <w:t>银行履约保函，作为乙方履行上述合同的担保。</w:t>
      </w:r>
    </w:p>
    <w:p w14:paraId="1F69E681">
      <w:pPr>
        <w:ind w:firstLine="420" w:firstLineChars="200"/>
        <w:rPr>
          <w:rFonts w:hint="eastAsia" w:ascii="宋体" w:hAnsi="宋体" w:eastAsia="宋体" w:cs="宋体"/>
          <w:color w:val="auto"/>
        </w:rPr>
      </w:pPr>
      <w:r>
        <w:rPr>
          <w:rFonts w:hint="eastAsia" w:ascii="宋体" w:hAnsi="宋体" w:eastAsia="宋体" w:cs="宋体"/>
          <w:color w:val="auto"/>
        </w:rPr>
        <w:t>我方</w:t>
      </w:r>
      <w:r>
        <w:rPr>
          <w:rFonts w:hint="eastAsia" w:ascii="宋体" w:hAnsi="宋体" w:eastAsia="宋体" w:cs="宋体"/>
          <w:color w:val="auto"/>
          <w:u w:val="single"/>
        </w:rPr>
        <w:t xml:space="preserve">            （银行名称）</w:t>
      </w:r>
      <w:r>
        <w:rPr>
          <w:rFonts w:hint="eastAsia" w:ascii="宋体" w:hAnsi="宋体" w:eastAsia="宋体" w:cs="宋体"/>
          <w:color w:val="auto"/>
        </w:rPr>
        <w:t>，受乙方的委托，不仅作为连带责任保证人而且作为主要的责任人，无条件和不可撤销地同意在甲方提出因乙方没有履行上述合同规定，而要求扣划保证金的书面要求后，7个工作日内为甲方扣划金额不超过</w:t>
      </w:r>
      <w:r>
        <w:rPr>
          <w:rFonts w:hint="eastAsia" w:ascii="宋体" w:hAnsi="宋体" w:eastAsia="宋体" w:cs="宋体"/>
          <w:color w:val="auto"/>
          <w:u w:val="single"/>
        </w:rPr>
        <w:t>人民币          （RMB       元）</w:t>
      </w:r>
      <w:r>
        <w:rPr>
          <w:rFonts w:hint="eastAsia" w:ascii="宋体" w:hAnsi="宋体" w:eastAsia="宋体" w:cs="宋体"/>
          <w:color w:val="auto"/>
        </w:rPr>
        <w:t>的保证金。</w:t>
      </w:r>
    </w:p>
    <w:p w14:paraId="3CBCAC85">
      <w:pPr>
        <w:ind w:firstLine="420" w:firstLineChars="200"/>
        <w:rPr>
          <w:rFonts w:hint="eastAsia" w:ascii="宋体" w:hAnsi="宋体" w:eastAsia="宋体" w:cs="宋体"/>
          <w:color w:val="auto"/>
        </w:rPr>
      </w:pPr>
      <w:r>
        <w:rPr>
          <w:rFonts w:hint="eastAsia" w:ascii="宋体" w:hAnsi="宋体" w:eastAsia="宋体" w:cs="宋体"/>
          <w:color w:val="auto"/>
        </w:rPr>
        <w:t>我方还同意，任何甲方与乙方之间可能对合同条款的修改、规范或其他合同文件的变动补充，都不能免除我方按本保函所承担的责任。因此，有关上述变动、补充和修改无须通知我方。</w:t>
      </w:r>
    </w:p>
    <w:p w14:paraId="2D333300">
      <w:pPr>
        <w:ind w:firstLine="420" w:firstLineChars="200"/>
        <w:rPr>
          <w:rFonts w:hint="eastAsia" w:ascii="宋体" w:hAnsi="宋体" w:eastAsia="宋体" w:cs="宋体"/>
          <w:color w:val="auto"/>
        </w:rPr>
      </w:pPr>
      <w:r>
        <w:rPr>
          <w:rFonts w:hint="eastAsia" w:ascii="宋体" w:hAnsi="宋体" w:eastAsia="宋体" w:cs="宋体"/>
          <w:color w:val="auto"/>
        </w:rPr>
        <w:t>本保函从上述合同签订之日起至项目服务期结束验收合格并完成结算后，双方签字之日起7天内保持有效。</w:t>
      </w:r>
    </w:p>
    <w:p w14:paraId="203841D2">
      <w:pPr>
        <w:ind w:firstLine="2824" w:firstLineChars="1345"/>
        <w:rPr>
          <w:rFonts w:hint="eastAsia" w:ascii="宋体" w:hAnsi="宋体" w:eastAsia="宋体" w:cs="宋体"/>
          <w:color w:val="auto"/>
        </w:rPr>
      </w:pPr>
    </w:p>
    <w:p w14:paraId="2941DF52">
      <w:pPr>
        <w:ind w:firstLine="5040" w:firstLineChars="2400"/>
        <w:rPr>
          <w:rFonts w:hint="eastAsia" w:ascii="宋体" w:hAnsi="宋体" w:eastAsia="宋体" w:cs="宋体"/>
          <w:color w:val="auto"/>
        </w:rPr>
      </w:pPr>
      <w:r>
        <w:rPr>
          <w:rFonts w:hint="eastAsia" w:ascii="宋体" w:hAnsi="宋体" w:eastAsia="宋体" w:cs="宋体"/>
          <w:color w:val="auto"/>
        </w:rPr>
        <w:t>保证人：（盖章）</w:t>
      </w:r>
      <w:r>
        <w:rPr>
          <w:rFonts w:hint="eastAsia" w:ascii="宋体" w:hAnsi="宋体" w:eastAsia="宋体" w:cs="宋体"/>
          <w:color w:val="auto"/>
          <w:u w:val="single"/>
        </w:rPr>
        <w:t xml:space="preserve">                        </w:t>
      </w:r>
    </w:p>
    <w:p w14:paraId="5F2111F2">
      <w:pPr>
        <w:ind w:firstLine="5040" w:firstLineChars="2400"/>
        <w:rPr>
          <w:rFonts w:hint="eastAsia" w:ascii="宋体" w:hAnsi="宋体" w:eastAsia="宋体" w:cs="宋体"/>
          <w:color w:val="auto"/>
        </w:rPr>
      </w:pPr>
      <w:r>
        <w:rPr>
          <w:rFonts w:hint="eastAsia" w:ascii="宋体" w:hAnsi="宋体" w:eastAsia="宋体" w:cs="宋体"/>
          <w:color w:val="auto"/>
        </w:rPr>
        <w:t>负责人：（签字）</w:t>
      </w:r>
      <w:r>
        <w:rPr>
          <w:rFonts w:hint="eastAsia" w:ascii="宋体" w:hAnsi="宋体" w:eastAsia="宋体" w:cs="宋体"/>
          <w:color w:val="auto"/>
          <w:u w:val="single"/>
        </w:rPr>
        <w:t xml:space="preserve">                        </w:t>
      </w:r>
    </w:p>
    <w:p w14:paraId="12BA63DB">
      <w:pPr>
        <w:ind w:firstLine="5040" w:firstLineChars="2400"/>
        <w:rPr>
          <w:rFonts w:hint="eastAsia" w:ascii="宋体" w:hAnsi="宋体" w:eastAsia="宋体" w:cs="宋体"/>
          <w:color w:val="auto"/>
        </w:rPr>
      </w:pPr>
      <w:r>
        <w:rPr>
          <w:rFonts w:hint="eastAsia" w:ascii="宋体" w:hAnsi="宋体" w:eastAsia="宋体" w:cs="宋体"/>
          <w:color w:val="auto"/>
        </w:rPr>
        <w:t>联系人：</w:t>
      </w:r>
      <w:r>
        <w:rPr>
          <w:rFonts w:hint="eastAsia" w:ascii="宋体" w:hAnsi="宋体" w:eastAsia="宋体" w:cs="宋体"/>
          <w:color w:val="auto"/>
          <w:u w:val="single"/>
        </w:rPr>
        <w:t xml:space="preserve">                               </w:t>
      </w:r>
      <w:r>
        <w:rPr>
          <w:rFonts w:hint="eastAsia" w:ascii="宋体" w:hAnsi="宋体" w:eastAsia="宋体" w:cs="宋体"/>
          <w:color w:val="auto"/>
        </w:rPr>
        <w:t xml:space="preserve">   </w:t>
      </w:r>
    </w:p>
    <w:p w14:paraId="13959477">
      <w:pPr>
        <w:ind w:firstLine="5040" w:firstLineChars="2400"/>
        <w:rPr>
          <w:rFonts w:hint="eastAsia" w:ascii="宋体" w:hAnsi="宋体" w:eastAsia="宋体" w:cs="宋体"/>
          <w:color w:val="auto"/>
        </w:rPr>
      </w:pPr>
      <w:r>
        <w:rPr>
          <w:rFonts w:hint="eastAsia" w:ascii="宋体" w:hAnsi="宋体" w:eastAsia="宋体" w:cs="宋体"/>
          <w:color w:val="auto"/>
        </w:rPr>
        <w:t>联系电话：</w:t>
      </w:r>
      <w:r>
        <w:rPr>
          <w:rFonts w:hint="eastAsia" w:ascii="宋体" w:hAnsi="宋体" w:eastAsia="宋体" w:cs="宋体"/>
          <w:color w:val="auto"/>
          <w:u w:val="single"/>
        </w:rPr>
        <w:t xml:space="preserve">                             </w:t>
      </w:r>
    </w:p>
    <w:p w14:paraId="6C6D4CC7">
      <w:pPr>
        <w:ind w:firstLine="5040" w:firstLineChars="2400"/>
        <w:rPr>
          <w:rFonts w:hint="eastAsia" w:ascii="宋体" w:hAnsi="宋体" w:eastAsia="宋体" w:cs="宋体"/>
          <w:color w:val="auto"/>
        </w:rPr>
      </w:pPr>
      <w:r>
        <w:rPr>
          <w:rFonts w:hint="eastAsia" w:ascii="宋体" w:hAnsi="宋体" w:eastAsia="宋体" w:cs="宋体"/>
          <w:color w:val="auto"/>
        </w:rPr>
        <w:t>日期：</w:t>
      </w:r>
      <w:r>
        <w:rPr>
          <w:rFonts w:hint="eastAsia" w:ascii="宋体" w:hAnsi="宋体" w:eastAsia="宋体" w:cs="宋体"/>
          <w:color w:val="auto"/>
          <w:u w:val="single"/>
        </w:rPr>
        <w:t xml:space="preserve">                               </w:t>
      </w:r>
    </w:p>
    <w:p w14:paraId="38276D4C">
      <w:pPr>
        <w:pStyle w:val="13"/>
        <w:ind w:firstLine="171"/>
        <w:rPr>
          <w:rFonts w:hint="eastAsia" w:ascii="宋体" w:hAnsi="宋体" w:eastAsia="宋体" w:cs="宋体"/>
          <w:color w:val="auto"/>
          <w:szCs w:val="24"/>
        </w:rPr>
      </w:pPr>
      <w:r>
        <w:rPr>
          <w:rFonts w:hint="eastAsia" w:ascii="宋体" w:hAnsi="宋体" w:eastAsia="宋体" w:cs="宋体"/>
          <w:color w:val="auto"/>
          <w:szCs w:val="24"/>
        </w:rPr>
        <w:t>说明：投标人在投标时不需提交正式保函，在投标文件中盖投标人公章确认保函格式即可，乙方</w:t>
      </w:r>
      <w:r>
        <w:rPr>
          <w:rFonts w:hint="eastAsia" w:ascii="宋体" w:hAnsi="宋体" w:eastAsia="宋体" w:cs="宋体"/>
          <w:color w:val="auto"/>
        </w:rPr>
        <w:t>在签订合同时</w:t>
      </w:r>
      <w:r>
        <w:rPr>
          <w:rFonts w:hint="eastAsia" w:ascii="宋体" w:hAnsi="宋体" w:eastAsia="宋体" w:cs="宋体"/>
          <w:color w:val="auto"/>
          <w:szCs w:val="24"/>
        </w:rPr>
        <w:t>提交正式保函。</w:t>
      </w:r>
    </w:p>
    <w:p w14:paraId="5B98D1F4">
      <w:pPr>
        <w:rPr>
          <w:rFonts w:hint="eastAsia" w:ascii="宋体" w:hAnsi="宋体" w:eastAsia="宋体" w:cs="宋体"/>
          <w:color w:val="auto"/>
          <w:szCs w:val="21"/>
        </w:rPr>
      </w:pPr>
    </w:p>
    <w:p w14:paraId="10BB5336">
      <w:pPr>
        <w:rPr>
          <w:rFonts w:hint="eastAsia" w:ascii="宋体" w:hAnsi="宋体" w:eastAsia="宋体" w:cs="宋体"/>
          <w:color w:val="auto"/>
          <w:szCs w:val="21"/>
        </w:rPr>
        <w:sectPr>
          <w:pgSz w:w="11906" w:h="16838"/>
          <w:pgMar w:top="1440" w:right="1797" w:bottom="1440" w:left="1797" w:header="709" w:footer="709" w:gutter="0"/>
          <w:cols w:space="708" w:num="1"/>
          <w:titlePg/>
          <w:docGrid w:type="linesAndChars" w:linePitch="360" w:charSpace="0"/>
        </w:sectPr>
      </w:pPr>
    </w:p>
    <w:p w14:paraId="7D7402B9">
      <w:pPr>
        <w:pStyle w:val="5"/>
        <w:numPr>
          <w:ilvl w:val="255"/>
          <w:numId w:val="0"/>
        </w:numPr>
        <w:tabs>
          <w:tab w:val="left" w:pos="720"/>
          <w:tab w:val="left" w:pos="3840"/>
        </w:tabs>
        <w:ind w:left="283"/>
        <w:jc w:val="both"/>
        <w:rPr>
          <w:rFonts w:hint="eastAsia" w:ascii="宋体" w:hAnsi="宋体" w:eastAsia="宋体" w:cs="宋体"/>
          <w:color w:val="auto"/>
          <w:sz w:val="21"/>
          <w:szCs w:val="21"/>
        </w:rPr>
      </w:pPr>
      <w:bookmarkStart w:id="189" w:name="_Toc28464"/>
      <w:r>
        <w:rPr>
          <w:rFonts w:hint="eastAsia" w:ascii="宋体" w:hAnsi="宋体" w:eastAsia="宋体" w:cs="宋体"/>
          <w:color w:val="auto"/>
          <w:sz w:val="21"/>
          <w:szCs w:val="21"/>
        </w:rPr>
        <w:t>附件20.预付款保函（适用于预付款支付）</w:t>
      </w:r>
      <w:bookmarkEnd w:id="189"/>
    </w:p>
    <w:p w14:paraId="669977AE">
      <w:pPr>
        <w:pStyle w:val="13"/>
        <w:ind w:firstLine="171"/>
        <w:rPr>
          <w:rFonts w:hint="eastAsia" w:ascii="宋体" w:hAnsi="宋体" w:eastAsia="宋体" w:cs="宋体"/>
          <w:color w:val="auto"/>
          <w:szCs w:val="24"/>
        </w:rPr>
      </w:pPr>
    </w:p>
    <w:p w14:paraId="28912D72">
      <w:pPr>
        <w:jc w:val="center"/>
        <w:rPr>
          <w:rFonts w:hint="eastAsia" w:ascii="宋体" w:hAnsi="宋体" w:eastAsia="宋体" w:cs="宋体"/>
          <w:color w:val="auto"/>
          <w:sz w:val="28"/>
          <w:szCs w:val="28"/>
        </w:rPr>
      </w:pPr>
      <w:bookmarkStart w:id="190" w:name="_Toc1039"/>
      <w:bookmarkStart w:id="191" w:name="_Toc25494"/>
      <w:bookmarkStart w:id="192" w:name="_Toc29728"/>
      <w:bookmarkStart w:id="193" w:name="_Toc31418"/>
      <w:bookmarkStart w:id="194" w:name="_Toc29054"/>
      <w:bookmarkStart w:id="195" w:name="_Toc6877"/>
      <w:bookmarkStart w:id="196" w:name="_Toc27545"/>
      <w:bookmarkStart w:id="197" w:name="_Toc7374"/>
      <w:bookmarkStart w:id="198" w:name="_Toc10315"/>
      <w:bookmarkStart w:id="199" w:name="_Toc5034"/>
      <w:bookmarkStart w:id="200" w:name="_Toc3295"/>
      <w:bookmarkStart w:id="201" w:name="_Toc20669"/>
      <w:r>
        <w:rPr>
          <w:rFonts w:hint="eastAsia" w:ascii="宋体" w:hAnsi="宋体" w:eastAsia="宋体" w:cs="宋体"/>
          <w:color w:val="auto"/>
          <w:sz w:val="28"/>
          <w:szCs w:val="28"/>
        </w:rPr>
        <w:t>不可撤销预付款保函</w:t>
      </w:r>
      <w:bookmarkEnd w:id="190"/>
      <w:bookmarkEnd w:id="191"/>
      <w:bookmarkEnd w:id="192"/>
      <w:bookmarkEnd w:id="193"/>
      <w:bookmarkEnd w:id="194"/>
      <w:bookmarkEnd w:id="195"/>
      <w:bookmarkEnd w:id="196"/>
      <w:bookmarkEnd w:id="197"/>
      <w:bookmarkEnd w:id="198"/>
      <w:bookmarkEnd w:id="199"/>
      <w:bookmarkEnd w:id="200"/>
      <w:bookmarkEnd w:id="201"/>
    </w:p>
    <w:p w14:paraId="64894315">
      <w:pPr>
        <w:ind w:firstLine="6300"/>
        <w:rPr>
          <w:rFonts w:hint="eastAsia" w:ascii="宋体" w:hAnsi="宋体" w:eastAsia="宋体" w:cs="宋体"/>
          <w:color w:val="auto"/>
          <w:szCs w:val="21"/>
          <w:u w:val="single"/>
        </w:rPr>
      </w:pPr>
      <w:r>
        <w:rPr>
          <w:rFonts w:hint="eastAsia" w:ascii="宋体" w:hAnsi="宋体" w:eastAsia="宋体" w:cs="宋体"/>
          <w:color w:val="auto"/>
          <w:szCs w:val="21"/>
        </w:rPr>
        <w:t>银行编号：</w:t>
      </w:r>
      <w:r>
        <w:rPr>
          <w:rFonts w:hint="eastAsia" w:ascii="宋体" w:hAnsi="宋体" w:eastAsia="宋体" w:cs="宋体"/>
          <w:color w:val="auto"/>
          <w:szCs w:val="21"/>
          <w:u w:val="single"/>
        </w:rPr>
        <w:t xml:space="preserve">             </w:t>
      </w:r>
    </w:p>
    <w:p w14:paraId="00DF6036">
      <w:pPr>
        <w:ind w:firstLine="6300"/>
        <w:rPr>
          <w:rFonts w:hint="eastAsia" w:ascii="宋体" w:hAnsi="宋体" w:eastAsia="宋体" w:cs="宋体"/>
          <w:color w:val="auto"/>
          <w:szCs w:val="21"/>
        </w:rPr>
      </w:pPr>
    </w:p>
    <w:p w14:paraId="147ABA75">
      <w:pPr>
        <w:rPr>
          <w:rFonts w:hint="eastAsia" w:ascii="宋体" w:hAnsi="宋体" w:eastAsia="宋体" w:cs="宋体"/>
          <w:color w:val="auto"/>
          <w:szCs w:val="21"/>
        </w:rPr>
      </w:pPr>
      <w:r>
        <w:rPr>
          <w:rFonts w:hint="eastAsia" w:ascii="宋体" w:hAnsi="宋体" w:eastAsia="宋体" w:cs="宋体"/>
          <w:color w:val="auto"/>
          <w:szCs w:val="21"/>
        </w:rPr>
        <w:t>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（下称“采购人”）</w:t>
      </w:r>
    </w:p>
    <w:p w14:paraId="434FCEE1">
      <w:pPr>
        <w:ind w:firstLine="437"/>
        <w:rPr>
          <w:rFonts w:hint="eastAsia" w:ascii="宋体" w:hAnsi="宋体" w:eastAsia="宋体" w:cs="宋体"/>
          <w:color w:val="auto"/>
          <w:szCs w:val="21"/>
        </w:rPr>
      </w:pPr>
      <w:r>
        <w:rPr>
          <w:rFonts w:hint="eastAsia" w:ascii="宋体" w:hAnsi="宋体" w:eastAsia="宋体" w:cs="宋体"/>
          <w:color w:val="auto"/>
          <w:szCs w:val="21"/>
        </w:rPr>
        <w:t>鉴于</w:t>
      </w:r>
      <w:r>
        <w:rPr>
          <w:rFonts w:hint="eastAsia" w:ascii="宋体" w:hAnsi="宋体" w:eastAsia="宋体" w:cs="宋体"/>
          <w:color w:val="auto"/>
          <w:szCs w:val="21"/>
          <w:u w:val="single"/>
        </w:rPr>
        <w:t xml:space="preserve">            </w:t>
      </w:r>
      <w:r>
        <w:rPr>
          <w:rFonts w:hint="eastAsia" w:ascii="宋体" w:hAnsi="宋体" w:eastAsia="宋体" w:cs="宋体"/>
          <w:color w:val="auto"/>
          <w:szCs w:val="24"/>
          <w:u w:val="single"/>
        </w:rPr>
        <w:t>（地址：          ，下称 “中标人” ）</w:t>
      </w:r>
      <w:r>
        <w:rPr>
          <w:rFonts w:hint="eastAsia" w:ascii="宋体" w:hAnsi="宋体" w:eastAsia="宋体" w:cs="宋体"/>
          <w:color w:val="auto"/>
          <w:szCs w:val="21"/>
        </w:rPr>
        <w:t>，已保证按</w:t>
      </w:r>
      <w:r>
        <w:rPr>
          <w:rFonts w:hint="eastAsia" w:ascii="宋体" w:hAnsi="宋体" w:eastAsia="宋体" w:cs="宋体"/>
          <w:color w:val="auto"/>
          <w:szCs w:val="21"/>
          <w:u w:val="single"/>
        </w:rPr>
        <w:t xml:space="preserve">          承包合同书（合同编号：    ）</w:t>
      </w:r>
      <w:r>
        <w:rPr>
          <w:rFonts w:hint="eastAsia" w:ascii="宋体" w:hAnsi="宋体" w:eastAsia="宋体" w:cs="宋体"/>
          <w:color w:val="auto"/>
          <w:szCs w:val="21"/>
        </w:rPr>
        <w:t>中规定的义务履行合同。</w:t>
      </w:r>
    </w:p>
    <w:p w14:paraId="67C071CE">
      <w:pPr>
        <w:ind w:firstLine="437"/>
        <w:rPr>
          <w:rFonts w:hint="eastAsia" w:ascii="宋体" w:hAnsi="宋体" w:eastAsia="宋体" w:cs="宋体"/>
          <w:color w:val="auto"/>
          <w:szCs w:val="21"/>
        </w:rPr>
      </w:pPr>
      <w:r>
        <w:rPr>
          <w:rFonts w:hint="eastAsia" w:ascii="宋体" w:hAnsi="宋体" w:eastAsia="宋体" w:cs="宋体"/>
          <w:color w:val="auto"/>
          <w:szCs w:val="24"/>
        </w:rPr>
        <w:t>根据上述合同（采购文件）规定，中标人应向采购人提供一份金额为合同总价的</w:t>
      </w:r>
      <w:r>
        <w:rPr>
          <w:rFonts w:hint="eastAsia" w:ascii="宋体" w:hAnsi="宋体" w:eastAsia="宋体" w:cs="宋体"/>
          <w:color w:val="auto"/>
          <w:szCs w:val="24"/>
          <w:u w:val="single"/>
        </w:rPr>
        <w:t xml:space="preserve">   </w:t>
      </w:r>
      <w:r>
        <w:rPr>
          <w:rFonts w:hint="eastAsia" w:ascii="宋体" w:hAnsi="宋体" w:eastAsia="宋体" w:cs="宋体"/>
          <w:color w:val="auto"/>
          <w:szCs w:val="24"/>
        </w:rPr>
        <w:t>% 即人民币</w:t>
      </w:r>
      <w:r>
        <w:rPr>
          <w:rFonts w:hint="eastAsia" w:ascii="宋体" w:hAnsi="宋体" w:eastAsia="宋体" w:cs="宋体"/>
          <w:color w:val="auto"/>
          <w:szCs w:val="21"/>
          <w:u w:val="single"/>
        </w:rPr>
        <w:t xml:space="preserve">      （RMB      元）</w:t>
      </w:r>
      <w:r>
        <w:rPr>
          <w:rFonts w:hint="eastAsia" w:ascii="宋体" w:hAnsi="宋体" w:eastAsia="宋体" w:cs="宋体"/>
          <w:color w:val="auto"/>
          <w:szCs w:val="21"/>
        </w:rPr>
        <w:t>的不可撤销银行预付款保函，以保证中标人履行合同的相关条款。</w:t>
      </w:r>
    </w:p>
    <w:p w14:paraId="5CDAC8BF">
      <w:pPr>
        <w:ind w:firstLine="437"/>
        <w:rPr>
          <w:rFonts w:hint="eastAsia" w:ascii="宋体" w:hAnsi="宋体" w:eastAsia="宋体" w:cs="宋体"/>
          <w:color w:val="auto"/>
          <w:szCs w:val="21"/>
        </w:rPr>
      </w:pPr>
      <w:r>
        <w:rPr>
          <w:rFonts w:hint="eastAsia" w:ascii="宋体" w:hAnsi="宋体" w:eastAsia="宋体" w:cs="宋体"/>
          <w:color w:val="auto"/>
          <w:szCs w:val="21"/>
        </w:rPr>
        <w:t>我方</w:t>
      </w:r>
      <w:r>
        <w:rPr>
          <w:rFonts w:hint="eastAsia" w:ascii="宋体" w:hAnsi="宋体" w:eastAsia="宋体" w:cs="宋体"/>
          <w:color w:val="auto"/>
          <w:szCs w:val="21"/>
          <w:u w:val="single"/>
        </w:rPr>
        <w:t xml:space="preserve">  （银行名称）  </w:t>
      </w:r>
      <w:r>
        <w:rPr>
          <w:rFonts w:hint="eastAsia" w:ascii="宋体" w:hAnsi="宋体" w:eastAsia="宋体" w:cs="宋体"/>
          <w:color w:val="auto"/>
          <w:szCs w:val="21"/>
        </w:rPr>
        <w:t>，受中标人的委托，作为连带责任保证人，无条件和不可撤销地同意在采购人提出因中标人没有履行上述合同规定，而要求收回上述金额内任何付款的书面要求后，于7个工作日内为采购人予以支付并保证到达采购人账户，以保证在中标人没有履行或部分履行合同条款的责任时，采购人可以向中标人收回全部或部分预付款。</w:t>
      </w:r>
    </w:p>
    <w:p w14:paraId="50542A37">
      <w:pPr>
        <w:ind w:firstLine="437"/>
        <w:rPr>
          <w:rFonts w:hint="eastAsia" w:ascii="宋体" w:hAnsi="宋体" w:eastAsia="宋体" w:cs="宋体"/>
          <w:color w:val="auto"/>
          <w:szCs w:val="21"/>
        </w:rPr>
      </w:pPr>
      <w:r>
        <w:rPr>
          <w:rFonts w:hint="eastAsia" w:ascii="宋体" w:hAnsi="宋体" w:eastAsia="宋体" w:cs="宋体"/>
          <w:color w:val="auto"/>
          <w:szCs w:val="21"/>
        </w:rPr>
        <w:t>我方还同意，任何采购人与中标人之间可能对合同条款的修改、规范或其他合同文件的变动补充，都不能免除我方按本保函所承担的责任。因此，有关上述变动、补充和修改无须通知我方。</w:t>
      </w:r>
    </w:p>
    <w:p w14:paraId="47E47039">
      <w:pPr>
        <w:ind w:firstLine="437"/>
        <w:rPr>
          <w:rFonts w:hint="eastAsia" w:ascii="宋体" w:hAnsi="宋体" w:eastAsia="宋体" w:cs="宋体"/>
          <w:color w:val="auto"/>
          <w:szCs w:val="21"/>
        </w:rPr>
      </w:pPr>
      <w:r>
        <w:rPr>
          <w:rFonts w:hint="eastAsia" w:ascii="宋体" w:hAnsi="宋体" w:eastAsia="宋体" w:cs="宋体"/>
          <w:color w:val="auto"/>
          <w:szCs w:val="21"/>
        </w:rPr>
        <w:t>本保函有效期从保函开立之日起至采购人向中标人抵扣完所有预付款之日止。</w:t>
      </w:r>
    </w:p>
    <w:p w14:paraId="21B2184B">
      <w:pPr>
        <w:rPr>
          <w:rFonts w:hint="eastAsia" w:ascii="宋体" w:hAnsi="宋体" w:eastAsia="宋体" w:cs="宋体"/>
          <w:color w:val="auto"/>
          <w:szCs w:val="21"/>
        </w:rPr>
      </w:pPr>
    </w:p>
    <w:p w14:paraId="485ACA11">
      <w:pPr>
        <w:ind w:firstLine="437"/>
        <w:rPr>
          <w:rFonts w:hint="eastAsia" w:ascii="宋体" w:hAnsi="宋体" w:eastAsia="宋体" w:cs="宋体"/>
          <w:color w:val="auto"/>
          <w:szCs w:val="21"/>
        </w:rPr>
      </w:pPr>
    </w:p>
    <w:p w14:paraId="5E06B954">
      <w:pPr>
        <w:ind w:firstLine="4860"/>
        <w:rPr>
          <w:rFonts w:hint="eastAsia" w:ascii="宋体" w:hAnsi="宋体" w:eastAsia="宋体" w:cs="宋体"/>
          <w:color w:val="auto"/>
          <w:szCs w:val="21"/>
        </w:rPr>
      </w:pPr>
      <w:r>
        <w:rPr>
          <w:rFonts w:hint="eastAsia" w:ascii="宋体" w:hAnsi="宋体" w:eastAsia="宋体" w:cs="宋体"/>
          <w:color w:val="auto"/>
          <w:szCs w:val="21"/>
        </w:rPr>
        <w:t>保证人：（公章）</w:t>
      </w:r>
      <w:r>
        <w:rPr>
          <w:rFonts w:hint="eastAsia" w:ascii="宋体" w:hAnsi="宋体" w:eastAsia="宋体" w:cs="宋体"/>
          <w:color w:val="auto"/>
          <w:szCs w:val="21"/>
          <w:u w:val="single"/>
        </w:rPr>
        <w:t xml:space="preserve">                     </w:t>
      </w:r>
    </w:p>
    <w:p w14:paraId="4300AC79">
      <w:pPr>
        <w:ind w:firstLine="4860"/>
        <w:rPr>
          <w:rFonts w:hint="eastAsia" w:ascii="宋体" w:hAnsi="宋体" w:eastAsia="宋体" w:cs="宋体"/>
          <w:color w:val="auto"/>
          <w:szCs w:val="21"/>
          <w:u w:val="single"/>
        </w:rPr>
      </w:pPr>
      <w:r>
        <w:rPr>
          <w:rFonts w:hint="eastAsia" w:ascii="宋体" w:hAnsi="宋体" w:eastAsia="宋体" w:cs="宋体"/>
          <w:color w:val="auto"/>
          <w:szCs w:val="21"/>
        </w:rPr>
        <w:t>负责人：（签字）</w:t>
      </w:r>
      <w:r>
        <w:rPr>
          <w:rFonts w:hint="eastAsia" w:ascii="宋体" w:hAnsi="宋体" w:eastAsia="宋体" w:cs="宋体"/>
          <w:color w:val="auto"/>
          <w:szCs w:val="21"/>
          <w:u w:val="single"/>
        </w:rPr>
        <w:t xml:space="preserve">                     </w:t>
      </w:r>
    </w:p>
    <w:p w14:paraId="0BE57973">
      <w:pPr>
        <w:ind w:firstLine="4860"/>
        <w:rPr>
          <w:rFonts w:hint="eastAsia" w:ascii="宋体" w:hAnsi="宋体" w:eastAsia="宋体" w:cs="宋体"/>
          <w:color w:val="auto"/>
          <w:szCs w:val="21"/>
          <w:u w:val="single"/>
        </w:rPr>
      </w:pPr>
      <w:r>
        <w:rPr>
          <w:rFonts w:hint="eastAsia" w:ascii="宋体" w:hAnsi="宋体" w:eastAsia="宋体" w:cs="宋体"/>
          <w:color w:val="auto"/>
          <w:szCs w:val="21"/>
        </w:rPr>
        <w:t>联系电话：</w:t>
      </w:r>
      <w:r>
        <w:rPr>
          <w:rFonts w:hint="eastAsia" w:ascii="宋体" w:hAnsi="宋体" w:eastAsia="宋体" w:cs="宋体"/>
          <w:color w:val="auto"/>
          <w:szCs w:val="21"/>
          <w:u w:val="single"/>
        </w:rPr>
        <w:t xml:space="preserve">                          </w:t>
      </w:r>
    </w:p>
    <w:p w14:paraId="7D70DBEF">
      <w:pPr>
        <w:ind w:firstLine="4860"/>
        <w:rPr>
          <w:rFonts w:hint="eastAsia" w:ascii="宋体" w:hAnsi="宋体" w:eastAsia="宋体" w:cs="宋体"/>
          <w:color w:val="auto"/>
          <w:szCs w:val="21"/>
        </w:rPr>
      </w:pPr>
      <w:r>
        <w:rPr>
          <w:rFonts w:hint="eastAsia" w:ascii="宋体" w:hAnsi="宋体" w:eastAsia="宋体" w:cs="宋体"/>
          <w:color w:val="auto"/>
          <w:szCs w:val="21"/>
        </w:rPr>
        <w:t>地址：</w:t>
      </w:r>
      <w:r>
        <w:rPr>
          <w:rFonts w:hint="eastAsia" w:ascii="宋体" w:hAnsi="宋体" w:eastAsia="宋体" w:cs="宋体"/>
          <w:color w:val="auto"/>
          <w:szCs w:val="21"/>
          <w:u w:val="single"/>
        </w:rPr>
        <w:t xml:space="preserve">                              </w:t>
      </w:r>
    </w:p>
    <w:p w14:paraId="6DB251A3">
      <w:pPr>
        <w:ind w:firstLine="4860"/>
        <w:rPr>
          <w:rFonts w:hint="eastAsia" w:ascii="宋体" w:hAnsi="宋体" w:eastAsia="宋体" w:cs="宋体"/>
          <w:color w:val="auto"/>
          <w:szCs w:val="21"/>
          <w:u w:val="single"/>
        </w:rPr>
      </w:pPr>
      <w:r>
        <w:rPr>
          <w:rFonts w:hint="eastAsia" w:ascii="宋体" w:hAnsi="宋体" w:eastAsia="宋体" w:cs="宋体"/>
          <w:color w:val="auto"/>
          <w:szCs w:val="21"/>
        </w:rPr>
        <w:t>日期：</w:t>
      </w:r>
      <w:r>
        <w:rPr>
          <w:rFonts w:hint="eastAsia" w:ascii="宋体" w:hAnsi="宋体" w:eastAsia="宋体" w:cs="宋体"/>
          <w:color w:val="auto"/>
          <w:szCs w:val="21"/>
          <w:u w:val="single"/>
        </w:rPr>
        <w:t xml:space="preserve">                              </w:t>
      </w:r>
    </w:p>
    <w:p w14:paraId="6CF2D71E">
      <w:pPr>
        <w:pStyle w:val="13"/>
        <w:ind w:firstLine="171"/>
        <w:rPr>
          <w:rFonts w:hint="eastAsia" w:ascii="宋体" w:hAnsi="宋体" w:eastAsia="宋体" w:cs="宋体"/>
          <w:color w:val="auto"/>
          <w:szCs w:val="21"/>
        </w:rPr>
      </w:pPr>
    </w:p>
    <w:p w14:paraId="3B33924F">
      <w:pPr>
        <w:pStyle w:val="13"/>
        <w:ind w:firstLine="171"/>
        <w:rPr>
          <w:rFonts w:hint="eastAsia" w:ascii="宋体" w:hAnsi="宋体" w:eastAsia="宋体" w:cs="宋体"/>
          <w:color w:val="auto"/>
          <w:szCs w:val="21"/>
        </w:rPr>
      </w:pPr>
    </w:p>
    <w:p w14:paraId="4480B6A4">
      <w:pPr>
        <w:ind w:firstLine="411" w:firstLineChars="196"/>
        <w:rPr>
          <w:rFonts w:hint="eastAsia" w:ascii="宋体" w:hAnsi="宋体" w:eastAsia="宋体" w:cs="宋体"/>
          <w:b/>
          <w:color w:val="auto"/>
          <w:szCs w:val="21"/>
        </w:rPr>
      </w:pPr>
      <w:r>
        <w:rPr>
          <w:rFonts w:hint="eastAsia" w:ascii="宋体" w:hAnsi="宋体" w:eastAsia="宋体" w:cs="宋体"/>
          <w:b/>
          <w:color w:val="auto"/>
          <w:szCs w:val="21"/>
        </w:rPr>
        <w:t>说明：投标人在投标文件中盖投标人公章确认保函内容即可，如中标再由银行出具保函。</w:t>
      </w:r>
    </w:p>
    <w:p w14:paraId="18EB9888">
      <w:pPr>
        <w:rPr>
          <w:rFonts w:hint="eastAsia" w:ascii="宋体" w:hAnsi="宋体" w:eastAsia="宋体" w:cs="宋体"/>
          <w:color w:val="auto"/>
          <w:szCs w:val="21"/>
        </w:rPr>
        <w:sectPr>
          <w:pgSz w:w="11906" w:h="16838"/>
          <w:pgMar w:top="1440" w:right="1797" w:bottom="1440" w:left="1797" w:header="709" w:footer="709" w:gutter="0"/>
          <w:cols w:space="708" w:num="1"/>
          <w:titlePg/>
          <w:docGrid w:type="linesAndChars" w:linePitch="360" w:charSpace="0"/>
        </w:sectPr>
      </w:pPr>
    </w:p>
    <w:p w14:paraId="214762EA">
      <w:pPr>
        <w:pStyle w:val="11"/>
        <w:rPr>
          <w:rFonts w:hint="eastAsia" w:ascii="宋体" w:hAnsi="宋体" w:eastAsia="宋体" w:cs="宋体"/>
          <w:color w:val="auto"/>
        </w:rPr>
      </w:pPr>
      <w:bookmarkStart w:id="202" w:name="_Toc1968"/>
    </w:p>
    <w:p w14:paraId="4AAA65C0">
      <w:pPr>
        <w:jc w:val="center"/>
        <w:outlineLvl w:val="1"/>
        <w:rPr>
          <w:rFonts w:hint="eastAsia" w:ascii="宋体" w:hAnsi="宋体" w:eastAsia="宋体" w:cs="宋体"/>
          <w:color w:val="auto"/>
          <w:sz w:val="72"/>
          <w:szCs w:val="72"/>
        </w:rPr>
      </w:pPr>
      <w:bookmarkStart w:id="203" w:name="_Toc20606"/>
      <w:r>
        <w:rPr>
          <w:rFonts w:hint="eastAsia" w:ascii="宋体" w:hAnsi="宋体" w:eastAsia="宋体" w:cs="宋体"/>
          <w:color w:val="auto"/>
          <w:sz w:val="72"/>
          <w:szCs w:val="72"/>
        </w:rPr>
        <w:t>唱标信封</w:t>
      </w:r>
      <w:bookmarkEnd w:id="203"/>
    </w:p>
    <w:p w14:paraId="060E602E">
      <w:pPr>
        <w:jc w:val="center"/>
        <w:rPr>
          <w:rFonts w:hint="eastAsia" w:ascii="宋体" w:hAnsi="宋体" w:eastAsia="宋体" w:cs="宋体"/>
          <w:color w:val="auto"/>
          <w:sz w:val="52"/>
          <w:szCs w:val="52"/>
        </w:rPr>
      </w:pPr>
      <w:r>
        <w:rPr>
          <w:rFonts w:hint="eastAsia" w:ascii="宋体" w:hAnsi="宋体" w:eastAsia="宋体" w:cs="宋体"/>
          <w:color w:val="auto"/>
          <w:sz w:val="52"/>
          <w:szCs w:val="52"/>
        </w:rPr>
        <w:t>（单独装订成册，单独封装）</w:t>
      </w:r>
    </w:p>
    <w:p w14:paraId="708C67A0">
      <w:pPr>
        <w:rPr>
          <w:rFonts w:hint="eastAsia" w:ascii="宋体" w:hAnsi="宋体" w:eastAsia="宋体" w:cs="宋体"/>
          <w:color w:val="auto"/>
        </w:rPr>
      </w:pPr>
    </w:p>
    <w:p w14:paraId="557057B0">
      <w:pPr>
        <w:pStyle w:val="11"/>
        <w:rPr>
          <w:rFonts w:hint="eastAsia" w:ascii="宋体" w:hAnsi="宋体" w:eastAsia="宋体" w:cs="宋体"/>
          <w:color w:val="auto"/>
        </w:rPr>
      </w:pPr>
    </w:p>
    <w:p w14:paraId="51E0F0CD">
      <w:pPr>
        <w:pStyle w:val="12"/>
        <w:ind w:firstLine="240"/>
        <w:rPr>
          <w:rFonts w:hint="eastAsia" w:ascii="宋体" w:hAnsi="宋体" w:eastAsia="宋体" w:cs="宋体"/>
          <w:color w:val="auto"/>
        </w:rPr>
      </w:pPr>
    </w:p>
    <w:p w14:paraId="3D82B799">
      <w:pPr>
        <w:pStyle w:val="12"/>
        <w:ind w:firstLine="240"/>
        <w:rPr>
          <w:rFonts w:hint="eastAsia" w:ascii="宋体" w:hAnsi="宋体" w:eastAsia="宋体" w:cs="宋体"/>
          <w:color w:val="auto"/>
        </w:rPr>
      </w:pPr>
    </w:p>
    <w:p w14:paraId="5ACA3B3A">
      <w:pPr>
        <w:rPr>
          <w:rFonts w:hint="eastAsia" w:ascii="宋体" w:hAnsi="宋体" w:eastAsia="宋体" w:cs="宋体"/>
          <w:b/>
          <w:color w:val="auto"/>
          <w:spacing w:val="-6"/>
          <w:sz w:val="32"/>
          <w:szCs w:val="32"/>
        </w:rPr>
      </w:pPr>
      <w:r>
        <w:rPr>
          <w:rFonts w:hint="eastAsia" w:ascii="宋体" w:hAnsi="宋体" w:eastAsia="宋体" w:cs="宋体"/>
          <w:b/>
          <w:color w:val="auto"/>
          <w:spacing w:val="106"/>
          <w:sz w:val="32"/>
          <w:szCs w:val="32"/>
        </w:rPr>
        <w:t>项目名</w:t>
      </w:r>
      <w:r>
        <w:rPr>
          <w:rFonts w:hint="eastAsia" w:ascii="宋体" w:hAnsi="宋体" w:eastAsia="宋体" w:cs="宋体"/>
          <w:b/>
          <w:color w:val="auto"/>
          <w:spacing w:val="2"/>
          <w:sz w:val="32"/>
          <w:szCs w:val="32"/>
        </w:rPr>
        <w:t>称</w:t>
      </w:r>
      <w:r>
        <w:rPr>
          <w:rFonts w:hint="eastAsia" w:ascii="宋体" w:hAnsi="宋体" w:eastAsia="宋体" w:cs="宋体"/>
          <w:b/>
          <w:color w:val="auto"/>
          <w:spacing w:val="-6"/>
          <w:sz w:val="32"/>
          <w:szCs w:val="32"/>
        </w:rPr>
        <w:t>：</w:t>
      </w:r>
    </w:p>
    <w:p w14:paraId="1B4F0753">
      <w:pPr>
        <w:rPr>
          <w:rFonts w:hint="eastAsia" w:ascii="宋体" w:hAnsi="宋体" w:eastAsia="宋体" w:cs="宋体"/>
          <w:b/>
          <w:color w:val="auto"/>
          <w:sz w:val="32"/>
          <w:szCs w:val="32"/>
        </w:rPr>
      </w:pPr>
      <w:r>
        <w:rPr>
          <w:rFonts w:hint="eastAsia" w:ascii="宋体" w:hAnsi="宋体" w:eastAsia="宋体" w:cs="宋体"/>
          <w:b/>
          <w:color w:val="auto"/>
          <w:spacing w:val="106"/>
          <w:sz w:val="32"/>
          <w:szCs w:val="32"/>
        </w:rPr>
        <w:t>项目编</w:t>
      </w:r>
      <w:r>
        <w:rPr>
          <w:rFonts w:hint="eastAsia" w:ascii="宋体" w:hAnsi="宋体" w:eastAsia="宋体" w:cs="宋体"/>
          <w:b/>
          <w:color w:val="auto"/>
          <w:spacing w:val="2"/>
          <w:sz w:val="32"/>
          <w:szCs w:val="32"/>
        </w:rPr>
        <w:t>号</w:t>
      </w:r>
      <w:r>
        <w:rPr>
          <w:rFonts w:hint="eastAsia" w:ascii="宋体" w:hAnsi="宋体" w:eastAsia="宋体" w:cs="宋体"/>
          <w:b/>
          <w:color w:val="auto"/>
          <w:sz w:val="32"/>
          <w:szCs w:val="32"/>
        </w:rPr>
        <w:t>：</w:t>
      </w:r>
    </w:p>
    <w:p w14:paraId="41D8BA2B">
      <w:pPr>
        <w:pStyle w:val="11"/>
        <w:ind w:left="0"/>
        <w:rPr>
          <w:rFonts w:hint="eastAsia" w:ascii="宋体" w:hAnsi="宋体" w:eastAsia="宋体" w:cs="宋体"/>
          <w:b/>
          <w:color w:val="auto"/>
          <w:spacing w:val="106"/>
          <w:sz w:val="32"/>
          <w:szCs w:val="32"/>
          <w:lang w:val="en-US" w:bidi="ar-SA"/>
        </w:rPr>
      </w:pPr>
      <w:r>
        <w:rPr>
          <w:rFonts w:hint="eastAsia" w:ascii="宋体" w:hAnsi="宋体" w:eastAsia="宋体" w:cs="宋体"/>
          <w:b/>
          <w:color w:val="auto"/>
          <w:spacing w:val="106"/>
          <w:sz w:val="32"/>
          <w:szCs w:val="32"/>
          <w:lang w:val="en-US" w:bidi="ar-SA"/>
        </w:rPr>
        <w:t>包组号（如有）：</w:t>
      </w:r>
    </w:p>
    <w:p w14:paraId="326AD43F">
      <w:pPr>
        <w:rPr>
          <w:rFonts w:hint="eastAsia" w:ascii="宋体" w:hAnsi="宋体" w:eastAsia="宋体" w:cs="宋体"/>
          <w:b/>
          <w:color w:val="auto"/>
          <w:sz w:val="32"/>
          <w:szCs w:val="32"/>
        </w:rPr>
      </w:pPr>
      <w:r>
        <w:rPr>
          <w:rFonts w:hint="eastAsia" w:ascii="宋体" w:hAnsi="宋体" w:eastAsia="宋体" w:cs="宋体"/>
          <w:b/>
          <w:color w:val="auto"/>
          <w:sz w:val="32"/>
          <w:szCs w:val="32"/>
        </w:rPr>
        <w:t>投标人名称：</w:t>
      </w:r>
    </w:p>
    <w:p w14:paraId="475D3972">
      <w:pPr>
        <w:rPr>
          <w:rFonts w:hint="eastAsia" w:ascii="宋体" w:hAnsi="宋体" w:eastAsia="宋体" w:cs="宋体"/>
          <w:b/>
          <w:color w:val="auto"/>
          <w:sz w:val="32"/>
          <w:szCs w:val="32"/>
        </w:rPr>
      </w:pPr>
      <w:r>
        <w:rPr>
          <w:rFonts w:hint="eastAsia" w:ascii="宋体" w:hAnsi="宋体" w:eastAsia="宋体" w:cs="宋体"/>
          <w:b/>
          <w:color w:val="auto"/>
          <w:spacing w:val="64"/>
          <w:sz w:val="32"/>
          <w:szCs w:val="32"/>
        </w:rPr>
        <w:t xml:space="preserve">日    </w:t>
      </w:r>
      <w:r>
        <w:rPr>
          <w:rFonts w:hint="eastAsia" w:ascii="宋体" w:hAnsi="宋体" w:eastAsia="宋体" w:cs="宋体"/>
          <w:b/>
          <w:color w:val="auto"/>
          <w:sz w:val="32"/>
          <w:szCs w:val="32"/>
        </w:rPr>
        <w:t>期：</w:t>
      </w:r>
    </w:p>
    <w:p w14:paraId="5E71ABF8">
      <w:pPr>
        <w:rPr>
          <w:rFonts w:hint="eastAsia" w:ascii="宋体" w:hAnsi="宋体" w:eastAsia="宋体" w:cs="宋体"/>
          <w:color w:val="auto"/>
          <w:szCs w:val="21"/>
        </w:rPr>
      </w:pPr>
      <w:r>
        <w:rPr>
          <w:rFonts w:hint="eastAsia" w:ascii="宋体" w:hAnsi="宋体" w:eastAsia="宋体" w:cs="宋体"/>
          <w:color w:val="auto"/>
          <w:szCs w:val="21"/>
        </w:rPr>
        <w:br w:type="page"/>
      </w:r>
    </w:p>
    <w:p w14:paraId="49DF35F7">
      <w:pPr>
        <w:outlineLvl w:val="1"/>
        <w:rPr>
          <w:rFonts w:hint="eastAsia" w:ascii="宋体" w:hAnsi="宋体" w:eastAsia="宋体" w:cs="宋体"/>
          <w:color w:val="auto"/>
          <w:sz w:val="72"/>
          <w:szCs w:val="72"/>
        </w:rPr>
        <w:sectPr>
          <w:pgSz w:w="11906" w:h="16838"/>
          <w:pgMar w:top="1440" w:right="1797" w:bottom="1440" w:left="1797" w:header="709" w:footer="709" w:gutter="0"/>
          <w:cols w:space="708" w:num="1"/>
          <w:titlePg/>
          <w:docGrid w:type="linesAndChars" w:linePitch="360" w:charSpace="0"/>
        </w:sectPr>
      </w:pPr>
    </w:p>
    <w:bookmarkEnd w:id="202"/>
    <w:p w14:paraId="13261BA6">
      <w:pPr>
        <w:pStyle w:val="5"/>
        <w:numPr>
          <w:ilvl w:val="255"/>
          <w:numId w:val="0"/>
        </w:numPr>
        <w:tabs>
          <w:tab w:val="left" w:pos="720"/>
          <w:tab w:val="left" w:pos="3840"/>
        </w:tabs>
        <w:ind w:left="283"/>
        <w:jc w:val="both"/>
        <w:rPr>
          <w:rFonts w:hint="eastAsia" w:ascii="宋体" w:hAnsi="宋体" w:eastAsia="宋体" w:cs="宋体"/>
          <w:color w:val="auto"/>
          <w:sz w:val="21"/>
          <w:szCs w:val="21"/>
        </w:rPr>
      </w:pPr>
      <w:bookmarkStart w:id="204" w:name="_Toc6821"/>
      <w:r>
        <w:rPr>
          <w:rFonts w:hint="eastAsia" w:ascii="宋体" w:hAnsi="宋体" w:eastAsia="宋体" w:cs="宋体"/>
          <w:color w:val="auto"/>
          <w:sz w:val="21"/>
          <w:szCs w:val="21"/>
        </w:rPr>
        <w:t>附件21.唱标信封内装（内容务必与投标文件正本一致）</w:t>
      </w:r>
      <w:bookmarkEnd w:id="204"/>
    </w:p>
    <w:p w14:paraId="37FF7DC1">
      <w:pPr>
        <w:numPr>
          <w:ilvl w:val="0"/>
          <w:numId w:val="12"/>
        </w:numPr>
        <w:ind w:firstLineChars="200"/>
        <w:rPr>
          <w:rFonts w:hint="eastAsia" w:ascii="宋体" w:hAnsi="宋体" w:eastAsia="宋体" w:cs="宋体"/>
          <w:color w:val="auto"/>
          <w:szCs w:val="21"/>
        </w:rPr>
      </w:pPr>
      <w:r>
        <w:rPr>
          <w:rFonts w:hint="eastAsia" w:ascii="宋体" w:hAnsi="宋体" w:eastAsia="宋体" w:cs="宋体"/>
          <w:color w:val="auto"/>
          <w:szCs w:val="21"/>
        </w:rPr>
        <w:t>开标一览表加盖公章；</w:t>
      </w:r>
    </w:p>
    <w:p w14:paraId="5F8835C5">
      <w:pPr>
        <w:numPr>
          <w:ilvl w:val="0"/>
          <w:numId w:val="12"/>
        </w:numPr>
        <w:ind w:firstLineChars="200"/>
        <w:rPr>
          <w:rFonts w:hint="eastAsia" w:ascii="宋体" w:hAnsi="宋体" w:eastAsia="宋体" w:cs="宋体"/>
          <w:color w:val="auto"/>
          <w:szCs w:val="21"/>
        </w:rPr>
      </w:pPr>
      <w:r>
        <w:rPr>
          <w:rFonts w:hint="eastAsia" w:ascii="宋体" w:hAnsi="宋体" w:eastAsia="宋体" w:cs="宋体"/>
          <w:color w:val="auto"/>
          <w:szCs w:val="21"/>
        </w:rPr>
        <w:t>法定代表人证明书加盖公章；</w:t>
      </w:r>
    </w:p>
    <w:p w14:paraId="0783AC8C">
      <w:pPr>
        <w:numPr>
          <w:ilvl w:val="0"/>
          <w:numId w:val="12"/>
        </w:numPr>
        <w:ind w:firstLineChars="200"/>
        <w:rPr>
          <w:rFonts w:hint="eastAsia" w:ascii="宋体" w:hAnsi="宋体" w:eastAsia="宋体" w:cs="宋体"/>
          <w:color w:val="auto"/>
          <w:szCs w:val="21"/>
        </w:rPr>
      </w:pPr>
      <w:r>
        <w:rPr>
          <w:rFonts w:hint="eastAsia" w:ascii="宋体" w:hAnsi="宋体" w:eastAsia="宋体" w:cs="宋体"/>
          <w:color w:val="auto"/>
          <w:szCs w:val="21"/>
        </w:rPr>
        <w:t>法定代表人授权委托书加盖公章（法定代表人投标的除外）；</w:t>
      </w:r>
    </w:p>
    <w:p w14:paraId="617F3280">
      <w:pPr>
        <w:numPr>
          <w:ilvl w:val="0"/>
          <w:numId w:val="12"/>
        </w:numPr>
        <w:ind w:firstLineChars="200"/>
        <w:rPr>
          <w:rFonts w:hint="eastAsia" w:ascii="宋体" w:hAnsi="宋体" w:eastAsia="宋体" w:cs="宋体"/>
          <w:color w:val="auto"/>
          <w:szCs w:val="21"/>
        </w:rPr>
      </w:pPr>
      <w:r>
        <w:rPr>
          <w:rFonts w:hint="eastAsia" w:ascii="宋体" w:hAnsi="宋体" w:eastAsia="宋体" w:cs="宋体"/>
          <w:color w:val="auto"/>
          <w:szCs w:val="21"/>
        </w:rPr>
        <w:t>投标保证金汇入情况说明（含银行汇款凭证）或投标保函加盖公章；</w:t>
      </w:r>
    </w:p>
    <w:p w14:paraId="67C148D1">
      <w:pPr>
        <w:numPr>
          <w:ilvl w:val="0"/>
          <w:numId w:val="12"/>
        </w:numPr>
        <w:ind w:firstLineChars="200"/>
        <w:rPr>
          <w:rFonts w:hint="eastAsia" w:ascii="宋体" w:hAnsi="宋体" w:eastAsia="宋体" w:cs="宋体"/>
          <w:color w:val="auto"/>
          <w:szCs w:val="21"/>
        </w:rPr>
      </w:pPr>
      <w:r>
        <w:rPr>
          <w:rFonts w:hint="eastAsia" w:ascii="宋体" w:hAnsi="宋体" w:eastAsia="宋体" w:cs="宋体"/>
          <w:color w:val="auto"/>
          <w:szCs w:val="21"/>
        </w:rPr>
        <w:t>投标文件电子文件（U盘，须含盖章版PDF投标文件和WORD版投标文件各一版，文字采用WORD文档，计算表格采用 EXCEL文档。）</w:t>
      </w:r>
    </w:p>
    <w:p w14:paraId="7D135E7A">
      <w:pPr>
        <w:rPr>
          <w:rFonts w:hint="eastAsia" w:ascii="宋体" w:hAnsi="宋体" w:eastAsia="宋体" w:cs="宋体"/>
          <w:color w:val="auto"/>
          <w:szCs w:val="21"/>
        </w:rPr>
      </w:pPr>
    </w:p>
    <w:p w14:paraId="6B1C6561">
      <w:pPr>
        <w:pStyle w:val="11"/>
        <w:rPr>
          <w:rFonts w:hint="eastAsia" w:ascii="宋体" w:hAnsi="宋体" w:eastAsia="宋体" w:cs="宋体"/>
          <w:color w:val="auto"/>
        </w:rPr>
      </w:pPr>
    </w:p>
    <w:sectPr>
      <w:pgSz w:w="11906" w:h="16838"/>
      <w:pgMar w:top="1440" w:right="1797" w:bottom="1440" w:left="1797" w:header="709" w:footer="709" w:gutter="0"/>
      <w:cols w:space="708" w:num="1"/>
      <w:titlePg/>
      <w:docGrid w:type="linesAndChar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方正书宋简体">
    <w:altName w:val="宋体"/>
    <w:panose1 w:val="00000000000000000000"/>
    <w:charset w:val="86"/>
    <w:family w:val="auto"/>
    <w:pitch w:val="default"/>
    <w:sig w:usb0="00000000" w:usb1="00000000" w:usb2="00000012"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63448">
    <w:pPr>
      <w:pStyle w:val="2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1C451D">
                          <w:pPr>
                            <w:pStyle w:val="2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185</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E1C451D">
                    <w:pPr>
                      <w:pStyle w:val="2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185</w:t>
                    </w:r>
                    <w: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2C94F">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2E699">
    <w:pPr>
      <w:pStyle w:val="2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B63EA8">
                          <w:pPr>
                            <w:pStyle w:val="2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3B63EA8">
                    <w:pPr>
                      <w:pStyle w:val="20"/>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AD055">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88390" cy="1828800"/>
              <wp:effectExtent l="0" t="0" r="0" b="0"/>
              <wp:wrapNone/>
              <wp:docPr id="3" name="文本框 1026"/>
              <wp:cNvGraphicFramePr/>
              <a:graphic xmlns:a="http://schemas.openxmlformats.org/drawingml/2006/main">
                <a:graphicData uri="http://schemas.microsoft.com/office/word/2010/wordprocessingShape">
                  <wps:wsp>
                    <wps:cNvSpPr txBox="1"/>
                    <wps:spPr>
                      <a:xfrm>
                        <a:off x="0" y="0"/>
                        <a:ext cx="1088390" cy="1828800"/>
                      </a:xfrm>
                      <a:prstGeom prst="rect">
                        <a:avLst/>
                      </a:prstGeom>
                      <a:noFill/>
                      <a:ln>
                        <a:noFill/>
                      </a:ln>
                    </wps:spPr>
                    <wps:txbx>
                      <w:txbxContent>
                        <w:p w14:paraId="48488D9E">
                          <w:pPr>
                            <w:pStyle w:val="20"/>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185</w:t>
                          </w:r>
                          <w:r>
                            <w:fldChar w:fldCharType="end"/>
                          </w:r>
                          <w:r>
                            <w:rPr>
                              <w:rFonts w:hint="eastAsia"/>
                            </w:rPr>
                            <w:t xml:space="preserve"> 页</w:t>
                          </w:r>
                        </w:p>
                      </w:txbxContent>
                    </wps:txbx>
                    <wps:bodyPr lIns="0" tIns="0" rIns="0" bIns="0" upright="1">
                      <a:spAutoFit/>
                    </wps:bodyPr>
                  </wps:wsp>
                </a:graphicData>
              </a:graphic>
            </wp:anchor>
          </w:drawing>
        </mc:Choice>
        <mc:Fallback>
          <w:pict>
            <v:shape id="文本框 1026" o:spid="_x0000_s1026" o:spt="202" type="#_x0000_t202" style="position:absolute;left:0pt;margin-top:0pt;height:144pt;width:85.7pt;mso-position-horizontal:center;mso-position-horizontal-relative:margin;z-index:251659264;mso-width-relative:page;mso-height-relative:page;" filled="f" stroked="f" coordsize="21600,21600" o:gfxdata="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xsfqk0wAAAAUBAAAPAAAAAAAAAAEAIAAAACIAAABkcnMvZG93bnJl&#10;di54bWxQSwECFAAUAAAACACHTuJARcufEMkBAACQAwAADgAAAAAAAAABACAAAAAiAQAAZHJzL2Uy&#10;b0RvYy54bWxQSwUGAAAAAAYABgBZAQAAXQUAAAAA&#10;">
              <v:fill on="f" focussize="0,0"/>
              <v:stroke on="f"/>
              <v:imagedata o:title=""/>
              <o:lock v:ext="edit" aspectratio="f"/>
              <v:textbox inset="0mm,0mm,0mm,0mm" style="mso-fit-shape-to-text:t;">
                <w:txbxContent>
                  <w:p w14:paraId="48488D9E">
                    <w:pPr>
                      <w:pStyle w:val="20"/>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185</w:t>
                    </w:r>
                    <w:r>
                      <w:fldChar w:fldCharType="end"/>
                    </w:r>
                    <w:r>
                      <w:rPr>
                        <w:rFonts w:hint="eastAsia"/>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F626F">
    <w:pPr>
      <w:pStyle w:val="2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50620" cy="1828800"/>
              <wp:effectExtent l="0" t="0" r="0" b="0"/>
              <wp:wrapNone/>
              <wp:docPr id="4" name="文本框 1025"/>
              <wp:cNvGraphicFramePr/>
              <a:graphic xmlns:a="http://schemas.openxmlformats.org/drawingml/2006/main">
                <a:graphicData uri="http://schemas.microsoft.com/office/word/2010/wordprocessingShape">
                  <wps:wsp>
                    <wps:cNvSpPr txBox="1"/>
                    <wps:spPr>
                      <a:xfrm>
                        <a:off x="0" y="0"/>
                        <a:ext cx="1150620" cy="1828800"/>
                      </a:xfrm>
                      <a:prstGeom prst="rect">
                        <a:avLst/>
                      </a:prstGeom>
                      <a:noFill/>
                      <a:ln>
                        <a:noFill/>
                      </a:ln>
                    </wps:spPr>
                    <wps:txbx>
                      <w:txbxContent>
                        <w:p w14:paraId="3EA40C1F">
                          <w:pPr>
                            <w:pStyle w:val="20"/>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185</w:t>
                          </w:r>
                          <w:r>
                            <w:fldChar w:fldCharType="end"/>
                          </w:r>
                          <w:r>
                            <w:rPr>
                              <w:rFonts w:hint="eastAsia"/>
                            </w:rPr>
                            <w:t xml:space="preserve"> 页</w:t>
                          </w:r>
                        </w:p>
                      </w:txbxContent>
                    </wps:txbx>
                    <wps:bodyPr lIns="0" tIns="0" rIns="0" bIns="0" upright="1">
                      <a:spAutoFit/>
                    </wps:bodyPr>
                  </wps:wsp>
                </a:graphicData>
              </a:graphic>
            </wp:anchor>
          </w:drawing>
        </mc:Choice>
        <mc:Fallback>
          <w:pict>
            <v:shape id="文本框 1025" o:spid="_x0000_s1026" o:spt="202" type="#_x0000_t202" style="position:absolute;left:0pt;margin-top:0pt;height:144pt;width:90.6pt;mso-position-horizontal:center;mso-position-horizontal-relative:margin;z-index:251660288;mso-width-relative:page;mso-height-relative:page;" filled="f" stroked="f" coordsize="21600,21600" o:gfxdata="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EYIEizSAAAABQEAAA8AAAAAAAAAAQAgAAAAIgAAAGRycy9kb3ducmV2&#10;LnhtbFBLAQIUABQAAAAIAIdO4kB4R5WwyQEAAJADAAAOAAAAAAAAAAEAIAAAACEBAABkcnMvZTJv&#10;RG9jLnhtbFBLBQYAAAAABgAGAFkBAABcBQAAAAA=&#10;">
              <v:fill on="f" focussize="0,0"/>
              <v:stroke on="f"/>
              <v:imagedata o:title=""/>
              <o:lock v:ext="edit" aspectratio="f"/>
              <v:textbox inset="0mm,0mm,0mm,0mm" style="mso-fit-shape-to-text:t;">
                <w:txbxContent>
                  <w:p w14:paraId="3EA40C1F">
                    <w:pPr>
                      <w:pStyle w:val="20"/>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185</w:t>
                    </w:r>
                    <w:r>
                      <w:fldChar w:fldCharType="end"/>
                    </w:r>
                    <w:r>
                      <w:rPr>
                        <w:rFonts w:hint="eastAsia"/>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79D3C">
    <w:pPr>
      <w:pStyle w:val="2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25901">
    <w:pPr>
      <w:pStyle w:val="21"/>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9C397">
    <w:pPr>
      <w:pStyle w:val="2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555E15"/>
    <w:multiLevelType w:val="singleLevel"/>
    <w:tmpl w:val="C9555E15"/>
    <w:lvl w:ilvl="0" w:tentative="0">
      <w:start w:val="1"/>
      <w:numFmt w:val="decimal"/>
      <w:lvlText w:val="(%1)"/>
      <w:lvlJc w:val="left"/>
      <w:pPr>
        <w:ind w:left="425" w:hanging="425"/>
      </w:pPr>
      <w:rPr>
        <w:rFonts w:hint="default"/>
      </w:rPr>
    </w:lvl>
  </w:abstractNum>
  <w:abstractNum w:abstractNumId="1">
    <w:nsid w:val="CC23954B"/>
    <w:multiLevelType w:val="multilevel"/>
    <w:tmpl w:val="CC23954B"/>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color w:val="auto"/>
      </w:rPr>
    </w:lvl>
    <w:lvl w:ilvl="2" w:tentative="0">
      <w:start w:val="1"/>
      <w:numFmt w:val="decimal"/>
      <w:lvlText w:val="%1.%2.%3."/>
      <w:lvlJc w:val="left"/>
      <w:pPr>
        <w:tabs>
          <w:tab w:val="left" w:pos="794"/>
        </w:tabs>
        <w:ind w:left="794" w:hanging="794"/>
      </w:pPr>
      <w:rPr>
        <w:rFonts w:hint="eastAsia" w:ascii="宋体" w:hAnsi="宋体" w:eastAsia="宋体"/>
      </w:rPr>
    </w:lvl>
    <w:lvl w:ilvl="3" w:tentative="0">
      <w:start w:val="1"/>
      <w:numFmt w:val="decimal"/>
      <w:lvlText w:val="%1.%2.%3.%4."/>
      <w:lvlJc w:val="left"/>
      <w:pPr>
        <w:tabs>
          <w:tab w:val="left" w:pos="454"/>
        </w:tabs>
        <w:ind w:left="1021" w:hanging="102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CFF174A5"/>
    <w:multiLevelType w:val="singleLevel"/>
    <w:tmpl w:val="CFF174A5"/>
    <w:lvl w:ilvl="0" w:tentative="0">
      <w:start w:val="1"/>
      <w:numFmt w:val="decimal"/>
      <w:suff w:val="nothing"/>
      <w:lvlText w:val="%1、"/>
      <w:lvlJc w:val="left"/>
    </w:lvl>
  </w:abstractNum>
  <w:abstractNum w:abstractNumId="3">
    <w:nsid w:val="D0047B7E"/>
    <w:multiLevelType w:val="singleLevel"/>
    <w:tmpl w:val="D0047B7E"/>
    <w:lvl w:ilvl="0" w:tentative="0">
      <w:start w:val="1"/>
      <w:numFmt w:val="decimal"/>
      <w:suff w:val="nothing"/>
      <w:lvlText w:val="%1、"/>
      <w:lvlJc w:val="left"/>
    </w:lvl>
  </w:abstractNum>
  <w:abstractNum w:abstractNumId="4">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25"/>
    <w:multiLevelType w:val="multilevel"/>
    <w:tmpl w:val="00000025"/>
    <w:lvl w:ilvl="0" w:tentative="0">
      <w:start w:val="1"/>
      <w:numFmt w:val="decimal"/>
      <w:lvlText w:val="%1"/>
      <w:lvlJc w:val="left"/>
      <w:pPr>
        <w:tabs>
          <w:tab w:val="left" w:pos="420"/>
        </w:tabs>
        <w:ind w:left="420" w:hanging="420"/>
      </w:pPr>
      <w:rPr>
        <w:rFonts w:hint="default"/>
        <w:u w:val="none"/>
      </w:rPr>
    </w:lvl>
    <w:lvl w:ilvl="1" w:tentative="0">
      <w:start w:val="1"/>
      <w:numFmt w:val="lowerLetter"/>
      <w:lvlText w:val="%2)"/>
      <w:lvlJc w:val="left"/>
      <w:pPr>
        <w:tabs>
          <w:tab w:val="left" w:pos="840"/>
        </w:tabs>
        <w:ind w:left="840" w:hanging="420"/>
      </w:pPr>
      <w:rPr>
        <w:rFonts w:hint="default"/>
        <w:u w:val="none"/>
      </w:rPr>
    </w:lvl>
    <w:lvl w:ilvl="2" w:tentative="0">
      <w:start w:val="1"/>
      <w:numFmt w:val="lowerRoman"/>
      <w:lvlText w:val="%3."/>
      <w:lvlJc w:val="right"/>
      <w:pPr>
        <w:tabs>
          <w:tab w:val="left" w:pos="1260"/>
        </w:tabs>
        <w:ind w:left="1260" w:hanging="420"/>
      </w:pPr>
      <w:rPr>
        <w:rFonts w:hint="default"/>
        <w:u w:val="none"/>
      </w:rPr>
    </w:lvl>
    <w:lvl w:ilvl="3" w:tentative="0">
      <w:start w:val="1"/>
      <w:numFmt w:val="decimal"/>
      <w:lvlText w:val="%4."/>
      <w:lvlJc w:val="left"/>
      <w:pPr>
        <w:tabs>
          <w:tab w:val="left" w:pos="1680"/>
        </w:tabs>
        <w:ind w:left="1680" w:hanging="420"/>
      </w:pPr>
      <w:rPr>
        <w:rFonts w:hint="default"/>
        <w:u w:val="none"/>
      </w:rPr>
    </w:lvl>
    <w:lvl w:ilvl="4" w:tentative="0">
      <w:start w:val="1"/>
      <w:numFmt w:val="lowerLetter"/>
      <w:lvlText w:val="%5)"/>
      <w:lvlJc w:val="left"/>
      <w:pPr>
        <w:tabs>
          <w:tab w:val="left" w:pos="2100"/>
        </w:tabs>
        <w:ind w:left="2100" w:hanging="420"/>
      </w:pPr>
      <w:rPr>
        <w:rFonts w:hint="default"/>
        <w:u w:val="none"/>
      </w:rPr>
    </w:lvl>
    <w:lvl w:ilvl="5" w:tentative="0">
      <w:start w:val="1"/>
      <w:numFmt w:val="lowerRoman"/>
      <w:lvlText w:val="%6."/>
      <w:lvlJc w:val="right"/>
      <w:pPr>
        <w:tabs>
          <w:tab w:val="left" w:pos="2520"/>
        </w:tabs>
        <w:ind w:left="2520" w:hanging="420"/>
      </w:pPr>
      <w:rPr>
        <w:rFonts w:hint="default"/>
        <w:u w:val="none"/>
      </w:rPr>
    </w:lvl>
    <w:lvl w:ilvl="6" w:tentative="0">
      <w:start w:val="1"/>
      <w:numFmt w:val="decimal"/>
      <w:lvlText w:val="%7."/>
      <w:lvlJc w:val="left"/>
      <w:pPr>
        <w:tabs>
          <w:tab w:val="left" w:pos="2940"/>
        </w:tabs>
        <w:ind w:left="2940" w:hanging="420"/>
      </w:pPr>
      <w:rPr>
        <w:rFonts w:hint="default"/>
        <w:u w:val="none"/>
      </w:rPr>
    </w:lvl>
    <w:lvl w:ilvl="7" w:tentative="0">
      <w:start w:val="1"/>
      <w:numFmt w:val="lowerLetter"/>
      <w:lvlText w:val="%8)"/>
      <w:lvlJc w:val="left"/>
      <w:pPr>
        <w:tabs>
          <w:tab w:val="left" w:pos="3360"/>
        </w:tabs>
        <w:ind w:left="3360" w:hanging="420"/>
      </w:pPr>
      <w:rPr>
        <w:rFonts w:hint="default"/>
        <w:u w:val="none"/>
      </w:rPr>
    </w:lvl>
    <w:lvl w:ilvl="8" w:tentative="0">
      <w:start w:val="1"/>
      <w:numFmt w:val="lowerRoman"/>
      <w:lvlText w:val="%9."/>
      <w:lvlJc w:val="right"/>
      <w:pPr>
        <w:tabs>
          <w:tab w:val="left" w:pos="3780"/>
        </w:tabs>
        <w:ind w:left="3780" w:hanging="420"/>
      </w:pPr>
      <w:rPr>
        <w:rFonts w:hint="default"/>
        <w:u w:val="none"/>
      </w:rPr>
    </w:lvl>
  </w:abstractNum>
  <w:abstractNum w:abstractNumId="6">
    <w:nsid w:val="13387DFE"/>
    <w:multiLevelType w:val="multilevel"/>
    <w:tmpl w:val="13387DFE"/>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color w:val="auto"/>
      </w:rPr>
    </w:lvl>
    <w:lvl w:ilvl="2" w:tentative="0">
      <w:start w:val="1"/>
      <w:numFmt w:val="decimal"/>
      <w:lvlText w:val="%1.%2.%3."/>
      <w:lvlJc w:val="left"/>
      <w:pPr>
        <w:tabs>
          <w:tab w:val="left" w:pos="794"/>
        </w:tabs>
        <w:ind w:left="794" w:hanging="794"/>
      </w:pPr>
      <w:rPr>
        <w:rFonts w:hint="eastAsia" w:ascii="宋体" w:hAnsi="宋体" w:eastAsia="宋体"/>
      </w:rPr>
    </w:lvl>
    <w:lvl w:ilvl="3" w:tentative="0">
      <w:start w:val="1"/>
      <w:numFmt w:val="decimal"/>
      <w:lvlText w:val="%1.%2.%3.%4."/>
      <w:lvlJc w:val="left"/>
      <w:pPr>
        <w:tabs>
          <w:tab w:val="left" w:pos="454"/>
        </w:tabs>
        <w:ind w:left="1021" w:hanging="102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20D2348B"/>
    <w:multiLevelType w:val="singleLevel"/>
    <w:tmpl w:val="20D2348B"/>
    <w:lvl w:ilvl="0" w:tentative="0">
      <w:start w:val="1"/>
      <w:numFmt w:val="chineseCounting"/>
      <w:suff w:val="nothing"/>
      <w:lvlText w:val="（%1）"/>
      <w:lvlJc w:val="left"/>
      <w:rPr>
        <w:rFonts w:hint="eastAsia"/>
      </w:rPr>
    </w:lvl>
  </w:abstractNum>
  <w:abstractNum w:abstractNumId="8">
    <w:nsid w:val="27F49B4B"/>
    <w:multiLevelType w:val="multilevel"/>
    <w:tmpl w:val="27F49B4B"/>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566" w:hanging="566"/>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580745EB"/>
    <w:multiLevelType w:val="multilevel"/>
    <w:tmpl w:val="580745E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9C5D728"/>
    <w:multiLevelType w:val="singleLevel"/>
    <w:tmpl w:val="59C5D728"/>
    <w:lvl w:ilvl="0" w:tentative="0">
      <w:start w:val="1"/>
      <w:numFmt w:val="chineseCounting"/>
      <w:suff w:val="nothing"/>
      <w:lvlText w:val="%1、"/>
      <w:lvlJc w:val="left"/>
      <w:pPr>
        <w:ind w:left="0" w:firstLine="420"/>
      </w:pPr>
      <w:rPr>
        <w:rFonts w:hint="eastAsia"/>
      </w:rPr>
    </w:lvl>
  </w:abstractNum>
  <w:abstractNum w:abstractNumId="11">
    <w:nsid w:val="5C183DB0"/>
    <w:multiLevelType w:val="multilevel"/>
    <w:tmpl w:val="5C183DB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9"/>
  </w:num>
  <w:num w:numId="2">
    <w:abstractNumId w:val="8"/>
  </w:num>
  <w:num w:numId="3">
    <w:abstractNumId w:val="1"/>
  </w:num>
  <w:num w:numId="4">
    <w:abstractNumId w:val="5"/>
  </w:num>
  <w:num w:numId="5">
    <w:abstractNumId w:val="0"/>
  </w:num>
  <w:num w:numId="6">
    <w:abstractNumId w:val="6"/>
  </w:num>
  <w:num w:numId="7">
    <w:abstractNumId w:val="2"/>
  </w:num>
  <w:num w:numId="8">
    <w:abstractNumId w:val="4"/>
  </w:num>
  <w:num w:numId="9">
    <w:abstractNumId w:val="7"/>
  </w:num>
  <w:num w:numId="10">
    <w:abstractNumId w:val="3"/>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balanceSingleByteDoubleByteWidth/>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E5NDZlYWM2ZDg1OGVjMjM0MzI1ZTkzNzNlOTYxYmMifQ=="/>
    <w:docVar w:name="KSO_WPS_MARK_KEY" w:val="9c16fc3c-915f-431a-aeaf-af16a994ad4d"/>
  </w:docVars>
  <w:rsids>
    <w:rsidRoot w:val="00172A27"/>
    <w:rsid w:val="00005A66"/>
    <w:rsid w:val="00006393"/>
    <w:rsid w:val="00006462"/>
    <w:rsid w:val="000300E4"/>
    <w:rsid w:val="0003307E"/>
    <w:rsid w:val="000336BA"/>
    <w:rsid w:val="000359A1"/>
    <w:rsid w:val="0005185D"/>
    <w:rsid w:val="0007500F"/>
    <w:rsid w:val="0008282E"/>
    <w:rsid w:val="00084F6D"/>
    <w:rsid w:val="00093A13"/>
    <w:rsid w:val="000A363F"/>
    <w:rsid w:val="000A42A8"/>
    <w:rsid w:val="000A5063"/>
    <w:rsid w:val="000A5DBD"/>
    <w:rsid w:val="000B1E52"/>
    <w:rsid w:val="000C4524"/>
    <w:rsid w:val="000D44A6"/>
    <w:rsid w:val="000E2CB7"/>
    <w:rsid w:val="000F0E98"/>
    <w:rsid w:val="000F1444"/>
    <w:rsid w:val="001049A5"/>
    <w:rsid w:val="00110389"/>
    <w:rsid w:val="001120E0"/>
    <w:rsid w:val="001142A8"/>
    <w:rsid w:val="00114BD0"/>
    <w:rsid w:val="00121ADA"/>
    <w:rsid w:val="001242F3"/>
    <w:rsid w:val="0013292D"/>
    <w:rsid w:val="001332BB"/>
    <w:rsid w:val="00134CAD"/>
    <w:rsid w:val="001368B7"/>
    <w:rsid w:val="0013730B"/>
    <w:rsid w:val="00137853"/>
    <w:rsid w:val="00137E1C"/>
    <w:rsid w:val="00144E18"/>
    <w:rsid w:val="00147012"/>
    <w:rsid w:val="00162068"/>
    <w:rsid w:val="00172A27"/>
    <w:rsid w:val="00173126"/>
    <w:rsid w:val="00173905"/>
    <w:rsid w:val="00173DEE"/>
    <w:rsid w:val="00173E04"/>
    <w:rsid w:val="00175D29"/>
    <w:rsid w:val="001833A1"/>
    <w:rsid w:val="001844F4"/>
    <w:rsid w:val="00185039"/>
    <w:rsid w:val="001852D7"/>
    <w:rsid w:val="00193390"/>
    <w:rsid w:val="001A06D8"/>
    <w:rsid w:val="001A2D42"/>
    <w:rsid w:val="001A2EF7"/>
    <w:rsid w:val="001B1F14"/>
    <w:rsid w:val="001B41CF"/>
    <w:rsid w:val="001B5860"/>
    <w:rsid w:val="001C1135"/>
    <w:rsid w:val="001C15AE"/>
    <w:rsid w:val="001C4661"/>
    <w:rsid w:val="001C5689"/>
    <w:rsid w:val="001C6E4B"/>
    <w:rsid w:val="001E194C"/>
    <w:rsid w:val="001F0070"/>
    <w:rsid w:val="001F2037"/>
    <w:rsid w:val="001F4B02"/>
    <w:rsid w:val="001F6BC7"/>
    <w:rsid w:val="001F780D"/>
    <w:rsid w:val="002065A7"/>
    <w:rsid w:val="002071E9"/>
    <w:rsid w:val="0021149E"/>
    <w:rsid w:val="00213021"/>
    <w:rsid w:val="00216BE9"/>
    <w:rsid w:val="00221E7A"/>
    <w:rsid w:val="0022503E"/>
    <w:rsid w:val="00225BB4"/>
    <w:rsid w:val="00226313"/>
    <w:rsid w:val="002373BB"/>
    <w:rsid w:val="00240F5F"/>
    <w:rsid w:val="00247224"/>
    <w:rsid w:val="00247AE0"/>
    <w:rsid w:val="00260AC1"/>
    <w:rsid w:val="0026312D"/>
    <w:rsid w:val="0027078E"/>
    <w:rsid w:val="0028395F"/>
    <w:rsid w:val="00284156"/>
    <w:rsid w:val="00285643"/>
    <w:rsid w:val="002867A1"/>
    <w:rsid w:val="002901F8"/>
    <w:rsid w:val="002920A4"/>
    <w:rsid w:val="002B4087"/>
    <w:rsid w:val="002B5F6C"/>
    <w:rsid w:val="002C6C78"/>
    <w:rsid w:val="002D1594"/>
    <w:rsid w:val="002D3F9C"/>
    <w:rsid w:val="002D503C"/>
    <w:rsid w:val="002D7E27"/>
    <w:rsid w:val="002E17E5"/>
    <w:rsid w:val="002E6B7E"/>
    <w:rsid w:val="002F0FC9"/>
    <w:rsid w:val="002F330D"/>
    <w:rsid w:val="0030669E"/>
    <w:rsid w:val="00306AD2"/>
    <w:rsid w:val="003101A3"/>
    <w:rsid w:val="0031370C"/>
    <w:rsid w:val="00320CEA"/>
    <w:rsid w:val="00323B43"/>
    <w:rsid w:val="00326831"/>
    <w:rsid w:val="003274CE"/>
    <w:rsid w:val="003361E9"/>
    <w:rsid w:val="003430F6"/>
    <w:rsid w:val="00353842"/>
    <w:rsid w:val="0035595E"/>
    <w:rsid w:val="00381C26"/>
    <w:rsid w:val="0038564C"/>
    <w:rsid w:val="00387CE4"/>
    <w:rsid w:val="00393B1D"/>
    <w:rsid w:val="003A1D97"/>
    <w:rsid w:val="003C18EB"/>
    <w:rsid w:val="003C1E4E"/>
    <w:rsid w:val="003C32D3"/>
    <w:rsid w:val="003C3B19"/>
    <w:rsid w:val="003C412B"/>
    <w:rsid w:val="003C415C"/>
    <w:rsid w:val="003D074D"/>
    <w:rsid w:val="003D36FB"/>
    <w:rsid w:val="003D37D8"/>
    <w:rsid w:val="003E0802"/>
    <w:rsid w:val="003E18E7"/>
    <w:rsid w:val="003E2B8C"/>
    <w:rsid w:val="003F46B4"/>
    <w:rsid w:val="003F4822"/>
    <w:rsid w:val="00401C64"/>
    <w:rsid w:val="00401CC0"/>
    <w:rsid w:val="00405E4A"/>
    <w:rsid w:val="00410AB5"/>
    <w:rsid w:val="00410F11"/>
    <w:rsid w:val="00411067"/>
    <w:rsid w:val="004203B9"/>
    <w:rsid w:val="004322A2"/>
    <w:rsid w:val="004358AB"/>
    <w:rsid w:val="00451EB4"/>
    <w:rsid w:val="00460B31"/>
    <w:rsid w:val="00462105"/>
    <w:rsid w:val="00475A80"/>
    <w:rsid w:val="00475BB4"/>
    <w:rsid w:val="004859DA"/>
    <w:rsid w:val="00490B9E"/>
    <w:rsid w:val="004917A9"/>
    <w:rsid w:val="00497577"/>
    <w:rsid w:val="004A05D7"/>
    <w:rsid w:val="004A2B28"/>
    <w:rsid w:val="004A69F1"/>
    <w:rsid w:val="004B3550"/>
    <w:rsid w:val="004B3F06"/>
    <w:rsid w:val="004C7FD6"/>
    <w:rsid w:val="004D08C0"/>
    <w:rsid w:val="004D1669"/>
    <w:rsid w:val="004D1736"/>
    <w:rsid w:val="004D2A9F"/>
    <w:rsid w:val="004D51A2"/>
    <w:rsid w:val="004D5AFB"/>
    <w:rsid w:val="004E04FD"/>
    <w:rsid w:val="004F1BB7"/>
    <w:rsid w:val="0050759C"/>
    <w:rsid w:val="00510827"/>
    <w:rsid w:val="005267F1"/>
    <w:rsid w:val="005269A9"/>
    <w:rsid w:val="00532034"/>
    <w:rsid w:val="0054511E"/>
    <w:rsid w:val="00545D9A"/>
    <w:rsid w:val="00546A42"/>
    <w:rsid w:val="0055408D"/>
    <w:rsid w:val="00560345"/>
    <w:rsid w:val="0057492D"/>
    <w:rsid w:val="00581A4C"/>
    <w:rsid w:val="0058523E"/>
    <w:rsid w:val="00590819"/>
    <w:rsid w:val="00593D68"/>
    <w:rsid w:val="005A208B"/>
    <w:rsid w:val="005A555E"/>
    <w:rsid w:val="005A7612"/>
    <w:rsid w:val="005B58A6"/>
    <w:rsid w:val="005C4EAC"/>
    <w:rsid w:val="005C57E1"/>
    <w:rsid w:val="005C702E"/>
    <w:rsid w:val="005D01B8"/>
    <w:rsid w:val="005D066B"/>
    <w:rsid w:val="005D2D85"/>
    <w:rsid w:val="005D52E7"/>
    <w:rsid w:val="005E1206"/>
    <w:rsid w:val="005F021D"/>
    <w:rsid w:val="005F20A4"/>
    <w:rsid w:val="005F30A4"/>
    <w:rsid w:val="005F4EAE"/>
    <w:rsid w:val="005F573A"/>
    <w:rsid w:val="005F660B"/>
    <w:rsid w:val="005F7EB1"/>
    <w:rsid w:val="00604B81"/>
    <w:rsid w:val="00610945"/>
    <w:rsid w:val="0061246F"/>
    <w:rsid w:val="00613417"/>
    <w:rsid w:val="00613B25"/>
    <w:rsid w:val="0061545F"/>
    <w:rsid w:val="006175DE"/>
    <w:rsid w:val="006215AC"/>
    <w:rsid w:val="00621821"/>
    <w:rsid w:val="00622362"/>
    <w:rsid w:val="00622497"/>
    <w:rsid w:val="006276AD"/>
    <w:rsid w:val="006347A6"/>
    <w:rsid w:val="006378D4"/>
    <w:rsid w:val="00641B93"/>
    <w:rsid w:val="00641E8C"/>
    <w:rsid w:val="0064416A"/>
    <w:rsid w:val="00644419"/>
    <w:rsid w:val="006476E3"/>
    <w:rsid w:val="00650DDC"/>
    <w:rsid w:val="00652983"/>
    <w:rsid w:val="0065365D"/>
    <w:rsid w:val="006546D0"/>
    <w:rsid w:val="00656890"/>
    <w:rsid w:val="006576FD"/>
    <w:rsid w:val="00664F6B"/>
    <w:rsid w:val="006731D2"/>
    <w:rsid w:val="00680EB0"/>
    <w:rsid w:val="00682986"/>
    <w:rsid w:val="00691701"/>
    <w:rsid w:val="00691AE0"/>
    <w:rsid w:val="0069491E"/>
    <w:rsid w:val="006B004E"/>
    <w:rsid w:val="006B3E6C"/>
    <w:rsid w:val="006B4832"/>
    <w:rsid w:val="006B7878"/>
    <w:rsid w:val="006C14BD"/>
    <w:rsid w:val="006C28E5"/>
    <w:rsid w:val="006C67A9"/>
    <w:rsid w:val="006D393E"/>
    <w:rsid w:val="006D43C5"/>
    <w:rsid w:val="006D4AD8"/>
    <w:rsid w:val="006E0B58"/>
    <w:rsid w:val="006E0C4B"/>
    <w:rsid w:val="00704F7B"/>
    <w:rsid w:val="007110BA"/>
    <w:rsid w:val="00711465"/>
    <w:rsid w:val="00716E96"/>
    <w:rsid w:val="00723B11"/>
    <w:rsid w:val="007343A7"/>
    <w:rsid w:val="00734BB2"/>
    <w:rsid w:val="00737823"/>
    <w:rsid w:val="00747A92"/>
    <w:rsid w:val="0075028E"/>
    <w:rsid w:val="007528A6"/>
    <w:rsid w:val="007608B9"/>
    <w:rsid w:val="00770457"/>
    <w:rsid w:val="007724B4"/>
    <w:rsid w:val="0077462B"/>
    <w:rsid w:val="00784C9E"/>
    <w:rsid w:val="007902ED"/>
    <w:rsid w:val="007916E7"/>
    <w:rsid w:val="00797C5D"/>
    <w:rsid w:val="00797D2F"/>
    <w:rsid w:val="007A34B9"/>
    <w:rsid w:val="007A3EF1"/>
    <w:rsid w:val="007A4DB3"/>
    <w:rsid w:val="007A6D05"/>
    <w:rsid w:val="007A6F47"/>
    <w:rsid w:val="007A7779"/>
    <w:rsid w:val="007B5770"/>
    <w:rsid w:val="007C18EE"/>
    <w:rsid w:val="007C4F46"/>
    <w:rsid w:val="007C7297"/>
    <w:rsid w:val="007D1B4F"/>
    <w:rsid w:val="007D2F9E"/>
    <w:rsid w:val="007D3175"/>
    <w:rsid w:val="007D48BF"/>
    <w:rsid w:val="007D5C45"/>
    <w:rsid w:val="007E2543"/>
    <w:rsid w:val="007E4A26"/>
    <w:rsid w:val="007E5045"/>
    <w:rsid w:val="007E7A17"/>
    <w:rsid w:val="007F01B0"/>
    <w:rsid w:val="007F259D"/>
    <w:rsid w:val="007F2CD8"/>
    <w:rsid w:val="007F4DC5"/>
    <w:rsid w:val="00802F91"/>
    <w:rsid w:val="00806380"/>
    <w:rsid w:val="0081104F"/>
    <w:rsid w:val="00812286"/>
    <w:rsid w:val="0081319A"/>
    <w:rsid w:val="00820BFC"/>
    <w:rsid w:val="00822299"/>
    <w:rsid w:val="0083486A"/>
    <w:rsid w:val="008352DA"/>
    <w:rsid w:val="00837E35"/>
    <w:rsid w:val="00841378"/>
    <w:rsid w:val="00842B87"/>
    <w:rsid w:val="00845BEB"/>
    <w:rsid w:val="008472E6"/>
    <w:rsid w:val="008518B4"/>
    <w:rsid w:val="00853463"/>
    <w:rsid w:val="008548BD"/>
    <w:rsid w:val="0086026F"/>
    <w:rsid w:val="008640F5"/>
    <w:rsid w:val="0087704E"/>
    <w:rsid w:val="008907DA"/>
    <w:rsid w:val="008A0587"/>
    <w:rsid w:val="008A40CF"/>
    <w:rsid w:val="008A7273"/>
    <w:rsid w:val="008B55B9"/>
    <w:rsid w:val="008B7726"/>
    <w:rsid w:val="008C05BA"/>
    <w:rsid w:val="008D429E"/>
    <w:rsid w:val="008D5A10"/>
    <w:rsid w:val="008E319F"/>
    <w:rsid w:val="008E619C"/>
    <w:rsid w:val="008F6E0E"/>
    <w:rsid w:val="00900748"/>
    <w:rsid w:val="00906F49"/>
    <w:rsid w:val="00907417"/>
    <w:rsid w:val="00914604"/>
    <w:rsid w:val="00916A34"/>
    <w:rsid w:val="0092092D"/>
    <w:rsid w:val="00923533"/>
    <w:rsid w:val="00930A38"/>
    <w:rsid w:val="00934170"/>
    <w:rsid w:val="00936729"/>
    <w:rsid w:val="00942948"/>
    <w:rsid w:val="009474B5"/>
    <w:rsid w:val="00953E98"/>
    <w:rsid w:val="00960F22"/>
    <w:rsid w:val="00970183"/>
    <w:rsid w:val="00972D86"/>
    <w:rsid w:val="009736BF"/>
    <w:rsid w:val="0097392B"/>
    <w:rsid w:val="00976066"/>
    <w:rsid w:val="00980A66"/>
    <w:rsid w:val="009904F7"/>
    <w:rsid w:val="009910F6"/>
    <w:rsid w:val="009A07B1"/>
    <w:rsid w:val="009A6B4A"/>
    <w:rsid w:val="009A7058"/>
    <w:rsid w:val="009C19DE"/>
    <w:rsid w:val="009C23A6"/>
    <w:rsid w:val="009C5206"/>
    <w:rsid w:val="009C6AD9"/>
    <w:rsid w:val="009D286A"/>
    <w:rsid w:val="009E398C"/>
    <w:rsid w:val="009E6F05"/>
    <w:rsid w:val="009F644E"/>
    <w:rsid w:val="009F6A05"/>
    <w:rsid w:val="00A01BE2"/>
    <w:rsid w:val="00A10906"/>
    <w:rsid w:val="00A12A7A"/>
    <w:rsid w:val="00A12E66"/>
    <w:rsid w:val="00A13E78"/>
    <w:rsid w:val="00A14EEF"/>
    <w:rsid w:val="00A23304"/>
    <w:rsid w:val="00A275C2"/>
    <w:rsid w:val="00A3295D"/>
    <w:rsid w:val="00A331A4"/>
    <w:rsid w:val="00A4012F"/>
    <w:rsid w:val="00A4190E"/>
    <w:rsid w:val="00A42E91"/>
    <w:rsid w:val="00A50383"/>
    <w:rsid w:val="00A5432C"/>
    <w:rsid w:val="00A603CA"/>
    <w:rsid w:val="00A61230"/>
    <w:rsid w:val="00A668C8"/>
    <w:rsid w:val="00A74ED3"/>
    <w:rsid w:val="00A75011"/>
    <w:rsid w:val="00A813C5"/>
    <w:rsid w:val="00A824E6"/>
    <w:rsid w:val="00A832CD"/>
    <w:rsid w:val="00A858DC"/>
    <w:rsid w:val="00A94D14"/>
    <w:rsid w:val="00AA0EAD"/>
    <w:rsid w:val="00AA5D65"/>
    <w:rsid w:val="00AB19CE"/>
    <w:rsid w:val="00AB2133"/>
    <w:rsid w:val="00AB3969"/>
    <w:rsid w:val="00AC0E7A"/>
    <w:rsid w:val="00AC187B"/>
    <w:rsid w:val="00AE310E"/>
    <w:rsid w:val="00AE4FC5"/>
    <w:rsid w:val="00AE7AA1"/>
    <w:rsid w:val="00AF1B1B"/>
    <w:rsid w:val="00AF3B80"/>
    <w:rsid w:val="00AF5F1F"/>
    <w:rsid w:val="00B027A4"/>
    <w:rsid w:val="00B04202"/>
    <w:rsid w:val="00B236B3"/>
    <w:rsid w:val="00B26806"/>
    <w:rsid w:val="00B31B24"/>
    <w:rsid w:val="00B4287F"/>
    <w:rsid w:val="00B4315F"/>
    <w:rsid w:val="00B43306"/>
    <w:rsid w:val="00B56D4C"/>
    <w:rsid w:val="00B60DAB"/>
    <w:rsid w:val="00B61CB1"/>
    <w:rsid w:val="00B63189"/>
    <w:rsid w:val="00B64036"/>
    <w:rsid w:val="00B67B5C"/>
    <w:rsid w:val="00B7194E"/>
    <w:rsid w:val="00B73575"/>
    <w:rsid w:val="00B7380A"/>
    <w:rsid w:val="00B763B0"/>
    <w:rsid w:val="00B91005"/>
    <w:rsid w:val="00B92951"/>
    <w:rsid w:val="00B93045"/>
    <w:rsid w:val="00B93169"/>
    <w:rsid w:val="00B950B6"/>
    <w:rsid w:val="00BA4130"/>
    <w:rsid w:val="00BA6CB3"/>
    <w:rsid w:val="00BB2CAF"/>
    <w:rsid w:val="00BB79B5"/>
    <w:rsid w:val="00BC3E74"/>
    <w:rsid w:val="00BD630F"/>
    <w:rsid w:val="00BD7C1B"/>
    <w:rsid w:val="00BE0825"/>
    <w:rsid w:val="00BE0C65"/>
    <w:rsid w:val="00BE2EE6"/>
    <w:rsid w:val="00BF17FD"/>
    <w:rsid w:val="00BF2820"/>
    <w:rsid w:val="00BF41D4"/>
    <w:rsid w:val="00BF44FE"/>
    <w:rsid w:val="00BF5AFB"/>
    <w:rsid w:val="00C012C1"/>
    <w:rsid w:val="00C148A8"/>
    <w:rsid w:val="00C1643E"/>
    <w:rsid w:val="00C16734"/>
    <w:rsid w:val="00C16BDE"/>
    <w:rsid w:val="00C17B47"/>
    <w:rsid w:val="00C25C77"/>
    <w:rsid w:val="00C27AAA"/>
    <w:rsid w:val="00C303E7"/>
    <w:rsid w:val="00C315FB"/>
    <w:rsid w:val="00C319C2"/>
    <w:rsid w:val="00C53CE5"/>
    <w:rsid w:val="00C612F8"/>
    <w:rsid w:val="00C62E44"/>
    <w:rsid w:val="00C63BD8"/>
    <w:rsid w:val="00C65954"/>
    <w:rsid w:val="00C7126B"/>
    <w:rsid w:val="00C72C24"/>
    <w:rsid w:val="00C73468"/>
    <w:rsid w:val="00C74986"/>
    <w:rsid w:val="00C757E7"/>
    <w:rsid w:val="00C80EC4"/>
    <w:rsid w:val="00C8568E"/>
    <w:rsid w:val="00CA32B5"/>
    <w:rsid w:val="00CB57AD"/>
    <w:rsid w:val="00CC009D"/>
    <w:rsid w:val="00CC584A"/>
    <w:rsid w:val="00CC5E4E"/>
    <w:rsid w:val="00CD0EAB"/>
    <w:rsid w:val="00CE0DE8"/>
    <w:rsid w:val="00CE2AF3"/>
    <w:rsid w:val="00CE621D"/>
    <w:rsid w:val="00CE66E8"/>
    <w:rsid w:val="00D05388"/>
    <w:rsid w:val="00D114CD"/>
    <w:rsid w:val="00D14476"/>
    <w:rsid w:val="00D232FF"/>
    <w:rsid w:val="00D279AA"/>
    <w:rsid w:val="00D31215"/>
    <w:rsid w:val="00D34544"/>
    <w:rsid w:val="00D34841"/>
    <w:rsid w:val="00D4444E"/>
    <w:rsid w:val="00D44A97"/>
    <w:rsid w:val="00D45C0C"/>
    <w:rsid w:val="00D508A5"/>
    <w:rsid w:val="00D5104B"/>
    <w:rsid w:val="00D555D8"/>
    <w:rsid w:val="00D60778"/>
    <w:rsid w:val="00D63EB2"/>
    <w:rsid w:val="00D64D28"/>
    <w:rsid w:val="00D6604D"/>
    <w:rsid w:val="00D677F1"/>
    <w:rsid w:val="00D71BBE"/>
    <w:rsid w:val="00D74601"/>
    <w:rsid w:val="00D83E46"/>
    <w:rsid w:val="00D847B6"/>
    <w:rsid w:val="00D90DB8"/>
    <w:rsid w:val="00D93958"/>
    <w:rsid w:val="00D951D3"/>
    <w:rsid w:val="00DA1DB9"/>
    <w:rsid w:val="00DA6169"/>
    <w:rsid w:val="00DA7B28"/>
    <w:rsid w:val="00DB5480"/>
    <w:rsid w:val="00DB6317"/>
    <w:rsid w:val="00DC2FC5"/>
    <w:rsid w:val="00DC5AD9"/>
    <w:rsid w:val="00DC691F"/>
    <w:rsid w:val="00DD02DE"/>
    <w:rsid w:val="00DD07B7"/>
    <w:rsid w:val="00DD113C"/>
    <w:rsid w:val="00DD324C"/>
    <w:rsid w:val="00DE0BEB"/>
    <w:rsid w:val="00DE3E16"/>
    <w:rsid w:val="00DE4856"/>
    <w:rsid w:val="00DF485B"/>
    <w:rsid w:val="00E0295D"/>
    <w:rsid w:val="00E042BC"/>
    <w:rsid w:val="00E132FE"/>
    <w:rsid w:val="00E21B77"/>
    <w:rsid w:val="00E23352"/>
    <w:rsid w:val="00E40CAD"/>
    <w:rsid w:val="00E40DC7"/>
    <w:rsid w:val="00E4215F"/>
    <w:rsid w:val="00E61D2E"/>
    <w:rsid w:val="00E62B7F"/>
    <w:rsid w:val="00E7066D"/>
    <w:rsid w:val="00E726BC"/>
    <w:rsid w:val="00E72821"/>
    <w:rsid w:val="00E75C82"/>
    <w:rsid w:val="00E81DDC"/>
    <w:rsid w:val="00E81F67"/>
    <w:rsid w:val="00E83650"/>
    <w:rsid w:val="00E83A31"/>
    <w:rsid w:val="00E85CA2"/>
    <w:rsid w:val="00E86F60"/>
    <w:rsid w:val="00E93BF5"/>
    <w:rsid w:val="00E97CC0"/>
    <w:rsid w:val="00EA22B8"/>
    <w:rsid w:val="00EA2524"/>
    <w:rsid w:val="00EA33E7"/>
    <w:rsid w:val="00EC092D"/>
    <w:rsid w:val="00EC0DF8"/>
    <w:rsid w:val="00EC7F91"/>
    <w:rsid w:val="00ED378B"/>
    <w:rsid w:val="00EE08F9"/>
    <w:rsid w:val="00EE70B3"/>
    <w:rsid w:val="00EF24AA"/>
    <w:rsid w:val="00EF30E5"/>
    <w:rsid w:val="00EF728A"/>
    <w:rsid w:val="00EF7D0D"/>
    <w:rsid w:val="00F00FF7"/>
    <w:rsid w:val="00F02093"/>
    <w:rsid w:val="00F068E3"/>
    <w:rsid w:val="00F10B5F"/>
    <w:rsid w:val="00F218C1"/>
    <w:rsid w:val="00F321EB"/>
    <w:rsid w:val="00F32B00"/>
    <w:rsid w:val="00F346CF"/>
    <w:rsid w:val="00F3610C"/>
    <w:rsid w:val="00F36839"/>
    <w:rsid w:val="00F52A5F"/>
    <w:rsid w:val="00F55954"/>
    <w:rsid w:val="00F56230"/>
    <w:rsid w:val="00F57308"/>
    <w:rsid w:val="00F61962"/>
    <w:rsid w:val="00F62865"/>
    <w:rsid w:val="00F63366"/>
    <w:rsid w:val="00F64022"/>
    <w:rsid w:val="00F64660"/>
    <w:rsid w:val="00F73539"/>
    <w:rsid w:val="00F74FF3"/>
    <w:rsid w:val="00F750E5"/>
    <w:rsid w:val="00F877FA"/>
    <w:rsid w:val="00F97062"/>
    <w:rsid w:val="00F9745D"/>
    <w:rsid w:val="00FA07A9"/>
    <w:rsid w:val="00FA54B2"/>
    <w:rsid w:val="00FA7390"/>
    <w:rsid w:val="00FB194E"/>
    <w:rsid w:val="00FC0FCB"/>
    <w:rsid w:val="00FC529F"/>
    <w:rsid w:val="00FC66E1"/>
    <w:rsid w:val="00FC7B53"/>
    <w:rsid w:val="00FD48CC"/>
    <w:rsid w:val="00FE62D1"/>
    <w:rsid w:val="00FE7B94"/>
    <w:rsid w:val="00FF0736"/>
    <w:rsid w:val="00FF2515"/>
    <w:rsid w:val="00FF26BF"/>
    <w:rsid w:val="013C51B0"/>
    <w:rsid w:val="01626D55"/>
    <w:rsid w:val="01651C23"/>
    <w:rsid w:val="018023CE"/>
    <w:rsid w:val="01881AD6"/>
    <w:rsid w:val="019127B6"/>
    <w:rsid w:val="01B71A01"/>
    <w:rsid w:val="01DC03CE"/>
    <w:rsid w:val="01E36F4E"/>
    <w:rsid w:val="0208150E"/>
    <w:rsid w:val="02287D63"/>
    <w:rsid w:val="024179E7"/>
    <w:rsid w:val="0246437B"/>
    <w:rsid w:val="0253128E"/>
    <w:rsid w:val="02985CD5"/>
    <w:rsid w:val="02A741FD"/>
    <w:rsid w:val="02BA0C0F"/>
    <w:rsid w:val="02C16E5D"/>
    <w:rsid w:val="02D964CF"/>
    <w:rsid w:val="02DE5ECF"/>
    <w:rsid w:val="02F36152"/>
    <w:rsid w:val="032E6AB8"/>
    <w:rsid w:val="03707410"/>
    <w:rsid w:val="03770770"/>
    <w:rsid w:val="039170C0"/>
    <w:rsid w:val="039240A3"/>
    <w:rsid w:val="03A0770F"/>
    <w:rsid w:val="03A27726"/>
    <w:rsid w:val="03A448B8"/>
    <w:rsid w:val="03B34A78"/>
    <w:rsid w:val="03C01631"/>
    <w:rsid w:val="03C4748A"/>
    <w:rsid w:val="03C656A9"/>
    <w:rsid w:val="03F33148"/>
    <w:rsid w:val="03FC220E"/>
    <w:rsid w:val="042F3419"/>
    <w:rsid w:val="04491596"/>
    <w:rsid w:val="047B4012"/>
    <w:rsid w:val="04822497"/>
    <w:rsid w:val="04974587"/>
    <w:rsid w:val="049A0C65"/>
    <w:rsid w:val="04A07C4B"/>
    <w:rsid w:val="04DF1036"/>
    <w:rsid w:val="04E24985"/>
    <w:rsid w:val="050A1FF0"/>
    <w:rsid w:val="050C01DF"/>
    <w:rsid w:val="05316537"/>
    <w:rsid w:val="053A5A77"/>
    <w:rsid w:val="0599183C"/>
    <w:rsid w:val="05A97DEC"/>
    <w:rsid w:val="05B23978"/>
    <w:rsid w:val="05C81981"/>
    <w:rsid w:val="05FC20B9"/>
    <w:rsid w:val="060043AE"/>
    <w:rsid w:val="060C3203"/>
    <w:rsid w:val="06281344"/>
    <w:rsid w:val="062D4EC8"/>
    <w:rsid w:val="066A3B51"/>
    <w:rsid w:val="069B4E4A"/>
    <w:rsid w:val="06A26008"/>
    <w:rsid w:val="06BC41F2"/>
    <w:rsid w:val="06F415CC"/>
    <w:rsid w:val="070E26CD"/>
    <w:rsid w:val="070F4658"/>
    <w:rsid w:val="07197D08"/>
    <w:rsid w:val="071E5C55"/>
    <w:rsid w:val="07360A59"/>
    <w:rsid w:val="073F5E65"/>
    <w:rsid w:val="075C1FE5"/>
    <w:rsid w:val="077005AB"/>
    <w:rsid w:val="078F4581"/>
    <w:rsid w:val="07924D89"/>
    <w:rsid w:val="07A715F3"/>
    <w:rsid w:val="07BF027F"/>
    <w:rsid w:val="07F06C60"/>
    <w:rsid w:val="08031A31"/>
    <w:rsid w:val="080E2872"/>
    <w:rsid w:val="08420CAE"/>
    <w:rsid w:val="089A5AE8"/>
    <w:rsid w:val="08DC5B69"/>
    <w:rsid w:val="09061A75"/>
    <w:rsid w:val="09182241"/>
    <w:rsid w:val="092548A0"/>
    <w:rsid w:val="09325D4D"/>
    <w:rsid w:val="095F1030"/>
    <w:rsid w:val="09855177"/>
    <w:rsid w:val="09A17D47"/>
    <w:rsid w:val="09C430F7"/>
    <w:rsid w:val="09EE5125"/>
    <w:rsid w:val="0A3D7585"/>
    <w:rsid w:val="0A462748"/>
    <w:rsid w:val="0A4D0C81"/>
    <w:rsid w:val="0A5F2EAC"/>
    <w:rsid w:val="0A723E95"/>
    <w:rsid w:val="0A733243"/>
    <w:rsid w:val="0AA534D5"/>
    <w:rsid w:val="0AA650EB"/>
    <w:rsid w:val="0AA7129C"/>
    <w:rsid w:val="0AAB53C7"/>
    <w:rsid w:val="0AC137D3"/>
    <w:rsid w:val="0AF47339"/>
    <w:rsid w:val="0B121934"/>
    <w:rsid w:val="0B1F4D52"/>
    <w:rsid w:val="0B22594B"/>
    <w:rsid w:val="0B27506F"/>
    <w:rsid w:val="0B3061AD"/>
    <w:rsid w:val="0B9610F4"/>
    <w:rsid w:val="0BBF77A4"/>
    <w:rsid w:val="0BD16C8D"/>
    <w:rsid w:val="0BDF26F7"/>
    <w:rsid w:val="0C027DB2"/>
    <w:rsid w:val="0C1E733C"/>
    <w:rsid w:val="0C2B4952"/>
    <w:rsid w:val="0C516C55"/>
    <w:rsid w:val="0C5D161C"/>
    <w:rsid w:val="0C7B2220"/>
    <w:rsid w:val="0CB67D83"/>
    <w:rsid w:val="0CCF79BE"/>
    <w:rsid w:val="0CD20599"/>
    <w:rsid w:val="0CD736CB"/>
    <w:rsid w:val="0CDA7428"/>
    <w:rsid w:val="0CE53018"/>
    <w:rsid w:val="0CE560AB"/>
    <w:rsid w:val="0D0B5B12"/>
    <w:rsid w:val="0D133046"/>
    <w:rsid w:val="0D153F28"/>
    <w:rsid w:val="0D305390"/>
    <w:rsid w:val="0D3A0F98"/>
    <w:rsid w:val="0D3D7D87"/>
    <w:rsid w:val="0D5D37FD"/>
    <w:rsid w:val="0D6A4502"/>
    <w:rsid w:val="0D7415CA"/>
    <w:rsid w:val="0D890E47"/>
    <w:rsid w:val="0DC64A00"/>
    <w:rsid w:val="0DCF786E"/>
    <w:rsid w:val="0DEB5FFA"/>
    <w:rsid w:val="0DF75C46"/>
    <w:rsid w:val="0DF9456A"/>
    <w:rsid w:val="0DFC60BA"/>
    <w:rsid w:val="0E045D30"/>
    <w:rsid w:val="0E1C06B2"/>
    <w:rsid w:val="0E35000C"/>
    <w:rsid w:val="0E69691B"/>
    <w:rsid w:val="0E7900C2"/>
    <w:rsid w:val="0E9F4B70"/>
    <w:rsid w:val="0EB00FC9"/>
    <w:rsid w:val="0EBA02CF"/>
    <w:rsid w:val="0EBB5484"/>
    <w:rsid w:val="0EBD5AA3"/>
    <w:rsid w:val="0F085784"/>
    <w:rsid w:val="0F1C7073"/>
    <w:rsid w:val="0F267A69"/>
    <w:rsid w:val="0F533FBC"/>
    <w:rsid w:val="0F5723EF"/>
    <w:rsid w:val="0F7C5FF6"/>
    <w:rsid w:val="0FC63FBD"/>
    <w:rsid w:val="0FDD003F"/>
    <w:rsid w:val="0FF63282"/>
    <w:rsid w:val="0FF87EA4"/>
    <w:rsid w:val="0FFF7484"/>
    <w:rsid w:val="10007DD4"/>
    <w:rsid w:val="100B77ED"/>
    <w:rsid w:val="102B7707"/>
    <w:rsid w:val="10305890"/>
    <w:rsid w:val="103D5A1A"/>
    <w:rsid w:val="106C564D"/>
    <w:rsid w:val="10767478"/>
    <w:rsid w:val="107B7B8F"/>
    <w:rsid w:val="107C67CE"/>
    <w:rsid w:val="10912D03"/>
    <w:rsid w:val="109D68CB"/>
    <w:rsid w:val="10A949B8"/>
    <w:rsid w:val="10CB4D26"/>
    <w:rsid w:val="11144AFE"/>
    <w:rsid w:val="11200D07"/>
    <w:rsid w:val="116A3F32"/>
    <w:rsid w:val="11786AB5"/>
    <w:rsid w:val="118049D4"/>
    <w:rsid w:val="118561F8"/>
    <w:rsid w:val="11914FAF"/>
    <w:rsid w:val="11A8021A"/>
    <w:rsid w:val="11B21219"/>
    <w:rsid w:val="11B4024C"/>
    <w:rsid w:val="11DA73AF"/>
    <w:rsid w:val="11FC1ECD"/>
    <w:rsid w:val="12457C5E"/>
    <w:rsid w:val="124D097B"/>
    <w:rsid w:val="12511265"/>
    <w:rsid w:val="126561B4"/>
    <w:rsid w:val="127A3FFC"/>
    <w:rsid w:val="127D0E25"/>
    <w:rsid w:val="127E0B34"/>
    <w:rsid w:val="1283614B"/>
    <w:rsid w:val="12856FF3"/>
    <w:rsid w:val="12961468"/>
    <w:rsid w:val="129671FB"/>
    <w:rsid w:val="12A576FF"/>
    <w:rsid w:val="12C60D80"/>
    <w:rsid w:val="130523B3"/>
    <w:rsid w:val="13053037"/>
    <w:rsid w:val="13097496"/>
    <w:rsid w:val="13154AD2"/>
    <w:rsid w:val="131F7A3A"/>
    <w:rsid w:val="132645D0"/>
    <w:rsid w:val="134312FF"/>
    <w:rsid w:val="13455ABC"/>
    <w:rsid w:val="1370322B"/>
    <w:rsid w:val="138B43F8"/>
    <w:rsid w:val="13BA0460"/>
    <w:rsid w:val="13BB41AE"/>
    <w:rsid w:val="13C24F9B"/>
    <w:rsid w:val="13C45A18"/>
    <w:rsid w:val="13C9247B"/>
    <w:rsid w:val="13C92A4D"/>
    <w:rsid w:val="13DE55D1"/>
    <w:rsid w:val="13E0285C"/>
    <w:rsid w:val="143B2E0B"/>
    <w:rsid w:val="147C1943"/>
    <w:rsid w:val="148054E9"/>
    <w:rsid w:val="14892735"/>
    <w:rsid w:val="14906D6C"/>
    <w:rsid w:val="149959B6"/>
    <w:rsid w:val="14CC769D"/>
    <w:rsid w:val="14D764D5"/>
    <w:rsid w:val="14F43330"/>
    <w:rsid w:val="15054070"/>
    <w:rsid w:val="152509D7"/>
    <w:rsid w:val="15254AD1"/>
    <w:rsid w:val="15436F05"/>
    <w:rsid w:val="155541C5"/>
    <w:rsid w:val="15691FE3"/>
    <w:rsid w:val="158B5DDD"/>
    <w:rsid w:val="15A41986"/>
    <w:rsid w:val="15B11221"/>
    <w:rsid w:val="15B719FC"/>
    <w:rsid w:val="15C16EB3"/>
    <w:rsid w:val="15CB76C9"/>
    <w:rsid w:val="15D359D7"/>
    <w:rsid w:val="15D908D7"/>
    <w:rsid w:val="160E7A2C"/>
    <w:rsid w:val="16111028"/>
    <w:rsid w:val="161F7731"/>
    <w:rsid w:val="163C77BE"/>
    <w:rsid w:val="16573587"/>
    <w:rsid w:val="1679588C"/>
    <w:rsid w:val="168C2855"/>
    <w:rsid w:val="16903443"/>
    <w:rsid w:val="16994962"/>
    <w:rsid w:val="16A233CF"/>
    <w:rsid w:val="16A71041"/>
    <w:rsid w:val="16AA24BF"/>
    <w:rsid w:val="171D3FE1"/>
    <w:rsid w:val="1737224C"/>
    <w:rsid w:val="1742794A"/>
    <w:rsid w:val="17680CAB"/>
    <w:rsid w:val="176E4128"/>
    <w:rsid w:val="1783371F"/>
    <w:rsid w:val="178D7563"/>
    <w:rsid w:val="17B61794"/>
    <w:rsid w:val="17C52CBF"/>
    <w:rsid w:val="17C93012"/>
    <w:rsid w:val="17DF2E04"/>
    <w:rsid w:val="17E62B67"/>
    <w:rsid w:val="180F4499"/>
    <w:rsid w:val="182201B4"/>
    <w:rsid w:val="18221ECE"/>
    <w:rsid w:val="18303840"/>
    <w:rsid w:val="183C3D90"/>
    <w:rsid w:val="183D2FB7"/>
    <w:rsid w:val="183F40E9"/>
    <w:rsid w:val="183F5A87"/>
    <w:rsid w:val="18483AC2"/>
    <w:rsid w:val="18504A07"/>
    <w:rsid w:val="1859036F"/>
    <w:rsid w:val="18681814"/>
    <w:rsid w:val="18B0649B"/>
    <w:rsid w:val="18C8297B"/>
    <w:rsid w:val="18D418FC"/>
    <w:rsid w:val="18D81688"/>
    <w:rsid w:val="18F52087"/>
    <w:rsid w:val="18FC7745"/>
    <w:rsid w:val="19027053"/>
    <w:rsid w:val="191677A6"/>
    <w:rsid w:val="19353F17"/>
    <w:rsid w:val="196D58D9"/>
    <w:rsid w:val="19A01B18"/>
    <w:rsid w:val="19A561C4"/>
    <w:rsid w:val="19DD405E"/>
    <w:rsid w:val="1A3B6C81"/>
    <w:rsid w:val="1A460CF5"/>
    <w:rsid w:val="1A726F79"/>
    <w:rsid w:val="1A7A6BB4"/>
    <w:rsid w:val="1A7F297D"/>
    <w:rsid w:val="1A9B268C"/>
    <w:rsid w:val="1A9D6244"/>
    <w:rsid w:val="1AAF6004"/>
    <w:rsid w:val="1AB16AC1"/>
    <w:rsid w:val="1ABF1CEA"/>
    <w:rsid w:val="1AD33DEE"/>
    <w:rsid w:val="1AF52219"/>
    <w:rsid w:val="1B014DDE"/>
    <w:rsid w:val="1B0320FB"/>
    <w:rsid w:val="1B034A52"/>
    <w:rsid w:val="1B40132D"/>
    <w:rsid w:val="1B45344E"/>
    <w:rsid w:val="1B591D2B"/>
    <w:rsid w:val="1B5D76FB"/>
    <w:rsid w:val="1B683578"/>
    <w:rsid w:val="1B8C0040"/>
    <w:rsid w:val="1BBA4E52"/>
    <w:rsid w:val="1BD06D0C"/>
    <w:rsid w:val="1BD9519A"/>
    <w:rsid w:val="1BDE2F66"/>
    <w:rsid w:val="1C2A22B3"/>
    <w:rsid w:val="1C750ECE"/>
    <w:rsid w:val="1CA56AF4"/>
    <w:rsid w:val="1CE1575A"/>
    <w:rsid w:val="1D196139"/>
    <w:rsid w:val="1D2E2708"/>
    <w:rsid w:val="1D5D6EDA"/>
    <w:rsid w:val="1D5E02D1"/>
    <w:rsid w:val="1D734218"/>
    <w:rsid w:val="1D7B74A7"/>
    <w:rsid w:val="1D7F0ED0"/>
    <w:rsid w:val="1DA31EB7"/>
    <w:rsid w:val="1DA55D97"/>
    <w:rsid w:val="1DBB6100"/>
    <w:rsid w:val="1DBE6816"/>
    <w:rsid w:val="1DC67725"/>
    <w:rsid w:val="1DCB4FF1"/>
    <w:rsid w:val="1DDA7E3F"/>
    <w:rsid w:val="1DDC11E4"/>
    <w:rsid w:val="1DEF3F12"/>
    <w:rsid w:val="1DF5452A"/>
    <w:rsid w:val="1E010AF7"/>
    <w:rsid w:val="1E1C405A"/>
    <w:rsid w:val="1E2E29E0"/>
    <w:rsid w:val="1E301173"/>
    <w:rsid w:val="1E5A677F"/>
    <w:rsid w:val="1E6F1A23"/>
    <w:rsid w:val="1E705DF5"/>
    <w:rsid w:val="1E7A5825"/>
    <w:rsid w:val="1E831280"/>
    <w:rsid w:val="1E884D18"/>
    <w:rsid w:val="1ED80547"/>
    <w:rsid w:val="1ED8781E"/>
    <w:rsid w:val="1EDD3235"/>
    <w:rsid w:val="1EE7283A"/>
    <w:rsid w:val="1F1102B0"/>
    <w:rsid w:val="1F1312E4"/>
    <w:rsid w:val="1F2F1047"/>
    <w:rsid w:val="1F43381C"/>
    <w:rsid w:val="1F7D6A3D"/>
    <w:rsid w:val="1FA4148D"/>
    <w:rsid w:val="1FB86255"/>
    <w:rsid w:val="1FC10FAB"/>
    <w:rsid w:val="1FC65577"/>
    <w:rsid w:val="1FD82385"/>
    <w:rsid w:val="200C4164"/>
    <w:rsid w:val="20121621"/>
    <w:rsid w:val="201636E2"/>
    <w:rsid w:val="202E3F6D"/>
    <w:rsid w:val="2032134B"/>
    <w:rsid w:val="20325F7E"/>
    <w:rsid w:val="204778E7"/>
    <w:rsid w:val="204E554F"/>
    <w:rsid w:val="20546774"/>
    <w:rsid w:val="20590035"/>
    <w:rsid w:val="20793486"/>
    <w:rsid w:val="20851B47"/>
    <w:rsid w:val="209A2C3D"/>
    <w:rsid w:val="20D64231"/>
    <w:rsid w:val="20E5011E"/>
    <w:rsid w:val="20FC799E"/>
    <w:rsid w:val="21286DA7"/>
    <w:rsid w:val="2134683B"/>
    <w:rsid w:val="21C00A4F"/>
    <w:rsid w:val="21C82E72"/>
    <w:rsid w:val="21DE0801"/>
    <w:rsid w:val="21DE339D"/>
    <w:rsid w:val="22154DDD"/>
    <w:rsid w:val="221D4DB5"/>
    <w:rsid w:val="22336873"/>
    <w:rsid w:val="223454B1"/>
    <w:rsid w:val="22396826"/>
    <w:rsid w:val="224A27E1"/>
    <w:rsid w:val="225471A3"/>
    <w:rsid w:val="22595592"/>
    <w:rsid w:val="225E34DC"/>
    <w:rsid w:val="225E71CB"/>
    <w:rsid w:val="226D33EA"/>
    <w:rsid w:val="227D1295"/>
    <w:rsid w:val="229B678A"/>
    <w:rsid w:val="22AB3B7D"/>
    <w:rsid w:val="22AF3A08"/>
    <w:rsid w:val="22CC4CE8"/>
    <w:rsid w:val="22F92F75"/>
    <w:rsid w:val="231A6EC7"/>
    <w:rsid w:val="239634D6"/>
    <w:rsid w:val="23BB4E7D"/>
    <w:rsid w:val="23C172D6"/>
    <w:rsid w:val="23CB1286"/>
    <w:rsid w:val="23D77537"/>
    <w:rsid w:val="23E6195D"/>
    <w:rsid w:val="23F04F64"/>
    <w:rsid w:val="242654AA"/>
    <w:rsid w:val="244158FA"/>
    <w:rsid w:val="247B21DF"/>
    <w:rsid w:val="24814CBE"/>
    <w:rsid w:val="24AC168B"/>
    <w:rsid w:val="24BB6664"/>
    <w:rsid w:val="24CB569C"/>
    <w:rsid w:val="24EC64CB"/>
    <w:rsid w:val="250C4248"/>
    <w:rsid w:val="250E1318"/>
    <w:rsid w:val="25103738"/>
    <w:rsid w:val="253F46D8"/>
    <w:rsid w:val="254D0389"/>
    <w:rsid w:val="2562412B"/>
    <w:rsid w:val="25884C5D"/>
    <w:rsid w:val="258C3BEC"/>
    <w:rsid w:val="25A03144"/>
    <w:rsid w:val="25B2479F"/>
    <w:rsid w:val="25C15C5D"/>
    <w:rsid w:val="25D329B9"/>
    <w:rsid w:val="25E5427A"/>
    <w:rsid w:val="26276A31"/>
    <w:rsid w:val="26366F9D"/>
    <w:rsid w:val="263B1230"/>
    <w:rsid w:val="2642752B"/>
    <w:rsid w:val="26485508"/>
    <w:rsid w:val="26554808"/>
    <w:rsid w:val="265E685B"/>
    <w:rsid w:val="26607D95"/>
    <w:rsid w:val="26700955"/>
    <w:rsid w:val="26A16AE9"/>
    <w:rsid w:val="26A315D6"/>
    <w:rsid w:val="26A605D9"/>
    <w:rsid w:val="26AD0500"/>
    <w:rsid w:val="26B121A3"/>
    <w:rsid w:val="26E464C3"/>
    <w:rsid w:val="272E3097"/>
    <w:rsid w:val="272E6F74"/>
    <w:rsid w:val="273B7A3B"/>
    <w:rsid w:val="275814FC"/>
    <w:rsid w:val="277E6655"/>
    <w:rsid w:val="2780046C"/>
    <w:rsid w:val="27933DEA"/>
    <w:rsid w:val="27B36A67"/>
    <w:rsid w:val="27D9633F"/>
    <w:rsid w:val="280B2E27"/>
    <w:rsid w:val="281E404F"/>
    <w:rsid w:val="28302479"/>
    <w:rsid w:val="2846581F"/>
    <w:rsid w:val="284A5CA4"/>
    <w:rsid w:val="286550ED"/>
    <w:rsid w:val="286602C8"/>
    <w:rsid w:val="28665C95"/>
    <w:rsid w:val="28736F5F"/>
    <w:rsid w:val="288A3356"/>
    <w:rsid w:val="28B01D1E"/>
    <w:rsid w:val="28C2628C"/>
    <w:rsid w:val="28CC3373"/>
    <w:rsid w:val="28F47F99"/>
    <w:rsid w:val="28F579BA"/>
    <w:rsid w:val="290B3EB9"/>
    <w:rsid w:val="292728C1"/>
    <w:rsid w:val="294E392A"/>
    <w:rsid w:val="2950768C"/>
    <w:rsid w:val="297A5FC4"/>
    <w:rsid w:val="29820015"/>
    <w:rsid w:val="29B51252"/>
    <w:rsid w:val="29B641A3"/>
    <w:rsid w:val="29E14657"/>
    <w:rsid w:val="29E474B8"/>
    <w:rsid w:val="29ED574B"/>
    <w:rsid w:val="29FA2D3E"/>
    <w:rsid w:val="29FE5CE6"/>
    <w:rsid w:val="2A743AE8"/>
    <w:rsid w:val="2A8D4F8F"/>
    <w:rsid w:val="2A917B34"/>
    <w:rsid w:val="2A9308A8"/>
    <w:rsid w:val="2A954B3C"/>
    <w:rsid w:val="2A9F5AB8"/>
    <w:rsid w:val="2AB10C99"/>
    <w:rsid w:val="2AD74E8C"/>
    <w:rsid w:val="2AE3766F"/>
    <w:rsid w:val="2AEC612E"/>
    <w:rsid w:val="2B0268A7"/>
    <w:rsid w:val="2B060F9E"/>
    <w:rsid w:val="2B0E56AB"/>
    <w:rsid w:val="2B42419D"/>
    <w:rsid w:val="2B51141C"/>
    <w:rsid w:val="2B590601"/>
    <w:rsid w:val="2B710DB7"/>
    <w:rsid w:val="2B7408CF"/>
    <w:rsid w:val="2B7E4054"/>
    <w:rsid w:val="2BBA6A76"/>
    <w:rsid w:val="2BCC03D1"/>
    <w:rsid w:val="2BDF1FBA"/>
    <w:rsid w:val="2BFC2B2E"/>
    <w:rsid w:val="2C0C6D59"/>
    <w:rsid w:val="2C5B0D4B"/>
    <w:rsid w:val="2C8903AA"/>
    <w:rsid w:val="2C987C56"/>
    <w:rsid w:val="2CA156F3"/>
    <w:rsid w:val="2CC11460"/>
    <w:rsid w:val="2CC15BAA"/>
    <w:rsid w:val="2CC72A61"/>
    <w:rsid w:val="2CCA50A3"/>
    <w:rsid w:val="2CDC3153"/>
    <w:rsid w:val="2CDF621C"/>
    <w:rsid w:val="2CE136D7"/>
    <w:rsid w:val="2CE958E6"/>
    <w:rsid w:val="2CFE7A11"/>
    <w:rsid w:val="2CFF149A"/>
    <w:rsid w:val="2D201325"/>
    <w:rsid w:val="2D201865"/>
    <w:rsid w:val="2D2B6EDE"/>
    <w:rsid w:val="2D4B5CEA"/>
    <w:rsid w:val="2D4C5B4C"/>
    <w:rsid w:val="2D542188"/>
    <w:rsid w:val="2D652658"/>
    <w:rsid w:val="2D964A56"/>
    <w:rsid w:val="2DC16E0A"/>
    <w:rsid w:val="2DC80C49"/>
    <w:rsid w:val="2DCA6355"/>
    <w:rsid w:val="2E030E17"/>
    <w:rsid w:val="2E166748"/>
    <w:rsid w:val="2E2054A0"/>
    <w:rsid w:val="2E482374"/>
    <w:rsid w:val="2E491580"/>
    <w:rsid w:val="2E556F01"/>
    <w:rsid w:val="2E8345A7"/>
    <w:rsid w:val="2E8E20B4"/>
    <w:rsid w:val="2EAA7BAE"/>
    <w:rsid w:val="2EC1207D"/>
    <w:rsid w:val="2ED06066"/>
    <w:rsid w:val="2ED1223D"/>
    <w:rsid w:val="2F000139"/>
    <w:rsid w:val="2F1B303D"/>
    <w:rsid w:val="2F3F11F4"/>
    <w:rsid w:val="2F4A6DA9"/>
    <w:rsid w:val="2F5E0754"/>
    <w:rsid w:val="2F9F42DC"/>
    <w:rsid w:val="2FBB4121"/>
    <w:rsid w:val="2FBC2844"/>
    <w:rsid w:val="2FBE3786"/>
    <w:rsid w:val="2FC32F68"/>
    <w:rsid w:val="2FD6418B"/>
    <w:rsid w:val="2FF37AB3"/>
    <w:rsid w:val="30210B8A"/>
    <w:rsid w:val="30224DC7"/>
    <w:rsid w:val="303B4C3F"/>
    <w:rsid w:val="3044661C"/>
    <w:rsid w:val="3073310C"/>
    <w:rsid w:val="309D6BE6"/>
    <w:rsid w:val="30AA1790"/>
    <w:rsid w:val="30D37E45"/>
    <w:rsid w:val="30EE385E"/>
    <w:rsid w:val="30F85AFE"/>
    <w:rsid w:val="31031402"/>
    <w:rsid w:val="31170995"/>
    <w:rsid w:val="31264A30"/>
    <w:rsid w:val="312651F8"/>
    <w:rsid w:val="31862EE3"/>
    <w:rsid w:val="31884E67"/>
    <w:rsid w:val="31A0275E"/>
    <w:rsid w:val="31A67308"/>
    <w:rsid w:val="31B91526"/>
    <w:rsid w:val="31BA7402"/>
    <w:rsid w:val="31D93835"/>
    <w:rsid w:val="31EF0041"/>
    <w:rsid w:val="320107F5"/>
    <w:rsid w:val="324175CB"/>
    <w:rsid w:val="32520E8E"/>
    <w:rsid w:val="326A0524"/>
    <w:rsid w:val="327B7EDF"/>
    <w:rsid w:val="32AB70C5"/>
    <w:rsid w:val="32C559AA"/>
    <w:rsid w:val="32EF2122"/>
    <w:rsid w:val="32F17F41"/>
    <w:rsid w:val="332038B4"/>
    <w:rsid w:val="33247607"/>
    <w:rsid w:val="333014B0"/>
    <w:rsid w:val="335D0AF5"/>
    <w:rsid w:val="336917EF"/>
    <w:rsid w:val="336B2EA4"/>
    <w:rsid w:val="336B3E67"/>
    <w:rsid w:val="3370088C"/>
    <w:rsid w:val="33872039"/>
    <w:rsid w:val="339A687B"/>
    <w:rsid w:val="33DC2F78"/>
    <w:rsid w:val="33F81602"/>
    <w:rsid w:val="3428227C"/>
    <w:rsid w:val="343230D5"/>
    <w:rsid w:val="3439428E"/>
    <w:rsid w:val="34414EE8"/>
    <w:rsid w:val="34571EF7"/>
    <w:rsid w:val="346F7301"/>
    <w:rsid w:val="347918A5"/>
    <w:rsid w:val="34802E4C"/>
    <w:rsid w:val="349D37D5"/>
    <w:rsid w:val="34A61BDE"/>
    <w:rsid w:val="34BB7B5F"/>
    <w:rsid w:val="3522586C"/>
    <w:rsid w:val="35572473"/>
    <w:rsid w:val="35602226"/>
    <w:rsid w:val="356B72E7"/>
    <w:rsid w:val="356D2AC8"/>
    <w:rsid w:val="3572424F"/>
    <w:rsid w:val="35734CF3"/>
    <w:rsid w:val="35866014"/>
    <w:rsid w:val="359E5CE0"/>
    <w:rsid w:val="35D275C3"/>
    <w:rsid w:val="35E50FBB"/>
    <w:rsid w:val="362B215D"/>
    <w:rsid w:val="366666CA"/>
    <w:rsid w:val="367070F4"/>
    <w:rsid w:val="367801A9"/>
    <w:rsid w:val="36807FCC"/>
    <w:rsid w:val="36AD519D"/>
    <w:rsid w:val="36B57705"/>
    <w:rsid w:val="36B93E53"/>
    <w:rsid w:val="36DC1DD3"/>
    <w:rsid w:val="36F3711D"/>
    <w:rsid w:val="36FC25DD"/>
    <w:rsid w:val="37090CD6"/>
    <w:rsid w:val="37122320"/>
    <w:rsid w:val="3754697A"/>
    <w:rsid w:val="37636A21"/>
    <w:rsid w:val="377C03A4"/>
    <w:rsid w:val="37A103ED"/>
    <w:rsid w:val="37A367C3"/>
    <w:rsid w:val="37BD33EE"/>
    <w:rsid w:val="37C41066"/>
    <w:rsid w:val="37E02B23"/>
    <w:rsid w:val="37E345A6"/>
    <w:rsid w:val="37EA5E6E"/>
    <w:rsid w:val="37EC6A58"/>
    <w:rsid w:val="37F54BBB"/>
    <w:rsid w:val="37FB2268"/>
    <w:rsid w:val="37FF016F"/>
    <w:rsid w:val="382A6E2D"/>
    <w:rsid w:val="384B597E"/>
    <w:rsid w:val="38573772"/>
    <w:rsid w:val="386E4145"/>
    <w:rsid w:val="387673D9"/>
    <w:rsid w:val="387C5ABE"/>
    <w:rsid w:val="38AE0ACB"/>
    <w:rsid w:val="38B66D0C"/>
    <w:rsid w:val="38BC545D"/>
    <w:rsid w:val="38D41643"/>
    <w:rsid w:val="38EB6119"/>
    <w:rsid w:val="39044996"/>
    <w:rsid w:val="392C6D9B"/>
    <w:rsid w:val="393B020C"/>
    <w:rsid w:val="39506E15"/>
    <w:rsid w:val="396678D9"/>
    <w:rsid w:val="39790BE6"/>
    <w:rsid w:val="397A0ADB"/>
    <w:rsid w:val="39844799"/>
    <w:rsid w:val="39954B2B"/>
    <w:rsid w:val="39D71ECC"/>
    <w:rsid w:val="39DA2245"/>
    <w:rsid w:val="39E66E3B"/>
    <w:rsid w:val="39FD4CC2"/>
    <w:rsid w:val="3A51228C"/>
    <w:rsid w:val="3A545E48"/>
    <w:rsid w:val="3A552E60"/>
    <w:rsid w:val="3A5D642F"/>
    <w:rsid w:val="3A6426F9"/>
    <w:rsid w:val="3A744447"/>
    <w:rsid w:val="3A78219D"/>
    <w:rsid w:val="3A995C5C"/>
    <w:rsid w:val="3AB210FC"/>
    <w:rsid w:val="3ADB7381"/>
    <w:rsid w:val="3AF04A37"/>
    <w:rsid w:val="3B043A1D"/>
    <w:rsid w:val="3B1E01C3"/>
    <w:rsid w:val="3B3E5B8A"/>
    <w:rsid w:val="3B793A48"/>
    <w:rsid w:val="3B7E3699"/>
    <w:rsid w:val="3B85393E"/>
    <w:rsid w:val="3BBE659F"/>
    <w:rsid w:val="3BCA4B8A"/>
    <w:rsid w:val="3BCD72F7"/>
    <w:rsid w:val="3BFC2F5F"/>
    <w:rsid w:val="3BFF0C0E"/>
    <w:rsid w:val="3C0A2A70"/>
    <w:rsid w:val="3C37146A"/>
    <w:rsid w:val="3C3D3625"/>
    <w:rsid w:val="3C414142"/>
    <w:rsid w:val="3C5B725E"/>
    <w:rsid w:val="3C741626"/>
    <w:rsid w:val="3C84047F"/>
    <w:rsid w:val="3C88055A"/>
    <w:rsid w:val="3C9E57AB"/>
    <w:rsid w:val="3CAF79B9"/>
    <w:rsid w:val="3CB35097"/>
    <w:rsid w:val="3CC206E6"/>
    <w:rsid w:val="3CE906C7"/>
    <w:rsid w:val="3CF737A2"/>
    <w:rsid w:val="3D10295A"/>
    <w:rsid w:val="3D184041"/>
    <w:rsid w:val="3D1D66D9"/>
    <w:rsid w:val="3D233F03"/>
    <w:rsid w:val="3D370C2A"/>
    <w:rsid w:val="3D414FC0"/>
    <w:rsid w:val="3D4F12A7"/>
    <w:rsid w:val="3D7B5F78"/>
    <w:rsid w:val="3D7D049C"/>
    <w:rsid w:val="3D9F5DD9"/>
    <w:rsid w:val="3DAC3452"/>
    <w:rsid w:val="3DDF0D24"/>
    <w:rsid w:val="3DE20EAE"/>
    <w:rsid w:val="3DEF3701"/>
    <w:rsid w:val="3E0572FD"/>
    <w:rsid w:val="3E0720FE"/>
    <w:rsid w:val="3E2819F6"/>
    <w:rsid w:val="3E287A22"/>
    <w:rsid w:val="3E5A7FE7"/>
    <w:rsid w:val="3E7D40EF"/>
    <w:rsid w:val="3E955A6A"/>
    <w:rsid w:val="3E964D81"/>
    <w:rsid w:val="3EF66B2E"/>
    <w:rsid w:val="3F217914"/>
    <w:rsid w:val="3F302CD3"/>
    <w:rsid w:val="3FB97D7B"/>
    <w:rsid w:val="3FD10810"/>
    <w:rsid w:val="3FD70BB0"/>
    <w:rsid w:val="3FFB55AC"/>
    <w:rsid w:val="3FFC1C2A"/>
    <w:rsid w:val="40017152"/>
    <w:rsid w:val="401C5F9D"/>
    <w:rsid w:val="401C690C"/>
    <w:rsid w:val="401D7195"/>
    <w:rsid w:val="405C1C05"/>
    <w:rsid w:val="407A652F"/>
    <w:rsid w:val="40825D97"/>
    <w:rsid w:val="40836C36"/>
    <w:rsid w:val="40870EA3"/>
    <w:rsid w:val="409928E7"/>
    <w:rsid w:val="40997CFE"/>
    <w:rsid w:val="40C34607"/>
    <w:rsid w:val="40CE3DC0"/>
    <w:rsid w:val="40D7455A"/>
    <w:rsid w:val="40E743E5"/>
    <w:rsid w:val="40EB4012"/>
    <w:rsid w:val="41075C9E"/>
    <w:rsid w:val="410A1661"/>
    <w:rsid w:val="412D5EA0"/>
    <w:rsid w:val="415A62F5"/>
    <w:rsid w:val="416D78C7"/>
    <w:rsid w:val="41734CBA"/>
    <w:rsid w:val="417E5DD1"/>
    <w:rsid w:val="417F4E1A"/>
    <w:rsid w:val="418B0C8A"/>
    <w:rsid w:val="41A82190"/>
    <w:rsid w:val="41DE5999"/>
    <w:rsid w:val="41E1181A"/>
    <w:rsid w:val="41E32A20"/>
    <w:rsid w:val="41FA3241"/>
    <w:rsid w:val="420F7A65"/>
    <w:rsid w:val="4216611A"/>
    <w:rsid w:val="42321B6A"/>
    <w:rsid w:val="423E300F"/>
    <w:rsid w:val="425656C8"/>
    <w:rsid w:val="4257273C"/>
    <w:rsid w:val="42687ACE"/>
    <w:rsid w:val="4270145E"/>
    <w:rsid w:val="429E6041"/>
    <w:rsid w:val="42BF4B02"/>
    <w:rsid w:val="42FC4D74"/>
    <w:rsid w:val="42FD694D"/>
    <w:rsid w:val="43034DFA"/>
    <w:rsid w:val="437D6687"/>
    <w:rsid w:val="438351F5"/>
    <w:rsid w:val="438D35EA"/>
    <w:rsid w:val="43BC1E57"/>
    <w:rsid w:val="43CB0394"/>
    <w:rsid w:val="43D23F8D"/>
    <w:rsid w:val="43D43F1D"/>
    <w:rsid w:val="43EB474B"/>
    <w:rsid w:val="43FA5777"/>
    <w:rsid w:val="44010E89"/>
    <w:rsid w:val="44023422"/>
    <w:rsid w:val="44134942"/>
    <w:rsid w:val="44184A2D"/>
    <w:rsid w:val="441C1611"/>
    <w:rsid w:val="443C440B"/>
    <w:rsid w:val="44514F52"/>
    <w:rsid w:val="44761C8F"/>
    <w:rsid w:val="448D2972"/>
    <w:rsid w:val="449722E3"/>
    <w:rsid w:val="449D7B09"/>
    <w:rsid w:val="44AE3FD4"/>
    <w:rsid w:val="44AF5A5A"/>
    <w:rsid w:val="44D0586F"/>
    <w:rsid w:val="44FA2D53"/>
    <w:rsid w:val="453C4912"/>
    <w:rsid w:val="45687813"/>
    <w:rsid w:val="4571374F"/>
    <w:rsid w:val="458B1BB0"/>
    <w:rsid w:val="45915005"/>
    <w:rsid w:val="45A41560"/>
    <w:rsid w:val="45AD2B91"/>
    <w:rsid w:val="45AD31D6"/>
    <w:rsid w:val="45B93426"/>
    <w:rsid w:val="45CF1361"/>
    <w:rsid w:val="464C6420"/>
    <w:rsid w:val="46552F9B"/>
    <w:rsid w:val="465F404D"/>
    <w:rsid w:val="467A0297"/>
    <w:rsid w:val="468B7125"/>
    <w:rsid w:val="46B506EF"/>
    <w:rsid w:val="46C4691F"/>
    <w:rsid w:val="46CB53EF"/>
    <w:rsid w:val="46EC4E35"/>
    <w:rsid w:val="46EE513F"/>
    <w:rsid w:val="46EF461D"/>
    <w:rsid w:val="470F5A71"/>
    <w:rsid w:val="473154FF"/>
    <w:rsid w:val="47685427"/>
    <w:rsid w:val="476C4065"/>
    <w:rsid w:val="4779499C"/>
    <w:rsid w:val="477B6530"/>
    <w:rsid w:val="47801172"/>
    <w:rsid w:val="479D1D34"/>
    <w:rsid w:val="47A03A67"/>
    <w:rsid w:val="47A11927"/>
    <w:rsid w:val="47B609C0"/>
    <w:rsid w:val="47D64FD6"/>
    <w:rsid w:val="47EC3B04"/>
    <w:rsid w:val="47EC6277"/>
    <w:rsid w:val="48021483"/>
    <w:rsid w:val="481A219B"/>
    <w:rsid w:val="482D31EA"/>
    <w:rsid w:val="48447D02"/>
    <w:rsid w:val="485970A0"/>
    <w:rsid w:val="486A6E89"/>
    <w:rsid w:val="48823516"/>
    <w:rsid w:val="48877686"/>
    <w:rsid w:val="488B498B"/>
    <w:rsid w:val="48B176C2"/>
    <w:rsid w:val="48B65C71"/>
    <w:rsid w:val="48CF053E"/>
    <w:rsid w:val="48D550F0"/>
    <w:rsid w:val="48FB1909"/>
    <w:rsid w:val="491F266E"/>
    <w:rsid w:val="492E6A57"/>
    <w:rsid w:val="495839AA"/>
    <w:rsid w:val="49700A6F"/>
    <w:rsid w:val="49771AFE"/>
    <w:rsid w:val="49802948"/>
    <w:rsid w:val="4986089F"/>
    <w:rsid w:val="498B5309"/>
    <w:rsid w:val="499F0AAB"/>
    <w:rsid w:val="49A40B61"/>
    <w:rsid w:val="49C154CE"/>
    <w:rsid w:val="49C33FF5"/>
    <w:rsid w:val="49DB11EC"/>
    <w:rsid w:val="49E31DD1"/>
    <w:rsid w:val="4A0030EE"/>
    <w:rsid w:val="4A0568D6"/>
    <w:rsid w:val="4A0C4F3C"/>
    <w:rsid w:val="4A162478"/>
    <w:rsid w:val="4A171EC9"/>
    <w:rsid w:val="4A1A1689"/>
    <w:rsid w:val="4A312680"/>
    <w:rsid w:val="4A443E36"/>
    <w:rsid w:val="4A484D41"/>
    <w:rsid w:val="4A641C8A"/>
    <w:rsid w:val="4A6D15F8"/>
    <w:rsid w:val="4A7617B6"/>
    <w:rsid w:val="4A8C4FB8"/>
    <w:rsid w:val="4A9A25BD"/>
    <w:rsid w:val="4A9E0551"/>
    <w:rsid w:val="4AAB60D8"/>
    <w:rsid w:val="4AB542AE"/>
    <w:rsid w:val="4AF72FEA"/>
    <w:rsid w:val="4B0C0EB4"/>
    <w:rsid w:val="4B1477B3"/>
    <w:rsid w:val="4B1F062C"/>
    <w:rsid w:val="4B243D9D"/>
    <w:rsid w:val="4B281425"/>
    <w:rsid w:val="4B6F66A1"/>
    <w:rsid w:val="4B85213F"/>
    <w:rsid w:val="4B8C2DEB"/>
    <w:rsid w:val="4BFA3C9F"/>
    <w:rsid w:val="4BFA7F6C"/>
    <w:rsid w:val="4C107F48"/>
    <w:rsid w:val="4C3117D0"/>
    <w:rsid w:val="4C3277BC"/>
    <w:rsid w:val="4C5C442D"/>
    <w:rsid w:val="4C6D42A9"/>
    <w:rsid w:val="4C716A38"/>
    <w:rsid w:val="4CC0351C"/>
    <w:rsid w:val="4CC353EB"/>
    <w:rsid w:val="4CE64E14"/>
    <w:rsid w:val="4CE95EE5"/>
    <w:rsid w:val="4CF36F3C"/>
    <w:rsid w:val="4D007BC8"/>
    <w:rsid w:val="4D0602E5"/>
    <w:rsid w:val="4D1470BD"/>
    <w:rsid w:val="4D154882"/>
    <w:rsid w:val="4D1C3C50"/>
    <w:rsid w:val="4D603399"/>
    <w:rsid w:val="4D6A7284"/>
    <w:rsid w:val="4D6E30E1"/>
    <w:rsid w:val="4D867EE1"/>
    <w:rsid w:val="4DBC4C65"/>
    <w:rsid w:val="4DC9105D"/>
    <w:rsid w:val="4DE2009B"/>
    <w:rsid w:val="4DF86974"/>
    <w:rsid w:val="4DF9357A"/>
    <w:rsid w:val="4E0F235E"/>
    <w:rsid w:val="4E157689"/>
    <w:rsid w:val="4E471216"/>
    <w:rsid w:val="4E533FA5"/>
    <w:rsid w:val="4E550010"/>
    <w:rsid w:val="4E5F14CB"/>
    <w:rsid w:val="4E5F42BC"/>
    <w:rsid w:val="4E6808B0"/>
    <w:rsid w:val="4E780BC4"/>
    <w:rsid w:val="4E7C64B9"/>
    <w:rsid w:val="4EB90854"/>
    <w:rsid w:val="4EBA42F2"/>
    <w:rsid w:val="4EC00DDD"/>
    <w:rsid w:val="4ED908C5"/>
    <w:rsid w:val="4EF265BE"/>
    <w:rsid w:val="4EFB1C45"/>
    <w:rsid w:val="4F0C2A48"/>
    <w:rsid w:val="4F26273B"/>
    <w:rsid w:val="4F2D3A8A"/>
    <w:rsid w:val="4F32478A"/>
    <w:rsid w:val="4F3705F8"/>
    <w:rsid w:val="4F913A9A"/>
    <w:rsid w:val="4F9714A0"/>
    <w:rsid w:val="4FAA3F91"/>
    <w:rsid w:val="4FAC3540"/>
    <w:rsid w:val="4FBE0C1B"/>
    <w:rsid w:val="4FCF1583"/>
    <w:rsid w:val="4FD23E66"/>
    <w:rsid w:val="4FD44D1B"/>
    <w:rsid w:val="4FD85FF2"/>
    <w:rsid w:val="4FDC066D"/>
    <w:rsid w:val="4FE579F1"/>
    <w:rsid w:val="4FFA7625"/>
    <w:rsid w:val="50453E7E"/>
    <w:rsid w:val="50594CF7"/>
    <w:rsid w:val="507D2599"/>
    <w:rsid w:val="5096229D"/>
    <w:rsid w:val="509E157D"/>
    <w:rsid w:val="50A6165E"/>
    <w:rsid w:val="50DC4184"/>
    <w:rsid w:val="50F05EC2"/>
    <w:rsid w:val="50FB6146"/>
    <w:rsid w:val="512F4CA0"/>
    <w:rsid w:val="51361FFF"/>
    <w:rsid w:val="513D4C38"/>
    <w:rsid w:val="514C3EA7"/>
    <w:rsid w:val="51AC4D00"/>
    <w:rsid w:val="51E94EC8"/>
    <w:rsid w:val="51FF3C99"/>
    <w:rsid w:val="522A20E4"/>
    <w:rsid w:val="52363D4D"/>
    <w:rsid w:val="524A2AC9"/>
    <w:rsid w:val="52521A20"/>
    <w:rsid w:val="528604EC"/>
    <w:rsid w:val="529E2C3A"/>
    <w:rsid w:val="52AC4ABC"/>
    <w:rsid w:val="52C201B9"/>
    <w:rsid w:val="52D70209"/>
    <w:rsid w:val="52E57A12"/>
    <w:rsid w:val="52F20B62"/>
    <w:rsid w:val="530B057B"/>
    <w:rsid w:val="531C4FCC"/>
    <w:rsid w:val="532E49AF"/>
    <w:rsid w:val="53462583"/>
    <w:rsid w:val="53827E49"/>
    <w:rsid w:val="538A6BB9"/>
    <w:rsid w:val="539964FD"/>
    <w:rsid w:val="539C1B81"/>
    <w:rsid w:val="539D7755"/>
    <w:rsid w:val="53A447B1"/>
    <w:rsid w:val="53AE750F"/>
    <w:rsid w:val="53D224B3"/>
    <w:rsid w:val="53F81D96"/>
    <w:rsid w:val="541D5DE8"/>
    <w:rsid w:val="541F57C4"/>
    <w:rsid w:val="544B5214"/>
    <w:rsid w:val="546F523C"/>
    <w:rsid w:val="54782FBD"/>
    <w:rsid w:val="5483138F"/>
    <w:rsid w:val="5488523A"/>
    <w:rsid w:val="549A6BFA"/>
    <w:rsid w:val="54B62214"/>
    <w:rsid w:val="54C341E7"/>
    <w:rsid w:val="54D933CD"/>
    <w:rsid w:val="54F012F7"/>
    <w:rsid w:val="551751CF"/>
    <w:rsid w:val="5522558F"/>
    <w:rsid w:val="55244D7F"/>
    <w:rsid w:val="55305397"/>
    <w:rsid w:val="55362287"/>
    <w:rsid w:val="55432F3C"/>
    <w:rsid w:val="55A37FFD"/>
    <w:rsid w:val="55AE22F1"/>
    <w:rsid w:val="55C3227E"/>
    <w:rsid w:val="55CE1AA9"/>
    <w:rsid w:val="55F6381F"/>
    <w:rsid w:val="55FA2961"/>
    <w:rsid w:val="5602250F"/>
    <w:rsid w:val="562A2B39"/>
    <w:rsid w:val="564220BA"/>
    <w:rsid w:val="5642579D"/>
    <w:rsid w:val="564D3729"/>
    <w:rsid w:val="565E7F4F"/>
    <w:rsid w:val="565F3DA6"/>
    <w:rsid w:val="567B117E"/>
    <w:rsid w:val="56914056"/>
    <w:rsid w:val="56B61E36"/>
    <w:rsid w:val="56C36589"/>
    <w:rsid w:val="570D55B0"/>
    <w:rsid w:val="57293C95"/>
    <w:rsid w:val="572A6381"/>
    <w:rsid w:val="572B41B4"/>
    <w:rsid w:val="57365868"/>
    <w:rsid w:val="573C1959"/>
    <w:rsid w:val="57554571"/>
    <w:rsid w:val="57F65317"/>
    <w:rsid w:val="57FC2169"/>
    <w:rsid w:val="58024015"/>
    <w:rsid w:val="58096275"/>
    <w:rsid w:val="5819544F"/>
    <w:rsid w:val="582D6D32"/>
    <w:rsid w:val="582E6EF7"/>
    <w:rsid w:val="584E30E6"/>
    <w:rsid w:val="58546EFD"/>
    <w:rsid w:val="587F47D7"/>
    <w:rsid w:val="5881703E"/>
    <w:rsid w:val="58CC429A"/>
    <w:rsid w:val="58E26731"/>
    <w:rsid w:val="58EB1371"/>
    <w:rsid w:val="59091D98"/>
    <w:rsid w:val="590E4A97"/>
    <w:rsid w:val="591250FF"/>
    <w:rsid w:val="5920012C"/>
    <w:rsid w:val="593700E7"/>
    <w:rsid w:val="595578DE"/>
    <w:rsid w:val="597B384D"/>
    <w:rsid w:val="59996DA8"/>
    <w:rsid w:val="59C30F1B"/>
    <w:rsid w:val="59CE4759"/>
    <w:rsid w:val="59D90B78"/>
    <w:rsid w:val="59EB51A3"/>
    <w:rsid w:val="5A814766"/>
    <w:rsid w:val="5A8C20D0"/>
    <w:rsid w:val="5ABC29E4"/>
    <w:rsid w:val="5AC7121C"/>
    <w:rsid w:val="5AD90B8D"/>
    <w:rsid w:val="5AE12927"/>
    <w:rsid w:val="5AE35472"/>
    <w:rsid w:val="5AF41CF3"/>
    <w:rsid w:val="5AF87CC9"/>
    <w:rsid w:val="5B07329F"/>
    <w:rsid w:val="5B284E8E"/>
    <w:rsid w:val="5B4E1A44"/>
    <w:rsid w:val="5B664411"/>
    <w:rsid w:val="5B873201"/>
    <w:rsid w:val="5B967767"/>
    <w:rsid w:val="5B9D1624"/>
    <w:rsid w:val="5BBF73E2"/>
    <w:rsid w:val="5BEE5378"/>
    <w:rsid w:val="5C0C2FF6"/>
    <w:rsid w:val="5C1241CC"/>
    <w:rsid w:val="5C286807"/>
    <w:rsid w:val="5C34339E"/>
    <w:rsid w:val="5C355656"/>
    <w:rsid w:val="5C370E72"/>
    <w:rsid w:val="5C446BC8"/>
    <w:rsid w:val="5C4B56E1"/>
    <w:rsid w:val="5C7146B1"/>
    <w:rsid w:val="5C7C2768"/>
    <w:rsid w:val="5CAD3BC1"/>
    <w:rsid w:val="5CAE62DC"/>
    <w:rsid w:val="5CB23AE6"/>
    <w:rsid w:val="5CC87140"/>
    <w:rsid w:val="5CED5863"/>
    <w:rsid w:val="5D0D6DF5"/>
    <w:rsid w:val="5D4A5E05"/>
    <w:rsid w:val="5D580A8A"/>
    <w:rsid w:val="5D7E6D71"/>
    <w:rsid w:val="5D893B14"/>
    <w:rsid w:val="5D9B1F52"/>
    <w:rsid w:val="5DB42C29"/>
    <w:rsid w:val="5DC82A63"/>
    <w:rsid w:val="5E1219F7"/>
    <w:rsid w:val="5E18541D"/>
    <w:rsid w:val="5E291636"/>
    <w:rsid w:val="5E48511F"/>
    <w:rsid w:val="5E655B72"/>
    <w:rsid w:val="5E8B0770"/>
    <w:rsid w:val="5EA06921"/>
    <w:rsid w:val="5EBA259F"/>
    <w:rsid w:val="5EE1082B"/>
    <w:rsid w:val="5EE97BB4"/>
    <w:rsid w:val="5EF55BC9"/>
    <w:rsid w:val="5F085DDA"/>
    <w:rsid w:val="5F0B524D"/>
    <w:rsid w:val="5F2E2D52"/>
    <w:rsid w:val="5F54198B"/>
    <w:rsid w:val="5F6C74C2"/>
    <w:rsid w:val="5F776541"/>
    <w:rsid w:val="5F9D1350"/>
    <w:rsid w:val="5FA44AD1"/>
    <w:rsid w:val="5FBE370A"/>
    <w:rsid w:val="5FC61F2E"/>
    <w:rsid w:val="5FC83407"/>
    <w:rsid w:val="5FD56E87"/>
    <w:rsid w:val="5FF0558C"/>
    <w:rsid w:val="60015A45"/>
    <w:rsid w:val="600A4D82"/>
    <w:rsid w:val="601A27F4"/>
    <w:rsid w:val="60292845"/>
    <w:rsid w:val="605709CF"/>
    <w:rsid w:val="606F2632"/>
    <w:rsid w:val="6071543B"/>
    <w:rsid w:val="607921FE"/>
    <w:rsid w:val="607E12CC"/>
    <w:rsid w:val="608F62AE"/>
    <w:rsid w:val="60B9251B"/>
    <w:rsid w:val="60E236C1"/>
    <w:rsid w:val="60E37983"/>
    <w:rsid w:val="61260B6B"/>
    <w:rsid w:val="612B3ABB"/>
    <w:rsid w:val="612E1A5D"/>
    <w:rsid w:val="614E5D7E"/>
    <w:rsid w:val="61816046"/>
    <w:rsid w:val="61BD04E4"/>
    <w:rsid w:val="61C81AB1"/>
    <w:rsid w:val="61FF370F"/>
    <w:rsid w:val="620B0059"/>
    <w:rsid w:val="62344ED0"/>
    <w:rsid w:val="62391564"/>
    <w:rsid w:val="624A22BE"/>
    <w:rsid w:val="6263230B"/>
    <w:rsid w:val="626E235A"/>
    <w:rsid w:val="626F60D5"/>
    <w:rsid w:val="62816669"/>
    <w:rsid w:val="6282086D"/>
    <w:rsid w:val="62863D5F"/>
    <w:rsid w:val="629007F7"/>
    <w:rsid w:val="62AB4D99"/>
    <w:rsid w:val="62B36CD7"/>
    <w:rsid w:val="62BA0953"/>
    <w:rsid w:val="62C643B8"/>
    <w:rsid w:val="62C97B06"/>
    <w:rsid w:val="62D03A7C"/>
    <w:rsid w:val="62F42FAE"/>
    <w:rsid w:val="62F648FE"/>
    <w:rsid w:val="63167A4F"/>
    <w:rsid w:val="631D2BD6"/>
    <w:rsid w:val="634C55F2"/>
    <w:rsid w:val="635356F3"/>
    <w:rsid w:val="635775A4"/>
    <w:rsid w:val="637D5B70"/>
    <w:rsid w:val="63825E77"/>
    <w:rsid w:val="63A10995"/>
    <w:rsid w:val="63C23EFA"/>
    <w:rsid w:val="63D255DA"/>
    <w:rsid w:val="63EB2168"/>
    <w:rsid w:val="63F854C1"/>
    <w:rsid w:val="63FB5857"/>
    <w:rsid w:val="64076B79"/>
    <w:rsid w:val="640B7654"/>
    <w:rsid w:val="64116D46"/>
    <w:rsid w:val="643A070A"/>
    <w:rsid w:val="64410A96"/>
    <w:rsid w:val="644C573D"/>
    <w:rsid w:val="64507EFB"/>
    <w:rsid w:val="645C0E1F"/>
    <w:rsid w:val="65032F85"/>
    <w:rsid w:val="651304A7"/>
    <w:rsid w:val="65136B50"/>
    <w:rsid w:val="6531690D"/>
    <w:rsid w:val="65320485"/>
    <w:rsid w:val="655A12F3"/>
    <w:rsid w:val="657E2A35"/>
    <w:rsid w:val="65932DFF"/>
    <w:rsid w:val="65A94E9D"/>
    <w:rsid w:val="65B96B3F"/>
    <w:rsid w:val="65BE1071"/>
    <w:rsid w:val="65C60A92"/>
    <w:rsid w:val="65DB19DF"/>
    <w:rsid w:val="660451CE"/>
    <w:rsid w:val="664B3BEB"/>
    <w:rsid w:val="664D349F"/>
    <w:rsid w:val="665346B7"/>
    <w:rsid w:val="667C7CCE"/>
    <w:rsid w:val="66A12460"/>
    <w:rsid w:val="66BE2423"/>
    <w:rsid w:val="66DD6702"/>
    <w:rsid w:val="66E856F1"/>
    <w:rsid w:val="66FB0BAD"/>
    <w:rsid w:val="671B1623"/>
    <w:rsid w:val="671E6EBA"/>
    <w:rsid w:val="6731269C"/>
    <w:rsid w:val="675352AA"/>
    <w:rsid w:val="6759400B"/>
    <w:rsid w:val="675E528D"/>
    <w:rsid w:val="676C598C"/>
    <w:rsid w:val="67966EFB"/>
    <w:rsid w:val="679E7FA1"/>
    <w:rsid w:val="67A32389"/>
    <w:rsid w:val="67AB3D2B"/>
    <w:rsid w:val="67B768D0"/>
    <w:rsid w:val="67C779FD"/>
    <w:rsid w:val="67C85DAF"/>
    <w:rsid w:val="67ED7C6F"/>
    <w:rsid w:val="680129AD"/>
    <w:rsid w:val="68281CFE"/>
    <w:rsid w:val="682A2352"/>
    <w:rsid w:val="682A2630"/>
    <w:rsid w:val="682B261F"/>
    <w:rsid w:val="682E4A5B"/>
    <w:rsid w:val="682E7AFD"/>
    <w:rsid w:val="6849471C"/>
    <w:rsid w:val="684D1122"/>
    <w:rsid w:val="68707071"/>
    <w:rsid w:val="687A4379"/>
    <w:rsid w:val="687B015C"/>
    <w:rsid w:val="687E3889"/>
    <w:rsid w:val="6884222C"/>
    <w:rsid w:val="689B065B"/>
    <w:rsid w:val="68A957C8"/>
    <w:rsid w:val="68AD17BB"/>
    <w:rsid w:val="68D6620B"/>
    <w:rsid w:val="68D94D22"/>
    <w:rsid w:val="68F06F2B"/>
    <w:rsid w:val="69011241"/>
    <w:rsid w:val="692B2E4A"/>
    <w:rsid w:val="696A0B34"/>
    <w:rsid w:val="69821807"/>
    <w:rsid w:val="698D6A17"/>
    <w:rsid w:val="699026E3"/>
    <w:rsid w:val="699E0BED"/>
    <w:rsid w:val="699F0522"/>
    <w:rsid w:val="69BC0CA0"/>
    <w:rsid w:val="69D37590"/>
    <w:rsid w:val="69F954C1"/>
    <w:rsid w:val="6A1E1E73"/>
    <w:rsid w:val="6A2031B6"/>
    <w:rsid w:val="6A2F57D7"/>
    <w:rsid w:val="6A3924BB"/>
    <w:rsid w:val="6A3C1D40"/>
    <w:rsid w:val="6A6432E1"/>
    <w:rsid w:val="6AA23DFF"/>
    <w:rsid w:val="6AAA6F38"/>
    <w:rsid w:val="6AC61F6F"/>
    <w:rsid w:val="6AD34E53"/>
    <w:rsid w:val="6AD83EA1"/>
    <w:rsid w:val="6ADE74F0"/>
    <w:rsid w:val="6B1D62E8"/>
    <w:rsid w:val="6B7026D2"/>
    <w:rsid w:val="6B723594"/>
    <w:rsid w:val="6B805156"/>
    <w:rsid w:val="6B945E48"/>
    <w:rsid w:val="6B974A7B"/>
    <w:rsid w:val="6BD50977"/>
    <w:rsid w:val="6BE450D3"/>
    <w:rsid w:val="6BE60C84"/>
    <w:rsid w:val="6C4F0900"/>
    <w:rsid w:val="6C6C32E1"/>
    <w:rsid w:val="6C6E3E15"/>
    <w:rsid w:val="6C8B1F5D"/>
    <w:rsid w:val="6CA85D3A"/>
    <w:rsid w:val="6CAA3931"/>
    <w:rsid w:val="6CE2512E"/>
    <w:rsid w:val="6CEA06D7"/>
    <w:rsid w:val="6CF70607"/>
    <w:rsid w:val="6D325918"/>
    <w:rsid w:val="6D3933CA"/>
    <w:rsid w:val="6D401810"/>
    <w:rsid w:val="6D6261FE"/>
    <w:rsid w:val="6D7B222A"/>
    <w:rsid w:val="6D7B61EC"/>
    <w:rsid w:val="6D8E03AA"/>
    <w:rsid w:val="6DBB089F"/>
    <w:rsid w:val="6DC63038"/>
    <w:rsid w:val="6DDC5608"/>
    <w:rsid w:val="6DE30DE0"/>
    <w:rsid w:val="6DE6130A"/>
    <w:rsid w:val="6E09491E"/>
    <w:rsid w:val="6E0D3655"/>
    <w:rsid w:val="6E1A437E"/>
    <w:rsid w:val="6E3A144E"/>
    <w:rsid w:val="6E5606D3"/>
    <w:rsid w:val="6E5F4465"/>
    <w:rsid w:val="6E8333FD"/>
    <w:rsid w:val="6E8B1663"/>
    <w:rsid w:val="6E8C54DA"/>
    <w:rsid w:val="6EB752BD"/>
    <w:rsid w:val="6EF11E03"/>
    <w:rsid w:val="6EF1241D"/>
    <w:rsid w:val="6EF82916"/>
    <w:rsid w:val="6EFB3EE0"/>
    <w:rsid w:val="6F0B2DE7"/>
    <w:rsid w:val="6F111C62"/>
    <w:rsid w:val="6F2176E5"/>
    <w:rsid w:val="6F3A2A5F"/>
    <w:rsid w:val="6F4F7F03"/>
    <w:rsid w:val="6F5523A2"/>
    <w:rsid w:val="6F592303"/>
    <w:rsid w:val="6F5F5B74"/>
    <w:rsid w:val="6F682400"/>
    <w:rsid w:val="6F9600A4"/>
    <w:rsid w:val="6F98032D"/>
    <w:rsid w:val="6F9B1C65"/>
    <w:rsid w:val="6FA44937"/>
    <w:rsid w:val="6FAD3FB9"/>
    <w:rsid w:val="6FE82C9C"/>
    <w:rsid w:val="6FEA5F6F"/>
    <w:rsid w:val="6FFB146E"/>
    <w:rsid w:val="70160742"/>
    <w:rsid w:val="7030610F"/>
    <w:rsid w:val="70612DB4"/>
    <w:rsid w:val="706516C3"/>
    <w:rsid w:val="70660714"/>
    <w:rsid w:val="70896E68"/>
    <w:rsid w:val="708A4844"/>
    <w:rsid w:val="70C94DCA"/>
    <w:rsid w:val="70E05E9D"/>
    <w:rsid w:val="71073061"/>
    <w:rsid w:val="711A201F"/>
    <w:rsid w:val="71215AE9"/>
    <w:rsid w:val="71261F49"/>
    <w:rsid w:val="712864E5"/>
    <w:rsid w:val="71396ACC"/>
    <w:rsid w:val="71496F6A"/>
    <w:rsid w:val="715B60E9"/>
    <w:rsid w:val="716F0EE9"/>
    <w:rsid w:val="7196674D"/>
    <w:rsid w:val="719E245E"/>
    <w:rsid w:val="71BA3FE5"/>
    <w:rsid w:val="71EA1FED"/>
    <w:rsid w:val="72165C6B"/>
    <w:rsid w:val="722021E3"/>
    <w:rsid w:val="72290340"/>
    <w:rsid w:val="722C6DDA"/>
    <w:rsid w:val="72515945"/>
    <w:rsid w:val="729243CB"/>
    <w:rsid w:val="72E661B1"/>
    <w:rsid w:val="730313F6"/>
    <w:rsid w:val="730E4732"/>
    <w:rsid w:val="73370D24"/>
    <w:rsid w:val="73397FB3"/>
    <w:rsid w:val="73472C84"/>
    <w:rsid w:val="73576BAA"/>
    <w:rsid w:val="7359268C"/>
    <w:rsid w:val="735F327A"/>
    <w:rsid w:val="7366631C"/>
    <w:rsid w:val="736C263C"/>
    <w:rsid w:val="73723640"/>
    <w:rsid w:val="737311F5"/>
    <w:rsid w:val="739503EB"/>
    <w:rsid w:val="73A05B28"/>
    <w:rsid w:val="73C07D69"/>
    <w:rsid w:val="73C979D4"/>
    <w:rsid w:val="73DC335B"/>
    <w:rsid w:val="73E01CD1"/>
    <w:rsid w:val="740B60EC"/>
    <w:rsid w:val="74316163"/>
    <w:rsid w:val="745E7D35"/>
    <w:rsid w:val="7465362D"/>
    <w:rsid w:val="7475188D"/>
    <w:rsid w:val="749E16A8"/>
    <w:rsid w:val="74AE27E7"/>
    <w:rsid w:val="74B42AE4"/>
    <w:rsid w:val="74C54993"/>
    <w:rsid w:val="74D80AD4"/>
    <w:rsid w:val="74EB68F6"/>
    <w:rsid w:val="750A429D"/>
    <w:rsid w:val="752739E7"/>
    <w:rsid w:val="75474B47"/>
    <w:rsid w:val="75533AB0"/>
    <w:rsid w:val="75614792"/>
    <w:rsid w:val="75761866"/>
    <w:rsid w:val="75784473"/>
    <w:rsid w:val="75B10995"/>
    <w:rsid w:val="75B161B3"/>
    <w:rsid w:val="75DC6C44"/>
    <w:rsid w:val="75F05CC0"/>
    <w:rsid w:val="762F6A19"/>
    <w:rsid w:val="76341B33"/>
    <w:rsid w:val="766C59F7"/>
    <w:rsid w:val="76736B32"/>
    <w:rsid w:val="76807C04"/>
    <w:rsid w:val="76AF35EE"/>
    <w:rsid w:val="76C27A74"/>
    <w:rsid w:val="76C726A5"/>
    <w:rsid w:val="76E3765E"/>
    <w:rsid w:val="76FC2AFA"/>
    <w:rsid w:val="77527424"/>
    <w:rsid w:val="77653671"/>
    <w:rsid w:val="77707007"/>
    <w:rsid w:val="778546CC"/>
    <w:rsid w:val="778B6B46"/>
    <w:rsid w:val="77A337B9"/>
    <w:rsid w:val="77B551B3"/>
    <w:rsid w:val="77B56730"/>
    <w:rsid w:val="77B92EBE"/>
    <w:rsid w:val="77C04A8B"/>
    <w:rsid w:val="77D85DB3"/>
    <w:rsid w:val="77E00FAA"/>
    <w:rsid w:val="77EB1B74"/>
    <w:rsid w:val="781366C8"/>
    <w:rsid w:val="782A3EA3"/>
    <w:rsid w:val="78490703"/>
    <w:rsid w:val="785979D0"/>
    <w:rsid w:val="78A50513"/>
    <w:rsid w:val="78C43087"/>
    <w:rsid w:val="78D37FAF"/>
    <w:rsid w:val="78EF7AB5"/>
    <w:rsid w:val="790C5A7A"/>
    <w:rsid w:val="790D6849"/>
    <w:rsid w:val="793B5B55"/>
    <w:rsid w:val="795767E3"/>
    <w:rsid w:val="79586707"/>
    <w:rsid w:val="796518DD"/>
    <w:rsid w:val="79724BEF"/>
    <w:rsid w:val="797264AC"/>
    <w:rsid w:val="79AA0532"/>
    <w:rsid w:val="79FA22BC"/>
    <w:rsid w:val="79FE1DDD"/>
    <w:rsid w:val="7A075767"/>
    <w:rsid w:val="7A0C15B3"/>
    <w:rsid w:val="7A212062"/>
    <w:rsid w:val="7A2522C9"/>
    <w:rsid w:val="7A282A11"/>
    <w:rsid w:val="7A3A59B8"/>
    <w:rsid w:val="7A5D0F75"/>
    <w:rsid w:val="7A715CD2"/>
    <w:rsid w:val="7A921E9A"/>
    <w:rsid w:val="7A9E53BF"/>
    <w:rsid w:val="7AA914B9"/>
    <w:rsid w:val="7ABF2475"/>
    <w:rsid w:val="7AC21562"/>
    <w:rsid w:val="7AD474A4"/>
    <w:rsid w:val="7AFC38DE"/>
    <w:rsid w:val="7B303E8C"/>
    <w:rsid w:val="7B7D6B6D"/>
    <w:rsid w:val="7B8138F2"/>
    <w:rsid w:val="7B861FC5"/>
    <w:rsid w:val="7B865D50"/>
    <w:rsid w:val="7B8D34C3"/>
    <w:rsid w:val="7B971D84"/>
    <w:rsid w:val="7BAB0CB7"/>
    <w:rsid w:val="7BB4028F"/>
    <w:rsid w:val="7BC1107E"/>
    <w:rsid w:val="7BF32F03"/>
    <w:rsid w:val="7BF50D2C"/>
    <w:rsid w:val="7BFF27A7"/>
    <w:rsid w:val="7C066F4E"/>
    <w:rsid w:val="7C1724A5"/>
    <w:rsid w:val="7C766512"/>
    <w:rsid w:val="7C8561DF"/>
    <w:rsid w:val="7CA54112"/>
    <w:rsid w:val="7CA553D9"/>
    <w:rsid w:val="7CAB27F5"/>
    <w:rsid w:val="7CAF438A"/>
    <w:rsid w:val="7CCE726D"/>
    <w:rsid w:val="7CD71EA3"/>
    <w:rsid w:val="7CE50CE4"/>
    <w:rsid w:val="7CE94EE1"/>
    <w:rsid w:val="7CF877E9"/>
    <w:rsid w:val="7D134762"/>
    <w:rsid w:val="7D244CB3"/>
    <w:rsid w:val="7D2E5ABF"/>
    <w:rsid w:val="7D4A45B8"/>
    <w:rsid w:val="7D535AC7"/>
    <w:rsid w:val="7D834710"/>
    <w:rsid w:val="7D964A74"/>
    <w:rsid w:val="7D9B2297"/>
    <w:rsid w:val="7DFB43EA"/>
    <w:rsid w:val="7E007625"/>
    <w:rsid w:val="7E0737C8"/>
    <w:rsid w:val="7E131C51"/>
    <w:rsid w:val="7E176B90"/>
    <w:rsid w:val="7E2142A2"/>
    <w:rsid w:val="7E240411"/>
    <w:rsid w:val="7E48335A"/>
    <w:rsid w:val="7E797DE5"/>
    <w:rsid w:val="7E7B0BF2"/>
    <w:rsid w:val="7E8D75B6"/>
    <w:rsid w:val="7E8E672B"/>
    <w:rsid w:val="7EA27DDF"/>
    <w:rsid w:val="7EC67BB0"/>
    <w:rsid w:val="7ED809AD"/>
    <w:rsid w:val="7EF41076"/>
    <w:rsid w:val="7EF760EE"/>
    <w:rsid w:val="7EF94DAA"/>
    <w:rsid w:val="7F2536B5"/>
    <w:rsid w:val="7F2C3CE7"/>
    <w:rsid w:val="7F5A01CA"/>
    <w:rsid w:val="7F75661B"/>
    <w:rsid w:val="7FB17429"/>
    <w:rsid w:val="7FC237CA"/>
    <w:rsid w:val="7FC86C39"/>
    <w:rsid w:val="7FE80BDA"/>
    <w:rsid w:val="7FF1276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360" w:lineRule="auto"/>
    </w:pPr>
    <w:rPr>
      <w:rFonts w:ascii="Tahoma" w:hAnsi="Tahoma" w:eastAsia="宋体" w:cstheme="minorBidi"/>
      <w:sz w:val="21"/>
      <w:szCs w:val="22"/>
      <w:lang w:val="en-US" w:eastAsia="zh-CN" w:bidi="ar-SA"/>
    </w:rPr>
  </w:style>
  <w:style w:type="paragraph" w:styleId="2">
    <w:name w:val="heading 1"/>
    <w:basedOn w:val="1"/>
    <w:next w:val="1"/>
    <w:link w:val="79"/>
    <w:qFormat/>
    <w:uiPriority w:val="9"/>
    <w:pPr>
      <w:keepNext/>
      <w:keepLines/>
      <w:spacing w:before="340" w:after="330" w:line="576" w:lineRule="auto"/>
      <w:outlineLvl w:val="0"/>
    </w:pPr>
    <w:rPr>
      <w:b/>
      <w:kern w:val="44"/>
      <w:sz w:val="44"/>
    </w:rPr>
  </w:style>
  <w:style w:type="paragraph" w:styleId="3">
    <w:name w:val="heading 2"/>
    <w:basedOn w:val="1"/>
    <w:next w:val="1"/>
    <w:link w:val="4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4"/>
    <w:unhideWhenUsed/>
    <w:qFormat/>
    <w:uiPriority w:val="9"/>
    <w:pPr>
      <w:keepNext/>
      <w:keepLines/>
      <w:spacing w:line="416" w:lineRule="auto"/>
      <w:outlineLvl w:val="2"/>
    </w:pPr>
    <w:rPr>
      <w:b/>
      <w:bCs/>
      <w:sz w:val="32"/>
      <w:szCs w:val="32"/>
    </w:rPr>
  </w:style>
  <w:style w:type="paragraph" w:styleId="5">
    <w:name w:val="heading 4"/>
    <w:basedOn w:val="1"/>
    <w:next w:val="1"/>
    <w:link w:val="48"/>
    <w:unhideWhenUsed/>
    <w:qFormat/>
    <w:uiPriority w:val="9"/>
    <w:pPr>
      <w:keepNext/>
      <w:keepLines/>
      <w:outlineLvl w:val="3"/>
    </w:pPr>
    <w:rPr>
      <w:rFonts w:asciiTheme="majorHAnsi" w:hAnsiTheme="majorHAnsi" w:cstheme="majorBidi"/>
      <w:b/>
      <w:bCs/>
      <w:sz w:val="24"/>
      <w:szCs w:val="28"/>
    </w:rPr>
  </w:style>
  <w:style w:type="paragraph" w:styleId="6">
    <w:name w:val="heading 5"/>
    <w:basedOn w:val="1"/>
    <w:next w:val="1"/>
    <w:link w:val="78"/>
    <w:semiHidden/>
    <w:unhideWhenUsed/>
    <w:qFormat/>
    <w:uiPriority w:val="9"/>
    <w:pPr>
      <w:keepNext/>
      <w:keepLines/>
      <w:spacing w:before="280" w:after="290" w:line="372" w:lineRule="auto"/>
      <w:outlineLvl w:val="4"/>
    </w:pPr>
    <w:rPr>
      <w:b/>
      <w:sz w:val="28"/>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widowControl w:val="0"/>
      <w:adjustRightInd/>
      <w:snapToGrid/>
      <w:spacing w:line="240" w:lineRule="auto"/>
      <w:ind w:left="2520" w:leftChars="1200"/>
      <w:jc w:val="both"/>
    </w:pPr>
    <w:rPr>
      <w:rFonts w:asciiTheme="minorHAnsi" w:hAnsiTheme="minorHAnsi" w:eastAsiaTheme="minorEastAsia"/>
      <w:kern w:val="2"/>
    </w:rPr>
  </w:style>
  <w:style w:type="paragraph" w:styleId="8">
    <w:name w:val="Normal Indent"/>
    <w:basedOn w:val="1"/>
    <w:qFormat/>
    <w:uiPriority w:val="0"/>
    <w:pPr>
      <w:ind w:firstLine="420"/>
    </w:pPr>
    <w:rPr>
      <w:szCs w:val="20"/>
    </w:rPr>
  </w:style>
  <w:style w:type="paragraph" w:styleId="9">
    <w:name w:val="toa heading"/>
    <w:basedOn w:val="1"/>
    <w:next w:val="1"/>
    <w:qFormat/>
    <w:uiPriority w:val="0"/>
    <w:pPr>
      <w:autoSpaceDE w:val="0"/>
      <w:autoSpaceDN w:val="0"/>
      <w:spacing w:before="120"/>
    </w:pPr>
    <w:rPr>
      <w:rFonts w:ascii="Arial" w:hAnsi="Arial"/>
      <w:snapToGrid w:val="0"/>
      <w:color w:val="000000"/>
      <w:szCs w:val="20"/>
    </w:rPr>
  </w:style>
  <w:style w:type="paragraph" w:styleId="10">
    <w:name w:val="annotation text"/>
    <w:basedOn w:val="1"/>
    <w:link w:val="67"/>
    <w:unhideWhenUsed/>
    <w:qFormat/>
    <w:uiPriority w:val="99"/>
  </w:style>
  <w:style w:type="paragraph" w:styleId="11">
    <w:name w:val="Body Text"/>
    <w:basedOn w:val="1"/>
    <w:next w:val="12"/>
    <w:link w:val="70"/>
    <w:qFormat/>
    <w:uiPriority w:val="1"/>
    <w:pPr>
      <w:spacing w:before="161"/>
      <w:ind w:left="120"/>
    </w:pPr>
    <w:rPr>
      <w:rFonts w:ascii="宋体" w:hAnsi="宋体" w:cs="宋体"/>
      <w:sz w:val="24"/>
      <w:lang w:val="zh-CN" w:bidi="zh-CN"/>
    </w:rPr>
  </w:style>
  <w:style w:type="paragraph" w:styleId="12">
    <w:name w:val="Body Text First Indent"/>
    <w:basedOn w:val="11"/>
    <w:qFormat/>
    <w:uiPriority w:val="0"/>
    <w:pPr>
      <w:spacing w:after="120"/>
      <w:ind w:firstLine="420" w:firstLineChars="100"/>
    </w:pPr>
    <w:rPr>
      <w:bCs/>
      <w:szCs w:val="21"/>
    </w:rPr>
  </w:style>
  <w:style w:type="paragraph" w:styleId="13">
    <w:name w:val="Body Text Indent"/>
    <w:basedOn w:val="14"/>
    <w:qFormat/>
    <w:uiPriority w:val="0"/>
    <w:pPr>
      <w:ind w:left="359" w:leftChars="171" w:firstLine="179" w:firstLineChars="85"/>
    </w:pPr>
    <w:rPr>
      <w:b/>
      <w:bCs/>
      <w:szCs w:val="26"/>
    </w:rPr>
  </w:style>
  <w:style w:type="paragraph" w:customStyle="1" w:styleId="14">
    <w:name w:val="Normal_7_0"/>
    <w:qFormat/>
    <w:uiPriority w:val="0"/>
    <w:pPr>
      <w:widowControl w:val="0"/>
      <w:jc w:val="both"/>
    </w:pPr>
    <w:rPr>
      <w:rFonts w:ascii="宋体" w:hAnsi="宋体" w:eastAsia="宋体" w:cs="宋体"/>
      <w:lang w:val="en-US" w:eastAsia="zh-CN" w:bidi="ar-SA"/>
    </w:rPr>
  </w:style>
  <w:style w:type="paragraph" w:styleId="15">
    <w:name w:val="toc 5"/>
    <w:basedOn w:val="1"/>
    <w:next w:val="1"/>
    <w:unhideWhenUsed/>
    <w:qFormat/>
    <w:uiPriority w:val="39"/>
    <w:pPr>
      <w:widowControl w:val="0"/>
      <w:adjustRightInd/>
      <w:snapToGrid/>
      <w:spacing w:line="240" w:lineRule="auto"/>
      <w:ind w:left="1680" w:leftChars="800"/>
      <w:jc w:val="both"/>
    </w:pPr>
    <w:rPr>
      <w:rFonts w:asciiTheme="minorHAnsi" w:hAnsiTheme="minorHAnsi" w:eastAsiaTheme="minorEastAsia"/>
      <w:kern w:val="2"/>
    </w:rPr>
  </w:style>
  <w:style w:type="paragraph" w:styleId="16">
    <w:name w:val="toc 3"/>
    <w:basedOn w:val="1"/>
    <w:next w:val="1"/>
    <w:unhideWhenUsed/>
    <w:qFormat/>
    <w:uiPriority w:val="39"/>
    <w:pPr>
      <w:tabs>
        <w:tab w:val="right" w:leader="dot" w:pos="8296"/>
      </w:tabs>
      <w:ind w:left="838" w:leftChars="381"/>
    </w:pPr>
    <w:rPr>
      <w:szCs w:val="21"/>
    </w:rPr>
  </w:style>
  <w:style w:type="paragraph" w:styleId="17">
    <w:name w:val="Plain Text"/>
    <w:basedOn w:val="1"/>
    <w:link w:val="59"/>
    <w:qFormat/>
    <w:uiPriority w:val="0"/>
    <w:pPr>
      <w:widowControl w:val="0"/>
      <w:adjustRightInd/>
      <w:snapToGrid/>
      <w:jc w:val="both"/>
    </w:pPr>
    <w:rPr>
      <w:rFonts w:ascii="宋体" w:hAnsi="Courier New" w:cs="Times New Roman"/>
      <w:b/>
      <w:kern w:val="2"/>
      <w:szCs w:val="20"/>
    </w:rPr>
  </w:style>
  <w:style w:type="paragraph" w:styleId="18">
    <w:name w:val="toc 8"/>
    <w:basedOn w:val="1"/>
    <w:next w:val="1"/>
    <w:unhideWhenUsed/>
    <w:qFormat/>
    <w:uiPriority w:val="39"/>
    <w:pPr>
      <w:widowControl w:val="0"/>
      <w:adjustRightInd/>
      <w:snapToGrid/>
      <w:spacing w:line="240" w:lineRule="auto"/>
      <w:ind w:left="2940" w:leftChars="1400"/>
      <w:jc w:val="both"/>
    </w:pPr>
    <w:rPr>
      <w:rFonts w:asciiTheme="minorHAnsi" w:hAnsiTheme="minorHAnsi" w:eastAsiaTheme="minorEastAsia"/>
      <w:kern w:val="2"/>
    </w:rPr>
  </w:style>
  <w:style w:type="paragraph" w:styleId="19">
    <w:name w:val="Balloon Text"/>
    <w:basedOn w:val="1"/>
    <w:link w:val="62"/>
    <w:semiHidden/>
    <w:unhideWhenUsed/>
    <w:qFormat/>
    <w:uiPriority w:val="99"/>
    <w:rPr>
      <w:sz w:val="18"/>
      <w:szCs w:val="18"/>
    </w:rPr>
  </w:style>
  <w:style w:type="paragraph" w:styleId="20">
    <w:name w:val="footer"/>
    <w:basedOn w:val="1"/>
    <w:link w:val="61"/>
    <w:unhideWhenUsed/>
    <w:qFormat/>
    <w:uiPriority w:val="99"/>
    <w:pPr>
      <w:tabs>
        <w:tab w:val="center" w:pos="4153"/>
        <w:tab w:val="right" w:pos="8306"/>
      </w:tabs>
    </w:pPr>
    <w:rPr>
      <w:sz w:val="18"/>
      <w:szCs w:val="18"/>
    </w:rPr>
  </w:style>
  <w:style w:type="paragraph" w:styleId="21">
    <w:name w:val="header"/>
    <w:basedOn w:val="1"/>
    <w:link w:val="60"/>
    <w:unhideWhenUsed/>
    <w:qFormat/>
    <w:uiPriority w:val="99"/>
    <w:pPr>
      <w:pBdr>
        <w:bottom w:val="single" w:color="auto" w:sz="6" w:space="1"/>
      </w:pBdr>
      <w:tabs>
        <w:tab w:val="center" w:pos="4153"/>
        <w:tab w:val="right" w:pos="8306"/>
      </w:tabs>
      <w:jc w:val="center"/>
    </w:pPr>
    <w:rPr>
      <w:sz w:val="18"/>
      <w:szCs w:val="18"/>
    </w:rPr>
  </w:style>
  <w:style w:type="paragraph" w:styleId="22">
    <w:name w:val="toc 1"/>
    <w:basedOn w:val="1"/>
    <w:next w:val="1"/>
    <w:unhideWhenUsed/>
    <w:qFormat/>
    <w:uiPriority w:val="39"/>
  </w:style>
  <w:style w:type="paragraph" w:styleId="23">
    <w:name w:val="toc 4"/>
    <w:basedOn w:val="1"/>
    <w:next w:val="1"/>
    <w:unhideWhenUsed/>
    <w:qFormat/>
    <w:uiPriority w:val="39"/>
    <w:pPr>
      <w:tabs>
        <w:tab w:val="right" w:leader="dot" w:pos="8296"/>
      </w:tabs>
      <w:spacing w:after="120"/>
      <w:ind w:left="1320" w:leftChars="600"/>
    </w:pPr>
  </w:style>
  <w:style w:type="paragraph" w:styleId="24">
    <w:name w:val="footnote text"/>
    <w:basedOn w:val="1"/>
    <w:semiHidden/>
    <w:unhideWhenUsed/>
    <w:qFormat/>
    <w:uiPriority w:val="99"/>
    <w:rPr>
      <w:sz w:val="18"/>
    </w:rPr>
  </w:style>
  <w:style w:type="paragraph" w:styleId="25">
    <w:name w:val="toc 6"/>
    <w:basedOn w:val="1"/>
    <w:next w:val="1"/>
    <w:qFormat/>
    <w:uiPriority w:val="39"/>
    <w:pPr>
      <w:ind w:left="1200"/>
    </w:pPr>
    <w:rPr>
      <w:rFonts w:ascii="Calibri" w:cs="Calibri"/>
      <w:sz w:val="18"/>
      <w:szCs w:val="18"/>
    </w:rPr>
  </w:style>
  <w:style w:type="paragraph" w:styleId="26">
    <w:name w:val="Body Text Indent 3"/>
    <w:basedOn w:val="1"/>
    <w:link w:val="103"/>
    <w:semiHidden/>
    <w:unhideWhenUsed/>
    <w:qFormat/>
    <w:uiPriority w:val="99"/>
    <w:pPr>
      <w:spacing w:after="120"/>
      <w:ind w:left="420" w:leftChars="200"/>
    </w:pPr>
    <w:rPr>
      <w:sz w:val="16"/>
      <w:szCs w:val="16"/>
    </w:rPr>
  </w:style>
  <w:style w:type="paragraph" w:styleId="27">
    <w:name w:val="toc 2"/>
    <w:basedOn w:val="1"/>
    <w:next w:val="1"/>
    <w:unhideWhenUsed/>
    <w:qFormat/>
    <w:uiPriority w:val="39"/>
    <w:pPr>
      <w:tabs>
        <w:tab w:val="right" w:leader="dot" w:pos="8296"/>
      </w:tabs>
      <w:ind w:left="440" w:leftChars="200"/>
      <w:jc w:val="center"/>
    </w:pPr>
    <w:rPr>
      <w:rFonts w:ascii="宋体" w:hAnsi="宋体"/>
      <w:sz w:val="30"/>
      <w:szCs w:val="30"/>
    </w:rPr>
  </w:style>
  <w:style w:type="paragraph" w:styleId="28">
    <w:name w:val="toc 9"/>
    <w:basedOn w:val="1"/>
    <w:next w:val="1"/>
    <w:unhideWhenUsed/>
    <w:qFormat/>
    <w:uiPriority w:val="39"/>
    <w:pPr>
      <w:widowControl w:val="0"/>
      <w:adjustRightInd/>
      <w:snapToGrid/>
      <w:spacing w:line="240" w:lineRule="auto"/>
      <w:ind w:left="3360" w:leftChars="1600"/>
      <w:jc w:val="both"/>
    </w:pPr>
    <w:rPr>
      <w:rFonts w:asciiTheme="minorHAnsi" w:hAnsiTheme="minorHAnsi" w:eastAsiaTheme="minorEastAsia"/>
      <w:kern w:val="2"/>
    </w:rPr>
  </w:style>
  <w:style w:type="paragraph" w:styleId="29">
    <w:name w:val="Body Text 2"/>
    <w:basedOn w:val="1"/>
    <w:qFormat/>
    <w:uiPriority w:val="0"/>
    <w:rPr>
      <w:sz w:val="24"/>
    </w:rPr>
  </w:style>
  <w:style w:type="paragraph" w:styleId="30">
    <w:name w:val="HTML Preformatted"/>
    <w:basedOn w:val="1"/>
    <w:link w:val="104"/>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line="240" w:lineRule="auto"/>
    </w:pPr>
    <w:rPr>
      <w:rFonts w:ascii="宋体" w:hAnsi="宋体" w:cs="宋体"/>
      <w:sz w:val="24"/>
      <w:szCs w:val="24"/>
    </w:rPr>
  </w:style>
  <w:style w:type="paragraph" w:styleId="31">
    <w:name w:val="Normal (Web)"/>
    <w:basedOn w:val="1"/>
    <w:link w:val="64"/>
    <w:qFormat/>
    <w:uiPriority w:val="99"/>
    <w:pPr>
      <w:widowControl w:val="0"/>
      <w:adjustRightInd/>
      <w:snapToGrid/>
      <w:jc w:val="both"/>
    </w:pPr>
    <w:rPr>
      <w:rFonts w:asciiTheme="minorHAnsi" w:hAnsiTheme="minorHAnsi"/>
      <w:kern w:val="2"/>
      <w:sz w:val="24"/>
      <w:szCs w:val="24"/>
    </w:rPr>
  </w:style>
  <w:style w:type="paragraph" w:styleId="32">
    <w:name w:val="annotation subject"/>
    <w:basedOn w:val="10"/>
    <w:next w:val="10"/>
    <w:link w:val="68"/>
    <w:semiHidden/>
    <w:unhideWhenUsed/>
    <w:qFormat/>
    <w:uiPriority w:val="99"/>
    <w:rPr>
      <w:b/>
      <w:bCs/>
    </w:rPr>
  </w:style>
  <w:style w:type="paragraph" w:styleId="33">
    <w:name w:val="Body Text First Indent 2"/>
    <w:basedOn w:val="13"/>
    <w:next w:val="1"/>
    <w:qFormat/>
    <w:uiPriority w:val="0"/>
    <w:pPr>
      <w:ind w:left="0" w:leftChars="0" w:firstLine="420" w:firstLineChars="200"/>
    </w:pPr>
    <w:rPr>
      <w:rFonts w:ascii="Tahoma" w:hAnsi="Tahoma"/>
      <w:sz w:val="28"/>
    </w:rPr>
  </w:style>
  <w:style w:type="table" w:styleId="35">
    <w:name w:val="Table Grid"/>
    <w:basedOn w:val="3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basedOn w:val="36"/>
    <w:qFormat/>
    <w:uiPriority w:val="22"/>
    <w:rPr>
      <w:b/>
      <w:bCs/>
    </w:rPr>
  </w:style>
  <w:style w:type="character" w:styleId="38">
    <w:name w:val="page number"/>
    <w:basedOn w:val="36"/>
    <w:qFormat/>
    <w:uiPriority w:val="0"/>
  </w:style>
  <w:style w:type="character" w:styleId="39">
    <w:name w:val="Emphasis"/>
    <w:basedOn w:val="36"/>
    <w:qFormat/>
    <w:uiPriority w:val="20"/>
    <w:rPr>
      <w:i/>
      <w:iCs/>
    </w:rPr>
  </w:style>
  <w:style w:type="character" w:styleId="40">
    <w:name w:val="Hyperlink"/>
    <w:qFormat/>
    <w:uiPriority w:val="99"/>
    <w:rPr>
      <w:rFonts w:hint="eastAsia" w:ascii="宋体" w:hAnsi="宋体" w:eastAsia="宋体" w:cs="宋体"/>
      <w:b/>
      <w:color w:val="0031C1"/>
      <w:kern w:val="0"/>
      <w:sz w:val="18"/>
      <w:szCs w:val="18"/>
      <w:u w:val="none"/>
      <w:lang w:eastAsia="en-US"/>
    </w:rPr>
  </w:style>
  <w:style w:type="character" w:styleId="41">
    <w:name w:val="annotation reference"/>
    <w:basedOn w:val="36"/>
    <w:semiHidden/>
    <w:unhideWhenUsed/>
    <w:qFormat/>
    <w:uiPriority w:val="99"/>
    <w:rPr>
      <w:sz w:val="21"/>
      <w:szCs w:val="21"/>
    </w:rPr>
  </w:style>
  <w:style w:type="character" w:styleId="42">
    <w:name w:val="footnote reference"/>
    <w:basedOn w:val="36"/>
    <w:semiHidden/>
    <w:unhideWhenUsed/>
    <w:qFormat/>
    <w:uiPriority w:val="99"/>
    <w:rPr>
      <w:vertAlign w:val="superscript"/>
    </w:rPr>
  </w:style>
  <w:style w:type="paragraph" w:customStyle="1" w:styleId="43">
    <w:name w:val="样式 正文首行缩进 + 首行缩进:  1 字符"/>
    <w:basedOn w:val="1"/>
    <w:next w:val="1"/>
    <w:qFormat/>
    <w:uiPriority w:val="0"/>
    <w:pPr>
      <w:ind w:firstLine="200" w:firstLineChars="200"/>
    </w:pPr>
    <w:rPr>
      <w:rFonts w:cs="宋体"/>
      <w:szCs w:val="20"/>
    </w:rPr>
  </w:style>
  <w:style w:type="character" w:customStyle="1" w:styleId="44">
    <w:name w:val="标题 3 字符"/>
    <w:basedOn w:val="36"/>
    <w:link w:val="4"/>
    <w:qFormat/>
    <w:uiPriority w:val="9"/>
    <w:rPr>
      <w:rFonts w:ascii="Tahoma" w:hAnsi="Tahoma" w:eastAsia="宋体"/>
      <w:b/>
      <w:bCs/>
      <w:sz w:val="32"/>
      <w:szCs w:val="32"/>
    </w:rPr>
  </w:style>
  <w:style w:type="paragraph" w:customStyle="1" w:styleId="45">
    <w:name w:val="首行缩进"/>
    <w:basedOn w:val="1"/>
    <w:qFormat/>
    <w:uiPriority w:val="0"/>
    <w:pPr>
      <w:adjustRightInd/>
      <w:spacing w:line="300" w:lineRule="auto"/>
      <w:ind w:firstLine="420" w:firstLineChars="200"/>
      <w:jc w:val="both"/>
    </w:pPr>
    <w:rPr>
      <w:rFonts w:ascii="Calibri" w:hAnsi="Calibri" w:eastAsia="方正书宋简体" w:cs="Times New Roman"/>
      <w:sz w:val="20"/>
    </w:rPr>
  </w:style>
  <w:style w:type="character" w:customStyle="1" w:styleId="46">
    <w:name w:val="标题 2 字符"/>
    <w:basedOn w:val="36"/>
    <w:link w:val="3"/>
    <w:qFormat/>
    <w:uiPriority w:val="9"/>
    <w:rPr>
      <w:rFonts w:asciiTheme="majorHAnsi" w:hAnsiTheme="majorHAnsi" w:eastAsiaTheme="majorEastAsia" w:cstheme="majorBidi"/>
      <w:b/>
      <w:bCs/>
      <w:sz w:val="32"/>
      <w:szCs w:val="32"/>
    </w:rPr>
  </w:style>
  <w:style w:type="paragraph" w:styleId="47">
    <w:name w:val="List Paragraph"/>
    <w:basedOn w:val="1"/>
    <w:link w:val="69"/>
    <w:qFormat/>
    <w:uiPriority w:val="0"/>
    <w:pPr>
      <w:ind w:firstLine="420" w:firstLineChars="200"/>
    </w:pPr>
  </w:style>
  <w:style w:type="character" w:customStyle="1" w:styleId="48">
    <w:name w:val="标题 4 字符"/>
    <w:basedOn w:val="36"/>
    <w:link w:val="5"/>
    <w:qFormat/>
    <w:uiPriority w:val="9"/>
    <w:rPr>
      <w:rFonts w:eastAsia="宋体" w:asciiTheme="majorHAnsi" w:hAnsiTheme="majorHAnsi" w:cstheme="majorBidi"/>
      <w:b/>
      <w:bCs/>
      <w:sz w:val="24"/>
      <w:szCs w:val="28"/>
    </w:rPr>
  </w:style>
  <w:style w:type="character" w:customStyle="1" w:styleId="49">
    <w:name w:val="正文缩进2格 Char"/>
    <w:link w:val="50"/>
    <w:qFormat/>
    <w:uiPriority w:val="0"/>
    <w:rPr>
      <w:rFonts w:ascii="仿宋_GB2312" w:hAnsi="宋体" w:eastAsia="仿宋_GB2312"/>
      <w:kern w:val="2"/>
      <w:sz w:val="31"/>
    </w:rPr>
  </w:style>
  <w:style w:type="paragraph" w:customStyle="1" w:styleId="50">
    <w:name w:val="正文缩进2格"/>
    <w:basedOn w:val="1"/>
    <w:next w:val="1"/>
    <w:link w:val="49"/>
    <w:qFormat/>
    <w:uiPriority w:val="0"/>
    <w:pPr>
      <w:widowControl w:val="0"/>
      <w:adjustRightInd/>
      <w:snapToGrid/>
      <w:spacing w:line="600" w:lineRule="exact"/>
      <w:ind w:firstLine="639" w:firstLineChars="206"/>
      <w:jc w:val="both"/>
    </w:pPr>
    <w:rPr>
      <w:rFonts w:ascii="仿宋_GB2312" w:hAnsi="宋体" w:eastAsia="仿宋_GB2312"/>
      <w:kern w:val="2"/>
      <w:sz w:val="31"/>
    </w:rPr>
  </w:style>
  <w:style w:type="paragraph" w:customStyle="1" w:styleId="51">
    <w:name w:val="正文缩进4格"/>
    <w:basedOn w:val="50"/>
    <w:qFormat/>
    <w:uiPriority w:val="0"/>
    <w:pPr>
      <w:ind w:left="2" w:firstLine="538" w:firstLineChars="192"/>
    </w:pPr>
    <w:rPr>
      <w:color w:val="0000FF"/>
      <w:sz w:val="28"/>
    </w:rPr>
  </w:style>
  <w:style w:type="character" w:customStyle="1" w:styleId="52">
    <w:name w:val="正文缩进2格 Char Char"/>
    <w:qFormat/>
    <w:uiPriority w:val="0"/>
    <w:rPr>
      <w:rFonts w:ascii="仿宋_GB2312" w:hAnsi="宋体" w:eastAsia="仿宋_GB2312" w:cs="Times New Roman"/>
      <w:b/>
      <w:kern w:val="2"/>
      <w:sz w:val="31"/>
      <w:szCs w:val="28"/>
      <w:lang w:val="en-US" w:eastAsia="zh-CN" w:bidi="ar-SA"/>
    </w:rPr>
  </w:style>
  <w:style w:type="paragraph" w:customStyle="1" w:styleId="53">
    <w:name w:val="_Style 3"/>
    <w:basedOn w:val="1"/>
    <w:qFormat/>
    <w:uiPriority w:val="0"/>
    <w:pPr>
      <w:widowControl w:val="0"/>
      <w:adjustRightInd/>
      <w:snapToGrid/>
      <w:ind w:firstLine="420" w:firstLineChars="200"/>
      <w:jc w:val="both"/>
    </w:pPr>
    <w:rPr>
      <w:rFonts w:ascii="Times New Roman" w:hAnsi="Times New Roman" w:cs="Times New Roman"/>
      <w:kern w:val="2"/>
      <w:szCs w:val="24"/>
    </w:rPr>
  </w:style>
  <w:style w:type="character" w:customStyle="1" w:styleId="54">
    <w:name w:val="标题1"/>
    <w:qFormat/>
    <w:uiPriority w:val="0"/>
    <w:rPr>
      <w:rFonts w:ascii="Times New Roman" w:hAnsi="Times New Roman" w:eastAsia="宋体" w:cs="Times New Roman"/>
      <w:b/>
      <w:kern w:val="0"/>
      <w:sz w:val="24"/>
      <w:szCs w:val="20"/>
      <w:lang w:eastAsia="en-US"/>
    </w:rPr>
  </w:style>
  <w:style w:type="character" w:customStyle="1" w:styleId="55">
    <w:name w:val="标题 3.1 Char"/>
    <w:link w:val="56"/>
    <w:qFormat/>
    <w:uiPriority w:val="0"/>
    <w:rPr>
      <w:rFonts w:ascii="宋体" w:hAnsi="宋体" w:eastAsia="宋体"/>
      <w:b/>
      <w:color w:val="FF0000"/>
      <w:kern w:val="2"/>
      <w:sz w:val="32"/>
    </w:rPr>
  </w:style>
  <w:style w:type="paragraph" w:customStyle="1" w:styleId="56">
    <w:name w:val="标题 3.1"/>
    <w:basedOn w:val="4"/>
    <w:link w:val="55"/>
    <w:qFormat/>
    <w:uiPriority w:val="0"/>
    <w:pPr>
      <w:widowControl w:val="0"/>
      <w:tabs>
        <w:tab w:val="left" w:pos="1440"/>
        <w:tab w:val="left" w:pos="1620"/>
      </w:tabs>
      <w:adjustRightInd/>
      <w:snapToGrid/>
      <w:spacing w:line="600" w:lineRule="exact"/>
      <w:jc w:val="both"/>
    </w:pPr>
    <w:rPr>
      <w:rFonts w:ascii="宋体" w:hAnsi="宋体"/>
      <w:bCs w:val="0"/>
      <w:color w:val="FF0000"/>
      <w:kern w:val="2"/>
      <w:szCs w:val="22"/>
    </w:rPr>
  </w:style>
  <w:style w:type="character" w:customStyle="1" w:styleId="57">
    <w:name w:val="样式 楷体_GB2312 小四"/>
    <w:qFormat/>
    <w:uiPriority w:val="0"/>
    <w:rPr>
      <w:rFonts w:ascii="楷体_GB2312" w:hAnsi="楷体_GB2312" w:eastAsia="仿宋_GB2312"/>
      <w:sz w:val="24"/>
    </w:rPr>
  </w:style>
  <w:style w:type="character" w:customStyle="1" w:styleId="58">
    <w:name w:val="纯文本 Char"/>
    <w:qFormat/>
    <w:uiPriority w:val="0"/>
    <w:rPr>
      <w:rFonts w:ascii="宋体" w:hAnsi="Courier New" w:eastAsia="宋体" w:cs="Times New Roman"/>
      <w:b/>
      <w:kern w:val="2"/>
      <w:sz w:val="21"/>
      <w:szCs w:val="20"/>
    </w:rPr>
  </w:style>
  <w:style w:type="character" w:customStyle="1" w:styleId="59">
    <w:name w:val="纯文本 字符"/>
    <w:basedOn w:val="36"/>
    <w:link w:val="17"/>
    <w:qFormat/>
    <w:uiPriority w:val="0"/>
    <w:rPr>
      <w:rFonts w:ascii="宋体" w:hAnsi="Courier New" w:eastAsia="宋体" w:cs="Courier New"/>
      <w:sz w:val="21"/>
      <w:szCs w:val="21"/>
    </w:rPr>
  </w:style>
  <w:style w:type="character" w:customStyle="1" w:styleId="60">
    <w:name w:val="页眉 字符"/>
    <w:basedOn w:val="36"/>
    <w:link w:val="21"/>
    <w:qFormat/>
    <w:uiPriority w:val="99"/>
    <w:rPr>
      <w:rFonts w:ascii="Tahoma" w:hAnsi="Tahoma"/>
      <w:sz w:val="18"/>
      <w:szCs w:val="18"/>
    </w:rPr>
  </w:style>
  <w:style w:type="character" w:customStyle="1" w:styleId="61">
    <w:name w:val="页脚 字符"/>
    <w:basedOn w:val="36"/>
    <w:link w:val="20"/>
    <w:qFormat/>
    <w:uiPriority w:val="99"/>
    <w:rPr>
      <w:rFonts w:ascii="Tahoma" w:hAnsi="Tahoma"/>
      <w:sz w:val="18"/>
      <w:szCs w:val="18"/>
    </w:rPr>
  </w:style>
  <w:style w:type="character" w:customStyle="1" w:styleId="62">
    <w:name w:val="批注框文本 字符"/>
    <w:basedOn w:val="36"/>
    <w:link w:val="19"/>
    <w:semiHidden/>
    <w:qFormat/>
    <w:uiPriority w:val="99"/>
    <w:rPr>
      <w:rFonts w:ascii="Tahoma" w:hAnsi="Tahoma"/>
      <w:sz w:val="18"/>
      <w:szCs w:val="18"/>
    </w:rPr>
  </w:style>
  <w:style w:type="paragraph" w:customStyle="1" w:styleId="63">
    <w:name w:val="Char Char2 Char"/>
    <w:basedOn w:val="1"/>
    <w:qFormat/>
    <w:uiPriority w:val="0"/>
    <w:pPr>
      <w:widowControl w:val="0"/>
      <w:adjustRightInd/>
      <w:snapToGrid/>
      <w:jc w:val="both"/>
    </w:pPr>
    <w:rPr>
      <w:rFonts w:ascii="宋体" w:hAnsi="宋体" w:cs="Times New Roman"/>
      <w:b/>
      <w:kern w:val="2"/>
      <w:sz w:val="28"/>
      <w:szCs w:val="28"/>
    </w:rPr>
  </w:style>
  <w:style w:type="character" w:customStyle="1" w:styleId="64">
    <w:name w:val="普通(网站) 字符"/>
    <w:link w:val="31"/>
    <w:qFormat/>
    <w:uiPriority w:val="0"/>
    <w:rPr>
      <w:rFonts w:eastAsia="宋体"/>
      <w:kern w:val="2"/>
      <w:sz w:val="24"/>
      <w:szCs w:val="24"/>
    </w:rPr>
  </w:style>
  <w:style w:type="paragraph" w:customStyle="1" w:styleId="65">
    <w:name w:val="列出段落1"/>
    <w:basedOn w:val="1"/>
    <w:qFormat/>
    <w:uiPriority w:val="99"/>
    <w:pPr>
      <w:widowControl w:val="0"/>
      <w:adjustRightInd/>
      <w:snapToGrid/>
      <w:ind w:firstLine="420" w:firstLineChars="200"/>
      <w:jc w:val="both"/>
    </w:pPr>
    <w:rPr>
      <w:rFonts w:ascii="Times New Roman" w:hAnsi="Times New Roman" w:cs="Times New Roman"/>
      <w:kern w:val="2"/>
      <w:sz w:val="24"/>
      <w:szCs w:val="24"/>
    </w:rPr>
  </w:style>
  <w:style w:type="character" w:customStyle="1" w:styleId="66">
    <w:name w:val="p141"/>
    <w:qFormat/>
    <w:uiPriority w:val="0"/>
    <w:rPr>
      <w:sz w:val="21"/>
      <w:szCs w:val="21"/>
    </w:rPr>
  </w:style>
  <w:style w:type="character" w:customStyle="1" w:styleId="67">
    <w:name w:val="批注文字 字符"/>
    <w:basedOn w:val="36"/>
    <w:link w:val="10"/>
    <w:qFormat/>
    <w:uiPriority w:val="99"/>
    <w:rPr>
      <w:rFonts w:ascii="Tahoma" w:hAnsi="Tahoma" w:eastAsia="微软雅黑" w:cstheme="minorBidi"/>
      <w:sz w:val="22"/>
      <w:szCs w:val="22"/>
    </w:rPr>
  </w:style>
  <w:style w:type="character" w:customStyle="1" w:styleId="68">
    <w:name w:val="批注主题 字符"/>
    <w:basedOn w:val="67"/>
    <w:link w:val="32"/>
    <w:semiHidden/>
    <w:qFormat/>
    <w:uiPriority w:val="99"/>
    <w:rPr>
      <w:rFonts w:ascii="Tahoma" w:hAnsi="Tahoma" w:eastAsia="微软雅黑" w:cstheme="minorBidi"/>
      <w:b/>
      <w:bCs/>
      <w:sz w:val="22"/>
      <w:szCs w:val="22"/>
    </w:rPr>
  </w:style>
  <w:style w:type="character" w:customStyle="1" w:styleId="69">
    <w:name w:val="列表段落 字符"/>
    <w:link w:val="47"/>
    <w:qFormat/>
    <w:uiPriority w:val="0"/>
    <w:rPr>
      <w:rFonts w:ascii="Tahoma" w:hAnsi="Tahoma" w:eastAsia="微软雅黑" w:cstheme="minorBidi"/>
      <w:sz w:val="22"/>
      <w:szCs w:val="22"/>
    </w:rPr>
  </w:style>
  <w:style w:type="character" w:customStyle="1" w:styleId="70">
    <w:name w:val="正文文本 字符"/>
    <w:basedOn w:val="36"/>
    <w:link w:val="11"/>
    <w:qFormat/>
    <w:uiPriority w:val="1"/>
    <w:rPr>
      <w:rFonts w:ascii="宋体" w:hAnsi="宋体" w:cs="宋体"/>
      <w:sz w:val="24"/>
      <w:szCs w:val="22"/>
      <w:lang w:val="zh-CN" w:bidi="zh-CN"/>
    </w:rPr>
  </w:style>
  <w:style w:type="paragraph" w:customStyle="1" w:styleId="7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2">
    <w:name w:val="_Style 1"/>
    <w:basedOn w:val="1"/>
    <w:qFormat/>
    <w:uiPriority w:val="0"/>
    <w:pPr>
      <w:ind w:firstLine="420" w:firstLineChars="200"/>
    </w:pPr>
  </w:style>
  <w:style w:type="paragraph" w:customStyle="1" w:styleId="73">
    <w:name w:val="列出段落2"/>
    <w:basedOn w:val="1"/>
    <w:qFormat/>
    <w:uiPriority w:val="0"/>
    <w:pPr>
      <w:ind w:firstLine="420" w:firstLineChars="200"/>
    </w:pPr>
  </w:style>
  <w:style w:type="paragraph" w:customStyle="1" w:styleId="74">
    <w:name w:val="p0"/>
    <w:basedOn w:val="1"/>
    <w:qFormat/>
    <w:uiPriority w:val="0"/>
    <w:rPr>
      <w:szCs w:val="21"/>
    </w:rPr>
  </w:style>
  <w:style w:type="paragraph" w:customStyle="1" w:styleId="75">
    <w:name w:val="正文文本缩进 21"/>
    <w:basedOn w:val="1"/>
    <w:qFormat/>
    <w:uiPriority w:val="0"/>
    <w:pPr>
      <w:spacing w:line="480" w:lineRule="auto"/>
      <w:ind w:firstLine="540"/>
    </w:pPr>
    <w:rPr>
      <w:rFonts w:ascii="Calibri" w:hAnsi="Calibri"/>
      <w:sz w:val="20"/>
      <w:szCs w:val="20"/>
    </w:rPr>
  </w:style>
  <w:style w:type="paragraph" w:customStyle="1" w:styleId="76">
    <w:name w:val="_Style 2"/>
    <w:basedOn w:val="1"/>
    <w:qFormat/>
    <w:uiPriority w:val="0"/>
    <w:pPr>
      <w:ind w:firstLine="420" w:firstLineChars="200"/>
    </w:pPr>
  </w:style>
  <w:style w:type="paragraph" w:customStyle="1" w:styleId="77">
    <w:name w:val="msolistparagraph"/>
    <w:basedOn w:val="1"/>
    <w:qFormat/>
    <w:uiPriority w:val="0"/>
    <w:pPr>
      <w:ind w:firstLine="420" w:firstLineChars="200"/>
    </w:pPr>
    <w:rPr>
      <w:rFonts w:hint="eastAsia" w:hAnsi="宋体"/>
    </w:rPr>
  </w:style>
  <w:style w:type="character" w:customStyle="1" w:styleId="78">
    <w:name w:val="标题 5 字符"/>
    <w:link w:val="6"/>
    <w:qFormat/>
    <w:uiPriority w:val="0"/>
    <w:rPr>
      <w:b/>
      <w:sz w:val="28"/>
    </w:rPr>
  </w:style>
  <w:style w:type="character" w:customStyle="1" w:styleId="79">
    <w:name w:val="标题 1 字符"/>
    <w:link w:val="2"/>
    <w:qFormat/>
    <w:uiPriority w:val="9"/>
    <w:rPr>
      <w:b/>
      <w:kern w:val="44"/>
      <w:sz w:val="44"/>
    </w:rPr>
  </w:style>
  <w:style w:type="paragraph" w:customStyle="1" w:styleId="80">
    <w:name w:val="修订1"/>
    <w:hidden/>
    <w:semiHidden/>
    <w:qFormat/>
    <w:uiPriority w:val="99"/>
    <w:rPr>
      <w:rFonts w:ascii="Tahoma" w:hAnsi="Tahoma" w:eastAsia="宋体" w:cstheme="minorBidi"/>
      <w:sz w:val="21"/>
      <w:szCs w:val="22"/>
      <w:lang w:val="en-US" w:eastAsia="zh-CN" w:bidi="ar-SA"/>
    </w:rPr>
  </w:style>
  <w:style w:type="paragraph" w:customStyle="1" w:styleId="81">
    <w:name w:val="表格文字"/>
    <w:basedOn w:val="1"/>
    <w:qFormat/>
    <w:uiPriority w:val="0"/>
    <w:pPr>
      <w:adjustRightInd/>
      <w:spacing w:before="25" w:after="25"/>
    </w:pPr>
    <w:rPr>
      <w:rFonts w:ascii="Times New Roman"/>
      <w:bCs/>
      <w:spacing w:val="10"/>
      <w:szCs w:val="20"/>
    </w:rPr>
  </w:style>
  <w:style w:type="paragraph" w:customStyle="1" w:styleId="82">
    <w:name w:val="纯文本1"/>
    <w:basedOn w:val="83"/>
    <w:qFormat/>
    <w:uiPriority w:val="0"/>
    <w:rPr>
      <w:rFonts w:ascii="宋体" w:hAnsi="Courier New"/>
      <w:szCs w:val="20"/>
    </w:rPr>
  </w:style>
  <w:style w:type="paragraph" w:customStyle="1" w:styleId="83">
    <w:name w:val="正文 New"/>
    <w:qFormat/>
    <w:uiPriority w:val="99"/>
    <w:pPr>
      <w:widowControl w:val="0"/>
      <w:spacing w:line="360" w:lineRule="auto"/>
      <w:jc w:val="both"/>
    </w:pPr>
    <w:rPr>
      <w:rFonts w:ascii="Times New Roman" w:hAnsi="Times New Roman" w:eastAsia="宋体" w:cs="黑体"/>
      <w:kern w:val="2"/>
      <w:sz w:val="21"/>
      <w:szCs w:val="22"/>
      <w:lang w:val="en-US" w:eastAsia="zh-CN" w:bidi="ar-SA"/>
    </w:rPr>
  </w:style>
  <w:style w:type="paragraph" w:customStyle="1" w:styleId="84">
    <w:name w:val="正文2"/>
    <w:qFormat/>
    <w:uiPriority w:val="0"/>
    <w:pPr>
      <w:jc w:val="both"/>
    </w:pPr>
    <w:rPr>
      <w:rFonts w:ascii="Times New Roman" w:hAnsi="Times New Roman" w:eastAsia="宋体" w:cs="Times New Roman"/>
      <w:kern w:val="2"/>
      <w:sz w:val="21"/>
      <w:szCs w:val="21"/>
      <w:lang w:val="en-US" w:eastAsia="zh-CN" w:bidi="ar-SA"/>
    </w:rPr>
  </w:style>
  <w:style w:type="table" w:customStyle="1" w:styleId="85">
    <w:name w:val="Table Normal"/>
    <w:semiHidden/>
    <w:unhideWhenUsed/>
    <w:qFormat/>
    <w:uiPriority w:val="2"/>
    <w:tblPr>
      <w:tblCellMar>
        <w:top w:w="0" w:type="dxa"/>
        <w:left w:w="0" w:type="dxa"/>
        <w:bottom w:w="0" w:type="dxa"/>
        <w:right w:w="0" w:type="dxa"/>
      </w:tblCellMar>
    </w:tblPr>
  </w:style>
  <w:style w:type="paragraph" w:customStyle="1" w:styleId="86">
    <w:name w:val="Table Paragraph"/>
    <w:basedOn w:val="1"/>
    <w:qFormat/>
    <w:uiPriority w:val="1"/>
  </w:style>
  <w:style w:type="paragraph" w:customStyle="1" w:styleId="87">
    <w:name w:val="正文文本缩进1"/>
    <w:basedOn w:val="83"/>
    <w:qFormat/>
    <w:uiPriority w:val="0"/>
    <w:pPr>
      <w:spacing w:after="120"/>
      <w:ind w:left="420" w:leftChars="200"/>
    </w:pPr>
  </w:style>
  <w:style w:type="paragraph" w:customStyle="1" w:styleId="88">
    <w:name w:val="正文 New New"/>
    <w:qFormat/>
    <w:uiPriority w:val="0"/>
    <w:pPr>
      <w:widowControl w:val="0"/>
      <w:jc w:val="both"/>
    </w:pPr>
    <w:rPr>
      <w:rFonts w:ascii="Times New Roman" w:hAnsi="Times New Roman" w:eastAsia="宋体" w:cs="Times New Roman"/>
      <w:szCs w:val="24"/>
      <w:lang w:val="en-US" w:eastAsia="zh-CN" w:bidi="ar-SA"/>
    </w:rPr>
  </w:style>
  <w:style w:type="paragraph" w:customStyle="1" w:styleId="89">
    <w:name w:val="纯文本2"/>
    <w:basedOn w:val="83"/>
    <w:qFormat/>
    <w:uiPriority w:val="0"/>
    <w:rPr>
      <w:rFonts w:ascii="宋体" w:hAnsi="Courier New"/>
      <w:szCs w:val="20"/>
    </w:rPr>
  </w:style>
  <w:style w:type="character" w:customStyle="1" w:styleId="90">
    <w:name w:val="font141"/>
    <w:qFormat/>
    <w:uiPriority w:val="0"/>
    <w:rPr>
      <w:rFonts w:hint="default" w:ascii="Times New Roman" w:hAnsi="Times New Roman" w:cs="Times New Roman"/>
      <w:color w:val="000000"/>
      <w:sz w:val="18"/>
      <w:szCs w:val="18"/>
      <w:u w:val="none"/>
    </w:rPr>
  </w:style>
  <w:style w:type="character" w:customStyle="1" w:styleId="91">
    <w:name w:val="font71"/>
    <w:qFormat/>
    <w:uiPriority w:val="0"/>
    <w:rPr>
      <w:rFonts w:hint="eastAsia" w:ascii="宋体" w:hAnsi="宋体" w:eastAsia="宋体" w:cs="宋体"/>
      <w:color w:val="000000"/>
      <w:sz w:val="18"/>
      <w:szCs w:val="18"/>
      <w:u w:val="none"/>
    </w:rPr>
  </w:style>
  <w:style w:type="character" w:customStyle="1" w:styleId="92">
    <w:name w:val="蓝色显示 Char"/>
    <w:link w:val="93"/>
    <w:qFormat/>
    <w:uiPriority w:val="0"/>
    <w:rPr>
      <w:b/>
      <w:color w:val="0070C0"/>
      <w:kern w:val="2"/>
      <w:sz w:val="21"/>
      <w:szCs w:val="24"/>
    </w:rPr>
  </w:style>
  <w:style w:type="paragraph" w:customStyle="1" w:styleId="93">
    <w:name w:val="蓝色显示"/>
    <w:basedOn w:val="1"/>
    <w:link w:val="92"/>
    <w:qFormat/>
    <w:uiPriority w:val="0"/>
    <w:pPr>
      <w:widowControl w:val="0"/>
      <w:adjustRightInd/>
      <w:snapToGrid/>
      <w:spacing w:before="340" w:after="330" w:line="400" w:lineRule="exact"/>
      <w:jc w:val="both"/>
    </w:pPr>
    <w:rPr>
      <w:rFonts w:ascii="Times New Roman" w:hAnsi="Times New Roman" w:cs="Times New Roman"/>
      <w:b/>
      <w:color w:val="0070C0"/>
      <w:kern w:val="2"/>
      <w:szCs w:val="24"/>
    </w:rPr>
  </w:style>
  <w:style w:type="character" w:customStyle="1" w:styleId="94">
    <w:name w:val="font31"/>
    <w:basedOn w:val="36"/>
    <w:qFormat/>
    <w:uiPriority w:val="0"/>
    <w:rPr>
      <w:rFonts w:hint="eastAsia" w:ascii="宋体" w:hAnsi="宋体" w:eastAsia="宋体" w:cs="宋体"/>
      <w:b/>
      <w:bCs/>
      <w:color w:val="000000"/>
      <w:sz w:val="20"/>
      <w:szCs w:val="20"/>
      <w:u w:val="none"/>
    </w:rPr>
  </w:style>
  <w:style w:type="character" w:customStyle="1" w:styleId="95">
    <w:name w:val="font11"/>
    <w:basedOn w:val="36"/>
    <w:qFormat/>
    <w:uiPriority w:val="0"/>
    <w:rPr>
      <w:rFonts w:hint="eastAsia" w:ascii="宋体" w:hAnsi="宋体" w:eastAsia="宋体" w:cs="宋体"/>
      <w:color w:val="000000"/>
      <w:sz w:val="20"/>
      <w:szCs w:val="20"/>
      <w:u w:val="none"/>
    </w:rPr>
  </w:style>
  <w:style w:type="character" w:customStyle="1" w:styleId="96">
    <w:name w:val="font61"/>
    <w:basedOn w:val="36"/>
    <w:qFormat/>
    <w:uiPriority w:val="0"/>
    <w:rPr>
      <w:rFonts w:hint="eastAsia" w:ascii="宋体" w:hAnsi="宋体" w:eastAsia="宋体" w:cs="宋体"/>
      <w:color w:val="000000"/>
      <w:sz w:val="20"/>
      <w:szCs w:val="20"/>
      <w:u w:val="none"/>
    </w:rPr>
  </w:style>
  <w:style w:type="character" w:customStyle="1" w:styleId="97">
    <w:name w:val="font81"/>
    <w:basedOn w:val="36"/>
    <w:qFormat/>
    <w:uiPriority w:val="0"/>
    <w:rPr>
      <w:rFonts w:ascii="宋体" w:hAnsi="宋体" w:eastAsia="宋体" w:cs="宋体"/>
      <w:color w:val="000000"/>
      <w:sz w:val="20"/>
      <w:szCs w:val="20"/>
      <w:u w:val="none"/>
    </w:rPr>
  </w:style>
  <w:style w:type="character" w:customStyle="1" w:styleId="98">
    <w:name w:val="font51"/>
    <w:basedOn w:val="36"/>
    <w:qFormat/>
    <w:uiPriority w:val="0"/>
    <w:rPr>
      <w:rFonts w:hint="eastAsia" w:ascii="宋体" w:hAnsi="宋体" w:eastAsia="宋体" w:cs="宋体"/>
      <w:b/>
      <w:bCs/>
      <w:color w:val="000000"/>
      <w:sz w:val="20"/>
      <w:szCs w:val="20"/>
      <w:u w:val="none"/>
    </w:rPr>
  </w:style>
  <w:style w:type="character" w:customStyle="1" w:styleId="99">
    <w:name w:val="font21"/>
    <w:basedOn w:val="36"/>
    <w:qFormat/>
    <w:uiPriority w:val="0"/>
    <w:rPr>
      <w:rFonts w:hint="eastAsia" w:ascii="宋体" w:hAnsi="宋体" w:eastAsia="宋体" w:cs="宋体"/>
      <w:b/>
      <w:bCs/>
      <w:color w:val="000000"/>
      <w:sz w:val="20"/>
      <w:szCs w:val="20"/>
      <w:u w:val="none"/>
    </w:rPr>
  </w:style>
  <w:style w:type="character" w:customStyle="1" w:styleId="100">
    <w:name w:val="font01"/>
    <w:basedOn w:val="36"/>
    <w:qFormat/>
    <w:uiPriority w:val="0"/>
    <w:rPr>
      <w:rFonts w:hint="eastAsia" w:ascii="宋体" w:hAnsi="宋体" w:eastAsia="宋体" w:cs="宋体"/>
      <w:color w:val="000000"/>
      <w:sz w:val="20"/>
      <w:szCs w:val="20"/>
      <w:u w:val="none"/>
    </w:rPr>
  </w:style>
  <w:style w:type="character" w:customStyle="1" w:styleId="101">
    <w:name w:val="font41"/>
    <w:basedOn w:val="36"/>
    <w:qFormat/>
    <w:uiPriority w:val="0"/>
    <w:rPr>
      <w:rFonts w:hint="eastAsia" w:ascii="宋体" w:hAnsi="宋体" w:eastAsia="宋体" w:cs="宋体"/>
      <w:b/>
      <w:bCs/>
      <w:color w:val="000000"/>
      <w:sz w:val="20"/>
      <w:szCs w:val="20"/>
      <w:u w:val="none"/>
    </w:rPr>
  </w:style>
  <w:style w:type="paragraph" w:customStyle="1" w:styleId="102">
    <w:name w:val="楷体粗正文文字"/>
    <w:basedOn w:val="1"/>
    <w:next w:val="26"/>
    <w:qFormat/>
    <w:uiPriority w:val="99"/>
    <w:pPr>
      <w:widowControl w:val="0"/>
      <w:adjustRightInd/>
      <w:spacing w:line="480" w:lineRule="exact"/>
      <w:ind w:firstLine="560"/>
      <w:jc w:val="both"/>
    </w:pPr>
    <w:rPr>
      <w:rFonts w:ascii="Times New Roman" w:hAnsi="Times New Roman" w:cs="Times New Roman"/>
      <w:kern w:val="2"/>
      <w:sz w:val="28"/>
      <w:szCs w:val="20"/>
    </w:rPr>
  </w:style>
  <w:style w:type="character" w:customStyle="1" w:styleId="103">
    <w:name w:val="正文文本缩进 3 字符"/>
    <w:basedOn w:val="36"/>
    <w:link w:val="26"/>
    <w:semiHidden/>
    <w:qFormat/>
    <w:uiPriority w:val="99"/>
    <w:rPr>
      <w:rFonts w:ascii="Tahoma" w:hAnsi="Tahoma" w:cstheme="minorBidi"/>
      <w:sz w:val="16"/>
      <w:szCs w:val="16"/>
    </w:rPr>
  </w:style>
  <w:style w:type="character" w:customStyle="1" w:styleId="104">
    <w:name w:val="HTML 预设格式 字符"/>
    <w:basedOn w:val="36"/>
    <w:link w:val="30"/>
    <w:qFormat/>
    <w:uiPriority w:val="99"/>
    <w:rPr>
      <w:rFonts w:ascii="宋体" w:hAnsi="宋体" w:cs="宋体"/>
      <w:sz w:val="24"/>
      <w:szCs w:val="24"/>
    </w:rPr>
  </w:style>
  <w:style w:type="paragraph" w:customStyle="1" w:styleId="105">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2FDE4B-77BC-4B7C-94B1-DC883D12665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84</Pages>
  <Words>38649</Words>
  <Characters>40438</Characters>
  <Lines>326</Lines>
  <Paragraphs>91</Paragraphs>
  <TotalTime>20</TotalTime>
  <ScaleCrop>false</ScaleCrop>
  <LinksUpToDate>false</LinksUpToDate>
  <CharactersWithSpaces>42666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2023-05-28T04:00:00Z</dcterms:created>
  <dc:creator>MyPC</dc:creator>
  <cp:lastModifiedBy>伟杰</cp:lastModifiedBy>
  <cp:lastPrinted>2022-12-01T06:09:00Z</cp:lastPrinted>
  <dcterms:modified xsi:type="dcterms:W3CDTF">2026-09-07T01:45:52Z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A8851A85D6B14B3C9BAA4FB18C02BC43_13</vt:lpwstr>
  </property>
  <property fmtid="{D5CDD505-2E9C-101B-9397-08002B2CF9AE}" pid="4" name="KSOTemplateDocerSaveRecord">
    <vt:lpwstr>eyJoZGlkIjoiNmQ0YzE5YjJiMDZiM2M0OGRjZjgwNDU0NWI5ZDMxODIiLCJ1c2VySWQiOiIxMjQ0MzUwODE2In0=</vt:lpwstr>
  </property>
</Properties>
</file>