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EB4A4">
      <w:pPr>
        <w:widowControl/>
        <w:spacing w:line="360" w:lineRule="auto"/>
        <w:ind w:right="-26"/>
        <w:jc w:val="center"/>
        <w:textAlignment w:val="bottom"/>
        <w:rPr>
          <w:rFonts w:hint="eastAsia" w:hAnsi="宋体"/>
          <w:b/>
          <w:color w:val="auto"/>
          <w:sz w:val="52"/>
          <w:szCs w:val="52"/>
          <w:highlight w:val="none"/>
        </w:rPr>
      </w:pPr>
    </w:p>
    <w:p w14:paraId="46E4F622">
      <w:pPr>
        <w:pStyle w:val="23"/>
        <w:rPr>
          <w:rFonts w:hint="eastAsia" w:hAnsi="宋体"/>
          <w:color w:val="auto"/>
          <w:highlight w:val="none"/>
        </w:rPr>
      </w:pPr>
    </w:p>
    <w:p w14:paraId="58C3483F">
      <w:pPr>
        <w:widowControl/>
        <w:spacing w:line="360" w:lineRule="auto"/>
        <w:ind w:right="-26"/>
        <w:jc w:val="center"/>
        <w:textAlignment w:val="bottom"/>
        <w:rPr>
          <w:rFonts w:hint="eastAsia" w:hAnsi="宋体"/>
          <w:b/>
          <w:color w:val="auto"/>
          <w:sz w:val="72"/>
          <w:highlight w:val="none"/>
        </w:rPr>
      </w:pPr>
    </w:p>
    <w:p w14:paraId="56B7872E">
      <w:pPr>
        <w:snapToGrid w:val="0"/>
        <w:jc w:val="center"/>
        <w:outlineLvl w:val="0"/>
        <w:rPr>
          <w:rFonts w:hint="eastAsia" w:hAnsi="宋体"/>
          <w:b/>
          <w:bCs/>
          <w:color w:val="auto"/>
          <w:sz w:val="72"/>
          <w:szCs w:val="72"/>
          <w:highlight w:val="none"/>
        </w:rPr>
      </w:pPr>
      <w:bookmarkStart w:id="0" w:name="_Toc5586"/>
      <w:r>
        <w:rPr>
          <w:rFonts w:hint="eastAsia" w:hAnsi="宋体"/>
          <w:b/>
          <w:bCs/>
          <w:color w:val="auto"/>
          <w:sz w:val="72"/>
          <w:szCs w:val="72"/>
          <w:highlight w:val="none"/>
        </w:rPr>
        <w:t>竞争性磋商文件</w:t>
      </w:r>
      <w:bookmarkEnd w:id="0"/>
    </w:p>
    <w:p w14:paraId="59C9D7EF">
      <w:pPr>
        <w:widowControl/>
        <w:spacing w:line="360" w:lineRule="auto"/>
        <w:ind w:right="-26"/>
        <w:jc w:val="center"/>
        <w:textAlignment w:val="bottom"/>
        <w:rPr>
          <w:rFonts w:hint="eastAsia" w:hAnsi="宋体"/>
          <w:b/>
          <w:color w:val="auto"/>
          <w:sz w:val="44"/>
          <w:highlight w:val="none"/>
        </w:rPr>
      </w:pPr>
    </w:p>
    <w:p w14:paraId="2F6DDF11">
      <w:pPr>
        <w:widowControl/>
        <w:spacing w:line="360" w:lineRule="auto"/>
        <w:ind w:right="-26"/>
        <w:jc w:val="center"/>
        <w:textAlignment w:val="bottom"/>
        <w:rPr>
          <w:rFonts w:hint="eastAsia" w:hAnsi="宋体"/>
          <w:b/>
          <w:color w:val="auto"/>
          <w:sz w:val="44"/>
          <w:highlight w:val="none"/>
        </w:rPr>
      </w:pPr>
    </w:p>
    <w:p w14:paraId="25135097">
      <w:pPr>
        <w:widowControl/>
        <w:spacing w:line="360" w:lineRule="auto"/>
        <w:ind w:right="-26"/>
        <w:textAlignment w:val="bottom"/>
        <w:rPr>
          <w:rFonts w:hint="eastAsia" w:hAnsi="宋体"/>
          <w:b/>
          <w:color w:val="auto"/>
          <w:sz w:val="32"/>
          <w:highlight w:val="none"/>
        </w:rPr>
      </w:pPr>
    </w:p>
    <w:p w14:paraId="71077A48">
      <w:pPr>
        <w:widowControl/>
        <w:spacing w:line="360" w:lineRule="auto"/>
        <w:ind w:right="-26"/>
        <w:jc w:val="center"/>
        <w:textAlignment w:val="bottom"/>
        <w:rPr>
          <w:rFonts w:hint="eastAsia" w:hAnsi="宋体"/>
          <w:b/>
          <w:color w:val="auto"/>
          <w:sz w:val="44"/>
          <w:highlight w:val="none"/>
        </w:rPr>
      </w:pPr>
    </w:p>
    <w:p w14:paraId="46EB1CA8">
      <w:pPr>
        <w:widowControl/>
        <w:spacing w:line="360" w:lineRule="auto"/>
        <w:ind w:right="-26"/>
        <w:jc w:val="center"/>
        <w:textAlignment w:val="bottom"/>
        <w:rPr>
          <w:rFonts w:hint="eastAsia" w:hAnsi="宋体"/>
          <w:b/>
          <w:color w:val="auto"/>
          <w:sz w:val="44"/>
          <w:highlight w:val="none"/>
        </w:rPr>
      </w:pPr>
    </w:p>
    <w:p w14:paraId="44B746A7">
      <w:pPr>
        <w:widowControl/>
        <w:spacing w:line="360" w:lineRule="auto"/>
        <w:ind w:left="2391" w:leftChars="300" w:right="387" w:hanging="1671" w:hangingChars="520"/>
        <w:jc w:val="both"/>
        <w:textAlignment w:val="bottom"/>
        <w:rPr>
          <w:rFonts w:hint="eastAsia" w:hAnsi="宋体"/>
          <w:b/>
          <w:color w:val="auto"/>
          <w:sz w:val="32"/>
          <w:highlight w:val="none"/>
        </w:rPr>
      </w:pPr>
      <w:r>
        <w:rPr>
          <w:rFonts w:hint="eastAsia" w:hAnsi="宋体"/>
          <w:b/>
          <w:color w:val="auto"/>
          <w:sz w:val="32"/>
          <w:highlight w:val="none"/>
        </w:rPr>
        <w:t>项目名称：2026年东莞市安居建设投资有限公司AI营销服务项目</w:t>
      </w:r>
    </w:p>
    <w:p w14:paraId="461E448B">
      <w:pPr>
        <w:widowControl/>
        <w:spacing w:line="360" w:lineRule="auto"/>
        <w:ind w:left="1607" w:leftChars="300" w:right="387" w:hanging="887" w:hangingChars="276"/>
        <w:jc w:val="both"/>
        <w:textAlignment w:val="bottom"/>
        <w:rPr>
          <w:rFonts w:hint="eastAsia" w:hAnsi="宋体"/>
          <w:b/>
          <w:color w:val="auto"/>
          <w:sz w:val="32"/>
          <w:highlight w:val="none"/>
        </w:rPr>
      </w:pPr>
      <w:r>
        <w:rPr>
          <w:rFonts w:hint="eastAsia" w:hAnsi="宋体"/>
          <w:b/>
          <w:color w:val="auto"/>
          <w:sz w:val="32"/>
          <w:highlight w:val="none"/>
        </w:rPr>
        <w:t>项目编号：AJJS-AI-05-01-17(2026)</w:t>
      </w:r>
    </w:p>
    <w:p w14:paraId="1238541A">
      <w:pPr>
        <w:widowControl/>
        <w:spacing w:line="360" w:lineRule="auto"/>
        <w:ind w:left="1607" w:leftChars="300" w:right="387" w:hanging="887" w:hangingChars="276"/>
        <w:jc w:val="both"/>
        <w:textAlignment w:val="bottom"/>
        <w:rPr>
          <w:rFonts w:hint="eastAsia" w:hAnsi="宋体"/>
          <w:b/>
          <w:color w:val="auto"/>
          <w:sz w:val="44"/>
          <w:highlight w:val="none"/>
        </w:rPr>
      </w:pPr>
      <w:r>
        <w:rPr>
          <w:rFonts w:hint="eastAsia" w:hAnsi="宋体"/>
          <w:b/>
          <w:color w:val="auto"/>
          <w:sz w:val="32"/>
          <w:highlight w:val="none"/>
        </w:rPr>
        <w:t>采 购 人：东莞市安居建设投资有限公司</w:t>
      </w:r>
    </w:p>
    <w:p w14:paraId="15FF277D">
      <w:pPr>
        <w:widowControl/>
        <w:spacing w:line="360" w:lineRule="auto"/>
        <w:ind w:right="-26"/>
        <w:jc w:val="center"/>
        <w:textAlignment w:val="bottom"/>
        <w:rPr>
          <w:rFonts w:hint="eastAsia" w:hAnsi="宋体"/>
          <w:b/>
          <w:color w:val="auto"/>
          <w:sz w:val="44"/>
          <w:highlight w:val="none"/>
        </w:rPr>
      </w:pPr>
    </w:p>
    <w:p w14:paraId="789AA92B">
      <w:pPr>
        <w:widowControl/>
        <w:spacing w:line="360" w:lineRule="auto"/>
        <w:ind w:right="-26"/>
        <w:jc w:val="center"/>
        <w:textAlignment w:val="bottom"/>
        <w:rPr>
          <w:rFonts w:hint="eastAsia" w:hAnsi="宋体"/>
          <w:b/>
          <w:color w:val="auto"/>
          <w:sz w:val="44"/>
          <w:highlight w:val="none"/>
        </w:rPr>
      </w:pPr>
    </w:p>
    <w:p w14:paraId="6058D0C1">
      <w:pPr>
        <w:widowControl/>
        <w:spacing w:line="360" w:lineRule="auto"/>
        <w:ind w:right="-26"/>
        <w:textAlignment w:val="bottom"/>
        <w:rPr>
          <w:rFonts w:hint="eastAsia" w:hAnsi="宋体"/>
          <w:b/>
          <w:color w:val="auto"/>
          <w:sz w:val="32"/>
          <w:highlight w:val="none"/>
        </w:rPr>
      </w:pPr>
    </w:p>
    <w:p w14:paraId="4A4D58F3">
      <w:pPr>
        <w:widowControl/>
        <w:spacing w:line="360" w:lineRule="auto"/>
        <w:ind w:right="-26"/>
        <w:jc w:val="center"/>
        <w:textAlignment w:val="bottom"/>
        <w:outlineLvl w:val="0"/>
        <w:rPr>
          <w:rFonts w:hint="eastAsia" w:hAnsi="宋体"/>
          <w:b/>
          <w:color w:val="auto"/>
          <w:sz w:val="32"/>
          <w:highlight w:val="none"/>
        </w:rPr>
      </w:pPr>
      <w:r>
        <w:rPr>
          <w:rFonts w:hint="eastAsia" w:hAnsi="宋体"/>
          <w:b/>
          <w:color w:val="auto"/>
          <w:sz w:val="32"/>
          <w:highlight w:val="none"/>
        </w:rPr>
        <w:t>广东中科招标有限公司</w:t>
      </w:r>
    </w:p>
    <w:p w14:paraId="145A3E24">
      <w:pPr>
        <w:widowControl/>
        <w:spacing w:line="360" w:lineRule="auto"/>
        <w:ind w:right="-26"/>
        <w:jc w:val="center"/>
        <w:textAlignment w:val="bottom"/>
        <w:outlineLvl w:val="0"/>
        <w:rPr>
          <w:rFonts w:hint="eastAsia" w:hAnsi="宋体"/>
          <w:b/>
          <w:color w:val="auto"/>
          <w:sz w:val="32"/>
          <w:highlight w:val="none"/>
        </w:rPr>
      </w:pPr>
      <w:r>
        <w:rPr>
          <w:rFonts w:hint="eastAsia" w:hAnsi="宋体"/>
          <w:b/>
          <w:color w:val="auto"/>
          <w:sz w:val="32"/>
          <w:highlight w:val="none"/>
        </w:rPr>
        <w:t>二〇二六年九月</w:t>
      </w:r>
    </w:p>
    <w:p w14:paraId="650EB914">
      <w:pPr>
        <w:pStyle w:val="63"/>
        <w:ind w:firstLine="0" w:firstLineChars="0"/>
        <w:rPr>
          <w:rFonts w:hint="eastAsia" w:ascii="宋体" w:hAnsi="宋体" w:cs="宋体"/>
          <w:color w:val="auto"/>
          <w:highlight w:val="none"/>
        </w:rPr>
      </w:pPr>
    </w:p>
    <w:p w14:paraId="00DF117B">
      <w:pPr>
        <w:jc w:val="both"/>
        <w:rPr>
          <w:rFonts w:hint="eastAsia" w:hAnsi="宋体"/>
          <w:color w:val="auto"/>
          <w:highlight w:val="none"/>
          <w:lang w:val="zh-CN"/>
        </w:rPr>
        <w:sectPr>
          <w:headerReference r:id="rId4" w:type="first"/>
          <w:headerReference r:id="rId3" w:type="default"/>
          <w:footerReference r:id="rId5" w:type="default"/>
          <w:footerReference r:id="rId6" w:type="even"/>
          <w:type w:val="nextColumn"/>
          <w:pgSz w:w="11907" w:h="16840"/>
          <w:pgMar w:top="1440" w:right="1800" w:bottom="1440" w:left="1800" w:header="851" w:footer="992" w:gutter="0"/>
          <w:pgNumType w:start="0"/>
          <w:cols w:space="720" w:num="1"/>
          <w:docGrid w:type="lines" w:linePitch="312" w:charSpace="0"/>
        </w:sectPr>
      </w:pPr>
      <w:bookmarkStart w:id="1" w:name="_Toc13507"/>
    </w:p>
    <w:bookmarkEnd w:id="1"/>
    <w:p w14:paraId="08AE4DAA">
      <w:pPr>
        <w:spacing w:line="360" w:lineRule="auto"/>
        <w:ind w:left="48" w:leftChars="20"/>
        <w:jc w:val="center"/>
        <w:rPr>
          <w:rFonts w:hint="eastAsia" w:hAnsi="宋体"/>
          <w:b/>
          <w:bCs/>
          <w:color w:val="auto"/>
          <w:highlight w:val="none"/>
        </w:rPr>
      </w:pPr>
      <w:bookmarkStart w:id="2" w:name="_Toc27261"/>
      <w:r>
        <w:rPr>
          <w:rFonts w:hint="eastAsia" w:hAnsi="宋体"/>
          <w:b/>
          <w:bCs/>
          <w:color w:val="auto"/>
          <w:highlight w:val="none"/>
        </w:rPr>
        <w:t>温馨提示</w:t>
      </w:r>
    </w:p>
    <w:p w14:paraId="21E62C28">
      <w:pPr>
        <w:jc w:val="center"/>
        <w:rPr>
          <w:rFonts w:hint="eastAsia" w:hAnsi="宋体"/>
          <w:color w:val="auto"/>
          <w:sz w:val="21"/>
          <w:szCs w:val="21"/>
          <w:highlight w:val="none"/>
        </w:rPr>
      </w:pPr>
      <w:r>
        <w:rPr>
          <w:rFonts w:hint="eastAsia" w:hAnsi="宋体"/>
          <w:color w:val="auto"/>
          <w:sz w:val="21"/>
          <w:szCs w:val="21"/>
          <w:highlight w:val="none"/>
        </w:rPr>
        <w:t>（本提示内容非磋商文件的组成部分，仅为善意提醒。如有不一致，以磋商文件为准）</w:t>
      </w:r>
    </w:p>
    <w:p w14:paraId="1638BEC2">
      <w:pPr>
        <w:spacing w:line="360" w:lineRule="auto"/>
        <w:ind w:left="48" w:leftChars="20"/>
        <w:jc w:val="center"/>
        <w:rPr>
          <w:rFonts w:hint="eastAsia" w:hAnsi="宋体"/>
          <w:color w:val="auto"/>
          <w:sz w:val="21"/>
          <w:szCs w:val="21"/>
          <w:highlight w:val="none"/>
        </w:rPr>
      </w:pPr>
    </w:p>
    <w:p w14:paraId="19FAC77F">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磋商截止时间一到，采购代理机构不接收供应商的任何相关磋商资料、文件。为此，请适当提前到达。</w:t>
      </w:r>
    </w:p>
    <w:p w14:paraId="44C41902">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磋商保证金必须于磋商截止时间前到达磋商文件中所注明账户。由于转账当天不一定能够到账，为避免因磋商保证金未到账而导致磋商被拒，建议至少提前2个工作日转账。</w:t>
      </w:r>
    </w:p>
    <w:p w14:paraId="320036F5">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请正确填写《报价一览表》。多子包项目请仔细检查子包号，子包号与子包名称必须对应。</w:t>
      </w:r>
    </w:p>
    <w:p w14:paraId="4D493343">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请仔细检查磋商响应文件是否已按磋商文件要求盖章、签名、签署日期。</w:t>
      </w:r>
    </w:p>
    <w:p w14:paraId="0C407E84">
      <w:pPr>
        <w:numPr>
          <w:ilvl w:val="0"/>
          <w:numId w:val="9"/>
        </w:numPr>
        <w:spacing w:line="360" w:lineRule="auto"/>
        <w:ind w:left="180" w:firstLine="42" w:firstLineChars="20"/>
        <w:jc w:val="both"/>
        <w:outlineLvl w:val="0"/>
        <w:rPr>
          <w:rFonts w:hint="eastAsia" w:hAnsi="宋体"/>
          <w:color w:val="auto"/>
          <w:sz w:val="21"/>
          <w:szCs w:val="21"/>
          <w:highlight w:val="none"/>
        </w:rPr>
      </w:pPr>
      <w:bookmarkStart w:id="3" w:name="_Toc17927"/>
      <w:r>
        <w:rPr>
          <w:rFonts w:hint="eastAsia" w:hAnsi="宋体"/>
          <w:color w:val="auto"/>
          <w:sz w:val="21"/>
          <w:szCs w:val="21"/>
          <w:highlight w:val="none"/>
        </w:rPr>
        <w:t>磋商响应文件应按顺序编制页码。</w:t>
      </w:r>
      <w:bookmarkEnd w:id="3"/>
    </w:p>
    <w:p w14:paraId="21423405">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如所投产品属于许可证管理范围内的，须提交相应的许可证复印件。</w:t>
      </w:r>
    </w:p>
    <w:p w14:paraId="03D261C9">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为了提高采购效率，节约社会交易成本与时间，望购买了磋商文件而决定不参加本次磋商的供应商，在磋商响应文件递交截止时间的3日前，按《磋商邀请函》中的联系方式，以书面形式告知采购代理机构。对您的支持与配合，谨此致谢。</w:t>
      </w:r>
    </w:p>
    <w:p w14:paraId="38FE17D0">
      <w:pPr>
        <w:numPr>
          <w:ilvl w:val="0"/>
          <w:numId w:val="9"/>
        </w:numPr>
        <w:spacing w:line="360" w:lineRule="auto"/>
        <w:ind w:left="180" w:firstLine="42" w:firstLineChars="20"/>
        <w:jc w:val="both"/>
        <w:rPr>
          <w:rFonts w:hint="eastAsia" w:hAnsi="宋体"/>
          <w:color w:val="auto"/>
          <w:sz w:val="21"/>
          <w:szCs w:val="21"/>
          <w:highlight w:val="none"/>
        </w:rPr>
      </w:pPr>
      <w:r>
        <w:rPr>
          <w:rFonts w:hint="eastAsia" w:hAnsi="宋体"/>
          <w:color w:val="auto"/>
          <w:sz w:val="21"/>
          <w:szCs w:val="21"/>
          <w:highlight w:val="none"/>
        </w:rPr>
        <w:t>如需供应商支付的各种费用，如磋商文件售价、工程图纸押金、保证金和采购代理服务费等，磋商文件将书面详细告知，请供应商按磋商文件规定的方式和金额支付。</w:t>
      </w:r>
    </w:p>
    <w:p w14:paraId="06E45E75">
      <w:pPr>
        <w:jc w:val="both"/>
        <w:rPr>
          <w:rFonts w:hint="eastAsia" w:hAnsi="宋体"/>
          <w:b/>
          <w:bCs/>
          <w:color w:val="auto"/>
          <w:sz w:val="32"/>
          <w:szCs w:val="32"/>
          <w:highlight w:val="none"/>
          <w:lang w:val="zh-CN"/>
        </w:rPr>
      </w:pPr>
    </w:p>
    <w:p w14:paraId="02086475">
      <w:pPr>
        <w:jc w:val="both"/>
        <w:rPr>
          <w:rFonts w:hint="eastAsia" w:hAnsi="宋体"/>
          <w:b/>
          <w:bCs/>
          <w:color w:val="auto"/>
          <w:sz w:val="32"/>
          <w:szCs w:val="32"/>
          <w:highlight w:val="none"/>
          <w:lang w:val="zh-CN"/>
        </w:rPr>
      </w:pPr>
    </w:p>
    <w:p w14:paraId="17028797">
      <w:pPr>
        <w:jc w:val="both"/>
        <w:rPr>
          <w:rFonts w:hint="eastAsia" w:hAnsi="宋体"/>
          <w:b/>
          <w:bCs/>
          <w:color w:val="auto"/>
          <w:sz w:val="32"/>
          <w:szCs w:val="32"/>
          <w:highlight w:val="none"/>
          <w:lang w:val="zh-CN"/>
        </w:rPr>
      </w:pPr>
    </w:p>
    <w:p w14:paraId="57187057">
      <w:pPr>
        <w:rPr>
          <w:rFonts w:hint="eastAsia" w:hAnsi="宋体"/>
          <w:color w:val="auto"/>
          <w:highlight w:val="none"/>
        </w:rPr>
      </w:pPr>
      <w:r>
        <w:rPr>
          <w:rFonts w:hint="eastAsia" w:hAnsi="宋体"/>
          <w:color w:val="auto"/>
          <w:highlight w:val="none"/>
        </w:rPr>
        <w:br w:type="page"/>
      </w:r>
    </w:p>
    <w:p w14:paraId="5F9AAB32">
      <w:pPr>
        <w:jc w:val="center"/>
        <w:rPr>
          <w:rFonts w:hint="eastAsia" w:hAnsi="宋体"/>
          <w:b/>
          <w:bCs/>
          <w:color w:val="auto"/>
          <w:sz w:val="32"/>
          <w:szCs w:val="32"/>
          <w:highlight w:val="none"/>
          <w:lang w:val="zh-CN"/>
        </w:rPr>
      </w:pPr>
      <w:r>
        <w:rPr>
          <w:rFonts w:hint="eastAsia" w:hAnsi="宋体"/>
          <w:b/>
          <w:bCs/>
          <w:color w:val="auto"/>
          <w:sz w:val="32"/>
          <w:szCs w:val="32"/>
          <w:highlight w:val="none"/>
          <w:lang w:val="zh-CN"/>
        </w:rPr>
        <w:t>目录</w:t>
      </w:r>
      <w:bookmarkStart w:id="4" w:name="_Toc396137229"/>
    </w:p>
    <w:sdt>
      <w:sdtPr>
        <w:rPr>
          <w:rFonts w:hint="eastAsia" w:hAnsi="宋体"/>
          <w:b/>
          <w:bCs/>
          <w:color w:val="auto"/>
          <w:sz w:val="36"/>
          <w:szCs w:val="44"/>
          <w:highlight w:val="none"/>
        </w:rPr>
        <w:id w:val="147463129"/>
        <w15:color w:val="DBDBDB"/>
        <w:docPartObj>
          <w:docPartGallery w:val="Table of Contents"/>
          <w:docPartUnique/>
        </w:docPartObj>
      </w:sdtPr>
      <w:sdtEndPr>
        <w:rPr>
          <w:rFonts w:hint="eastAsia" w:hAnsi="宋体"/>
          <w:b/>
          <w:bCs/>
          <w:color w:val="auto"/>
          <w:sz w:val="36"/>
          <w:szCs w:val="44"/>
          <w:highlight w:val="none"/>
        </w:rPr>
      </w:sdtEndPr>
      <w:sdtContent>
        <w:p w14:paraId="4BA68517">
          <w:pPr>
            <w:spacing w:line="360" w:lineRule="auto"/>
            <w:jc w:val="both"/>
            <w:rPr>
              <w:rFonts w:hint="eastAsia" w:hAnsi="宋体"/>
              <w:b/>
              <w:bCs/>
              <w:color w:val="auto"/>
              <w:sz w:val="44"/>
              <w:szCs w:val="44"/>
              <w:highlight w:val="none"/>
            </w:rPr>
          </w:pPr>
        </w:p>
        <w:p w14:paraId="4E4C9AB9">
          <w:pPr>
            <w:pStyle w:val="189"/>
            <w:tabs>
              <w:tab w:val="right" w:leader="dot" w:pos="8306"/>
            </w:tabs>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TOC \o "1-1" \h \u </w:instrText>
          </w:r>
          <w:r>
            <w:rPr>
              <w:rFonts w:hint="eastAsia" w:ascii="宋体" w:hAnsi="宋体" w:cs="宋体"/>
              <w:b/>
              <w:bCs/>
              <w:color w:val="auto"/>
              <w:sz w:val="32"/>
              <w:szCs w:val="32"/>
              <w:highlight w:val="none"/>
            </w:rPr>
            <w:fldChar w:fldCharType="separate"/>
          </w:r>
          <w:r>
            <w:rPr>
              <w:color w:val="auto"/>
              <w:highlight w:val="none"/>
            </w:rPr>
            <w:fldChar w:fldCharType="begin"/>
          </w:r>
          <w:r>
            <w:rPr>
              <w:color w:val="auto"/>
              <w:highlight w:val="none"/>
            </w:rPr>
            <w:instrText xml:space="preserve"> HYPERLINK \l "_Toc3573" </w:instrText>
          </w:r>
          <w:r>
            <w:rPr>
              <w:color w:val="auto"/>
              <w:highlight w:val="none"/>
            </w:rPr>
            <w:fldChar w:fldCharType="separate"/>
          </w:r>
          <w:r>
            <w:rPr>
              <w:rFonts w:hint="eastAsia" w:ascii="宋体" w:hAnsi="宋体" w:cs="宋体"/>
              <w:b/>
              <w:bCs/>
              <w:color w:val="auto"/>
              <w:kern w:val="44"/>
              <w:sz w:val="32"/>
              <w:szCs w:val="48"/>
              <w:highlight w:val="none"/>
              <w:lang w:val="zh-CN"/>
            </w:rPr>
            <w:t xml:space="preserve">第一篇 </w:t>
          </w:r>
          <w:r>
            <w:rPr>
              <w:rFonts w:hint="eastAsia" w:ascii="宋体" w:hAnsi="宋体" w:cs="宋体"/>
              <w:b/>
              <w:bCs/>
              <w:color w:val="auto"/>
              <w:kern w:val="44"/>
              <w:sz w:val="32"/>
              <w:szCs w:val="48"/>
              <w:highlight w:val="none"/>
            </w:rPr>
            <w:t>磋商邀请书</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_Toc3573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3</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6BD87D1A">
          <w:pPr>
            <w:pStyle w:val="189"/>
            <w:tabs>
              <w:tab w:val="right" w:leader="dot" w:pos="8306"/>
            </w:tabs>
            <w:spacing w:line="360" w:lineRule="auto"/>
            <w:jc w:val="center"/>
            <w:rPr>
              <w:rFonts w:hint="eastAsia"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"_Toc17779" </w:instrText>
          </w:r>
          <w:r>
            <w:rPr>
              <w:color w:val="auto"/>
              <w:highlight w:val="none"/>
            </w:rPr>
            <w:fldChar w:fldCharType="separate"/>
          </w:r>
          <w:r>
            <w:rPr>
              <w:rFonts w:hint="eastAsia" w:ascii="宋体" w:hAnsi="宋体" w:cs="宋体"/>
              <w:b/>
              <w:bCs/>
              <w:color w:val="auto"/>
              <w:kern w:val="44"/>
              <w:sz w:val="32"/>
              <w:szCs w:val="48"/>
              <w:highlight w:val="none"/>
              <w:lang w:val="zh-CN"/>
            </w:rPr>
            <w:t>第二篇 供应商须知</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_Toc17779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6</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6B443CBD">
          <w:pPr>
            <w:pStyle w:val="189"/>
            <w:tabs>
              <w:tab w:val="right" w:leader="dot" w:pos="8306"/>
            </w:tabs>
            <w:spacing w:line="360" w:lineRule="auto"/>
            <w:jc w:val="center"/>
            <w:rPr>
              <w:rFonts w:hint="eastAsia"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"_Toc22134" </w:instrText>
          </w:r>
          <w:r>
            <w:rPr>
              <w:color w:val="auto"/>
              <w:highlight w:val="none"/>
            </w:rPr>
            <w:fldChar w:fldCharType="separate"/>
          </w:r>
          <w:r>
            <w:rPr>
              <w:rFonts w:hint="eastAsia" w:ascii="宋体" w:hAnsi="宋体" w:cs="宋体"/>
              <w:b/>
              <w:bCs/>
              <w:color w:val="auto"/>
              <w:kern w:val="44"/>
              <w:sz w:val="32"/>
              <w:szCs w:val="48"/>
              <w:highlight w:val="none"/>
              <w:lang w:val="zh-CN"/>
            </w:rPr>
            <w:t>第三篇 用户需求书</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_Toc22134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19</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33DB06E3">
          <w:pPr>
            <w:pStyle w:val="189"/>
            <w:tabs>
              <w:tab w:val="right" w:leader="dot" w:pos="8306"/>
            </w:tabs>
            <w:spacing w:line="360" w:lineRule="auto"/>
            <w:jc w:val="center"/>
            <w:rPr>
              <w:rFonts w:hint="eastAsia"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"_Toc28792" </w:instrText>
          </w:r>
          <w:r>
            <w:rPr>
              <w:color w:val="auto"/>
              <w:highlight w:val="none"/>
            </w:rPr>
            <w:fldChar w:fldCharType="separate"/>
          </w:r>
          <w:r>
            <w:rPr>
              <w:rFonts w:hint="eastAsia" w:ascii="宋体" w:hAnsi="宋体" w:cs="宋体"/>
              <w:b/>
              <w:bCs/>
              <w:color w:val="auto"/>
              <w:kern w:val="44"/>
              <w:sz w:val="32"/>
              <w:szCs w:val="48"/>
              <w:highlight w:val="none"/>
              <w:lang w:val="zh-CN"/>
            </w:rPr>
            <w:t>第四篇 评审工作大纲</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_Toc28792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25</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74A3FF6A">
          <w:pPr>
            <w:pStyle w:val="189"/>
            <w:tabs>
              <w:tab w:val="right" w:leader="dot" w:pos="8306"/>
            </w:tabs>
            <w:spacing w:line="360" w:lineRule="auto"/>
            <w:jc w:val="center"/>
            <w:rPr>
              <w:rFonts w:hint="eastAsia"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"_Toc3360" </w:instrText>
          </w:r>
          <w:r>
            <w:rPr>
              <w:color w:val="auto"/>
              <w:highlight w:val="none"/>
            </w:rPr>
            <w:fldChar w:fldCharType="separate"/>
          </w:r>
          <w:r>
            <w:rPr>
              <w:rFonts w:hint="eastAsia" w:ascii="宋体" w:hAnsi="宋体" w:cs="宋体"/>
              <w:b/>
              <w:bCs/>
              <w:color w:val="auto"/>
              <w:sz w:val="32"/>
              <w:szCs w:val="32"/>
              <w:highlight w:val="none"/>
            </w:rPr>
            <w:t xml:space="preserve">第五篇 </w:t>
          </w:r>
          <w:r>
            <w:rPr>
              <w:rFonts w:hint="eastAsia" w:ascii="宋体" w:hAnsi="宋体" w:cs="宋体"/>
              <w:b/>
              <w:bCs/>
              <w:color w:val="auto"/>
              <w:kern w:val="44"/>
              <w:sz w:val="32"/>
              <w:szCs w:val="48"/>
              <w:highlight w:val="none"/>
              <w:lang w:val="zh-CN"/>
            </w:rPr>
            <w:t>合同条款格式</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_Toc3360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30</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528A7440">
          <w:pPr>
            <w:pStyle w:val="189"/>
            <w:tabs>
              <w:tab w:val="right" w:leader="dot" w:pos="8306"/>
            </w:tabs>
            <w:spacing w:line="360" w:lineRule="auto"/>
            <w:jc w:val="center"/>
            <w:rPr>
              <w:rFonts w:hint="eastAsia"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"_Toc9129" </w:instrText>
          </w:r>
          <w:r>
            <w:rPr>
              <w:color w:val="auto"/>
              <w:highlight w:val="none"/>
            </w:rPr>
            <w:fldChar w:fldCharType="separate"/>
          </w:r>
          <w:r>
            <w:rPr>
              <w:rFonts w:hint="eastAsia" w:ascii="宋体" w:hAnsi="宋体" w:cs="宋体"/>
              <w:b/>
              <w:bCs/>
              <w:color w:val="auto"/>
              <w:kern w:val="44"/>
              <w:sz w:val="32"/>
              <w:szCs w:val="48"/>
              <w:highlight w:val="none"/>
              <w:lang w:val="zh-CN"/>
            </w:rPr>
            <w:t>第六篇</w:t>
          </w:r>
          <w:r>
            <w:rPr>
              <w:rFonts w:hint="eastAsia" w:ascii="宋体" w:hAnsi="宋体" w:cs="宋体"/>
              <w:b/>
              <w:bCs/>
              <w:color w:val="auto"/>
              <w:kern w:val="44"/>
              <w:sz w:val="32"/>
              <w:szCs w:val="48"/>
              <w:highlight w:val="none"/>
            </w:rPr>
            <w:t xml:space="preserve"> </w:t>
          </w:r>
          <w:r>
            <w:rPr>
              <w:rFonts w:hint="eastAsia" w:ascii="宋体" w:hAnsi="宋体" w:cs="宋体"/>
              <w:b/>
              <w:bCs/>
              <w:color w:val="auto"/>
              <w:kern w:val="44"/>
              <w:sz w:val="32"/>
              <w:szCs w:val="48"/>
              <w:highlight w:val="none"/>
              <w:lang w:val="zh-CN"/>
            </w:rPr>
            <w:t>磋商响应文件格式</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t>4</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t>0</w:t>
          </w:r>
        </w:p>
        <w:p w14:paraId="249AA713">
          <w:pPr>
            <w:spacing w:line="360" w:lineRule="auto"/>
            <w:jc w:val="center"/>
            <w:rPr>
              <w:rFonts w:hint="eastAsia" w:hAnsi="宋体"/>
              <w:color w:val="auto"/>
              <w:highlight w:val="none"/>
            </w:rPr>
          </w:pPr>
          <w:r>
            <w:rPr>
              <w:rFonts w:hint="eastAsia" w:hAnsi="宋体"/>
              <w:b/>
              <w:bCs/>
              <w:color w:val="auto"/>
              <w:sz w:val="32"/>
              <w:szCs w:val="32"/>
              <w:highlight w:val="none"/>
            </w:rPr>
            <w:fldChar w:fldCharType="end"/>
          </w:r>
        </w:p>
      </w:sdtContent>
    </w:sdt>
    <w:p w14:paraId="5C0845FD">
      <w:pPr>
        <w:jc w:val="center"/>
        <w:rPr>
          <w:rFonts w:hint="eastAsia" w:hAnsi="宋体"/>
          <w:color w:val="auto"/>
          <w:highlight w:val="none"/>
        </w:rPr>
      </w:pPr>
      <w:r>
        <w:rPr>
          <w:rFonts w:hint="eastAsia" w:hAnsi="宋体"/>
          <w:b/>
          <w:bCs/>
          <w:caps/>
          <w:color w:val="auto"/>
          <w:sz w:val="21"/>
          <w:szCs w:val="21"/>
          <w:highlight w:val="none"/>
        </w:rPr>
        <w:fldChar w:fldCharType="begin"/>
      </w:r>
      <w:r>
        <w:rPr>
          <w:rStyle w:val="61"/>
          <w:rFonts w:hint="eastAsia" w:hAnsi="宋体"/>
          <w:b/>
          <w:bCs/>
          <w:caps/>
          <w:color w:val="auto"/>
          <w:sz w:val="21"/>
          <w:szCs w:val="21"/>
          <w:highlight w:val="none"/>
        </w:rPr>
        <w:instrText xml:space="preserve"> TOC \o "1-3" \h \z \u </w:instrText>
      </w:r>
      <w:r>
        <w:rPr>
          <w:rFonts w:hint="eastAsia" w:hAnsi="宋体"/>
          <w:b/>
          <w:bCs/>
          <w:caps/>
          <w:color w:val="auto"/>
          <w:sz w:val="21"/>
          <w:szCs w:val="21"/>
          <w:highlight w:val="none"/>
        </w:rPr>
        <w:fldChar w:fldCharType="separate"/>
      </w:r>
    </w:p>
    <w:p w14:paraId="4471DCB1">
      <w:pPr>
        <w:pStyle w:val="5"/>
        <w:keepNext/>
        <w:keepLines/>
        <w:pageBreakBefore/>
        <w:numPr>
          <w:ilvl w:val="0"/>
          <w:numId w:val="10"/>
        </w:numPr>
        <w:tabs>
          <w:tab w:val="left" w:pos="1080"/>
        </w:tabs>
        <w:spacing w:line="336" w:lineRule="auto"/>
        <w:ind w:left="1078" w:hanging="1077" w:hangingChars="449"/>
        <w:jc w:val="center"/>
        <w:rPr>
          <w:rFonts w:hint="eastAsia" w:hAnsi="宋体"/>
          <w:b/>
          <w:bCs/>
          <w:color w:val="auto"/>
          <w:kern w:val="44"/>
          <w:sz w:val="28"/>
          <w:szCs w:val="28"/>
          <w:highlight w:val="none"/>
          <w:lang w:val="zh-CN"/>
        </w:rPr>
      </w:pPr>
      <w:bookmarkStart w:id="5" w:name="_Toc3573"/>
      <w:r>
        <w:rPr>
          <w:rFonts w:hint="eastAsia" w:hAnsi="宋体"/>
          <w:color w:val="auto"/>
          <w:highlight w:val="none"/>
        </w:rPr>
        <w:fldChar w:fldCharType="end"/>
      </w:r>
      <w:bookmarkEnd w:id="4"/>
      <w:r>
        <w:rPr>
          <w:rFonts w:hint="eastAsia" w:hAnsi="宋体"/>
          <w:b/>
          <w:bCs/>
          <w:color w:val="auto"/>
          <w:kern w:val="44"/>
          <w:sz w:val="28"/>
          <w:szCs w:val="28"/>
          <w:highlight w:val="none"/>
        </w:rPr>
        <w:t>磋商邀请书</w:t>
      </w:r>
      <w:bookmarkEnd w:id="2"/>
      <w:bookmarkEnd w:id="5"/>
    </w:p>
    <w:p w14:paraId="5F2C4DB6">
      <w:pPr>
        <w:widowControl/>
        <w:tabs>
          <w:tab w:val="left" w:pos="-360"/>
        </w:tabs>
        <w:adjustRightInd/>
        <w:spacing w:line="360" w:lineRule="auto"/>
        <w:ind w:right="-34" w:firstLine="420" w:firstLineChars="200"/>
        <w:jc w:val="both"/>
        <w:textAlignment w:val="bottom"/>
        <w:rPr>
          <w:rFonts w:hint="eastAsia" w:hAnsi="宋体"/>
          <w:color w:val="auto"/>
          <w:sz w:val="21"/>
          <w:szCs w:val="21"/>
          <w:highlight w:val="none"/>
        </w:rPr>
      </w:pPr>
      <w:r>
        <w:rPr>
          <w:rFonts w:hint="eastAsia" w:hAnsi="宋体"/>
          <w:color w:val="auto"/>
          <w:sz w:val="21"/>
          <w:szCs w:val="21"/>
          <w:highlight w:val="none"/>
        </w:rPr>
        <w:t>广东中科招标有限公司（以下简称“采购代理机构”）受东莞市安居建设投资有限公司（以下简称“采购人”）的委托，为2026年东莞市安居建设投资有限公司AI营销服务项目(项目编号：AJJS-AI-05-01-17(2026))采购所需的服务。本项目采用竞争性磋商采购方式，欢迎合格供应商就本项目提交密封磋商。</w:t>
      </w:r>
    </w:p>
    <w:p w14:paraId="41AE3009">
      <w:pPr>
        <w:spacing w:line="360" w:lineRule="auto"/>
        <w:rPr>
          <w:rFonts w:hint="eastAsia" w:hAnsi="宋体"/>
          <w:b/>
          <w:color w:val="auto"/>
          <w:sz w:val="21"/>
          <w:szCs w:val="21"/>
          <w:highlight w:val="none"/>
        </w:rPr>
      </w:pPr>
      <w:bookmarkStart w:id="6" w:name="_Toc4600"/>
      <w:r>
        <w:rPr>
          <w:rFonts w:hint="eastAsia" w:hAnsi="宋体"/>
          <w:b/>
          <w:color w:val="auto"/>
          <w:sz w:val="21"/>
          <w:szCs w:val="21"/>
          <w:highlight w:val="none"/>
        </w:rPr>
        <w:t>一、采购项目概况</w:t>
      </w:r>
    </w:p>
    <w:p w14:paraId="527598D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1、采购项目名称：</w:t>
      </w:r>
      <w:r>
        <w:rPr>
          <w:rFonts w:hint="eastAsia" w:hAnsi="宋体"/>
          <w:b/>
          <w:color w:val="auto"/>
          <w:sz w:val="21"/>
          <w:szCs w:val="21"/>
          <w:highlight w:val="none"/>
          <w:u w:val="single"/>
        </w:rPr>
        <w:t>2026年东莞市安居建设投资有限公司AI营销服务项目</w:t>
      </w:r>
    </w:p>
    <w:p w14:paraId="04756C9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2、预算金额（含税）（元）：300,000.00元</w:t>
      </w:r>
    </w:p>
    <w:p w14:paraId="27D29ED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3、项目内容</w:t>
      </w:r>
    </w:p>
    <w:tbl>
      <w:tblPr>
        <w:tblStyle w:val="54"/>
        <w:tblW w:w="46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4"/>
        <w:gridCol w:w="2630"/>
      </w:tblGrid>
      <w:tr w14:paraId="525A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357" w:type="pct"/>
            <w:vAlign w:val="center"/>
          </w:tcPr>
          <w:p w14:paraId="56245F5E">
            <w:pPr>
              <w:spacing w:line="360" w:lineRule="auto"/>
              <w:jc w:val="center"/>
              <w:rPr>
                <w:rFonts w:hint="eastAsia" w:hAnsi="宋体"/>
                <w:color w:val="auto"/>
                <w:kern w:val="28"/>
                <w:sz w:val="21"/>
                <w:szCs w:val="21"/>
                <w:highlight w:val="none"/>
              </w:rPr>
            </w:pPr>
            <w:r>
              <w:rPr>
                <w:rFonts w:hint="eastAsia" w:hAnsi="宋体"/>
                <w:color w:val="auto"/>
                <w:kern w:val="28"/>
                <w:sz w:val="21"/>
                <w:szCs w:val="21"/>
                <w:highlight w:val="none"/>
              </w:rPr>
              <w:t>项目内容</w:t>
            </w:r>
          </w:p>
        </w:tc>
        <w:tc>
          <w:tcPr>
            <w:tcW w:w="1643" w:type="pct"/>
            <w:vAlign w:val="center"/>
          </w:tcPr>
          <w:p w14:paraId="4C6B7B01">
            <w:pPr>
              <w:spacing w:line="360" w:lineRule="auto"/>
              <w:jc w:val="center"/>
              <w:rPr>
                <w:rFonts w:hint="eastAsia" w:hAnsi="宋体"/>
                <w:color w:val="auto"/>
                <w:kern w:val="28"/>
                <w:sz w:val="21"/>
                <w:szCs w:val="21"/>
                <w:highlight w:val="none"/>
              </w:rPr>
            </w:pPr>
            <w:r>
              <w:rPr>
                <w:rFonts w:hint="eastAsia" w:hAnsi="宋体"/>
                <w:color w:val="auto"/>
                <w:kern w:val="28"/>
                <w:sz w:val="21"/>
                <w:szCs w:val="21"/>
                <w:highlight w:val="none"/>
              </w:rPr>
              <w:t>采购服务单位数量</w:t>
            </w:r>
          </w:p>
        </w:tc>
      </w:tr>
      <w:tr w14:paraId="1AAA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357" w:type="pct"/>
            <w:vAlign w:val="center"/>
          </w:tcPr>
          <w:p w14:paraId="7D47E0D1">
            <w:pPr>
              <w:spacing w:line="360" w:lineRule="auto"/>
              <w:jc w:val="center"/>
              <w:rPr>
                <w:rFonts w:hint="eastAsia" w:hAnsi="宋体"/>
                <w:color w:val="auto"/>
                <w:sz w:val="21"/>
                <w:szCs w:val="21"/>
                <w:highlight w:val="none"/>
              </w:rPr>
            </w:pPr>
            <w:r>
              <w:rPr>
                <w:rFonts w:hint="eastAsia" w:hAnsi="宋体"/>
                <w:bCs/>
                <w:color w:val="auto"/>
                <w:sz w:val="21"/>
                <w:szCs w:val="21"/>
                <w:highlight w:val="none"/>
              </w:rPr>
              <w:t>2026年东莞市安居建设投资有限公司AI营销服务项目</w:t>
            </w:r>
          </w:p>
        </w:tc>
        <w:tc>
          <w:tcPr>
            <w:tcW w:w="1643" w:type="pct"/>
            <w:vAlign w:val="center"/>
          </w:tcPr>
          <w:p w14:paraId="4988A83D">
            <w:pPr>
              <w:spacing w:line="360" w:lineRule="auto"/>
              <w:jc w:val="center"/>
              <w:rPr>
                <w:rFonts w:hint="eastAsia" w:hAnsi="宋体"/>
                <w:color w:val="auto"/>
                <w:sz w:val="21"/>
                <w:szCs w:val="21"/>
                <w:highlight w:val="none"/>
              </w:rPr>
            </w:pPr>
            <w:r>
              <w:rPr>
                <w:rFonts w:hint="eastAsia" w:hAnsi="宋体"/>
                <w:color w:val="auto"/>
                <w:sz w:val="21"/>
                <w:szCs w:val="21"/>
                <w:highlight w:val="none"/>
              </w:rPr>
              <w:t>1</w:t>
            </w:r>
          </w:p>
        </w:tc>
      </w:tr>
    </w:tbl>
    <w:p w14:paraId="2CFE0C1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4、项目需求:</w:t>
      </w:r>
    </w:p>
    <w:p w14:paraId="29228D5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详细内容请参阅磋商文件第三部分《用户需求书》。</w:t>
      </w:r>
    </w:p>
    <w:p w14:paraId="2D964623">
      <w:pPr>
        <w:widowControl/>
        <w:adjustRightInd/>
        <w:spacing w:line="360" w:lineRule="auto"/>
        <w:outlineLvl w:val="0"/>
        <w:rPr>
          <w:rFonts w:hint="eastAsia" w:hAnsi="宋体"/>
          <w:b/>
          <w:bCs/>
          <w:color w:val="auto"/>
          <w:kern w:val="28"/>
          <w:sz w:val="21"/>
          <w:szCs w:val="21"/>
          <w:highlight w:val="none"/>
        </w:rPr>
      </w:pPr>
      <w:r>
        <w:rPr>
          <w:rFonts w:hint="eastAsia" w:hAnsi="宋体"/>
          <w:b/>
          <w:bCs/>
          <w:color w:val="auto"/>
          <w:kern w:val="28"/>
          <w:sz w:val="21"/>
          <w:szCs w:val="21"/>
          <w:highlight w:val="none"/>
          <w:lang w:val="zh-CN"/>
        </w:rPr>
        <w:t>二、供应商须满足以下资格条件</w:t>
      </w:r>
      <w:r>
        <w:rPr>
          <w:rFonts w:hint="eastAsia" w:hAnsi="宋体"/>
          <w:b/>
          <w:bCs/>
          <w:color w:val="auto"/>
          <w:kern w:val="28"/>
          <w:sz w:val="21"/>
          <w:szCs w:val="21"/>
          <w:highlight w:val="none"/>
        </w:rPr>
        <w:t>：</w:t>
      </w:r>
      <w:bookmarkEnd w:id="6"/>
    </w:p>
    <w:p w14:paraId="790D7145">
      <w:pPr>
        <w:spacing w:line="360" w:lineRule="auto"/>
        <w:ind w:firstLine="411" w:firstLineChars="196"/>
        <w:rPr>
          <w:rFonts w:hint="eastAsia" w:hAnsi="宋体"/>
          <w:color w:val="auto"/>
          <w:sz w:val="21"/>
          <w:szCs w:val="21"/>
          <w:highlight w:val="none"/>
        </w:rPr>
      </w:pPr>
      <w:bookmarkStart w:id="7" w:name="_Toc8581"/>
      <w:bookmarkStart w:id="8" w:name="_Toc396137230"/>
      <w:r>
        <w:rPr>
          <w:rFonts w:hint="eastAsia" w:hAnsi="宋体"/>
          <w:color w:val="auto"/>
          <w:sz w:val="21"/>
          <w:szCs w:val="21"/>
          <w:highlight w:val="none"/>
        </w:rPr>
        <w:t>1、一般要求：</w:t>
      </w:r>
    </w:p>
    <w:p w14:paraId="13BF6BF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供应商须为在中华人民共和国境内登记注册的具有独立承担民事责任能力的法人或其他组织【提供《营业执照》复印件（加盖公章）或《事业单位法人证书》复印件（加盖公章）或其他主体证书复印件（加盖公章）】。</w:t>
      </w:r>
    </w:p>
    <w:p w14:paraId="319E8F9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AF6928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（3）供应商的单位负责人为同一人或者存在直接控股、管理关系的不同供应商，不得参加同一合同项下的采购活动。</w:t>
      </w:r>
    </w:p>
    <w:p w14:paraId="5060319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)“记录失信被执行人或重大税收违法失信主体或政府采购严重违法失信行为”记录名单。以代理机构于投标截止日当天在“信用中国”网站查询结果为准，如相关失信记录已失效，供应商需提供相关证明资料。</w:t>
      </w:r>
    </w:p>
    <w:p w14:paraId="155C357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（5）未被列入东实集团及下属企业相关领域黑名单。【以</w:t>
      </w:r>
      <w:r>
        <w:rPr>
          <w:rFonts w:hint="eastAsia" w:hAnsi="宋体"/>
          <w:color w:val="auto"/>
          <w:kern w:val="2"/>
          <w:sz w:val="21"/>
          <w:szCs w:val="21"/>
          <w:highlight w:val="none"/>
          <w:lang w:val="zh-CN"/>
        </w:rPr>
        <w:t>东莞实业投资控股集团有限公司</w:t>
      </w:r>
      <w:r>
        <w:rPr>
          <w:rFonts w:hint="eastAsia" w:hAnsi="宋体"/>
          <w:color w:val="auto"/>
          <w:sz w:val="21"/>
          <w:szCs w:val="21"/>
          <w:highlight w:val="none"/>
        </w:rPr>
        <w:t>发文（东实通〔2021〕44号）、（东实通〔2021〕98号）、（东实通〔2022〕75号）、（东实通〔2023〕37号）、（东实通〔2024〕163号）、（东实通〔2024〕195号）、（东实通[2025〕157）为准，如有最新发文通知，按最新文件执行。】</w:t>
      </w:r>
    </w:p>
    <w:p w14:paraId="0D7B0EF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2、其他要求</w:t>
      </w:r>
    </w:p>
    <w:p w14:paraId="44FAB8B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（1）本项目不接受分公司磋商。</w:t>
      </w:r>
    </w:p>
    <w:p w14:paraId="618CC574">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w:t>
      </w:r>
      <w:r>
        <w:rPr>
          <w:rFonts w:hint="eastAsia" w:hAnsi="宋体"/>
          <w:color w:val="auto"/>
          <w:sz w:val="21"/>
          <w:szCs w:val="21"/>
          <w:highlight w:val="none"/>
        </w:rPr>
        <w:t>2</w:t>
      </w:r>
      <w:r>
        <w:rPr>
          <w:rFonts w:hAnsi="宋体"/>
          <w:color w:val="auto"/>
          <w:sz w:val="21"/>
          <w:szCs w:val="21"/>
          <w:highlight w:val="none"/>
        </w:rPr>
        <w:t>）本项目不接受联合体磋商</w:t>
      </w:r>
      <w:r>
        <w:rPr>
          <w:rFonts w:hint="eastAsia" w:hAnsi="宋体"/>
          <w:color w:val="auto"/>
          <w:sz w:val="21"/>
          <w:szCs w:val="21"/>
          <w:highlight w:val="none"/>
        </w:rPr>
        <w:t>。</w:t>
      </w:r>
    </w:p>
    <w:p w14:paraId="707FDAD7">
      <w:pPr>
        <w:spacing w:line="360" w:lineRule="auto"/>
        <w:outlineLvl w:val="0"/>
        <w:rPr>
          <w:rFonts w:hint="eastAsia" w:hAnsi="宋体"/>
          <w:b/>
          <w:bCs/>
          <w:color w:val="auto"/>
          <w:sz w:val="21"/>
          <w:szCs w:val="21"/>
          <w:highlight w:val="none"/>
        </w:rPr>
      </w:pPr>
      <w:r>
        <w:rPr>
          <w:rFonts w:hint="eastAsia" w:hAnsi="宋体"/>
          <w:b/>
          <w:bCs/>
          <w:color w:val="auto"/>
          <w:sz w:val="21"/>
          <w:szCs w:val="21"/>
          <w:highlight w:val="none"/>
        </w:rPr>
        <w:t>三、获取磋商文件：</w:t>
      </w:r>
      <w:bookmarkEnd w:id="7"/>
    </w:p>
    <w:p w14:paraId="73FB52ED">
      <w:pPr>
        <w:widowControl/>
        <w:adjustRightInd/>
        <w:spacing w:line="360" w:lineRule="auto"/>
        <w:ind w:firstLine="420" w:firstLineChars="200"/>
        <w:textAlignment w:val="bottom"/>
        <w:rPr>
          <w:rFonts w:hint="eastAsia" w:hAnsi="宋体"/>
          <w:color w:val="auto"/>
          <w:kern w:val="2"/>
          <w:sz w:val="21"/>
          <w:szCs w:val="21"/>
          <w:highlight w:val="none"/>
        </w:rPr>
      </w:pPr>
      <w:r>
        <w:rPr>
          <w:rFonts w:hint="eastAsia" w:hAnsi="宋体"/>
          <w:color w:val="auto"/>
          <w:kern w:val="2"/>
          <w:sz w:val="21"/>
          <w:szCs w:val="21"/>
          <w:highlight w:val="none"/>
        </w:rPr>
        <w:t>本项目不进行实名登记报名，拟参加磋商的供应商于磋商截止时间前自行网上下载磋商文件。磋商文件下载地址：</w:t>
      </w:r>
      <w:r>
        <w:rPr>
          <w:rFonts w:hint="eastAsia" w:hAnsi="宋体"/>
          <w:color w:val="auto"/>
          <w:sz w:val="21"/>
          <w:szCs w:val="21"/>
          <w:highlight w:val="none"/>
        </w:rPr>
        <w:t>中国招标投标公共服务平台（http://www.cebpubservice.com/）、东莞实业投资控股集团有限公司-招标采购栏目（http://www.dgsy.com.cn/）、东莞市安居建设投资有限公司网站（http://www.0769anju.com/）、广东中科招标有限公司官网（http://www.zkzbgd.com/）</w:t>
      </w:r>
      <w:r>
        <w:rPr>
          <w:rFonts w:hint="eastAsia" w:hAnsi="宋体"/>
          <w:color w:val="auto"/>
          <w:kern w:val="2"/>
          <w:sz w:val="21"/>
          <w:szCs w:val="21"/>
          <w:highlight w:val="none"/>
        </w:rPr>
        <w:t>。</w:t>
      </w:r>
    </w:p>
    <w:p w14:paraId="0BA952CD">
      <w:pPr>
        <w:pStyle w:val="66"/>
        <w:spacing w:line="360" w:lineRule="auto"/>
        <w:ind w:firstLine="420"/>
        <w:rPr>
          <w:rFonts w:hint="eastAsia" w:hAnsi="宋体"/>
          <w:bCs/>
          <w:color w:val="auto"/>
          <w:sz w:val="21"/>
          <w:szCs w:val="21"/>
          <w:highlight w:val="none"/>
          <w:lang w:val="en-US"/>
        </w:rPr>
      </w:pPr>
      <w:r>
        <w:rPr>
          <w:rFonts w:hint="eastAsia" w:hAnsi="宋体"/>
          <w:color w:val="auto"/>
          <w:kern w:val="2"/>
          <w:sz w:val="21"/>
          <w:szCs w:val="21"/>
          <w:highlight w:val="none"/>
        </w:rPr>
        <w:t>采购结果公告发布媒介</w:t>
      </w:r>
      <w:r>
        <w:rPr>
          <w:rFonts w:hint="eastAsia" w:hAnsi="宋体"/>
          <w:color w:val="auto"/>
          <w:kern w:val="2"/>
          <w:sz w:val="21"/>
          <w:szCs w:val="21"/>
          <w:highlight w:val="none"/>
          <w:lang w:val="en-US"/>
        </w:rPr>
        <w:t>：</w:t>
      </w:r>
      <w:r>
        <w:rPr>
          <w:rFonts w:hint="eastAsia" w:hAnsi="宋体"/>
          <w:color w:val="auto"/>
          <w:sz w:val="21"/>
          <w:szCs w:val="21"/>
          <w:highlight w:val="none"/>
        </w:rPr>
        <w:t>东莞实业投资控股集团有限公司</w:t>
      </w:r>
      <w:r>
        <w:rPr>
          <w:rFonts w:hint="eastAsia" w:hAnsi="宋体"/>
          <w:color w:val="auto"/>
          <w:sz w:val="21"/>
          <w:szCs w:val="21"/>
          <w:highlight w:val="none"/>
          <w:lang w:val="en-US"/>
        </w:rPr>
        <w:t>-</w:t>
      </w:r>
      <w:r>
        <w:rPr>
          <w:rFonts w:hint="eastAsia" w:hAnsi="宋体"/>
          <w:color w:val="auto"/>
          <w:sz w:val="21"/>
          <w:szCs w:val="21"/>
          <w:highlight w:val="none"/>
        </w:rPr>
        <w:t>招标采购栏目</w:t>
      </w:r>
      <w:r>
        <w:rPr>
          <w:rFonts w:hint="eastAsia" w:hAnsi="宋体"/>
          <w:color w:val="auto"/>
          <w:sz w:val="21"/>
          <w:szCs w:val="21"/>
          <w:highlight w:val="none"/>
          <w:lang w:val="en-US"/>
        </w:rPr>
        <w:t>（http://www.dgsy.com.cn/）</w:t>
      </w:r>
      <w:r>
        <w:rPr>
          <w:rFonts w:hint="eastAsia" w:hAnsi="宋体"/>
          <w:color w:val="auto"/>
          <w:sz w:val="21"/>
          <w:szCs w:val="21"/>
          <w:highlight w:val="none"/>
        </w:rPr>
        <w:t>。</w:t>
      </w:r>
    </w:p>
    <w:p w14:paraId="79DA29F5">
      <w:pPr>
        <w:widowControl/>
        <w:spacing w:line="360" w:lineRule="auto"/>
        <w:textAlignment w:val="bottom"/>
        <w:rPr>
          <w:rFonts w:hint="eastAsia" w:hAnsi="宋体"/>
          <w:b/>
          <w:bCs/>
          <w:color w:val="auto"/>
          <w:sz w:val="21"/>
          <w:szCs w:val="21"/>
          <w:highlight w:val="none"/>
        </w:rPr>
      </w:pPr>
      <w:r>
        <w:rPr>
          <w:rFonts w:hint="eastAsia" w:hAnsi="宋体"/>
          <w:b/>
          <w:bCs/>
          <w:color w:val="auto"/>
          <w:sz w:val="21"/>
          <w:szCs w:val="21"/>
          <w:highlight w:val="none"/>
        </w:rPr>
        <w:t>四、接收响应文件的时间、地点、截止时间，开启响应文件时间、地点</w:t>
      </w:r>
      <w:r>
        <w:rPr>
          <w:rFonts w:hint="eastAsia" w:hAnsi="宋体"/>
          <w:b/>
          <w:color w:val="auto"/>
          <w:sz w:val="21"/>
          <w:szCs w:val="21"/>
          <w:highlight w:val="none"/>
        </w:rPr>
        <w:t>：</w:t>
      </w:r>
    </w:p>
    <w:p w14:paraId="418891A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1、接收响应文件的时间：</w:t>
      </w:r>
      <w:r>
        <w:rPr>
          <w:rFonts w:hint="eastAsia" w:hAnsi="宋体"/>
          <w:color w:val="auto"/>
          <w:sz w:val="21"/>
          <w:szCs w:val="21"/>
          <w:highlight w:val="none"/>
          <w:u w:val="single"/>
        </w:rPr>
        <w:t xml:space="preserve"> 2026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9</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15</w:t>
      </w:r>
      <w:r>
        <w:rPr>
          <w:rFonts w:hint="eastAsia" w:hAnsi="宋体"/>
          <w:color w:val="auto"/>
          <w:sz w:val="21"/>
          <w:szCs w:val="21"/>
          <w:highlight w:val="none"/>
          <w:u w:val="single"/>
        </w:rPr>
        <w:t xml:space="preserve"> </w:t>
      </w:r>
      <w:r>
        <w:rPr>
          <w:rFonts w:hint="eastAsia" w:hAnsi="宋体"/>
          <w:color w:val="auto"/>
          <w:sz w:val="21"/>
          <w:szCs w:val="21"/>
          <w:highlight w:val="none"/>
        </w:rPr>
        <w:t>日（北京时间）</w:t>
      </w:r>
      <w:r>
        <w:rPr>
          <w:rFonts w:hint="eastAsia" w:hAnsi="宋体"/>
          <w:color w:val="auto"/>
          <w:sz w:val="21"/>
          <w:szCs w:val="21"/>
          <w:highlight w:val="none"/>
          <w:u w:val="single"/>
        </w:rPr>
        <w:t>14</w:t>
      </w:r>
      <w:r>
        <w:rPr>
          <w:rFonts w:hint="eastAsia" w:hAnsi="宋体"/>
          <w:color w:val="auto"/>
          <w:sz w:val="21"/>
          <w:szCs w:val="21"/>
          <w:highlight w:val="none"/>
        </w:rPr>
        <w:t>:</w:t>
      </w:r>
      <w:r>
        <w:rPr>
          <w:rFonts w:hint="eastAsia" w:hAnsi="宋体"/>
          <w:color w:val="auto"/>
          <w:sz w:val="21"/>
          <w:szCs w:val="21"/>
          <w:highlight w:val="none"/>
          <w:u w:val="single"/>
        </w:rPr>
        <w:t>00</w:t>
      </w:r>
      <w:r>
        <w:rPr>
          <w:rFonts w:hint="eastAsia" w:hAnsi="宋体"/>
          <w:color w:val="auto"/>
          <w:sz w:val="21"/>
          <w:szCs w:val="21"/>
          <w:highlight w:val="none"/>
        </w:rPr>
        <w:t>-</w:t>
      </w:r>
      <w:r>
        <w:rPr>
          <w:rFonts w:hint="eastAsia" w:hAnsi="宋体"/>
          <w:color w:val="auto"/>
          <w:sz w:val="21"/>
          <w:szCs w:val="21"/>
          <w:highlight w:val="none"/>
          <w:u w:val="single"/>
        </w:rPr>
        <w:t>14</w:t>
      </w:r>
      <w:r>
        <w:rPr>
          <w:rFonts w:hint="eastAsia" w:hAnsi="宋体"/>
          <w:color w:val="auto"/>
          <w:sz w:val="21"/>
          <w:szCs w:val="21"/>
          <w:highlight w:val="none"/>
        </w:rPr>
        <w:t>:</w:t>
      </w:r>
      <w:r>
        <w:rPr>
          <w:rFonts w:hint="eastAsia" w:hAnsi="宋体"/>
          <w:color w:val="auto"/>
          <w:sz w:val="21"/>
          <w:szCs w:val="21"/>
          <w:highlight w:val="none"/>
          <w:u w:val="single"/>
        </w:rPr>
        <w:t>30</w:t>
      </w:r>
      <w:r>
        <w:rPr>
          <w:rFonts w:hint="eastAsia" w:hAnsi="宋体"/>
          <w:color w:val="auto"/>
          <w:sz w:val="21"/>
          <w:szCs w:val="21"/>
          <w:highlight w:val="none"/>
        </w:rPr>
        <w:t>。</w:t>
      </w:r>
    </w:p>
    <w:p w14:paraId="2F48215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2、接收响应文件截止时间及开启响应文件时间：</w:t>
      </w:r>
      <w:r>
        <w:rPr>
          <w:rFonts w:hint="eastAsia" w:hAnsi="宋体"/>
          <w:color w:val="auto"/>
          <w:sz w:val="21"/>
          <w:szCs w:val="21"/>
          <w:highlight w:val="none"/>
          <w:u w:val="single"/>
        </w:rPr>
        <w:t xml:space="preserve"> 2026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9</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15</w:t>
      </w:r>
      <w:r>
        <w:rPr>
          <w:rFonts w:hint="eastAsia" w:hAnsi="宋体"/>
          <w:color w:val="auto"/>
          <w:sz w:val="21"/>
          <w:szCs w:val="21"/>
          <w:highlight w:val="none"/>
          <w:u w:val="single"/>
        </w:rPr>
        <w:t xml:space="preserve"> </w:t>
      </w:r>
      <w:r>
        <w:rPr>
          <w:rFonts w:hint="eastAsia" w:hAnsi="宋体"/>
          <w:color w:val="auto"/>
          <w:sz w:val="21"/>
          <w:szCs w:val="21"/>
          <w:highlight w:val="none"/>
        </w:rPr>
        <w:t>日（北京时间）</w:t>
      </w:r>
      <w:r>
        <w:rPr>
          <w:rFonts w:hint="eastAsia" w:hAnsi="宋体"/>
          <w:color w:val="auto"/>
          <w:sz w:val="21"/>
          <w:szCs w:val="21"/>
          <w:highlight w:val="none"/>
          <w:u w:val="single"/>
        </w:rPr>
        <w:t>14</w:t>
      </w:r>
      <w:r>
        <w:rPr>
          <w:rFonts w:hint="eastAsia" w:hAnsi="宋体"/>
          <w:color w:val="auto"/>
          <w:sz w:val="21"/>
          <w:szCs w:val="21"/>
          <w:highlight w:val="none"/>
        </w:rPr>
        <w:t>:</w:t>
      </w:r>
      <w:r>
        <w:rPr>
          <w:rFonts w:hint="eastAsia" w:hAnsi="宋体"/>
          <w:color w:val="auto"/>
          <w:sz w:val="21"/>
          <w:szCs w:val="21"/>
          <w:highlight w:val="none"/>
          <w:u w:val="single"/>
        </w:rPr>
        <w:t>30</w:t>
      </w:r>
      <w:r>
        <w:rPr>
          <w:rFonts w:hint="eastAsia" w:hAnsi="宋体"/>
          <w:color w:val="auto"/>
          <w:sz w:val="21"/>
          <w:szCs w:val="21"/>
          <w:highlight w:val="none"/>
        </w:rPr>
        <w:t>，所有响应文件应于截止时间之前递交，迟交或以电报、传真形式的投标文件将拒绝接收。</w:t>
      </w:r>
    </w:p>
    <w:p w14:paraId="7D32C0A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3、接收响应文件地点：东莞市南城街道体育路南城段26号盈锋中心2栋708室（西区708室）。</w:t>
      </w:r>
    </w:p>
    <w:p w14:paraId="1F1557D4">
      <w:pPr>
        <w:spacing w:line="360" w:lineRule="auto"/>
        <w:outlineLvl w:val="0"/>
        <w:rPr>
          <w:rFonts w:hint="eastAsia" w:hAnsi="宋体"/>
          <w:b/>
          <w:bCs/>
          <w:color w:val="auto"/>
          <w:sz w:val="21"/>
          <w:szCs w:val="21"/>
          <w:highlight w:val="none"/>
        </w:rPr>
      </w:pPr>
      <w:bookmarkStart w:id="9" w:name="_Toc26926"/>
      <w:r>
        <w:rPr>
          <w:rFonts w:hint="eastAsia" w:hAnsi="宋体"/>
          <w:b/>
          <w:bCs/>
          <w:color w:val="auto"/>
          <w:sz w:val="21"/>
          <w:szCs w:val="21"/>
          <w:highlight w:val="none"/>
        </w:rPr>
        <w:t>五、</w:t>
      </w:r>
      <w:r>
        <w:rPr>
          <w:rFonts w:hint="eastAsia" w:hAnsi="宋体"/>
          <w:b/>
          <w:color w:val="auto"/>
          <w:sz w:val="21"/>
          <w:szCs w:val="21"/>
          <w:highlight w:val="none"/>
        </w:rPr>
        <w:t>采购代理机构</w:t>
      </w:r>
      <w:r>
        <w:rPr>
          <w:rFonts w:hint="eastAsia" w:hAnsi="宋体"/>
          <w:b/>
          <w:bCs/>
          <w:color w:val="auto"/>
          <w:sz w:val="21"/>
          <w:szCs w:val="21"/>
          <w:highlight w:val="none"/>
        </w:rPr>
        <w:t>及采购人</w:t>
      </w:r>
      <w:r>
        <w:rPr>
          <w:rFonts w:hint="eastAsia" w:hAnsi="宋体"/>
          <w:b/>
          <w:color w:val="auto"/>
          <w:sz w:val="21"/>
          <w:szCs w:val="21"/>
          <w:highlight w:val="none"/>
        </w:rPr>
        <w:t>的地址和联系方式</w:t>
      </w:r>
      <w:r>
        <w:rPr>
          <w:rFonts w:hint="eastAsia" w:hAnsi="宋体"/>
          <w:b/>
          <w:bCs/>
          <w:color w:val="auto"/>
          <w:sz w:val="21"/>
          <w:szCs w:val="21"/>
          <w:highlight w:val="none"/>
        </w:rPr>
        <w:t>：</w:t>
      </w:r>
      <w:bookmarkEnd w:id="9"/>
    </w:p>
    <w:p w14:paraId="10D72A6C">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采 购 人：东莞市安居建设投资有限公司</w:t>
      </w:r>
    </w:p>
    <w:p w14:paraId="298332E0">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地    址：广东省东莞市东城街道莞长路东城段27号6栋</w:t>
      </w:r>
    </w:p>
    <w:p w14:paraId="29437359">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联 系 人：江工</w:t>
      </w:r>
    </w:p>
    <w:p w14:paraId="1BACEB1C">
      <w:pPr>
        <w:spacing w:line="360" w:lineRule="auto"/>
        <w:ind w:right="-34" w:firstLine="424" w:firstLineChars="202"/>
        <w:jc w:val="both"/>
        <w:rPr>
          <w:rFonts w:hint="eastAsia" w:hAnsi="宋体"/>
          <w:b/>
          <w:color w:val="auto"/>
          <w:sz w:val="21"/>
          <w:szCs w:val="21"/>
          <w:highlight w:val="none"/>
        </w:rPr>
      </w:pPr>
      <w:r>
        <w:rPr>
          <w:rFonts w:hint="eastAsia" w:hAnsi="宋体"/>
          <w:color w:val="auto"/>
          <w:sz w:val="21"/>
          <w:szCs w:val="21"/>
          <w:highlight w:val="none"/>
        </w:rPr>
        <w:t xml:space="preserve">电    话：0769-22226146 </w:t>
      </w:r>
    </w:p>
    <w:p w14:paraId="53C4597A">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采购代理机构：广东中科招标有限公司</w:t>
      </w:r>
    </w:p>
    <w:p w14:paraId="2EA98206">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地    址：东莞市南城街道体育路南城段26号盈锋中心2栋708室（西区708室）</w:t>
      </w:r>
    </w:p>
    <w:p w14:paraId="37EDFED1">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项目联系人: 胡先生</w:t>
      </w:r>
    </w:p>
    <w:p w14:paraId="40555B36">
      <w:pPr>
        <w:spacing w:line="360" w:lineRule="auto"/>
        <w:ind w:right="-34" w:firstLine="424" w:firstLineChars="202"/>
        <w:jc w:val="both"/>
        <w:rPr>
          <w:rFonts w:hint="eastAsia" w:hAnsi="宋体"/>
          <w:color w:val="auto"/>
          <w:sz w:val="21"/>
          <w:szCs w:val="21"/>
          <w:highlight w:val="none"/>
        </w:rPr>
      </w:pPr>
      <w:r>
        <w:rPr>
          <w:rFonts w:hint="eastAsia" w:hAnsi="宋体"/>
          <w:color w:val="auto"/>
          <w:sz w:val="21"/>
          <w:szCs w:val="21"/>
          <w:highlight w:val="none"/>
        </w:rPr>
        <w:t>电    话：0769-22224212</w:t>
      </w:r>
    </w:p>
    <w:p w14:paraId="259904CE">
      <w:pPr>
        <w:spacing w:line="360" w:lineRule="auto"/>
        <w:ind w:right="-34" w:firstLine="424" w:firstLineChars="202"/>
        <w:jc w:val="both"/>
        <w:rPr>
          <w:rFonts w:hint="eastAsia" w:hAnsi="宋体"/>
          <w:b/>
          <w:color w:val="auto"/>
          <w:sz w:val="21"/>
          <w:szCs w:val="21"/>
          <w:highlight w:val="none"/>
        </w:rPr>
      </w:pPr>
      <w:r>
        <w:rPr>
          <w:rFonts w:hint="eastAsia" w:hAnsi="宋体"/>
          <w:color w:val="auto"/>
          <w:sz w:val="21"/>
          <w:szCs w:val="21"/>
          <w:highlight w:val="none"/>
        </w:rPr>
        <w:t>邮    箱：zkzb@foxmail.com</w:t>
      </w:r>
      <w:r>
        <w:rPr>
          <w:rFonts w:hint="eastAsia" w:hAnsi="宋体"/>
          <w:b/>
          <w:color w:val="auto"/>
          <w:sz w:val="21"/>
          <w:szCs w:val="21"/>
          <w:highlight w:val="none"/>
        </w:rPr>
        <w:t xml:space="preserve"> </w:t>
      </w:r>
    </w:p>
    <w:p w14:paraId="7A5A12AC">
      <w:pPr>
        <w:spacing w:line="360" w:lineRule="auto"/>
        <w:ind w:firstLine="420" w:firstLineChars="200"/>
        <w:jc w:val="right"/>
        <w:rPr>
          <w:rFonts w:hint="eastAsia" w:hAnsi="宋体"/>
          <w:bCs/>
          <w:color w:val="auto"/>
          <w:sz w:val="21"/>
          <w:szCs w:val="21"/>
          <w:highlight w:val="none"/>
        </w:rPr>
      </w:pPr>
      <w:r>
        <w:rPr>
          <w:rFonts w:hint="eastAsia" w:hAnsi="宋体"/>
          <w:bCs/>
          <w:color w:val="auto"/>
          <w:sz w:val="21"/>
          <w:szCs w:val="21"/>
          <w:highlight w:val="none"/>
        </w:rPr>
        <w:t>东莞市安居建设投资有限公司</w:t>
      </w:r>
    </w:p>
    <w:p w14:paraId="6C8B4765">
      <w:pPr>
        <w:spacing w:line="360" w:lineRule="auto"/>
        <w:ind w:firstLine="420" w:firstLineChars="200"/>
        <w:jc w:val="right"/>
        <w:rPr>
          <w:rFonts w:hint="eastAsia" w:hAnsi="宋体"/>
          <w:bCs/>
          <w:color w:val="auto"/>
          <w:sz w:val="21"/>
          <w:szCs w:val="21"/>
          <w:highlight w:val="none"/>
        </w:rPr>
      </w:pPr>
      <w:r>
        <w:rPr>
          <w:rFonts w:hint="eastAsia" w:hAnsi="宋体"/>
          <w:bCs/>
          <w:color w:val="auto"/>
          <w:sz w:val="21"/>
          <w:szCs w:val="21"/>
          <w:highlight w:val="none"/>
        </w:rPr>
        <w:t>广东中科招标有限公司</w:t>
      </w:r>
    </w:p>
    <w:p w14:paraId="363ED1B9">
      <w:pPr>
        <w:wordWrap w:val="0"/>
        <w:spacing w:line="360" w:lineRule="auto"/>
        <w:ind w:right="-34" w:firstLine="424" w:firstLineChars="202"/>
        <w:jc w:val="right"/>
        <w:rPr>
          <w:rFonts w:hint="eastAsia" w:hAnsi="宋体"/>
          <w:bCs/>
          <w:color w:val="auto"/>
          <w:sz w:val="21"/>
          <w:szCs w:val="21"/>
          <w:highlight w:val="none"/>
        </w:rPr>
      </w:pPr>
      <w:r>
        <w:rPr>
          <w:rFonts w:hint="eastAsia" w:hAnsi="宋体"/>
          <w:bCs/>
          <w:color w:val="auto"/>
          <w:sz w:val="21"/>
          <w:szCs w:val="21"/>
          <w:highlight w:val="none"/>
        </w:rPr>
        <w:t xml:space="preserve"> 2026年</w:t>
      </w:r>
      <w:r>
        <w:rPr>
          <w:rFonts w:hint="eastAsia" w:hAnsi="宋体"/>
          <w:bCs/>
          <w:color w:val="auto"/>
          <w:sz w:val="21"/>
          <w:szCs w:val="21"/>
          <w:highlight w:val="none"/>
          <w:lang w:val="en-US" w:eastAsia="zh-CN"/>
        </w:rPr>
        <w:t>9</w:t>
      </w:r>
      <w:r>
        <w:rPr>
          <w:rFonts w:hint="eastAsia" w:hAnsi="宋体"/>
          <w:bCs/>
          <w:color w:val="auto"/>
          <w:sz w:val="21"/>
          <w:szCs w:val="21"/>
          <w:highlight w:val="none"/>
        </w:rPr>
        <w:t>月</w:t>
      </w:r>
      <w:r>
        <w:rPr>
          <w:rFonts w:hint="eastAsia" w:hAnsi="宋体"/>
          <w:bCs/>
          <w:color w:val="auto"/>
          <w:sz w:val="21"/>
          <w:szCs w:val="21"/>
          <w:highlight w:val="none"/>
          <w:lang w:val="en-US" w:eastAsia="zh-CN"/>
        </w:rPr>
        <w:t>4</w:t>
      </w:r>
      <w:r>
        <w:rPr>
          <w:rFonts w:hint="eastAsia" w:hAnsi="宋体"/>
          <w:bCs/>
          <w:color w:val="auto"/>
          <w:sz w:val="21"/>
          <w:szCs w:val="21"/>
          <w:highlight w:val="none"/>
        </w:rPr>
        <w:t>日</w:t>
      </w:r>
    </w:p>
    <w:p w14:paraId="23006C91">
      <w:pPr>
        <w:pStyle w:val="5"/>
        <w:keepNext/>
        <w:keepLines/>
        <w:pageBreakBefore/>
        <w:numPr>
          <w:ilvl w:val="0"/>
          <w:numId w:val="10"/>
        </w:numPr>
        <w:tabs>
          <w:tab w:val="left" w:pos="1080"/>
        </w:tabs>
        <w:spacing w:line="360" w:lineRule="auto"/>
        <w:ind w:left="1262" w:hanging="1262" w:hangingChars="449"/>
        <w:jc w:val="center"/>
        <w:rPr>
          <w:rFonts w:hint="eastAsia" w:hAnsi="宋体"/>
          <w:b/>
          <w:bCs/>
          <w:color w:val="auto"/>
          <w:kern w:val="44"/>
          <w:sz w:val="28"/>
          <w:szCs w:val="28"/>
          <w:highlight w:val="none"/>
          <w:lang w:val="zh-CN"/>
        </w:rPr>
      </w:pPr>
      <w:bookmarkStart w:id="10" w:name="_Toc16634"/>
      <w:bookmarkStart w:id="11" w:name="_Toc17779"/>
      <w:r>
        <w:rPr>
          <w:rFonts w:hint="eastAsia" w:hAnsi="宋体"/>
          <w:b/>
          <w:bCs/>
          <w:color w:val="auto"/>
          <w:kern w:val="44"/>
          <w:sz w:val="28"/>
          <w:szCs w:val="28"/>
          <w:highlight w:val="none"/>
          <w:lang w:val="zh-CN"/>
        </w:rPr>
        <w:t>供应商须知</w:t>
      </w:r>
      <w:bookmarkEnd w:id="8"/>
      <w:bookmarkEnd w:id="10"/>
      <w:bookmarkEnd w:id="11"/>
    </w:p>
    <w:p w14:paraId="6251BFA7">
      <w:pPr>
        <w:pStyle w:val="6"/>
        <w:adjustRightInd/>
        <w:spacing w:line="360" w:lineRule="auto"/>
        <w:ind w:firstLine="562" w:firstLineChars="200"/>
        <w:jc w:val="center"/>
        <w:rPr>
          <w:rFonts w:hint="eastAsia"/>
          <w:color w:val="auto"/>
          <w:sz w:val="28"/>
          <w:szCs w:val="28"/>
          <w:highlight w:val="none"/>
        </w:rPr>
      </w:pPr>
      <w:bookmarkStart w:id="12" w:name="_Toc102277756"/>
      <w:bookmarkStart w:id="13" w:name="_Toc6882675"/>
      <w:bookmarkStart w:id="14" w:name="_Toc7897861"/>
      <w:bookmarkStart w:id="15" w:name="_Toc6968687"/>
      <w:bookmarkStart w:id="16" w:name="_Toc507407359"/>
      <w:bookmarkStart w:id="17" w:name="_Toc12804"/>
      <w:bookmarkStart w:id="18" w:name="_Toc5203"/>
      <w:bookmarkStart w:id="19" w:name="_Toc466786434"/>
      <w:r>
        <w:rPr>
          <w:rFonts w:hint="eastAsia"/>
          <w:color w:val="auto"/>
          <w:sz w:val="28"/>
          <w:szCs w:val="28"/>
          <w:highlight w:val="none"/>
        </w:rPr>
        <w:t>一、说  明</w:t>
      </w:r>
      <w:bookmarkEnd w:id="12"/>
      <w:bookmarkEnd w:id="13"/>
      <w:bookmarkEnd w:id="14"/>
      <w:bookmarkEnd w:id="15"/>
      <w:bookmarkEnd w:id="16"/>
      <w:bookmarkEnd w:id="17"/>
      <w:bookmarkEnd w:id="18"/>
      <w:bookmarkEnd w:id="19"/>
    </w:p>
    <w:p w14:paraId="753266B8">
      <w:pPr>
        <w:pStyle w:val="7"/>
        <w:adjustRightInd/>
        <w:spacing w:line="360" w:lineRule="auto"/>
        <w:ind w:firstLine="420" w:firstLineChars="200"/>
        <w:rPr>
          <w:rFonts w:hint="eastAsia" w:hAnsi="宋体"/>
          <w:color w:val="auto"/>
          <w:sz w:val="21"/>
          <w:szCs w:val="21"/>
          <w:highlight w:val="none"/>
        </w:rPr>
      </w:pPr>
      <w:bookmarkStart w:id="20" w:name="_Toc7897862"/>
      <w:bookmarkStart w:id="21" w:name="_Toc24987"/>
      <w:bookmarkStart w:id="22" w:name="_Toc3730"/>
      <w:bookmarkStart w:id="23" w:name="_Toc475249114"/>
      <w:r>
        <w:rPr>
          <w:rFonts w:hint="eastAsia" w:hAnsi="宋体"/>
          <w:color w:val="auto"/>
          <w:sz w:val="21"/>
          <w:szCs w:val="21"/>
          <w:highlight w:val="none"/>
        </w:rPr>
        <w:t>1.适用范围</w:t>
      </w:r>
      <w:bookmarkEnd w:id="20"/>
      <w:bookmarkEnd w:id="21"/>
      <w:bookmarkEnd w:id="22"/>
      <w:bookmarkEnd w:id="23"/>
    </w:p>
    <w:p w14:paraId="299BA71E">
      <w:pPr>
        <w:spacing w:line="360" w:lineRule="auto"/>
        <w:ind w:firstLine="420" w:firstLineChars="200"/>
        <w:textAlignment w:val="baseline"/>
        <w:rPr>
          <w:rFonts w:hint="eastAsia" w:hAnsi="宋体"/>
          <w:color w:val="auto"/>
          <w:sz w:val="21"/>
          <w:szCs w:val="21"/>
          <w:highlight w:val="none"/>
        </w:rPr>
      </w:pPr>
      <w:r>
        <w:rPr>
          <w:rFonts w:hint="eastAsia" w:hAnsi="宋体"/>
          <w:color w:val="auto"/>
          <w:sz w:val="21"/>
          <w:szCs w:val="21"/>
          <w:highlight w:val="none"/>
        </w:rPr>
        <w:t>1.1本磋商文件仅适用于本次采购邀请中所叙述的项目。</w:t>
      </w:r>
    </w:p>
    <w:p w14:paraId="5366F08E">
      <w:pPr>
        <w:spacing w:line="360" w:lineRule="auto"/>
        <w:ind w:firstLine="420" w:firstLineChars="200"/>
        <w:textAlignment w:val="baseline"/>
        <w:rPr>
          <w:rFonts w:hint="eastAsia" w:hAnsi="宋体"/>
          <w:color w:val="auto"/>
          <w:sz w:val="21"/>
          <w:szCs w:val="21"/>
          <w:highlight w:val="none"/>
        </w:rPr>
      </w:pPr>
      <w:r>
        <w:rPr>
          <w:rFonts w:hint="eastAsia" w:hAnsi="宋体"/>
          <w:color w:val="auto"/>
          <w:sz w:val="21"/>
          <w:szCs w:val="21"/>
          <w:highlight w:val="none"/>
        </w:rPr>
        <w:t>1.2本磋商文件的解释权在采购代理机构。</w:t>
      </w:r>
    </w:p>
    <w:p w14:paraId="2F275C71">
      <w:pPr>
        <w:pStyle w:val="7"/>
        <w:adjustRightInd/>
        <w:spacing w:line="360" w:lineRule="auto"/>
        <w:ind w:firstLine="420" w:firstLineChars="200"/>
        <w:rPr>
          <w:rFonts w:hint="eastAsia" w:hAnsi="宋体"/>
          <w:color w:val="auto"/>
          <w:sz w:val="21"/>
          <w:szCs w:val="21"/>
          <w:highlight w:val="none"/>
        </w:rPr>
      </w:pPr>
      <w:bookmarkStart w:id="24" w:name="_Toc598"/>
      <w:bookmarkStart w:id="25" w:name="_Toc7897863"/>
      <w:bookmarkStart w:id="26" w:name="_Toc475249115"/>
      <w:bookmarkStart w:id="27" w:name="_Toc9738"/>
      <w:r>
        <w:rPr>
          <w:rFonts w:hint="eastAsia" w:hAnsi="宋体"/>
          <w:color w:val="auto"/>
          <w:sz w:val="21"/>
          <w:szCs w:val="21"/>
          <w:highlight w:val="none"/>
        </w:rPr>
        <w:t>2.定义</w:t>
      </w:r>
      <w:bookmarkEnd w:id="24"/>
      <w:bookmarkEnd w:id="25"/>
      <w:bookmarkEnd w:id="26"/>
      <w:bookmarkEnd w:id="27"/>
    </w:p>
    <w:p w14:paraId="1412214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2.1“采购人”是指东莞市安居建设投资有限公司。</w:t>
      </w:r>
    </w:p>
    <w:p w14:paraId="1692C263">
      <w:pPr>
        <w:spacing w:line="360" w:lineRule="auto"/>
        <w:ind w:firstLine="420" w:firstLineChars="200"/>
        <w:rPr>
          <w:rFonts w:hint="eastAsia" w:hAnsi="宋体"/>
          <w:b/>
          <w:color w:val="auto"/>
          <w:sz w:val="21"/>
          <w:szCs w:val="21"/>
          <w:highlight w:val="none"/>
        </w:rPr>
      </w:pPr>
      <w:r>
        <w:rPr>
          <w:rFonts w:hint="eastAsia" w:hAnsi="宋体"/>
          <w:color w:val="auto"/>
          <w:sz w:val="21"/>
          <w:szCs w:val="21"/>
          <w:highlight w:val="none"/>
        </w:rPr>
        <w:t>2.2“采购代理机构”是指广东中科招标有限公司。</w:t>
      </w:r>
    </w:p>
    <w:p w14:paraId="1738088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2.3“供应商”指向采购代理机构提交响应文件的法人。</w:t>
      </w:r>
    </w:p>
    <w:p w14:paraId="5BAC4EE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2.4 货物：卖方按磋商文件规定向买方提供的货物。</w:t>
      </w:r>
    </w:p>
    <w:p w14:paraId="7C5CCE2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2.5 服务：磋商文件规定卖方必须承担的咨询、技术协助、培训及其它相关义务。</w:t>
      </w:r>
    </w:p>
    <w:p w14:paraId="0F5DE29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2.6 语言：磋商文件的语言为简体中文。</w:t>
      </w:r>
    </w:p>
    <w:p w14:paraId="1FCACA0C">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2.7 日期：指公历日。</w:t>
      </w:r>
    </w:p>
    <w:p w14:paraId="41B5E64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2.8 时间：指北京时间。</w:t>
      </w:r>
    </w:p>
    <w:p w14:paraId="7A4F38C8">
      <w:pPr>
        <w:pStyle w:val="7"/>
        <w:adjustRightInd/>
        <w:spacing w:line="360" w:lineRule="auto"/>
        <w:ind w:firstLine="420" w:firstLineChars="200"/>
        <w:rPr>
          <w:rFonts w:hint="eastAsia" w:hAnsi="宋体"/>
          <w:color w:val="auto"/>
          <w:sz w:val="21"/>
          <w:szCs w:val="21"/>
          <w:highlight w:val="none"/>
        </w:rPr>
      </w:pPr>
      <w:bookmarkStart w:id="28" w:name="_Toc7897864"/>
      <w:bookmarkStart w:id="29" w:name="_Toc367"/>
      <w:bookmarkStart w:id="30" w:name="_Toc24709"/>
      <w:bookmarkStart w:id="31" w:name="_Toc110953831"/>
      <w:bookmarkStart w:id="32" w:name="_Toc102277757"/>
      <w:bookmarkStart w:id="33" w:name="_Toc466786435"/>
      <w:bookmarkStart w:id="34" w:name="_Toc6968688"/>
      <w:bookmarkStart w:id="35" w:name="_Toc507407360"/>
      <w:bookmarkStart w:id="36" w:name="_Toc6882676"/>
      <w:r>
        <w:rPr>
          <w:rFonts w:hint="eastAsia" w:hAnsi="宋体"/>
          <w:color w:val="auto"/>
          <w:sz w:val="21"/>
          <w:szCs w:val="21"/>
          <w:highlight w:val="none"/>
        </w:rPr>
        <w:t>3.适用法律</w:t>
      </w:r>
      <w:bookmarkEnd w:id="28"/>
      <w:bookmarkEnd w:id="29"/>
      <w:bookmarkEnd w:id="30"/>
      <w:bookmarkEnd w:id="31"/>
    </w:p>
    <w:p w14:paraId="4C42437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采购人、供应商和采购代理机构均应当参照相关招标采购规定执行。</w:t>
      </w:r>
    </w:p>
    <w:p w14:paraId="252250BF">
      <w:pPr>
        <w:pStyle w:val="7"/>
        <w:adjustRightInd/>
        <w:spacing w:line="360" w:lineRule="auto"/>
        <w:ind w:firstLine="420" w:firstLineChars="200"/>
        <w:rPr>
          <w:rFonts w:hint="eastAsia" w:hAnsi="宋体"/>
          <w:color w:val="auto"/>
          <w:sz w:val="21"/>
          <w:szCs w:val="21"/>
          <w:highlight w:val="none"/>
          <w:lang w:val="zh-CN"/>
        </w:rPr>
      </w:pPr>
      <w:bookmarkStart w:id="37" w:name="_Toc20707"/>
      <w:bookmarkStart w:id="38" w:name="_Toc110953833"/>
      <w:bookmarkStart w:id="39" w:name="_Toc7897866"/>
      <w:bookmarkStart w:id="40" w:name="_Toc10397"/>
      <w:r>
        <w:rPr>
          <w:rFonts w:hint="eastAsia" w:hAnsi="宋体"/>
          <w:color w:val="auto"/>
          <w:sz w:val="21"/>
          <w:szCs w:val="21"/>
          <w:highlight w:val="none"/>
          <w:lang w:val="zh-CN"/>
        </w:rPr>
        <w:t>4</w:t>
      </w:r>
      <w:r>
        <w:rPr>
          <w:rFonts w:hint="eastAsia" w:hAnsi="宋体"/>
          <w:color w:val="auto"/>
          <w:sz w:val="21"/>
          <w:szCs w:val="21"/>
          <w:highlight w:val="none"/>
        </w:rPr>
        <w:t>.</w:t>
      </w:r>
      <w:r>
        <w:rPr>
          <w:rFonts w:hint="eastAsia" w:hAnsi="宋体"/>
          <w:color w:val="auto"/>
          <w:sz w:val="21"/>
          <w:szCs w:val="21"/>
          <w:highlight w:val="none"/>
          <w:lang w:val="zh-CN"/>
        </w:rPr>
        <w:t>本项目不接受联合体磋商。</w:t>
      </w:r>
      <w:bookmarkEnd w:id="37"/>
    </w:p>
    <w:p w14:paraId="30806B2E">
      <w:pPr>
        <w:pStyle w:val="7"/>
        <w:adjustRightInd/>
        <w:spacing w:line="360" w:lineRule="auto"/>
        <w:ind w:firstLine="420" w:firstLineChars="200"/>
        <w:rPr>
          <w:rFonts w:hint="eastAsia" w:hAnsi="宋体"/>
          <w:bCs/>
          <w:color w:val="auto"/>
          <w:sz w:val="21"/>
          <w:szCs w:val="21"/>
          <w:highlight w:val="none"/>
        </w:rPr>
      </w:pPr>
      <w:bookmarkStart w:id="41" w:name="_Toc10368"/>
      <w:r>
        <w:rPr>
          <w:rFonts w:hint="eastAsia" w:hAnsi="宋体"/>
          <w:color w:val="auto"/>
          <w:sz w:val="21"/>
          <w:szCs w:val="21"/>
          <w:highlight w:val="none"/>
        </w:rPr>
        <w:t>5.禁止事项</w:t>
      </w:r>
      <w:bookmarkEnd w:id="38"/>
      <w:bookmarkEnd w:id="39"/>
      <w:bookmarkEnd w:id="40"/>
      <w:bookmarkEnd w:id="41"/>
    </w:p>
    <w:p w14:paraId="499C9B9A">
      <w:pPr>
        <w:spacing w:line="360" w:lineRule="auto"/>
        <w:ind w:firstLine="420" w:firstLineChars="200"/>
        <w:rPr>
          <w:rFonts w:hint="eastAsia" w:hAnsi="宋体"/>
          <w:color w:val="auto"/>
          <w:sz w:val="21"/>
          <w:szCs w:val="21"/>
          <w:highlight w:val="none"/>
        </w:rPr>
      </w:pPr>
      <w:bookmarkStart w:id="42" w:name="_Toc98126218"/>
      <w:bookmarkStart w:id="43" w:name="_Toc98126293"/>
      <w:r>
        <w:rPr>
          <w:rFonts w:hint="eastAsia" w:hAnsi="宋体"/>
          <w:color w:val="auto"/>
          <w:sz w:val="21"/>
          <w:szCs w:val="21"/>
          <w:highlight w:val="none"/>
        </w:rPr>
        <w:t>5.1采购人、供应商和采购代理机构不得相互串通损害国家利益、社会公共利益和其他当事人的合法权益。</w:t>
      </w:r>
    </w:p>
    <w:p w14:paraId="180A3F4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5.2供应商不得向采购人、采购代理机构、磋商小组的组成人员行贿或者采取其他不正当手段谋取成交。</w:t>
      </w:r>
      <w:bookmarkEnd w:id="42"/>
      <w:bookmarkEnd w:id="43"/>
    </w:p>
    <w:p w14:paraId="5C29986C">
      <w:pPr>
        <w:spacing w:line="360" w:lineRule="auto"/>
        <w:ind w:firstLine="420" w:firstLineChars="200"/>
        <w:rPr>
          <w:rFonts w:hint="eastAsia" w:hAnsi="宋体"/>
          <w:color w:val="auto"/>
          <w:sz w:val="21"/>
          <w:szCs w:val="21"/>
          <w:highlight w:val="none"/>
        </w:rPr>
      </w:pPr>
      <w:bookmarkStart w:id="44" w:name="_Toc98126219"/>
      <w:bookmarkStart w:id="45" w:name="_Toc98126294"/>
      <w:r>
        <w:rPr>
          <w:rFonts w:hint="eastAsia" w:hAnsi="宋体"/>
          <w:color w:val="auto"/>
          <w:sz w:val="21"/>
          <w:szCs w:val="21"/>
          <w:highlight w:val="none"/>
        </w:rPr>
        <w:t>5.3采购代理机构不得向采购人行贿或者采取其他不正当手段谋取非法利益。</w:t>
      </w:r>
      <w:bookmarkEnd w:id="44"/>
      <w:bookmarkEnd w:id="45"/>
    </w:p>
    <w:p w14:paraId="42C95215">
      <w:pPr>
        <w:spacing w:line="360" w:lineRule="auto"/>
        <w:ind w:firstLine="420" w:firstLineChars="200"/>
        <w:rPr>
          <w:rFonts w:hint="eastAsia" w:hAnsi="宋体"/>
          <w:color w:val="auto"/>
          <w:sz w:val="21"/>
          <w:szCs w:val="21"/>
          <w:highlight w:val="none"/>
        </w:rPr>
      </w:pPr>
      <w:bookmarkStart w:id="46" w:name="_Toc98126220"/>
      <w:bookmarkStart w:id="47" w:name="_Toc98126295"/>
      <w:r>
        <w:rPr>
          <w:rFonts w:hint="eastAsia" w:hAnsi="宋体"/>
          <w:color w:val="auto"/>
          <w:sz w:val="21"/>
          <w:szCs w:val="21"/>
          <w:highlight w:val="none"/>
        </w:rPr>
        <w:t>5.4除供应商被要求对响应文件进行质疑澄清外，从开启响应文件之时起至授予合同止，供应商不得就与其响应文件有关的事项主动与磋商小组、采购人以及采购代理机构接触。</w:t>
      </w:r>
      <w:bookmarkEnd w:id="46"/>
      <w:bookmarkEnd w:id="47"/>
    </w:p>
    <w:p w14:paraId="405ECA38">
      <w:pPr>
        <w:pStyle w:val="7"/>
        <w:adjustRightInd/>
        <w:spacing w:line="360" w:lineRule="auto"/>
        <w:ind w:firstLine="420" w:firstLineChars="200"/>
        <w:rPr>
          <w:rFonts w:hint="eastAsia" w:hAnsi="宋体"/>
          <w:bCs/>
          <w:color w:val="auto"/>
          <w:sz w:val="21"/>
          <w:szCs w:val="21"/>
          <w:highlight w:val="none"/>
        </w:rPr>
      </w:pPr>
      <w:bookmarkStart w:id="48" w:name="_Toc2863"/>
      <w:bookmarkStart w:id="49" w:name="_Toc25870"/>
      <w:bookmarkStart w:id="50" w:name="_Toc110953834"/>
      <w:bookmarkStart w:id="51" w:name="_Toc7897867"/>
      <w:r>
        <w:rPr>
          <w:rFonts w:hint="eastAsia" w:hAnsi="宋体"/>
          <w:color w:val="auto"/>
          <w:sz w:val="21"/>
          <w:szCs w:val="21"/>
          <w:highlight w:val="none"/>
        </w:rPr>
        <w:t>6.保密及其它注意事项</w:t>
      </w:r>
      <w:bookmarkEnd w:id="48"/>
      <w:bookmarkEnd w:id="49"/>
      <w:bookmarkEnd w:id="50"/>
      <w:bookmarkEnd w:id="51"/>
    </w:p>
    <w:p w14:paraId="0F8090FA">
      <w:pPr>
        <w:spacing w:line="360" w:lineRule="auto"/>
        <w:ind w:firstLine="420" w:firstLineChars="200"/>
        <w:rPr>
          <w:rFonts w:hint="eastAsia" w:hAnsi="宋体"/>
          <w:color w:val="auto"/>
          <w:sz w:val="21"/>
          <w:szCs w:val="21"/>
          <w:highlight w:val="none"/>
        </w:rPr>
      </w:pPr>
      <w:bookmarkStart w:id="52" w:name="_Toc98126222"/>
      <w:bookmarkStart w:id="53" w:name="_Toc98126297"/>
      <w:r>
        <w:rPr>
          <w:rFonts w:hint="eastAsia" w:hAnsi="宋体"/>
          <w:color w:val="auto"/>
          <w:sz w:val="21"/>
          <w:szCs w:val="21"/>
          <w:highlight w:val="none"/>
        </w:rPr>
        <w:t>6.1凡参与采购工作的有关人员均应自觉接受有关主管部门的监督，不得向他人透露可能影响公平竞争的有关情况。</w:t>
      </w:r>
      <w:bookmarkEnd w:id="52"/>
      <w:bookmarkEnd w:id="53"/>
    </w:p>
    <w:p w14:paraId="5246770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磋商小组人员之外。</w:t>
      </w:r>
    </w:p>
    <w:p w14:paraId="74500CF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6.3在评审期间，供应商不得向磋商小组成员询问评审情况，不得进行旨在影响评审结果的活动。</w:t>
      </w:r>
    </w:p>
    <w:p w14:paraId="3E0E7B5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6.4磋商小组不向未成交供应商解释落选原因，不退还响应文件。</w:t>
      </w:r>
    </w:p>
    <w:p w14:paraId="4C9F363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6.5所有供应商自行承担与响应有关的全部费用。采购人和采购代理机构在任何情况下均不承担该费用。</w:t>
      </w:r>
    </w:p>
    <w:p w14:paraId="12F09662">
      <w:pPr>
        <w:pStyle w:val="7"/>
        <w:adjustRightInd/>
        <w:spacing w:line="360" w:lineRule="auto"/>
        <w:ind w:firstLine="420" w:firstLineChars="200"/>
        <w:rPr>
          <w:rFonts w:hint="eastAsia" w:hAnsi="宋体"/>
          <w:color w:val="auto"/>
          <w:sz w:val="21"/>
          <w:szCs w:val="21"/>
          <w:highlight w:val="none"/>
        </w:rPr>
      </w:pPr>
      <w:bookmarkStart w:id="54" w:name="_Toc7897868"/>
      <w:bookmarkStart w:id="55" w:name="_Toc497016085"/>
      <w:bookmarkStart w:id="56" w:name="_Toc13371"/>
      <w:bookmarkStart w:id="57" w:name="_Toc27298"/>
      <w:r>
        <w:rPr>
          <w:rFonts w:hint="eastAsia" w:hAnsi="宋体"/>
          <w:color w:val="auto"/>
          <w:sz w:val="21"/>
          <w:szCs w:val="21"/>
          <w:highlight w:val="none"/>
        </w:rPr>
        <w:t>7.供应商诚信管理</w:t>
      </w:r>
      <w:bookmarkEnd w:id="54"/>
      <w:bookmarkEnd w:id="55"/>
      <w:bookmarkEnd w:id="56"/>
      <w:bookmarkEnd w:id="57"/>
    </w:p>
    <w:p w14:paraId="32C5E75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7.1供应商在本磋商项目的竞争中应自觉遵循诚实信用原则，不得存在腐败、欺诈或其他严重违背诚信原则的行为。“腐败行为”是指提供、给予任何有价值的东西来影响采购人员在采购过程或合同实施过程中的行为；“欺诈行为”是指为了影响采购过程或合同实施过程而谎报、隐瞒事实，损害采购人的利益，包括供应商之间串通响应（递交响应书之前或之后），人为地使响应丧失竞争性，损害采购人从公开竞争中所能获得的权益。</w:t>
      </w:r>
    </w:p>
    <w:p w14:paraId="6D4A031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7.2如果采购人或采购代理机构有证据表明供应商在本磋商项目的竞争中存在腐败、欺诈或其他严重违背诚信原则的行为，则将拒绝其响应。</w:t>
      </w:r>
    </w:p>
    <w:p w14:paraId="4B64C864">
      <w:pPr>
        <w:spacing w:line="360" w:lineRule="auto"/>
        <w:rPr>
          <w:rFonts w:hint="eastAsia" w:hAnsi="宋体"/>
          <w:color w:val="auto"/>
          <w:sz w:val="21"/>
          <w:szCs w:val="21"/>
          <w:highlight w:val="none"/>
        </w:rPr>
      </w:pPr>
    </w:p>
    <w:p w14:paraId="74689218">
      <w:pPr>
        <w:pStyle w:val="6"/>
        <w:adjustRightInd/>
        <w:spacing w:line="360" w:lineRule="auto"/>
        <w:ind w:firstLine="562" w:firstLineChars="200"/>
        <w:jc w:val="center"/>
        <w:rPr>
          <w:rFonts w:hint="eastAsia"/>
          <w:color w:val="auto"/>
          <w:sz w:val="28"/>
          <w:szCs w:val="28"/>
          <w:highlight w:val="none"/>
        </w:rPr>
      </w:pPr>
      <w:bookmarkStart w:id="58" w:name="_Toc7897869"/>
      <w:bookmarkStart w:id="59" w:name="_Toc17498"/>
      <w:bookmarkStart w:id="60" w:name="_Toc23741"/>
      <w:r>
        <w:rPr>
          <w:rFonts w:hint="eastAsia"/>
          <w:color w:val="auto"/>
          <w:sz w:val="28"/>
          <w:szCs w:val="28"/>
          <w:highlight w:val="none"/>
        </w:rPr>
        <w:t>二、磋商文件说明</w:t>
      </w:r>
      <w:bookmarkEnd w:id="32"/>
      <w:bookmarkEnd w:id="33"/>
      <w:bookmarkEnd w:id="34"/>
      <w:bookmarkEnd w:id="35"/>
      <w:bookmarkEnd w:id="36"/>
      <w:bookmarkEnd w:id="58"/>
      <w:bookmarkEnd w:id="59"/>
      <w:bookmarkEnd w:id="60"/>
    </w:p>
    <w:p w14:paraId="6AB9A6E4">
      <w:pPr>
        <w:pStyle w:val="7"/>
        <w:adjustRightInd/>
        <w:spacing w:line="360" w:lineRule="auto"/>
        <w:ind w:firstLine="420" w:firstLineChars="200"/>
        <w:rPr>
          <w:rFonts w:hint="eastAsia" w:hAnsi="宋体"/>
          <w:color w:val="auto"/>
          <w:sz w:val="21"/>
          <w:szCs w:val="21"/>
          <w:highlight w:val="none"/>
        </w:rPr>
      </w:pPr>
      <w:bookmarkStart w:id="61" w:name="_Toc110953836"/>
      <w:bookmarkStart w:id="62" w:name="_Toc29560"/>
      <w:bookmarkStart w:id="63" w:name="_Toc7897870"/>
      <w:bookmarkStart w:id="64" w:name="_Toc23606"/>
      <w:bookmarkStart w:id="65" w:name="_Toc466786436"/>
      <w:bookmarkStart w:id="66" w:name="_Toc6968689"/>
      <w:bookmarkStart w:id="67" w:name="_Toc507407361"/>
      <w:bookmarkStart w:id="68" w:name="_Toc102277758"/>
      <w:bookmarkStart w:id="69" w:name="_Toc6882677"/>
      <w:r>
        <w:rPr>
          <w:rFonts w:hint="eastAsia" w:hAnsi="宋体"/>
          <w:color w:val="auto"/>
          <w:sz w:val="21"/>
          <w:szCs w:val="21"/>
          <w:highlight w:val="none"/>
        </w:rPr>
        <w:t>8.磋商文件构成</w:t>
      </w:r>
      <w:bookmarkEnd w:id="61"/>
      <w:bookmarkEnd w:id="62"/>
      <w:bookmarkEnd w:id="63"/>
      <w:bookmarkEnd w:id="64"/>
    </w:p>
    <w:p w14:paraId="6F44628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8.1磋商文件用以阐明项目情况、评审程序、评审办法、定标标准和合同条款参考范本和响应文件的制作等，由磋商邀请书、供应商须知、用户需求书、合同范本和响应文件格式构成。</w:t>
      </w:r>
    </w:p>
    <w:p w14:paraId="2D85A061">
      <w:pPr>
        <w:pStyle w:val="7"/>
        <w:adjustRightInd/>
        <w:spacing w:line="360" w:lineRule="auto"/>
        <w:ind w:firstLine="420" w:firstLineChars="200"/>
        <w:rPr>
          <w:rFonts w:hint="eastAsia" w:hAnsi="宋体"/>
          <w:color w:val="auto"/>
          <w:sz w:val="21"/>
          <w:szCs w:val="21"/>
          <w:highlight w:val="none"/>
        </w:rPr>
      </w:pPr>
      <w:bookmarkStart w:id="70" w:name="_Toc19701"/>
      <w:bookmarkStart w:id="71" w:name="_Toc7897871"/>
      <w:bookmarkStart w:id="72" w:name="_Toc16827"/>
      <w:bookmarkStart w:id="73" w:name="_Toc110953837"/>
      <w:r>
        <w:rPr>
          <w:rFonts w:hint="eastAsia" w:hAnsi="宋体"/>
          <w:color w:val="auto"/>
          <w:sz w:val="21"/>
          <w:szCs w:val="21"/>
          <w:highlight w:val="none"/>
        </w:rPr>
        <w:t>9.磋商文件的修改</w:t>
      </w:r>
      <w:bookmarkEnd w:id="70"/>
      <w:bookmarkEnd w:id="71"/>
      <w:bookmarkEnd w:id="72"/>
      <w:bookmarkEnd w:id="73"/>
    </w:p>
    <w:p w14:paraId="7A66651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9.1提交首次响应文件截止之日前，采购人、采购代理机构或者磋商小组可以对已发出的磋商文件进行必要的澄清或者修改，澄清或者修改的内容作为磋商文件的组成部分。澄清或者修改的内容可能影响响应文件编制的，将在提交首次响应文件截止时间5日前以书面形式通知所有获取磋商文件的供应商。</w:t>
      </w:r>
    </w:p>
    <w:p w14:paraId="45419BA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9.2如果修改的时间距响应文件递交截止时间不足5日的，将相应顺延递交首次响应文件截止时间。</w:t>
      </w:r>
    </w:p>
    <w:p w14:paraId="00FDC777">
      <w:pPr>
        <w:pStyle w:val="15"/>
        <w:ind w:firstLine="400"/>
        <w:rPr>
          <w:rFonts w:hint="eastAsia" w:ascii="宋体" w:hAnsi="宋体"/>
          <w:color w:val="auto"/>
          <w:highlight w:val="none"/>
        </w:rPr>
      </w:pPr>
    </w:p>
    <w:bookmarkEnd w:id="65"/>
    <w:bookmarkEnd w:id="66"/>
    <w:bookmarkEnd w:id="67"/>
    <w:bookmarkEnd w:id="68"/>
    <w:bookmarkEnd w:id="69"/>
    <w:p w14:paraId="22D9D9A1">
      <w:pPr>
        <w:pStyle w:val="6"/>
        <w:adjustRightInd/>
        <w:spacing w:line="360" w:lineRule="auto"/>
        <w:ind w:firstLine="562" w:firstLineChars="200"/>
        <w:jc w:val="center"/>
        <w:rPr>
          <w:rFonts w:hint="eastAsia"/>
          <w:color w:val="auto"/>
          <w:sz w:val="28"/>
          <w:szCs w:val="28"/>
          <w:highlight w:val="none"/>
        </w:rPr>
      </w:pPr>
      <w:bookmarkStart w:id="74" w:name="_Toc15398"/>
      <w:bookmarkStart w:id="75" w:name="_Toc18245"/>
      <w:bookmarkStart w:id="76" w:name="_Toc110953838"/>
      <w:bookmarkStart w:id="77" w:name="_Toc7897872"/>
      <w:bookmarkStart w:id="78" w:name="_Toc6968690"/>
      <w:bookmarkStart w:id="79" w:name="_Toc6882678"/>
      <w:bookmarkStart w:id="80" w:name="_Toc507407362"/>
      <w:bookmarkStart w:id="81" w:name="_Toc102277759"/>
      <w:bookmarkStart w:id="82" w:name="_Toc466786437"/>
      <w:r>
        <w:rPr>
          <w:rFonts w:hint="eastAsia"/>
          <w:color w:val="auto"/>
          <w:sz w:val="28"/>
          <w:szCs w:val="28"/>
          <w:highlight w:val="none"/>
        </w:rPr>
        <w:t>三、响应文件的制作</w:t>
      </w:r>
      <w:bookmarkEnd w:id="74"/>
      <w:bookmarkEnd w:id="75"/>
      <w:bookmarkEnd w:id="76"/>
      <w:bookmarkEnd w:id="77"/>
    </w:p>
    <w:p w14:paraId="1A7EAE36">
      <w:pPr>
        <w:pStyle w:val="7"/>
        <w:adjustRightInd/>
        <w:spacing w:line="360" w:lineRule="auto"/>
        <w:ind w:firstLine="420" w:firstLineChars="200"/>
        <w:rPr>
          <w:rFonts w:hint="eastAsia" w:hAnsi="宋体"/>
          <w:color w:val="auto"/>
          <w:sz w:val="21"/>
          <w:szCs w:val="21"/>
          <w:highlight w:val="none"/>
        </w:rPr>
      </w:pPr>
      <w:bookmarkStart w:id="83" w:name="_Toc15756"/>
      <w:bookmarkStart w:id="84" w:name="_Toc23789"/>
      <w:bookmarkStart w:id="85" w:name="_Toc110953839"/>
      <w:bookmarkStart w:id="86" w:name="_Toc7897873"/>
      <w:r>
        <w:rPr>
          <w:rFonts w:hint="eastAsia" w:hAnsi="宋体"/>
          <w:color w:val="auto"/>
          <w:sz w:val="21"/>
          <w:szCs w:val="21"/>
          <w:highlight w:val="none"/>
        </w:rPr>
        <w:t>10.制作要求</w:t>
      </w:r>
      <w:bookmarkEnd w:id="83"/>
      <w:bookmarkEnd w:id="84"/>
      <w:bookmarkEnd w:id="85"/>
      <w:bookmarkEnd w:id="86"/>
    </w:p>
    <w:p w14:paraId="08EE1FD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10.1供应商应当仔细阅读磋商文件的所有内容，按磋商文件的要求提供响应文件，并保证所提供的全部资料的真实性及对磋商文件作出实质性响应。</w:t>
      </w:r>
    </w:p>
    <w:p w14:paraId="3248C24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10.2供应商应按磋商文件中提供的响应文件格式制作响应文件。如有关表格不能满足填报需要，可以对表格格式作出相应调整，但不得更改表格的实质性内容。</w:t>
      </w:r>
    </w:p>
    <w:p w14:paraId="2C52ECD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10.</w:t>
      </w:r>
      <w:r>
        <w:rPr>
          <w:rFonts w:hint="eastAsia" w:hAnsi="宋体"/>
          <w:b/>
          <w:color w:val="auto"/>
          <w:sz w:val="21"/>
          <w:szCs w:val="21"/>
          <w:highlight w:val="none"/>
        </w:rPr>
        <w:t>3供应商应提供正本一份、副本三份、电子文件一份。</w:t>
      </w:r>
      <w:r>
        <w:rPr>
          <w:rFonts w:hint="eastAsia" w:hAnsi="宋体"/>
          <w:color w:val="auto"/>
          <w:sz w:val="21"/>
          <w:szCs w:val="21"/>
          <w:highlight w:val="none"/>
        </w:rPr>
        <w:t>在每一份响应文件上要明确注明“正本”或“副本”字样，一旦正本和副本有差异，以正本为准。</w:t>
      </w:r>
    </w:p>
    <w:p w14:paraId="04549C4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10.4响应文件的正本必须打印，并由供应商的法定代表人或经正式授权对供应商有约束力的委托代理人在响应文件上签字并加盖公章。委托代理人必须出具书面形式的《授权委托书》并附在响应文件中。响应文件的副本可采用正本的复印件。</w:t>
      </w:r>
    </w:p>
    <w:p w14:paraId="3CFD344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10.5除供应商对错处作必要修改外，响应文件中不许有加行、涂改或改写。任何行间插字、涂改和增删，必须由供应商的法定代表人或委托代理人在修改处签字或加盖公章才有效。</w:t>
      </w:r>
    </w:p>
    <w:p w14:paraId="58CAE15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10.6电报、电话、传真、电子邮件形式的响应概不接受。</w:t>
      </w:r>
    </w:p>
    <w:p w14:paraId="7A32C307">
      <w:pPr>
        <w:pStyle w:val="7"/>
        <w:adjustRightInd/>
        <w:spacing w:line="360" w:lineRule="auto"/>
        <w:ind w:firstLine="420" w:firstLineChars="200"/>
        <w:rPr>
          <w:rFonts w:hint="eastAsia" w:hAnsi="宋体"/>
          <w:color w:val="auto"/>
          <w:sz w:val="21"/>
          <w:szCs w:val="21"/>
          <w:highlight w:val="none"/>
        </w:rPr>
      </w:pPr>
      <w:bookmarkStart w:id="87" w:name="_Toc20552"/>
      <w:bookmarkStart w:id="88" w:name="_Toc110953840"/>
      <w:bookmarkStart w:id="89" w:name="_Toc7897874"/>
      <w:bookmarkStart w:id="90" w:name="_Toc18079"/>
      <w:r>
        <w:rPr>
          <w:rFonts w:hint="eastAsia" w:hAnsi="宋体"/>
          <w:color w:val="auto"/>
          <w:sz w:val="21"/>
          <w:szCs w:val="21"/>
          <w:highlight w:val="none"/>
        </w:rPr>
        <w:t>11.响应文件的内容</w:t>
      </w:r>
      <w:bookmarkEnd w:id="87"/>
      <w:bookmarkEnd w:id="88"/>
      <w:bookmarkEnd w:id="89"/>
      <w:bookmarkEnd w:id="90"/>
    </w:p>
    <w:p w14:paraId="0870E53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11.1响应文件应包括下列部分：</w:t>
      </w:r>
    </w:p>
    <w:p w14:paraId="6E17658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11.1.1价格文件</w:t>
      </w:r>
    </w:p>
    <w:p w14:paraId="129F868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11.1.2商务文件</w:t>
      </w:r>
    </w:p>
    <w:p w14:paraId="0CF8946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11.1.3技术文件</w:t>
      </w:r>
    </w:p>
    <w:p w14:paraId="3762F9F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11.1.4电子文件（须含盖章版PDF磋商响应文件和WORD版磋商响应文件各一版，文字采用WORD文档，计算表格采用 EXCEL文档, 可采用光盘介质或U盘装载）</w:t>
      </w:r>
    </w:p>
    <w:p w14:paraId="6B1BF61B">
      <w:pPr>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供应商应如实详细提供第11.1款所要求的全部资料，价格文件、商务文件和技术文件必须单独装订成册，商务、技术和其他证明资料等磋商响应文件不能出现磋商价格。</w:t>
      </w:r>
    </w:p>
    <w:p w14:paraId="2ABD5C4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11.2响应（磋商）报价</w:t>
      </w:r>
    </w:p>
    <w:p w14:paraId="3D8ABE6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（1）响应（磋商）报价应为人民币含税全包价，报价应包含服务及所需的各种税费、售后服务费及合同实施过程中的应预见和不可预见费用等完成合同规定责任和义务、达到合同目的的一切费用。</w:t>
      </w:r>
    </w:p>
    <w:p w14:paraId="0EB84E3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（2）磋商报价应包括所有应支付的对专利权和版权、设计或其他知识产权而需要向其他方支付的版税。</w:t>
      </w:r>
    </w:p>
    <w:p w14:paraId="4F9E508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（3）供应商应按响应文件的《报价一览表》格式填写响应内容的单价和总价。</w:t>
      </w:r>
    </w:p>
    <w:p w14:paraId="07851BA0">
      <w:pPr>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（4）</w:t>
      </w:r>
      <w:r>
        <w:rPr>
          <w:rFonts w:hint="eastAsia" w:hAnsi="宋体"/>
          <w:b/>
          <w:bCs/>
          <w:color w:val="auto"/>
          <w:sz w:val="21"/>
          <w:szCs w:val="21"/>
          <w:highlight w:val="none"/>
        </w:rPr>
        <w:t>供应商每次报价超过最高报价视为非实质性响应磋商而予以拒绝。</w:t>
      </w:r>
    </w:p>
    <w:p w14:paraId="188179E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（5）经磋商后，供应商所报的最后磋商报价在合同执行过程中是固定不变的，不得以任何理由予以变更。</w:t>
      </w:r>
    </w:p>
    <w:p w14:paraId="3A2E7646">
      <w:pPr>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（6）供应商只能就单个项目提供唯一的方案和报价，不接受选择性的方案和报价。</w:t>
      </w:r>
    </w:p>
    <w:p w14:paraId="237C2FB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11.3证明供应商合格和资格的文件</w:t>
      </w:r>
    </w:p>
    <w:p w14:paraId="6E3FB34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11.4供应商应当提交具备履行合同的证明文件。</w:t>
      </w:r>
    </w:p>
    <w:p w14:paraId="1CCEB52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11.5证明文件包括：履行合同所必须具备的财务能力证明、技术能力证明，符合磋商文件资格要求的证明等。</w:t>
      </w:r>
    </w:p>
    <w:p w14:paraId="4107FF0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11.6证明服务的合格性和符合磋商文件规定的文件。</w:t>
      </w:r>
    </w:p>
    <w:p w14:paraId="6ACF2D9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12.7供应商应提交其拟供的合同项下的服务的合格性符合磋商文件规定的证明文件，并作为其响应文件的一部分。</w:t>
      </w:r>
    </w:p>
    <w:p w14:paraId="291504B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11.8服务合格性的证明文件应包括服务来源地的说明，服务与磋商文件的要求相一致的证明文件，其他说明所提供服务已对技术要求做出了实质性响应的文件或说明与技术规格条文的偏差和例外等，形式可以是文字说明、图纸及其他资料。</w:t>
      </w:r>
    </w:p>
    <w:p w14:paraId="266210D5">
      <w:pPr>
        <w:pStyle w:val="7"/>
        <w:adjustRightInd/>
        <w:spacing w:line="360" w:lineRule="auto"/>
        <w:ind w:firstLine="420" w:firstLineChars="200"/>
        <w:rPr>
          <w:rFonts w:hint="eastAsia" w:hAnsi="宋体"/>
          <w:color w:val="auto"/>
          <w:sz w:val="21"/>
          <w:szCs w:val="21"/>
          <w:highlight w:val="none"/>
        </w:rPr>
      </w:pPr>
      <w:bookmarkStart w:id="91" w:name="_Toc9150"/>
      <w:bookmarkStart w:id="92" w:name="_Toc21763"/>
      <w:bookmarkStart w:id="93" w:name="_Toc7897875"/>
      <w:bookmarkStart w:id="94" w:name="_Toc110953841"/>
      <w:r>
        <w:rPr>
          <w:rFonts w:hint="eastAsia" w:hAnsi="宋体"/>
          <w:color w:val="auto"/>
          <w:sz w:val="21"/>
          <w:szCs w:val="21"/>
          <w:highlight w:val="none"/>
        </w:rPr>
        <w:t>12.响应文件格式</w:t>
      </w:r>
      <w:bookmarkEnd w:id="91"/>
      <w:bookmarkEnd w:id="92"/>
      <w:bookmarkEnd w:id="93"/>
      <w:bookmarkEnd w:id="94"/>
    </w:p>
    <w:p w14:paraId="1B2C920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p w14:paraId="17E9BC94">
      <w:pPr>
        <w:pStyle w:val="7"/>
        <w:adjustRightInd/>
        <w:spacing w:line="360" w:lineRule="auto"/>
        <w:ind w:firstLine="420" w:firstLineChars="200"/>
        <w:rPr>
          <w:rFonts w:hint="eastAsia" w:hAnsi="宋体"/>
          <w:color w:val="auto"/>
          <w:sz w:val="21"/>
          <w:szCs w:val="21"/>
          <w:highlight w:val="none"/>
        </w:rPr>
      </w:pPr>
      <w:bookmarkStart w:id="95" w:name="_Toc185150707"/>
      <w:bookmarkStart w:id="96" w:name="_Toc30889"/>
      <w:bookmarkStart w:id="97" w:name="_Toc7897876"/>
      <w:bookmarkStart w:id="98" w:name="_Toc24570"/>
      <w:r>
        <w:rPr>
          <w:rFonts w:hint="eastAsia" w:hAnsi="宋体"/>
          <w:color w:val="auto"/>
          <w:sz w:val="21"/>
          <w:szCs w:val="21"/>
          <w:highlight w:val="none"/>
        </w:rPr>
        <w:t>13.</w:t>
      </w:r>
      <w:bookmarkEnd w:id="95"/>
      <w:r>
        <w:rPr>
          <w:rFonts w:hint="eastAsia" w:hAnsi="宋体"/>
          <w:color w:val="auto"/>
          <w:sz w:val="21"/>
          <w:szCs w:val="21"/>
          <w:highlight w:val="none"/>
        </w:rPr>
        <w:t>磋商保证金</w:t>
      </w:r>
      <w:bookmarkEnd w:id="96"/>
      <w:bookmarkEnd w:id="97"/>
      <w:bookmarkEnd w:id="98"/>
    </w:p>
    <w:p w14:paraId="7CF4448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13.1供应商应向采购代理机构提交磋商保证金，并作为其响应文件的一部分。磋商保证金的金额：</w:t>
      </w:r>
    </w:p>
    <w:tbl>
      <w:tblPr>
        <w:tblStyle w:val="54"/>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1"/>
        <w:gridCol w:w="3647"/>
      </w:tblGrid>
      <w:tr w14:paraId="3E1C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exact"/>
          <w:jc w:val="center"/>
        </w:trPr>
        <w:tc>
          <w:tcPr>
            <w:tcW w:w="5161" w:type="dxa"/>
            <w:shd w:val="clear" w:color="auto" w:fill="E0E0E0"/>
            <w:vAlign w:val="center"/>
          </w:tcPr>
          <w:p w14:paraId="41F66CFA">
            <w:pPr>
              <w:snapToGrid w:val="0"/>
              <w:jc w:val="center"/>
              <w:rPr>
                <w:rFonts w:hint="eastAsia" w:hAnsi="宋体"/>
                <w:b/>
                <w:color w:val="auto"/>
                <w:sz w:val="21"/>
                <w:szCs w:val="21"/>
                <w:highlight w:val="none"/>
              </w:rPr>
            </w:pPr>
            <w:r>
              <w:rPr>
                <w:rFonts w:hint="eastAsia" w:hAnsi="宋体"/>
                <w:b/>
                <w:color w:val="auto"/>
                <w:sz w:val="21"/>
                <w:szCs w:val="21"/>
                <w:highlight w:val="none"/>
              </w:rPr>
              <w:t>内容</w:t>
            </w:r>
          </w:p>
        </w:tc>
        <w:tc>
          <w:tcPr>
            <w:tcW w:w="3647" w:type="dxa"/>
            <w:shd w:val="clear" w:color="auto" w:fill="E0E0E0"/>
            <w:vAlign w:val="center"/>
          </w:tcPr>
          <w:p w14:paraId="25BF7CA0">
            <w:pPr>
              <w:snapToGrid w:val="0"/>
              <w:jc w:val="center"/>
              <w:rPr>
                <w:rFonts w:hint="eastAsia" w:hAnsi="宋体"/>
                <w:b/>
                <w:color w:val="auto"/>
                <w:sz w:val="21"/>
                <w:szCs w:val="21"/>
                <w:highlight w:val="none"/>
              </w:rPr>
            </w:pPr>
            <w:r>
              <w:rPr>
                <w:rFonts w:hint="eastAsia" w:hAnsi="宋体"/>
                <w:b/>
                <w:color w:val="auto"/>
                <w:sz w:val="21"/>
                <w:szCs w:val="21"/>
                <w:highlight w:val="none"/>
              </w:rPr>
              <w:t>保证金</w:t>
            </w:r>
          </w:p>
        </w:tc>
      </w:tr>
      <w:tr w14:paraId="3A7A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161" w:type="dxa"/>
            <w:vAlign w:val="center"/>
          </w:tcPr>
          <w:p w14:paraId="744D3DF6">
            <w:pPr>
              <w:widowControl/>
              <w:jc w:val="center"/>
              <w:rPr>
                <w:rFonts w:hint="eastAsia" w:hAnsi="宋体"/>
                <w:color w:val="auto"/>
                <w:sz w:val="21"/>
                <w:szCs w:val="21"/>
                <w:highlight w:val="none"/>
              </w:rPr>
            </w:pPr>
            <w:r>
              <w:rPr>
                <w:rFonts w:hint="eastAsia" w:hAnsi="宋体"/>
                <w:color w:val="auto"/>
                <w:sz w:val="21"/>
                <w:szCs w:val="21"/>
                <w:highlight w:val="none"/>
              </w:rPr>
              <w:t>2026年东莞市安居建设投资有限公司AI营销服务项目</w:t>
            </w:r>
          </w:p>
        </w:tc>
        <w:tc>
          <w:tcPr>
            <w:tcW w:w="3647" w:type="dxa"/>
            <w:vAlign w:val="center"/>
          </w:tcPr>
          <w:p w14:paraId="524EF782">
            <w:pPr>
              <w:widowControl/>
              <w:jc w:val="center"/>
              <w:rPr>
                <w:rFonts w:hint="eastAsia" w:hAnsi="宋体"/>
                <w:color w:val="auto"/>
                <w:sz w:val="21"/>
                <w:szCs w:val="21"/>
                <w:highlight w:val="none"/>
              </w:rPr>
            </w:pPr>
            <w:r>
              <w:rPr>
                <w:rFonts w:hint="eastAsia" w:hAnsi="宋体"/>
                <w:color w:val="auto"/>
                <w:sz w:val="21"/>
                <w:szCs w:val="21"/>
                <w:highlight w:val="none"/>
              </w:rPr>
              <w:t xml:space="preserve"> 人民币陆仟元整（6,000.00元）</w:t>
            </w:r>
          </w:p>
        </w:tc>
      </w:tr>
    </w:tbl>
    <w:p w14:paraId="79651B3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13.2供应商应按要求提交磋商保证金，供应商采用银行转账、</w:t>
      </w:r>
      <w:r>
        <w:rPr>
          <w:rFonts w:hint="eastAsia" w:hAnsi="宋体"/>
          <w:color w:val="auto"/>
          <w:kern w:val="2"/>
          <w:sz w:val="21"/>
          <w:szCs w:val="21"/>
          <w:highlight w:val="none"/>
          <w:lang w:val="zh-CN"/>
        </w:rPr>
        <w:t>电汇</w:t>
      </w:r>
      <w:r>
        <w:rPr>
          <w:rFonts w:hint="eastAsia" w:hAnsi="宋体"/>
          <w:color w:val="auto"/>
          <w:sz w:val="21"/>
          <w:szCs w:val="21"/>
          <w:highlight w:val="none"/>
        </w:rPr>
        <w:t>的形式缴交，磋商供应商与交款人名称必须一致，非磋商供应商缴纳的磋商保证金无效。</w:t>
      </w:r>
    </w:p>
    <w:p w14:paraId="36D2477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 xml:space="preserve">13.3磋商保证金的提交，应符合下列规定： </w:t>
      </w:r>
    </w:p>
    <w:p w14:paraId="3C0CF135">
      <w:pPr>
        <w:tabs>
          <w:tab w:val="left" w:pos="567"/>
        </w:tabs>
        <w:spacing w:line="360" w:lineRule="auto"/>
        <w:ind w:firstLine="420" w:firstLineChars="200"/>
        <w:jc w:val="both"/>
        <w:rPr>
          <w:rFonts w:hint="eastAsia" w:hAnsi="宋体"/>
          <w:b/>
          <w:bCs/>
          <w:color w:val="auto"/>
          <w:kern w:val="2"/>
          <w:sz w:val="21"/>
          <w:szCs w:val="21"/>
          <w:highlight w:val="none"/>
          <w:lang w:val="zh-CN"/>
        </w:rPr>
      </w:pPr>
      <w:r>
        <w:rPr>
          <w:rFonts w:hint="eastAsia" w:hAnsi="宋体"/>
          <w:color w:val="auto"/>
          <w:kern w:val="2"/>
          <w:sz w:val="21"/>
          <w:szCs w:val="21"/>
          <w:highlight w:val="none"/>
          <w:lang w:val="zh-CN"/>
        </w:rPr>
        <w:t>磋商保证金采用转账、电汇方式提交，应符合以下要求：保证金汇入以下磋商保证金专用账户，不接收由以供应商分支机构、私人账户和其他单位转入的保证金。磋商保证金必须在磋商响应文件递交截止前到账，磋商保证金未按规定时间到达指定账户或提交金额不足的，将被视为无效响应。且在备注或用途中注明本项目的项目编号。</w:t>
      </w:r>
    </w:p>
    <w:p w14:paraId="578E4895">
      <w:pPr>
        <w:tabs>
          <w:tab w:val="left" w:pos="567"/>
        </w:tabs>
        <w:spacing w:line="360" w:lineRule="auto"/>
        <w:ind w:left="567" w:hanging="567"/>
        <w:jc w:val="both"/>
        <w:rPr>
          <w:rFonts w:hint="eastAsia" w:hAnsi="宋体"/>
          <w:color w:val="auto"/>
          <w:kern w:val="2"/>
          <w:sz w:val="21"/>
          <w:szCs w:val="21"/>
          <w:highlight w:val="none"/>
          <w:lang w:val="zh-CN"/>
        </w:rPr>
      </w:pPr>
      <w:r>
        <w:rPr>
          <w:rFonts w:hint="eastAsia" w:hAnsi="宋体"/>
          <w:color w:val="auto"/>
          <w:kern w:val="2"/>
          <w:sz w:val="21"/>
          <w:szCs w:val="21"/>
          <w:highlight w:val="none"/>
          <w:lang w:val="zh-CN"/>
        </w:rPr>
        <w:t>磋商保证金专用账户如下：</w:t>
      </w:r>
    </w:p>
    <w:p w14:paraId="08835D2A">
      <w:pPr>
        <w:spacing w:line="360" w:lineRule="auto"/>
        <w:ind w:firstLine="422" w:firstLineChars="200"/>
        <w:rPr>
          <w:rFonts w:hint="eastAsia" w:hAnsi="宋体"/>
          <w:b/>
          <w:bCs/>
          <w:color w:val="auto"/>
          <w:kern w:val="2"/>
          <w:sz w:val="21"/>
          <w:szCs w:val="21"/>
          <w:highlight w:val="none"/>
        </w:rPr>
      </w:pPr>
      <w:r>
        <w:rPr>
          <w:rFonts w:hint="eastAsia" w:hAnsi="宋体"/>
          <w:b/>
          <w:bCs/>
          <w:color w:val="auto"/>
          <w:kern w:val="2"/>
          <w:sz w:val="21"/>
          <w:szCs w:val="21"/>
          <w:highlight w:val="none"/>
          <w:lang w:val="zh-CN"/>
        </w:rPr>
        <w:t>账户名称：广东中科招标有限公司</w:t>
      </w:r>
    </w:p>
    <w:p w14:paraId="3299D05A">
      <w:pPr>
        <w:spacing w:line="360" w:lineRule="auto"/>
        <w:ind w:firstLine="422" w:firstLineChars="200"/>
        <w:rPr>
          <w:rFonts w:hint="eastAsia" w:hAnsi="宋体"/>
          <w:b/>
          <w:bCs/>
          <w:color w:val="auto"/>
          <w:kern w:val="2"/>
          <w:sz w:val="21"/>
          <w:szCs w:val="21"/>
          <w:highlight w:val="none"/>
          <w:lang w:val="zh-CN"/>
        </w:rPr>
      </w:pPr>
      <w:r>
        <w:rPr>
          <w:rFonts w:hint="eastAsia" w:hAnsi="宋体"/>
          <w:b/>
          <w:bCs/>
          <w:color w:val="auto"/>
          <w:kern w:val="2"/>
          <w:sz w:val="21"/>
          <w:szCs w:val="21"/>
          <w:highlight w:val="none"/>
          <w:lang w:val="zh-CN"/>
        </w:rPr>
        <w:t>账  号：6232590699050810868</w:t>
      </w:r>
    </w:p>
    <w:p w14:paraId="51DADA18">
      <w:pPr>
        <w:spacing w:line="360" w:lineRule="auto"/>
        <w:ind w:firstLine="422" w:firstLineChars="200"/>
        <w:rPr>
          <w:rFonts w:hint="eastAsia" w:hAnsi="宋体"/>
          <w:b/>
          <w:bCs/>
          <w:color w:val="auto"/>
          <w:kern w:val="2"/>
          <w:sz w:val="21"/>
          <w:szCs w:val="21"/>
          <w:highlight w:val="none"/>
          <w:lang w:val="zh-CN"/>
        </w:rPr>
      </w:pPr>
      <w:r>
        <w:rPr>
          <w:rFonts w:hint="eastAsia" w:hAnsi="宋体"/>
          <w:b/>
          <w:bCs/>
          <w:color w:val="auto"/>
          <w:kern w:val="2"/>
          <w:sz w:val="21"/>
          <w:szCs w:val="21"/>
          <w:highlight w:val="none"/>
          <w:lang w:val="zh-CN"/>
        </w:rPr>
        <w:t>开户行：广发银行股份有限公司东莞南城支行</w:t>
      </w:r>
    </w:p>
    <w:p w14:paraId="53EDBCE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供应商必须保证资金以其供应商的名称（以分公司或子公司汇款无效）在本项目磋商响应文件截止前汇入到保证金专用账户（以银行到帐为准），可采用银行转账方式提交，但不可以采用现金方式（包括以存现方式）提交，未按要求提交磋商保证金的将导致废标。</w:t>
      </w:r>
    </w:p>
    <w:p w14:paraId="6275099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13.4供应商应将汇款底单复印件附在《磋商保证金汇入情况说明》中。磋商保证金的汇入单位名称须与磋商供应商名称一致，不接受以分支机构名义或个人账户代替供应商进行汇款。</w:t>
      </w:r>
    </w:p>
    <w:p w14:paraId="3EFDC29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13.5凡没有根据规定递交磋商保证金的，应视为非响应性磋商予以拒绝。</w:t>
      </w:r>
    </w:p>
    <w:p w14:paraId="281FFC4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13.6未成交供应商的磋商保证金自成交通知书发出后5个工作日内退还（不计利息）；成交供应商的磋商保证金，将在其签署合同后，采购代理机构在5个工作日内退还（不计利息）。逾期办理的，采购人不承担迟延退款责任。</w:t>
      </w:r>
    </w:p>
    <w:p w14:paraId="6E1E9B5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13.7下列任何情况发生时，磋商保证金将被没收：</w:t>
      </w:r>
    </w:p>
    <w:p w14:paraId="273B41F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13.7.1供应商在磋商文件中规定的磋商有效期内撤回其磋商；</w:t>
      </w:r>
    </w:p>
    <w:p w14:paraId="275F3C7C">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13.7.2供应商串通磋商或者以其他弄虚作假方式磋商；</w:t>
      </w:r>
    </w:p>
    <w:p w14:paraId="0BA0360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13.7.3成交供应商在规定期限内未能按规定签订合同；</w:t>
      </w:r>
    </w:p>
    <w:p w14:paraId="1C45108C">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13.7.4法律法规规定和磋商文件中规定的其它情况。</w:t>
      </w:r>
    </w:p>
    <w:p w14:paraId="20987D37">
      <w:pPr>
        <w:pStyle w:val="7"/>
        <w:adjustRightInd/>
        <w:spacing w:line="360" w:lineRule="auto"/>
        <w:ind w:firstLine="420" w:firstLineChars="200"/>
        <w:rPr>
          <w:rFonts w:hint="eastAsia" w:hAnsi="宋体"/>
          <w:color w:val="auto"/>
          <w:sz w:val="21"/>
          <w:szCs w:val="21"/>
          <w:highlight w:val="none"/>
        </w:rPr>
      </w:pPr>
      <w:bookmarkStart w:id="99" w:name="_Toc480020258"/>
      <w:bookmarkStart w:id="100" w:name="_Toc480010709"/>
      <w:bookmarkStart w:id="101" w:name="_Toc7897877"/>
      <w:bookmarkStart w:id="102" w:name="_Toc454701382"/>
      <w:bookmarkStart w:id="103" w:name="_Toc480171880"/>
      <w:bookmarkStart w:id="104" w:name="_Toc467236741"/>
      <w:bookmarkStart w:id="105" w:name="_Toc458262615"/>
      <w:bookmarkStart w:id="106" w:name="_Toc110953842"/>
      <w:bookmarkStart w:id="107" w:name="_Toc468606030"/>
      <w:bookmarkStart w:id="108" w:name="_Toc503758471"/>
      <w:bookmarkStart w:id="109" w:name="_Toc479991583"/>
      <w:bookmarkStart w:id="110" w:name="_Toc32304"/>
      <w:bookmarkStart w:id="111" w:name="_Toc480021054"/>
      <w:bookmarkStart w:id="112" w:name="_Toc2525"/>
      <w:bookmarkStart w:id="113" w:name="_Toc467987824"/>
      <w:bookmarkStart w:id="114" w:name="_Toc468157537"/>
      <w:r>
        <w:rPr>
          <w:rFonts w:hint="eastAsia" w:hAnsi="宋体"/>
          <w:color w:val="auto"/>
          <w:sz w:val="21"/>
          <w:szCs w:val="21"/>
          <w:highlight w:val="none"/>
        </w:rPr>
        <w:t>14.响应有效期</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15085CD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14.1响应文件从开启响应文件之日起，响应有效期为90个工作日。</w:t>
      </w:r>
    </w:p>
    <w:p w14:paraId="7CDF080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14.2特殊情况下，采购代理机构可于响应有效期期满之前，要求供应商同意延长响应有效期，要求与答复均应为书面形式。对于同意该要求的供应商，既不要求也不允许其修改响应文件。</w:t>
      </w:r>
    </w:p>
    <w:p w14:paraId="1344303E">
      <w:pPr>
        <w:pStyle w:val="15"/>
        <w:ind w:firstLine="400"/>
        <w:rPr>
          <w:rFonts w:hint="eastAsia" w:ascii="宋体" w:hAnsi="宋体"/>
          <w:color w:val="auto"/>
          <w:highlight w:val="none"/>
        </w:rPr>
      </w:pPr>
    </w:p>
    <w:bookmarkEnd w:id="78"/>
    <w:bookmarkEnd w:id="79"/>
    <w:bookmarkEnd w:id="80"/>
    <w:bookmarkEnd w:id="81"/>
    <w:bookmarkEnd w:id="82"/>
    <w:p w14:paraId="39FB6E73">
      <w:pPr>
        <w:pStyle w:val="6"/>
        <w:adjustRightInd/>
        <w:spacing w:line="360" w:lineRule="auto"/>
        <w:ind w:firstLine="562" w:firstLineChars="200"/>
        <w:jc w:val="center"/>
        <w:rPr>
          <w:rFonts w:hint="eastAsia"/>
          <w:color w:val="auto"/>
          <w:sz w:val="28"/>
          <w:szCs w:val="28"/>
          <w:highlight w:val="none"/>
        </w:rPr>
      </w:pPr>
      <w:bookmarkStart w:id="115" w:name="_Toc17761"/>
      <w:bookmarkStart w:id="116" w:name="_Toc110953843"/>
      <w:bookmarkStart w:id="117" w:name="_Toc7897878"/>
      <w:bookmarkStart w:id="118" w:name="_Toc2740"/>
      <w:bookmarkStart w:id="119" w:name="_Toc6968691"/>
      <w:bookmarkStart w:id="120" w:name="_Toc466786438"/>
      <w:bookmarkStart w:id="121" w:name="_Toc6882679"/>
      <w:bookmarkStart w:id="122" w:name="_Toc102277760"/>
      <w:bookmarkStart w:id="123" w:name="_Toc507407363"/>
      <w:r>
        <w:rPr>
          <w:rFonts w:hint="eastAsia"/>
          <w:color w:val="auto"/>
          <w:sz w:val="28"/>
          <w:szCs w:val="28"/>
          <w:highlight w:val="none"/>
        </w:rPr>
        <w:t>四、响应文件的递交</w:t>
      </w:r>
      <w:bookmarkEnd w:id="115"/>
      <w:bookmarkEnd w:id="116"/>
      <w:bookmarkEnd w:id="117"/>
      <w:bookmarkEnd w:id="118"/>
    </w:p>
    <w:p w14:paraId="7DC906E4">
      <w:pPr>
        <w:pStyle w:val="7"/>
        <w:adjustRightInd/>
        <w:spacing w:line="360" w:lineRule="auto"/>
        <w:ind w:firstLine="420" w:firstLineChars="200"/>
        <w:rPr>
          <w:rFonts w:hint="eastAsia" w:hAnsi="宋体"/>
          <w:color w:val="auto"/>
          <w:sz w:val="21"/>
          <w:szCs w:val="21"/>
          <w:highlight w:val="none"/>
        </w:rPr>
      </w:pPr>
      <w:bookmarkStart w:id="124" w:name="_Toc7897879"/>
      <w:bookmarkStart w:id="125" w:name="_Toc11500"/>
      <w:bookmarkStart w:id="126" w:name="_Toc2684"/>
      <w:bookmarkStart w:id="127" w:name="_Toc110953844"/>
      <w:r>
        <w:rPr>
          <w:rFonts w:hint="eastAsia" w:hAnsi="宋体"/>
          <w:color w:val="auto"/>
          <w:sz w:val="21"/>
          <w:szCs w:val="21"/>
          <w:highlight w:val="none"/>
        </w:rPr>
        <w:t>15.响应文件的密封和标记</w:t>
      </w:r>
      <w:bookmarkEnd w:id="124"/>
      <w:bookmarkEnd w:id="125"/>
      <w:bookmarkEnd w:id="126"/>
      <w:bookmarkEnd w:id="127"/>
    </w:p>
    <w:p w14:paraId="241A663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15.1供应商应将响应文件正本和副本用信封分别密封，并标明供应商的名称、采购编号及“正本”或“副本”字样。</w:t>
      </w:r>
    </w:p>
    <w:p w14:paraId="23D042E5">
      <w:pPr>
        <w:tabs>
          <w:tab w:val="left" w:pos="567"/>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15.2在磋商响应文件密封袋上均应标明以下内容：</w:t>
      </w:r>
    </w:p>
    <w:p w14:paraId="07A308C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① 收 件 人：；</w:t>
      </w:r>
    </w:p>
    <w:p w14:paraId="1494C65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② 项目名称：；</w:t>
      </w:r>
    </w:p>
    <w:p w14:paraId="2A89976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③ 采购编号：；</w:t>
      </w:r>
    </w:p>
    <w:p w14:paraId="7B81184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④        年   月   日   时   分开标，此时间以前不得开封；</w:t>
      </w:r>
    </w:p>
    <w:p w14:paraId="228E981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⑤ 标明供应商名称、地址、联系人和电话以及文件的种类（如价格文件、商务文件、技术文件等）。</w:t>
      </w:r>
    </w:p>
    <w:p w14:paraId="536E95D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15.3供应商应按上述规定进行密封和标记后，将响应文件按照磋商文件中规定的时间和地址送至采购代理机构。</w:t>
      </w:r>
    </w:p>
    <w:p w14:paraId="5476EB8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15.4未按上述规定进行密封、标记和递交的，采购代理机构对响应文件的不依时间递交、误投、破损、封装不合格或提前拆封不负责。</w:t>
      </w:r>
    </w:p>
    <w:p w14:paraId="7136DAD5">
      <w:pPr>
        <w:pStyle w:val="7"/>
        <w:adjustRightInd/>
        <w:spacing w:line="360" w:lineRule="auto"/>
        <w:ind w:firstLine="420" w:firstLineChars="200"/>
        <w:rPr>
          <w:rFonts w:hint="eastAsia" w:hAnsi="宋体"/>
          <w:color w:val="auto"/>
          <w:sz w:val="21"/>
          <w:szCs w:val="21"/>
          <w:highlight w:val="none"/>
        </w:rPr>
      </w:pPr>
      <w:bookmarkStart w:id="128" w:name="_Toc7897880"/>
      <w:bookmarkStart w:id="129" w:name="_Toc12710"/>
      <w:bookmarkStart w:id="130" w:name="_Toc110953845"/>
      <w:bookmarkStart w:id="131" w:name="_Toc10017"/>
      <w:r>
        <w:rPr>
          <w:rFonts w:hint="eastAsia" w:hAnsi="宋体"/>
          <w:color w:val="auto"/>
          <w:sz w:val="21"/>
          <w:szCs w:val="21"/>
          <w:highlight w:val="none"/>
        </w:rPr>
        <w:t>16.响应文件的递交</w:t>
      </w:r>
      <w:bookmarkEnd w:id="128"/>
      <w:bookmarkEnd w:id="129"/>
      <w:bookmarkEnd w:id="130"/>
      <w:bookmarkEnd w:id="131"/>
    </w:p>
    <w:p w14:paraId="6076051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16.1所有响应文件都必须在响应截止时间之前送至采购代理机构。</w:t>
      </w:r>
    </w:p>
    <w:p w14:paraId="2AADB91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16.2采购代理机构拒绝接受以下文件：</w:t>
      </w:r>
    </w:p>
    <w:p w14:paraId="65A2859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（1）提前递交的文件，</w:t>
      </w:r>
    </w:p>
    <w:p w14:paraId="26ECC53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（2）在响应截止时间后递交的响应文件，</w:t>
      </w:r>
    </w:p>
    <w:p w14:paraId="64564EA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（3）未按规定包装和密封的响应文件。</w:t>
      </w:r>
    </w:p>
    <w:p w14:paraId="5E154D8A">
      <w:pPr>
        <w:spacing w:line="360" w:lineRule="auto"/>
        <w:ind w:firstLine="420" w:firstLineChars="200"/>
        <w:rPr>
          <w:rFonts w:hint="eastAsia" w:hAnsi="宋体"/>
          <w:b/>
          <w:bCs/>
          <w:color w:val="auto"/>
          <w:sz w:val="21"/>
          <w:szCs w:val="21"/>
          <w:highlight w:val="none"/>
          <w:lang w:val="zh-CN"/>
        </w:rPr>
      </w:pPr>
      <w:r>
        <w:rPr>
          <w:rFonts w:hint="eastAsia" w:hAnsi="宋体"/>
          <w:color w:val="auto"/>
          <w:sz w:val="21"/>
          <w:szCs w:val="21"/>
          <w:highlight w:val="none"/>
        </w:rPr>
        <w:t>16.3响应文件的修改与撤回</w:t>
      </w:r>
    </w:p>
    <w:p w14:paraId="724C894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（1）供应商在递交响应文件后到响应截止时间之前，可以补充、修改或撤回其响应文件，但供应商必须以书面形式通知采购代理机构。补充、修改的内容与响应文件不一致的，以补充、修改的内容为准。</w:t>
      </w:r>
    </w:p>
    <w:p w14:paraId="7D3BB3C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（2）除法律法规允许的情况外，在响应截止时间之后至响应有效期之间的这段时间内，供应商不得对其响应文件做任何修改，亦不得撤回其响应，否则磋商保证金将不予退还。</w:t>
      </w:r>
    </w:p>
    <w:p w14:paraId="766C8F50">
      <w:pPr>
        <w:spacing w:line="360" w:lineRule="auto"/>
        <w:ind w:firstLine="420" w:firstLineChars="200"/>
        <w:rPr>
          <w:rFonts w:hint="eastAsia" w:hAnsi="宋体"/>
          <w:color w:val="auto"/>
          <w:sz w:val="21"/>
          <w:szCs w:val="21"/>
          <w:highlight w:val="none"/>
        </w:rPr>
      </w:pPr>
    </w:p>
    <w:p w14:paraId="3DC2EEEB">
      <w:pPr>
        <w:pStyle w:val="6"/>
        <w:adjustRightInd/>
        <w:spacing w:line="360" w:lineRule="auto"/>
        <w:ind w:firstLine="562" w:firstLineChars="200"/>
        <w:jc w:val="center"/>
        <w:rPr>
          <w:rFonts w:hint="eastAsia"/>
          <w:color w:val="auto"/>
          <w:sz w:val="28"/>
          <w:szCs w:val="28"/>
          <w:highlight w:val="none"/>
        </w:rPr>
      </w:pPr>
      <w:bookmarkStart w:id="132" w:name="_Toc7897881"/>
      <w:bookmarkStart w:id="133" w:name="_Toc22874"/>
      <w:bookmarkStart w:id="134" w:name="_Toc3138"/>
      <w:r>
        <w:rPr>
          <w:rFonts w:hint="eastAsia"/>
          <w:color w:val="auto"/>
          <w:sz w:val="28"/>
          <w:szCs w:val="28"/>
          <w:highlight w:val="none"/>
        </w:rPr>
        <w:t>五、采购仪式和</w:t>
      </w:r>
      <w:bookmarkEnd w:id="119"/>
      <w:bookmarkEnd w:id="120"/>
      <w:bookmarkEnd w:id="121"/>
      <w:bookmarkEnd w:id="122"/>
      <w:bookmarkEnd w:id="123"/>
      <w:r>
        <w:rPr>
          <w:rFonts w:hint="eastAsia"/>
          <w:color w:val="auto"/>
          <w:sz w:val="28"/>
          <w:szCs w:val="28"/>
          <w:highlight w:val="none"/>
        </w:rPr>
        <w:t>评审会议</w:t>
      </w:r>
      <w:bookmarkEnd w:id="132"/>
      <w:bookmarkEnd w:id="133"/>
      <w:bookmarkEnd w:id="134"/>
    </w:p>
    <w:p w14:paraId="7A5474C6">
      <w:pPr>
        <w:pStyle w:val="7"/>
        <w:adjustRightInd/>
        <w:spacing w:line="360" w:lineRule="auto"/>
        <w:ind w:firstLine="422" w:firstLineChars="200"/>
        <w:rPr>
          <w:rFonts w:hint="eastAsia" w:hAnsi="宋体"/>
          <w:b/>
          <w:color w:val="auto"/>
          <w:sz w:val="21"/>
          <w:szCs w:val="21"/>
          <w:highlight w:val="none"/>
        </w:rPr>
      </w:pPr>
      <w:bookmarkStart w:id="135" w:name="_Toc475249134"/>
      <w:r>
        <w:rPr>
          <w:rFonts w:hint="eastAsia" w:hAnsi="宋体"/>
          <w:b/>
          <w:color w:val="auto"/>
          <w:sz w:val="21"/>
          <w:szCs w:val="21"/>
          <w:highlight w:val="none"/>
        </w:rPr>
        <w:t>17.</w:t>
      </w:r>
      <w:bookmarkEnd w:id="135"/>
      <w:r>
        <w:rPr>
          <w:rFonts w:hint="eastAsia" w:hAnsi="宋体"/>
          <w:b/>
          <w:color w:val="auto"/>
          <w:sz w:val="21"/>
          <w:szCs w:val="21"/>
          <w:highlight w:val="none"/>
        </w:rPr>
        <w:t>开启响应文件</w:t>
      </w:r>
    </w:p>
    <w:p w14:paraId="1510D41B">
      <w:pPr>
        <w:spacing w:line="360" w:lineRule="auto"/>
        <w:ind w:firstLine="420" w:firstLineChars="200"/>
        <w:rPr>
          <w:rFonts w:hint="eastAsia" w:hAnsi="宋体"/>
          <w:color w:val="auto"/>
          <w:sz w:val="21"/>
          <w:szCs w:val="21"/>
          <w:highlight w:val="none"/>
        </w:rPr>
      </w:pPr>
      <w:bookmarkStart w:id="136" w:name="_Toc475249135"/>
      <w:bookmarkStart w:id="137" w:name="_Toc475249138"/>
      <w:r>
        <w:rPr>
          <w:rFonts w:hint="eastAsia" w:hAnsi="宋体"/>
          <w:color w:val="auto"/>
          <w:sz w:val="21"/>
          <w:szCs w:val="21"/>
          <w:highlight w:val="none"/>
        </w:rPr>
        <w:t>17.1采购代理机构在《磋商邀请书》规定的日期、时间和地点在有供应商代表在场的场合组织采购仪式，参加采购仪式的代表应签名报到以证明其出席。</w:t>
      </w:r>
    </w:p>
    <w:p w14:paraId="41A5D32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17.2开启响应文件前，采购人、采购代理机构和供应商将检查响应文件的密封情况。开标过程将由采购代理机构负责记录，由参加开标的各供应商代表和相关工作人员签字确认后随采购文件一并存档。</w:t>
      </w:r>
    </w:p>
    <w:p w14:paraId="11A2FDC7">
      <w:pPr>
        <w:pStyle w:val="7"/>
        <w:adjustRightInd/>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18.磋商小组</w:t>
      </w:r>
      <w:bookmarkEnd w:id="136"/>
    </w:p>
    <w:p w14:paraId="34EE770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18.1采购代理机构将根据项目特点组建磋商小组，磋商小组由采购人代表和评审专家共3人或以上单数组成，其中评审专家人数不得少于磋商小组成员总数的2/3。</w:t>
      </w:r>
    </w:p>
    <w:p w14:paraId="3B587F03">
      <w:pPr>
        <w:pStyle w:val="7"/>
        <w:adjustRightInd/>
        <w:spacing w:line="360" w:lineRule="auto"/>
        <w:ind w:firstLine="422" w:firstLineChars="200"/>
        <w:rPr>
          <w:rFonts w:hint="eastAsia" w:hAnsi="宋体"/>
          <w:b/>
          <w:color w:val="auto"/>
          <w:sz w:val="21"/>
          <w:szCs w:val="21"/>
          <w:highlight w:val="none"/>
        </w:rPr>
      </w:pPr>
      <w:bookmarkStart w:id="138" w:name="_Toc37121259"/>
      <w:bookmarkStart w:id="139" w:name="_Toc535141844"/>
      <w:r>
        <w:rPr>
          <w:rFonts w:hint="eastAsia" w:hAnsi="宋体"/>
          <w:b/>
          <w:color w:val="auto"/>
          <w:sz w:val="21"/>
          <w:szCs w:val="21"/>
          <w:highlight w:val="none"/>
        </w:rPr>
        <w:t>19.对响应文件的初审</w:t>
      </w:r>
      <w:bookmarkEnd w:id="138"/>
      <w:bookmarkEnd w:id="139"/>
    </w:p>
    <w:p w14:paraId="4D0D768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19.1开启响应文件后，采购代理机构将组织磋商小组对响应文件进行初审，初审包括资格性审查和符合性审查。</w:t>
      </w:r>
    </w:p>
    <w:p w14:paraId="1888C3C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19.2资格性审查是指依据法律规定和磋商文件的规定，对响应文件中的资格证明等进行审查，确定供应商是否具备响应资格。</w:t>
      </w:r>
    </w:p>
    <w:p w14:paraId="51CA8B1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19.3符合性审查是指依据磋商文件的规定，从响应文件的有效性、完整性和对磋商文件的响应程度进行审查，以确定是否对磋商文件的实质性要求作出响应，包括审查响应文件是否完整，有否计算错误，文件签署是否合格，响应书的编排是否有序等。</w:t>
      </w:r>
    </w:p>
    <w:p w14:paraId="6247ED1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19.4在对响应文件进行详细评估之前，磋商小组将审查每份响应文件是否实质上响应了磋商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的供应商的公平竞争地位。</w:t>
      </w:r>
    </w:p>
    <w:p w14:paraId="7C5F7A7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19.5磋商小组确定响应文件的响应性，只根据响应文件本身的内容，而不寻找外部的证据。</w:t>
      </w:r>
    </w:p>
    <w:p w14:paraId="75EA5C1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19.6实质上没有响应磋商文件要求的响应文件将被拒绝。供应商不得通过修正或撤销不合要求的偏离或保留从而使其响应成为实质上的响应。</w:t>
      </w:r>
    </w:p>
    <w:p w14:paraId="3ADC643B">
      <w:pPr>
        <w:pStyle w:val="7"/>
        <w:adjustRightInd/>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20.对响应文件的澄清</w:t>
      </w:r>
    </w:p>
    <w:p w14:paraId="33FDFEF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20.1磋商小组在对响应文件的有效性、完整性和响应程度进行审查时，可以要求供应商对响应文件中含义不明确、同类问题表述不一致或者有明显文字和计算错误的内容等作出必要的澄清、说明或者更正。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磋商小组不接受响应人主动提出的澄清、说明或更正。</w:t>
      </w:r>
    </w:p>
    <w:p w14:paraId="322BAAF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20.2响应文件内容表述不一致按照以下方法处理：响应文件中报价一览表内容与响应文件明细表内容不一致的，以报价一览表为准；响应文件的大写金额和小写金额不一致的，以大写金额为准；总价金额与按单价汇总金额不一致的，以单价金额计算结果为准；单价金额小数点有明显错位的，应以单价为准，并修改总价；对不同文字文本响应文件的解释发生异议的，应以中文文本为准。</w:t>
      </w:r>
    </w:p>
    <w:p w14:paraId="504AA00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20.3供应商的法定代表人或委托代理人应当按照采购代理机构通知的时间和地点接受询问，对响应文件中含义不明确的内容作必要的澄清、说明或者纠正。</w:t>
      </w:r>
    </w:p>
    <w:p w14:paraId="59E9B4EF">
      <w:pPr>
        <w:pStyle w:val="7"/>
        <w:adjustRightInd/>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21.开展磋商</w:t>
      </w:r>
    </w:p>
    <w:p w14:paraId="75CF1BD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21.1主持人宣布评审纪律，磋商小组所有成员及相关工作人员签名确认。</w:t>
      </w:r>
    </w:p>
    <w:p w14:paraId="256C4AAC">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21.2磋商小组所有成员应当集中与单一供应商分别进行一轮或多轮的磋商（具体磋商轮次由磋商小组视情况决定）在磋商中，磋商小组及有关当事人应当严格遵循保密原则，任何人不得透露与磋商有关的供应商的技术、价格和其他信息。</w:t>
      </w:r>
    </w:p>
    <w:p w14:paraId="46795F4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21.3在磋商过程中，磋商小组可以根据磋商文件和磋商情况实质性变动采购需求中的技术、服务要求以及合同草案条款，但不得变动磋商文件中的其他内容，并应当以书面形式通知所有参加磋商的供应商。实质性变动的内容，须经采购人代表确认。对磋商文件作出的实质性变动是磋商文件的有效组成部分。</w:t>
      </w:r>
    </w:p>
    <w:p w14:paraId="3948385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21.4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22A69237">
      <w:pPr>
        <w:pStyle w:val="7"/>
        <w:adjustRightInd/>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22.最后报价</w:t>
      </w:r>
    </w:p>
    <w:p w14:paraId="6B44005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22.1磋商文件能够详细列明采购标的的技术、服务要求的，磋商结束后，磋商小组应当要求所有实质性响应的供应商在规定时间内提交最后报价，除法律法规规定的允许的情况外，提交最后报价的供应商不得少于3家。最后报价是供应商响应文件的有效组成部分。</w:t>
      </w:r>
    </w:p>
    <w:p w14:paraId="2ACD60C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22.2已提交响应文件的供应商，在提交最后报价之前，可以根据磋商情况退出磋商。采购人、采购代理机构应当退还退出磋商的供应商的磋商保证金。</w:t>
      </w:r>
    </w:p>
    <w:bookmarkEnd w:id="137"/>
    <w:p w14:paraId="24063FB5">
      <w:pPr>
        <w:pStyle w:val="7"/>
        <w:adjustRightInd/>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23.综合评分</w:t>
      </w:r>
    </w:p>
    <w:p w14:paraId="1EC6C9F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经磋商确定最终采购需求和提交最后报价的供应商后，由磋商小组采用综合评分法对提交最后报价的供应商的响应文件和最后报价进行综合评分。详见本文件《第四篇 评标工作大纲》。</w:t>
      </w:r>
    </w:p>
    <w:p w14:paraId="4B3DC518">
      <w:pPr>
        <w:pStyle w:val="15"/>
        <w:ind w:firstLine="400"/>
        <w:rPr>
          <w:rFonts w:hint="eastAsia" w:ascii="宋体" w:hAnsi="宋体"/>
          <w:color w:val="auto"/>
          <w:highlight w:val="none"/>
        </w:rPr>
      </w:pPr>
    </w:p>
    <w:p w14:paraId="1BBEF972">
      <w:pPr>
        <w:pStyle w:val="6"/>
        <w:adjustRightInd/>
        <w:spacing w:line="360" w:lineRule="auto"/>
        <w:ind w:firstLine="562" w:firstLineChars="200"/>
        <w:jc w:val="center"/>
        <w:rPr>
          <w:rFonts w:hint="eastAsia"/>
          <w:color w:val="auto"/>
          <w:sz w:val="28"/>
          <w:szCs w:val="28"/>
          <w:highlight w:val="none"/>
        </w:rPr>
      </w:pPr>
      <w:bookmarkStart w:id="140" w:name="_Toc18625"/>
      <w:bookmarkStart w:id="141" w:name="_Toc21174"/>
      <w:bookmarkStart w:id="142" w:name="_Toc7897882"/>
      <w:r>
        <w:rPr>
          <w:rFonts w:hint="eastAsia"/>
          <w:color w:val="auto"/>
          <w:sz w:val="28"/>
          <w:szCs w:val="28"/>
          <w:highlight w:val="none"/>
        </w:rPr>
        <w:t>六、确定成交供应商</w:t>
      </w:r>
      <w:bookmarkEnd w:id="140"/>
      <w:bookmarkEnd w:id="141"/>
      <w:bookmarkEnd w:id="142"/>
    </w:p>
    <w:p w14:paraId="08744815">
      <w:pPr>
        <w:pStyle w:val="7"/>
        <w:adjustRightInd/>
        <w:spacing w:line="360" w:lineRule="auto"/>
        <w:ind w:firstLine="422" w:firstLineChars="200"/>
        <w:rPr>
          <w:rFonts w:hint="eastAsia" w:hAnsi="宋体"/>
          <w:b/>
          <w:color w:val="auto"/>
          <w:sz w:val="21"/>
          <w:szCs w:val="21"/>
          <w:highlight w:val="none"/>
        </w:rPr>
      </w:pPr>
      <w:r>
        <w:rPr>
          <w:rFonts w:hint="eastAsia" w:hAnsi="宋体"/>
          <w:b/>
          <w:color w:val="auto"/>
          <w:sz w:val="21"/>
          <w:szCs w:val="21"/>
          <w:highlight w:val="none"/>
        </w:rPr>
        <w:t>24.确定成交</w:t>
      </w:r>
    </w:p>
    <w:p w14:paraId="6FFE13E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24.1磋商小组完成评审工作后，出具评审报告，推荐3名以上成交候选供应商。符合法律法规允许的情况的，可以推荐2家成交候选供应商。</w:t>
      </w:r>
    </w:p>
    <w:p w14:paraId="014EBA0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24.2采购人从成交候选供应商名单中按照综合得分排序确定1名成交供应商。</w:t>
      </w:r>
    </w:p>
    <w:p w14:paraId="44432CB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24.3根据响应或评审情况，采购代理机构保留在确定成交供应商之前任何时候接受或拒绝任何响应，以及宣布评审程序无效或拒绝所有响应的权力，对受影响的供应商不承担任何责任，也无义务向受影响的供应商解释这一行动的理由。</w:t>
      </w:r>
    </w:p>
    <w:p w14:paraId="6016DBE4">
      <w:pPr>
        <w:pStyle w:val="7"/>
        <w:adjustRightInd/>
        <w:spacing w:line="360" w:lineRule="auto"/>
        <w:ind w:firstLine="422"/>
        <w:rPr>
          <w:rFonts w:hint="eastAsia" w:hAnsi="宋体"/>
          <w:b/>
          <w:color w:val="auto"/>
          <w:sz w:val="21"/>
          <w:szCs w:val="21"/>
          <w:highlight w:val="none"/>
        </w:rPr>
      </w:pPr>
      <w:r>
        <w:rPr>
          <w:rFonts w:hint="eastAsia" w:hAnsi="宋体"/>
          <w:b/>
          <w:color w:val="auto"/>
          <w:sz w:val="21"/>
          <w:szCs w:val="21"/>
          <w:highlight w:val="none"/>
        </w:rPr>
        <w:t>25.资格后审</w:t>
      </w:r>
    </w:p>
    <w:p w14:paraId="67FEB1B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25.1采购人将有权根据磋商文件中的要求，对评委会推荐的成交候选人进行资格后审。</w:t>
      </w:r>
    </w:p>
    <w:p w14:paraId="30F484E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25.2成交候选人须无条件配合资格后审，否则采购人有权取消成交资格。</w:t>
      </w:r>
    </w:p>
    <w:p w14:paraId="2F9C9B4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25.3资格后审须提供包括但不限于营业执照、税务登记证和在磋商响应文件中提供的资质证明文件、合同等重要证明文件的原件进行核对，综合考察成交供应商的履约能力。如采购人要求还须提供业绩证明的其他材料,成交候选人须配合提供。如授权其分支机构进行项目实施或提供售后服务的，亦应提供其与分支机构关系的法律证明材料。</w:t>
      </w:r>
    </w:p>
    <w:p w14:paraId="25FE574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25.4如发现供应商提交虚假资料谋取成交的，采购人有权没收其磋商保证金，并保留追究其赔偿采购人由此而造成一切损失的责任。</w:t>
      </w:r>
    </w:p>
    <w:p w14:paraId="2966054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25.5采购人保留审查成交供应商是否有能力令采购人满意的履行合同的权利，包括但不限于对成交供应商的规模、人员、场地、生产能力、供货能力等方面的核实或现场考察。如果审查通过，采购人将把合同授予该供应商；如果审查没有通过，采购人将拒绝其磋商，并对下一个候选的供应商能否令人满意地履行合同作类似的审查或重新采购。</w:t>
      </w:r>
    </w:p>
    <w:p w14:paraId="49E50BCC">
      <w:pPr>
        <w:pStyle w:val="7"/>
        <w:adjustRightInd/>
        <w:spacing w:line="360" w:lineRule="auto"/>
        <w:ind w:firstLine="422" w:firstLineChars="200"/>
        <w:rPr>
          <w:rFonts w:hint="eastAsia" w:hAnsi="宋体"/>
          <w:b/>
          <w:color w:val="auto"/>
          <w:sz w:val="21"/>
          <w:szCs w:val="21"/>
          <w:highlight w:val="none"/>
        </w:rPr>
      </w:pPr>
      <w:bookmarkStart w:id="143" w:name="_Toc475249142"/>
      <w:r>
        <w:rPr>
          <w:rFonts w:hint="eastAsia" w:hAnsi="宋体"/>
          <w:b/>
          <w:color w:val="auto"/>
          <w:sz w:val="21"/>
          <w:szCs w:val="21"/>
          <w:highlight w:val="none"/>
        </w:rPr>
        <w:t>26.成交通知</w:t>
      </w:r>
      <w:bookmarkEnd w:id="143"/>
    </w:p>
    <w:p w14:paraId="730261E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26.1 成交结果将在</w:t>
      </w:r>
      <w:r>
        <w:rPr>
          <w:rFonts w:hint="eastAsia" w:hAnsi="宋体"/>
          <w:color w:val="auto"/>
          <w:kern w:val="28"/>
          <w:sz w:val="21"/>
          <w:szCs w:val="21"/>
          <w:highlight w:val="none"/>
        </w:rPr>
        <w:t>东莞实业投资控股集团有限公司-招标采购栏目（http://www.dgsy.com.cn/）</w:t>
      </w:r>
      <w:r>
        <w:rPr>
          <w:rFonts w:hint="eastAsia" w:hAnsi="宋体"/>
          <w:color w:val="auto"/>
          <w:sz w:val="21"/>
          <w:szCs w:val="21"/>
          <w:highlight w:val="none"/>
        </w:rPr>
        <w:t>上公告。</w:t>
      </w:r>
    </w:p>
    <w:p w14:paraId="3D71ED9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26.2 采购代理机构将在采购人确定成交供应商后之日起的2个工作日内发出《成交通知书》。</w:t>
      </w:r>
    </w:p>
    <w:p w14:paraId="56B4DFF8">
      <w:pPr>
        <w:pStyle w:val="63"/>
        <w:rPr>
          <w:rFonts w:hint="eastAsia" w:ascii="宋体" w:hAnsi="宋体" w:cs="宋体"/>
          <w:color w:val="auto"/>
          <w:highlight w:val="none"/>
        </w:rPr>
      </w:pPr>
      <w:r>
        <w:rPr>
          <w:rFonts w:hint="eastAsia" w:ascii="宋体" w:hAnsi="宋体" w:cs="宋体"/>
          <w:color w:val="auto"/>
          <w:kern w:val="0"/>
          <w:highlight w:val="none"/>
        </w:rPr>
        <w:t>26.3</w:t>
      </w:r>
      <w:r>
        <w:rPr>
          <w:rFonts w:hint="eastAsia" w:ascii="宋体" w:hAnsi="宋体" w:cs="宋体"/>
          <w:color w:val="auto"/>
          <w:highlight w:val="none"/>
        </w:rPr>
        <w:t xml:space="preserve"> 《成交通知书》是签订采购合同的依据和组成部分。</w:t>
      </w:r>
    </w:p>
    <w:p w14:paraId="740121AE">
      <w:pPr>
        <w:pStyle w:val="15"/>
        <w:ind w:firstLine="400"/>
        <w:rPr>
          <w:rFonts w:hint="eastAsia" w:ascii="宋体" w:hAnsi="宋体"/>
          <w:color w:val="auto"/>
          <w:highlight w:val="none"/>
        </w:rPr>
      </w:pPr>
    </w:p>
    <w:p w14:paraId="6A760253">
      <w:pPr>
        <w:pStyle w:val="6"/>
        <w:adjustRightInd/>
        <w:spacing w:line="360" w:lineRule="auto"/>
        <w:ind w:firstLine="562" w:firstLineChars="200"/>
        <w:jc w:val="center"/>
        <w:rPr>
          <w:rFonts w:hint="eastAsia"/>
          <w:color w:val="auto"/>
          <w:sz w:val="28"/>
          <w:szCs w:val="28"/>
          <w:highlight w:val="none"/>
        </w:rPr>
      </w:pPr>
      <w:bookmarkStart w:id="144" w:name="_Toc110953852"/>
      <w:bookmarkStart w:id="145" w:name="_Toc28276"/>
      <w:bookmarkStart w:id="146" w:name="_Toc37756778"/>
      <w:bookmarkStart w:id="147" w:name="_Toc20980"/>
      <w:bookmarkStart w:id="148" w:name="_Toc7897883"/>
      <w:bookmarkStart w:id="149" w:name="_Toc475249143"/>
      <w:r>
        <w:rPr>
          <w:rFonts w:hint="eastAsia"/>
          <w:color w:val="auto"/>
          <w:sz w:val="28"/>
          <w:szCs w:val="28"/>
          <w:highlight w:val="none"/>
        </w:rPr>
        <w:t>七、签订采购合同</w:t>
      </w:r>
      <w:bookmarkEnd w:id="144"/>
      <w:bookmarkEnd w:id="145"/>
      <w:bookmarkEnd w:id="146"/>
      <w:bookmarkEnd w:id="147"/>
      <w:bookmarkEnd w:id="148"/>
    </w:p>
    <w:p w14:paraId="4C441C9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27.采购人与成交供应商应当在成交通知书发出之日起30日内，按照磋商文件确定的事项签订采购合同。</w:t>
      </w:r>
    </w:p>
    <w:p w14:paraId="6C08CE8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28.合同内容不得与磋商文件和响应文件内容有实质性偏离。</w:t>
      </w:r>
    </w:p>
    <w:p w14:paraId="28E7E17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w:t>
      </w:r>
      <w:r>
        <w:rPr>
          <w:rFonts w:hint="eastAsia" w:hAnsi="宋体"/>
          <w:color w:val="auto"/>
          <w:sz w:val="21"/>
          <w:szCs w:val="21"/>
          <w:highlight w:val="none"/>
        </w:rPr>
        <w:t>9.采购合同自签订之日起7个工作日内，采购人应将合同副本报采购代理机构归档。</w:t>
      </w:r>
    </w:p>
    <w:p w14:paraId="62C08224">
      <w:pPr>
        <w:spacing w:line="360" w:lineRule="auto"/>
        <w:ind w:firstLine="420" w:firstLineChars="200"/>
        <w:rPr>
          <w:rFonts w:hint="eastAsia" w:hAnsi="宋体"/>
          <w:color w:val="auto"/>
          <w:sz w:val="21"/>
          <w:szCs w:val="21"/>
          <w:highlight w:val="none"/>
          <w:lang w:val="zh-CN"/>
        </w:rPr>
      </w:pPr>
      <w:r>
        <w:rPr>
          <w:rFonts w:hint="eastAsia" w:hAnsi="宋体"/>
          <w:color w:val="auto"/>
          <w:sz w:val="21"/>
          <w:szCs w:val="21"/>
          <w:highlight w:val="none"/>
        </w:rPr>
        <w:t>30</w:t>
      </w:r>
      <w:r>
        <w:rPr>
          <w:rFonts w:hint="eastAsia" w:hAnsi="宋体"/>
          <w:color w:val="auto"/>
          <w:sz w:val="21"/>
          <w:szCs w:val="21"/>
          <w:highlight w:val="none"/>
          <w:lang w:val="zh-CN"/>
        </w:rPr>
        <w:tab/>
      </w:r>
      <w:r>
        <w:rPr>
          <w:rFonts w:hint="eastAsia" w:hAnsi="宋体"/>
          <w:color w:val="auto"/>
          <w:sz w:val="21"/>
          <w:szCs w:val="21"/>
          <w:highlight w:val="none"/>
          <w:lang w:val="zh-CN"/>
        </w:rPr>
        <w:t>履约</w:t>
      </w:r>
      <w:r>
        <w:rPr>
          <w:rFonts w:hint="eastAsia" w:hAnsi="宋体"/>
          <w:color w:val="auto"/>
          <w:sz w:val="21"/>
          <w:szCs w:val="21"/>
          <w:highlight w:val="none"/>
        </w:rPr>
        <w:t>担保</w:t>
      </w:r>
    </w:p>
    <w:p w14:paraId="0E4D93F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30.1.履约担保金额为：合同金额的5%。</w:t>
      </w:r>
    </w:p>
    <w:p w14:paraId="5132525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30.2.履约保证金账户信息：</w:t>
      </w:r>
    </w:p>
    <w:p w14:paraId="128E4EE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账户名称：东莞市安居建设投资有限公司；</w:t>
      </w:r>
    </w:p>
    <w:p w14:paraId="7876496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开户银行：中国建设银行东莞愉景支行；</w:t>
      </w:r>
    </w:p>
    <w:p w14:paraId="6CEA47C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银行账号：4405017759370000</w:t>
      </w:r>
      <w:r>
        <w:rPr>
          <w:rFonts w:hint="eastAsia" w:hAnsi="宋体"/>
          <w:color w:val="auto"/>
          <w:sz w:val="21"/>
          <w:szCs w:val="21"/>
          <w:highlight w:val="none"/>
        </w:rPr>
        <w:t>0219；</w:t>
      </w:r>
    </w:p>
    <w:p w14:paraId="72CFD3C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30.3.成交人在采购（合同签署）时提交履约担保，履约担保金额不超过成交合同金额的10%，如果成交人提交的履约保函的有效期先于合同要求的履约保函有效期到达，成交人应在原提交的履约保函有效期满前15天，无条件办理保函</w:t>
      </w:r>
      <w:r>
        <w:rPr>
          <w:rFonts w:hint="eastAsia" w:hAnsi="宋体"/>
          <w:color w:val="auto"/>
          <w:sz w:val="21"/>
          <w:szCs w:val="21"/>
          <w:highlight w:val="none"/>
        </w:rPr>
        <w:t>延期手续。否则，视为成交人违约，采购人可在保函到期前将保函金额转为现金存入履约保证金账户。</w:t>
      </w:r>
    </w:p>
    <w:p w14:paraId="29FCBF0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30.4.履约担保期限从合同签订之日起至项目完工验收合格并结算完毕后，经双方签字30天内保持有效。</w:t>
      </w:r>
    </w:p>
    <w:p w14:paraId="603956DE">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30.5.履约担保要求：</w:t>
      </w:r>
    </w:p>
    <w:p w14:paraId="12C66EF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（1）履约保函。如果成交人的履约担保是以银行保函形式提供的，则该银行保函应：</w:t>
      </w:r>
    </w:p>
    <w:p w14:paraId="619CF92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①保函应由银行支行或以上银行机构开具。</w:t>
      </w:r>
    </w:p>
    <w:p w14:paraId="5E0E9F0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②保函的格式参考响应文件附件中提供的无条件不可撤销履约保函格式，保函担保期内若项目未能按期竣工，保函必须延期，办理延期手续时在银行方面所产生费用由成交人负责。</w:t>
      </w:r>
    </w:p>
    <w:p w14:paraId="71F7141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③履约保函必须打印，手写、涂改无效。</w:t>
      </w:r>
    </w:p>
    <w:p w14:paraId="2ECBE7E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（2）履约保证金。可采用电汇、银行汇票等银行转账方式提交，但不可以采用现金方式提交。成交人必须保证履约保证金以成交人名称在签订合同前提交至采购人指定账户。</w:t>
      </w:r>
    </w:p>
    <w:p w14:paraId="5F8BEEC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若成交人不能按本磋商文件的规定提交履约保证金的，采购人将有权取消成交人的成交资格（采购人可以按照磋商小组提出的成交候选人名单排序依次确定其他成交候选人为成交人，也可以重新采购），投标保证金不予退还，给采购人造成的损失如果超过投标保证金数额的，还应当对超过部分予以赔偿。</w:t>
      </w:r>
    </w:p>
    <w:p w14:paraId="1653C65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（4）为取得履约担保所需的费用，由成交人承担；若工期延误，履约担保时间延长，延长费用由成交人承担。</w:t>
      </w:r>
    </w:p>
    <w:p w14:paraId="26ED027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5）若成交人在合同履行过程中出现项目质量事故、工期拖延、欠付工人工资、欠付材料款等情况，采购人在经核查属实后，有权将履约保函金额转为现金存入履约保证金账户；成交人造成采购人损失的，采购人有权立即没收其履约担保，若造成损失超过履约担保的，还应当对超过部分予以赔偿。</w:t>
      </w:r>
    </w:p>
    <w:p w14:paraId="6D83BF8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（6）下列任何情况发生时，采购人有权行使享有的担保权利：</w:t>
      </w:r>
    </w:p>
    <w:p w14:paraId="7256ADD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①成交人将本项目转让给他人，或者在响应文件中未说明，且未经采购人同意，将成交项目分包给他人的；</w:t>
      </w:r>
    </w:p>
    <w:p w14:paraId="02594784">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②成交人在履行采购合同期间，违反有关法律法规的规定及合同约定的条款，损害了采购人的利益。</w:t>
      </w:r>
    </w:p>
    <w:p w14:paraId="36193E0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（7）在整个项目验收合格后，成交人向采购人提交退回履约担保的申请，采购人办理履约担保退还手续。</w:t>
      </w:r>
    </w:p>
    <w:p w14:paraId="016DCA20">
      <w:pPr>
        <w:spacing w:line="360" w:lineRule="auto"/>
        <w:ind w:firstLine="420" w:firstLineChars="200"/>
        <w:rPr>
          <w:rFonts w:hint="eastAsia" w:hAnsi="宋体"/>
          <w:color w:val="auto"/>
          <w:sz w:val="21"/>
          <w:szCs w:val="21"/>
          <w:highlight w:val="none"/>
          <w:lang w:val="zh-CN"/>
        </w:rPr>
      </w:pPr>
      <w:r>
        <w:rPr>
          <w:rFonts w:hint="eastAsia" w:hAnsi="宋体"/>
          <w:color w:val="auto"/>
          <w:sz w:val="21"/>
          <w:szCs w:val="21"/>
          <w:highlight w:val="none"/>
          <w:lang w:val="zh-CN"/>
        </w:rPr>
        <w:t>3</w:t>
      </w:r>
      <w:r>
        <w:rPr>
          <w:rFonts w:hint="eastAsia" w:hAnsi="宋体"/>
          <w:color w:val="auto"/>
          <w:sz w:val="21"/>
          <w:szCs w:val="21"/>
          <w:highlight w:val="none"/>
        </w:rPr>
        <w:t>1</w:t>
      </w:r>
      <w:r>
        <w:rPr>
          <w:rFonts w:hint="eastAsia" w:hAnsi="宋体"/>
          <w:color w:val="auto"/>
          <w:sz w:val="21"/>
          <w:szCs w:val="21"/>
          <w:highlight w:val="none"/>
          <w:lang w:val="zh-CN"/>
        </w:rPr>
        <w:t>.发票</w:t>
      </w:r>
    </w:p>
    <w:p w14:paraId="6BEFD27D">
      <w:pPr>
        <w:spacing w:line="360" w:lineRule="auto"/>
        <w:ind w:firstLine="420" w:firstLineChars="200"/>
        <w:rPr>
          <w:rFonts w:hint="eastAsia" w:hAnsi="宋体"/>
          <w:color w:val="auto"/>
          <w:sz w:val="21"/>
          <w:szCs w:val="21"/>
          <w:highlight w:val="none"/>
          <w:lang w:val="zh-CN"/>
        </w:rPr>
      </w:pPr>
      <w:r>
        <w:rPr>
          <w:rFonts w:hint="eastAsia" w:hAnsi="宋体"/>
          <w:color w:val="auto"/>
          <w:sz w:val="21"/>
          <w:szCs w:val="21"/>
          <w:highlight w:val="none"/>
        </w:rPr>
        <w:t>31</w:t>
      </w:r>
      <w:r>
        <w:rPr>
          <w:rFonts w:hint="eastAsia" w:hAnsi="宋体"/>
          <w:color w:val="auto"/>
          <w:sz w:val="21"/>
          <w:szCs w:val="21"/>
          <w:highlight w:val="none"/>
          <w:lang w:val="zh-CN"/>
        </w:rPr>
        <w:t>.1该项目获得成交的成交供应商在执行合同过程中，向采购人出具的发票必须是由成交供应商开具，不得以其他单位或个人名义出具。</w:t>
      </w:r>
    </w:p>
    <w:p w14:paraId="6A6AED5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31.2成交供应商需提交增值税专用发票，并于备注栏写明项目名称及合同名称。</w:t>
      </w:r>
    </w:p>
    <w:p w14:paraId="231FDF3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31.3在合同履行期间，如遇国家的税率调整，则以开具发票的时间为准，以原合同约定价格不含税金额不变作为基准，按照新税率重新计算含税价格。</w:t>
      </w:r>
    </w:p>
    <w:p w14:paraId="18C36587">
      <w:pPr>
        <w:rPr>
          <w:rFonts w:hint="eastAsia" w:hAnsi="宋体"/>
          <w:color w:val="auto"/>
          <w:highlight w:val="none"/>
        </w:rPr>
      </w:pPr>
    </w:p>
    <w:bookmarkEnd w:id="149"/>
    <w:p w14:paraId="1B1A9B07">
      <w:pPr>
        <w:pStyle w:val="6"/>
        <w:adjustRightInd/>
        <w:spacing w:line="360" w:lineRule="auto"/>
        <w:ind w:firstLine="562" w:firstLineChars="200"/>
        <w:jc w:val="center"/>
        <w:rPr>
          <w:rFonts w:hint="eastAsia"/>
          <w:color w:val="auto"/>
          <w:sz w:val="21"/>
          <w:szCs w:val="21"/>
          <w:highlight w:val="none"/>
        </w:rPr>
      </w:pPr>
      <w:bookmarkStart w:id="150" w:name="_Toc8766"/>
      <w:bookmarkStart w:id="151" w:name="_Toc7897884"/>
      <w:bookmarkStart w:id="152" w:name="_Toc152"/>
      <w:bookmarkStart w:id="153" w:name="_Toc3498"/>
      <w:bookmarkStart w:id="154" w:name="_Toc396137239"/>
      <w:bookmarkStart w:id="155" w:name="_Toc5141"/>
      <w:bookmarkStart w:id="156" w:name="_Toc396137240"/>
      <w:bookmarkStart w:id="157" w:name="_Toc22751"/>
      <w:r>
        <w:rPr>
          <w:rFonts w:hint="eastAsia"/>
          <w:color w:val="auto"/>
          <w:sz w:val="28"/>
          <w:szCs w:val="28"/>
          <w:highlight w:val="none"/>
        </w:rPr>
        <w:t>八、</w:t>
      </w:r>
      <w:bookmarkEnd w:id="150"/>
      <w:bookmarkEnd w:id="151"/>
      <w:bookmarkEnd w:id="152"/>
      <w:r>
        <w:rPr>
          <w:rFonts w:hint="eastAsia"/>
          <w:color w:val="auto"/>
          <w:sz w:val="28"/>
          <w:szCs w:val="28"/>
          <w:highlight w:val="none"/>
        </w:rPr>
        <w:t>采购代理服务费</w:t>
      </w:r>
    </w:p>
    <w:p w14:paraId="66BA0ABF">
      <w:pPr>
        <w:spacing w:line="360" w:lineRule="auto"/>
        <w:ind w:firstLine="428" w:firstLineChars="204"/>
        <w:rPr>
          <w:rFonts w:hint="eastAsia" w:hAnsi="宋体"/>
          <w:color w:val="auto"/>
          <w:sz w:val="21"/>
          <w:szCs w:val="21"/>
          <w:highlight w:val="none"/>
        </w:rPr>
      </w:pPr>
      <w:r>
        <w:rPr>
          <w:rFonts w:hint="eastAsia" w:hAnsi="宋体"/>
          <w:color w:val="auto"/>
          <w:sz w:val="21"/>
          <w:szCs w:val="21"/>
          <w:highlight w:val="none"/>
        </w:rPr>
        <w:t>32.采购代理服务费</w:t>
      </w:r>
    </w:p>
    <w:p w14:paraId="0A3B2BDD">
      <w:pPr>
        <w:spacing w:line="360" w:lineRule="auto"/>
        <w:ind w:firstLine="428" w:firstLineChars="204"/>
        <w:rPr>
          <w:rFonts w:hint="eastAsia" w:hAnsi="宋体"/>
          <w:color w:val="auto"/>
          <w:sz w:val="21"/>
          <w:szCs w:val="21"/>
          <w:highlight w:val="none"/>
        </w:rPr>
      </w:pPr>
      <w:r>
        <w:rPr>
          <w:rFonts w:hint="eastAsia" w:hAnsi="宋体"/>
          <w:color w:val="auto"/>
          <w:sz w:val="21"/>
          <w:szCs w:val="21"/>
          <w:highlight w:val="none"/>
        </w:rPr>
        <w:t>32.1采购代理服务费由采购人向采购代理机构支付。</w:t>
      </w:r>
    </w:p>
    <w:p w14:paraId="1B0E7509">
      <w:pPr>
        <w:pStyle w:val="15"/>
        <w:ind w:firstLine="400"/>
        <w:rPr>
          <w:rFonts w:hint="eastAsia" w:ascii="宋体" w:hAnsi="宋体"/>
          <w:color w:val="auto"/>
          <w:highlight w:val="none"/>
        </w:rPr>
      </w:pPr>
    </w:p>
    <w:p w14:paraId="14AC9325">
      <w:pPr>
        <w:pStyle w:val="6"/>
        <w:adjustRightInd/>
        <w:spacing w:line="360" w:lineRule="auto"/>
        <w:ind w:firstLine="562" w:firstLineChars="200"/>
        <w:jc w:val="center"/>
        <w:rPr>
          <w:rFonts w:hint="eastAsia"/>
          <w:color w:val="auto"/>
          <w:sz w:val="28"/>
          <w:szCs w:val="28"/>
          <w:highlight w:val="none"/>
          <w:lang w:val="zh-CN"/>
        </w:rPr>
      </w:pPr>
      <w:bookmarkStart w:id="158" w:name="_Toc17153"/>
      <w:r>
        <w:rPr>
          <w:rFonts w:hint="eastAsia"/>
          <w:color w:val="auto"/>
          <w:sz w:val="28"/>
          <w:szCs w:val="28"/>
          <w:highlight w:val="none"/>
          <w:lang w:val="zh-CN"/>
        </w:rPr>
        <w:t>九、质疑与回复</w:t>
      </w:r>
      <w:bookmarkEnd w:id="153"/>
      <w:bookmarkEnd w:id="154"/>
      <w:bookmarkEnd w:id="155"/>
      <w:bookmarkEnd w:id="158"/>
    </w:p>
    <w:p w14:paraId="3B95A0B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33. 质疑与回复</w:t>
      </w:r>
    </w:p>
    <w:p w14:paraId="7644A2F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33.1 质疑书应当包括下列主要内容：</w:t>
      </w:r>
    </w:p>
    <w:p w14:paraId="422CC6EE">
      <w:pPr>
        <w:spacing w:line="360" w:lineRule="auto"/>
        <w:ind w:left="539" w:right="17" w:hanging="539"/>
        <w:jc w:val="both"/>
        <w:rPr>
          <w:rFonts w:hint="eastAsia" w:hAnsi="宋体"/>
          <w:color w:val="auto"/>
          <w:sz w:val="21"/>
          <w:szCs w:val="21"/>
          <w:highlight w:val="none"/>
        </w:rPr>
      </w:pPr>
      <w:r>
        <w:rPr>
          <w:rFonts w:hint="eastAsia" w:hAnsi="宋体"/>
          <w:color w:val="auto"/>
          <w:sz w:val="21"/>
          <w:szCs w:val="21"/>
          <w:highlight w:val="none"/>
        </w:rPr>
        <w:t>　　（1）供应商的姓名或者名称、地址、邮编、联系人及联系电话；</w:t>
      </w:r>
    </w:p>
    <w:p w14:paraId="4AD87333">
      <w:pPr>
        <w:spacing w:line="360" w:lineRule="auto"/>
        <w:ind w:left="539" w:right="17" w:hanging="539"/>
        <w:jc w:val="both"/>
        <w:rPr>
          <w:rFonts w:hint="eastAsia" w:hAnsi="宋体"/>
          <w:color w:val="auto"/>
          <w:sz w:val="21"/>
          <w:szCs w:val="21"/>
          <w:highlight w:val="none"/>
        </w:rPr>
      </w:pPr>
      <w:r>
        <w:rPr>
          <w:rFonts w:hint="eastAsia" w:hAnsi="宋体"/>
          <w:color w:val="auto"/>
          <w:sz w:val="21"/>
          <w:szCs w:val="21"/>
          <w:highlight w:val="none"/>
        </w:rPr>
        <w:t>　　（2）质疑项目的名称、编号；</w:t>
      </w:r>
    </w:p>
    <w:p w14:paraId="6CC84417">
      <w:pPr>
        <w:spacing w:line="360" w:lineRule="auto"/>
        <w:ind w:left="539" w:right="17" w:hanging="539"/>
        <w:jc w:val="both"/>
        <w:rPr>
          <w:rFonts w:hint="eastAsia" w:hAnsi="宋体"/>
          <w:color w:val="auto"/>
          <w:sz w:val="21"/>
          <w:szCs w:val="21"/>
          <w:highlight w:val="none"/>
        </w:rPr>
      </w:pPr>
      <w:r>
        <w:rPr>
          <w:rFonts w:hint="eastAsia" w:hAnsi="宋体"/>
          <w:color w:val="auto"/>
          <w:sz w:val="21"/>
          <w:szCs w:val="21"/>
          <w:highlight w:val="none"/>
        </w:rPr>
        <w:t>　　（3）具体、明确的质疑事项和与质疑事项相关的请求；</w:t>
      </w:r>
    </w:p>
    <w:p w14:paraId="59E91B04">
      <w:pPr>
        <w:spacing w:line="360" w:lineRule="auto"/>
        <w:ind w:left="539" w:right="17" w:hanging="539"/>
        <w:jc w:val="both"/>
        <w:rPr>
          <w:rFonts w:hint="eastAsia" w:hAnsi="宋体"/>
          <w:color w:val="auto"/>
          <w:sz w:val="21"/>
          <w:szCs w:val="21"/>
          <w:highlight w:val="none"/>
        </w:rPr>
      </w:pPr>
      <w:r>
        <w:rPr>
          <w:rFonts w:hint="eastAsia" w:hAnsi="宋体"/>
          <w:color w:val="auto"/>
          <w:sz w:val="21"/>
          <w:szCs w:val="21"/>
          <w:highlight w:val="none"/>
        </w:rPr>
        <w:t>　　（4）事实依据；</w:t>
      </w:r>
    </w:p>
    <w:p w14:paraId="5EBE619C">
      <w:pPr>
        <w:spacing w:line="360" w:lineRule="auto"/>
        <w:ind w:left="539" w:right="17" w:hanging="539"/>
        <w:jc w:val="both"/>
        <w:rPr>
          <w:rFonts w:hint="eastAsia" w:hAnsi="宋体"/>
          <w:color w:val="auto"/>
          <w:sz w:val="21"/>
          <w:szCs w:val="21"/>
          <w:highlight w:val="none"/>
        </w:rPr>
      </w:pPr>
      <w:r>
        <w:rPr>
          <w:rFonts w:hint="eastAsia" w:hAnsi="宋体"/>
          <w:color w:val="auto"/>
          <w:sz w:val="21"/>
          <w:szCs w:val="21"/>
          <w:highlight w:val="none"/>
        </w:rPr>
        <w:t>　　（5）必要的法律依据；</w:t>
      </w:r>
    </w:p>
    <w:p w14:paraId="48B392DC">
      <w:pPr>
        <w:spacing w:line="360" w:lineRule="auto"/>
        <w:ind w:left="539" w:right="17" w:hanging="539"/>
        <w:jc w:val="both"/>
        <w:rPr>
          <w:rFonts w:hint="eastAsia" w:hAnsi="宋体"/>
          <w:color w:val="auto"/>
          <w:sz w:val="21"/>
          <w:szCs w:val="21"/>
          <w:highlight w:val="none"/>
        </w:rPr>
      </w:pPr>
      <w:r>
        <w:rPr>
          <w:rFonts w:hint="eastAsia" w:hAnsi="宋体"/>
          <w:color w:val="auto"/>
          <w:sz w:val="21"/>
          <w:szCs w:val="21"/>
          <w:highlight w:val="none"/>
        </w:rPr>
        <w:t>　　（6）提出质疑的日期。</w:t>
      </w:r>
    </w:p>
    <w:p w14:paraId="2C15DF0F">
      <w:pPr>
        <w:spacing w:line="360" w:lineRule="auto"/>
        <w:ind w:firstLine="420" w:firstLineChars="200"/>
        <w:rPr>
          <w:rFonts w:hint="eastAsia" w:hAnsi="宋体"/>
          <w:color w:val="auto"/>
          <w:sz w:val="21"/>
          <w:szCs w:val="21"/>
          <w:highlight w:val="none"/>
        </w:rPr>
      </w:pPr>
      <w:r>
        <w:rPr>
          <w:rFonts w:hint="eastAsia" w:hAnsi="宋体"/>
          <w:color w:val="auto"/>
          <w:kern w:val="2"/>
          <w:sz w:val="21"/>
          <w:szCs w:val="21"/>
          <w:highlight w:val="none"/>
        </w:rPr>
        <w:t>33</w:t>
      </w:r>
      <w:r>
        <w:rPr>
          <w:rFonts w:hint="eastAsia" w:hAnsi="宋体"/>
          <w:color w:val="auto"/>
          <w:sz w:val="21"/>
          <w:szCs w:val="21"/>
          <w:highlight w:val="none"/>
        </w:rPr>
        <w:t>.2. 质疑书应当署名。质疑人为自然人的，应当由本人签名；质疑人为法人或者</w:t>
      </w:r>
      <w:r>
        <w:rPr>
          <w:rFonts w:hint="eastAsia" w:hAnsi="宋体"/>
          <w:color w:val="auto"/>
          <w:kern w:val="2"/>
          <w:sz w:val="21"/>
          <w:szCs w:val="21"/>
          <w:highlight w:val="none"/>
          <w:lang w:val="zh-CN"/>
        </w:rPr>
        <w:t>其他</w:t>
      </w:r>
      <w:r>
        <w:rPr>
          <w:rFonts w:hint="eastAsia" w:hAnsi="宋体"/>
          <w:color w:val="auto"/>
          <w:sz w:val="21"/>
          <w:szCs w:val="21"/>
          <w:highlight w:val="none"/>
        </w:rPr>
        <w:t>组织的，应当由法定代表人或者主要负责人签名并加盖公章。</w:t>
      </w:r>
    </w:p>
    <w:p w14:paraId="5E1B13D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33.3. 供应商认为磋商文件的内容损害其权益的，应当以书面形式（加盖公章）在磋商文件公示期间或者自期满之日起7个工作日内向采购代理机构提交质疑书原件，逾期质疑无效。供应商以电话、传真或电邮形式提交的质疑属于无效质疑。</w:t>
      </w:r>
    </w:p>
    <w:p w14:paraId="4FD4432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33.4. 供应商认为采购过程和成交结果使自己的权益受到损害的，应当以书面形式（加盖公章）在知道或者应知其权益受到损害之日起7个工作日内向采购代理机构提交质疑书原件，逾期质疑无效。供应商以电话、传真或电邮形式提交的质疑属于无效质疑。联系人：胡先生/0769-22224212；联系地址：东莞市南城街道体育路南城段26号盈锋中心2栋708室（西区708室）。</w:t>
      </w:r>
    </w:p>
    <w:p w14:paraId="1D21A75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33.5.供应商在法定质疑期内一次性提出针对同一采购程序环节的质疑。</w:t>
      </w:r>
    </w:p>
    <w:p w14:paraId="2F1D3222">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33.6.质疑内容不得含有虚假、恶意成分。依据谁主张谁举证的原则，质疑者提供的质疑书应当包括下列主要内容：具体的质疑事项、事实依据及相关确凿的证明材料和注明事实的确切来源、供应商名称、联系人与联系电话、质疑时间，质疑书应当署名并由法定代表人或授权代表签名并加盖公章。采购代理机构受理书面质疑书原件之日起，在规定的期限内作出答复。供应商捏造事实、提供虚假材料或者以非法手段取得证明材料进行投诉的，列入不良行为记录名单，禁止其1至3年内参加采购活动。</w:t>
      </w:r>
    </w:p>
    <w:p w14:paraId="0E191C6B">
      <w:pPr>
        <w:spacing w:line="360" w:lineRule="auto"/>
        <w:ind w:firstLine="420" w:firstLineChars="200"/>
        <w:rPr>
          <w:rFonts w:hint="eastAsia" w:hAnsi="宋体"/>
          <w:bCs/>
          <w:color w:val="auto"/>
          <w:sz w:val="21"/>
          <w:szCs w:val="21"/>
          <w:highlight w:val="none"/>
        </w:rPr>
      </w:pPr>
      <w:bookmarkStart w:id="159" w:name="_Toc29421"/>
      <w:r>
        <w:rPr>
          <w:rFonts w:hint="eastAsia" w:hAnsi="宋体"/>
          <w:color w:val="auto"/>
          <w:sz w:val="21"/>
          <w:szCs w:val="21"/>
          <w:highlight w:val="none"/>
        </w:rPr>
        <w:t>33.7.采购代理机构在收到供应商的有效书面质疑后7个工作日内作出答复，但答复的内容不涉及商业秘密。</w:t>
      </w:r>
      <w:bookmarkEnd w:id="159"/>
    </w:p>
    <w:p w14:paraId="7463F515">
      <w:pPr>
        <w:pStyle w:val="5"/>
        <w:keepNext/>
        <w:keepLines/>
        <w:pageBreakBefore/>
        <w:numPr>
          <w:ilvl w:val="0"/>
          <w:numId w:val="10"/>
        </w:numPr>
        <w:tabs>
          <w:tab w:val="left" w:pos="1080"/>
        </w:tabs>
        <w:spacing w:line="360" w:lineRule="auto"/>
        <w:ind w:left="1262" w:hanging="1262" w:hangingChars="449"/>
        <w:jc w:val="center"/>
        <w:rPr>
          <w:rFonts w:hint="eastAsia" w:hAnsi="宋体"/>
          <w:b/>
          <w:bCs/>
          <w:color w:val="auto"/>
          <w:kern w:val="44"/>
          <w:sz w:val="28"/>
          <w:szCs w:val="28"/>
          <w:highlight w:val="none"/>
          <w:lang w:val="zh-CN"/>
        </w:rPr>
      </w:pPr>
      <w:bookmarkStart w:id="160" w:name="_Toc22134"/>
      <w:r>
        <w:rPr>
          <w:rFonts w:hint="eastAsia" w:hAnsi="宋体"/>
          <w:b/>
          <w:bCs/>
          <w:color w:val="auto"/>
          <w:kern w:val="44"/>
          <w:sz w:val="28"/>
          <w:szCs w:val="28"/>
          <w:highlight w:val="none"/>
          <w:lang w:val="zh-CN"/>
        </w:rPr>
        <w:t>用户需求书</w:t>
      </w:r>
      <w:bookmarkEnd w:id="156"/>
      <w:bookmarkEnd w:id="157"/>
      <w:bookmarkEnd w:id="160"/>
    </w:p>
    <w:p w14:paraId="39BE1A05">
      <w:pPr>
        <w:pStyle w:val="7"/>
        <w:spacing w:line="360" w:lineRule="auto"/>
        <w:jc w:val="center"/>
        <w:rPr>
          <w:rFonts w:hint="eastAsia" w:hAnsi="宋体"/>
          <w:color w:val="auto"/>
          <w:highlight w:val="none"/>
        </w:rPr>
      </w:pPr>
      <w:bookmarkStart w:id="161" w:name="_Toc20858"/>
      <w:bookmarkStart w:id="162" w:name="_Toc1593"/>
      <w:bookmarkStart w:id="163" w:name="_Toc15266"/>
      <w:bookmarkStart w:id="164" w:name="_Toc308786492"/>
      <w:bookmarkStart w:id="165" w:name="_Toc13957"/>
      <w:r>
        <w:rPr>
          <w:rFonts w:hint="eastAsia" w:hAnsi="宋体"/>
          <w:color w:val="auto"/>
          <w:highlight w:val="none"/>
        </w:rPr>
        <w:t>第一章 商务需求书</w:t>
      </w:r>
    </w:p>
    <w:tbl>
      <w:tblPr>
        <w:tblStyle w:val="54"/>
        <w:tblW w:w="86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15E1D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8" w:type="dxa"/>
            <w:vAlign w:val="center"/>
          </w:tcPr>
          <w:p w14:paraId="4CF9012A">
            <w:pPr>
              <w:spacing w:line="360" w:lineRule="auto"/>
              <w:jc w:val="center"/>
              <w:rPr>
                <w:rFonts w:hint="eastAsia" w:hAnsi="宋体"/>
                <w:color w:val="auto"/>
                <w:sz w:val="21"/>
                <w:szCs w:val="21"/>
                <w:highlight w:val="none"/>
              </w:rPr>
            </w:pPr>
            <w:r>
              <w:rPr>
                <w:rFonts w:hint="eastAsia" w:hAnsi="宋体"/>
                <w:color w:val="auto"/>
                <w:sz w:val="21"/>
                <w:szCs w:val="21"/>
                <w:highlight w:val="none"/>
              </w:rPr>
              <w:t>序号</w:t>
            </w:r>
          </w:p>
        </w:tc>
        <w:tc>
          <w:tcPr>
            <w:tcW w:w="1501" w:type="dxa"/>
            <w:vAlign w:val="center"/>
          </w:tcPr>
          <w:p w14:paraId="07AE8FD0">
            <w:pPr>
              <w:spacing w:line="360" w:lineRule="auto"/>
              <w:jc w:val="center"/>
              <w:rPr>
                <w:rFonts w:hint="eastAsia" w:hAnsi="宋体"/>
                <w:color w:val="auto"/>
                <w:sz w:val="21"/>
                <w:szCs w:val="21"/>
                <w:highlight w:val="none"/>
              </w:rPr>
            </w:pPr>
            <w:r>
              <w:rPr>
                <w:rFonts w:hint="eastAsia" w:hAnsi="宋体"/>
                <w:color w:val="auto"/>
                <w:sz w:val="21"/>
                <w:szCs w:val="21"/>
                <w:highlight w:val="none"/>
              </w:rPr>
              <w:t>条款名称</w:t>
            </w:r>
          </w:p>
        </w:tc>
        <w:tc>
          <w:tcPr>
            <w:tcW w:w="6466" w:type="dxa"/>
            <w:vAlign w:val="center"/>
          </w:tcPr>
          <w:p w14:paraId="4ECFD316">
            <w:pPr>
              <w:spacing w:line="360" w:lineRule="auto"/>
              <w:jc w:val="center"/>
              <w:rPr>
                <w:rFonts w:hint="eastAsia" w:hAnsi="宋体"/>
                <w:color w:val="auto"/>
                <w:sz w:val="21"/>
                <w:szCs w:val="21"/>
                <w:highlight w:val="none"/>
              </w:rPr>
            </w:pPr>
            <w:r>
              <w:rPr>
                <w:rFonts w:hint="eastAsia" w:hAnsi="宋体"/>
                <w:color w:val="auto"/>
                <w:sz w:val="21"/>
                <w:szCs w:val="21"/>
                <w:highlight w:val="none"/>
              </w:rPr>
              <w:t>说  明</w:t>
            </w:r>
          </w:p>
        </w:tc>
      </w:tr>
      <w:tr w14:paraId="34646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jc w:val="center"/>
        </w:trPr>
        <w:tc>
          <w:tcPr>
            <w:tcW w:w="718" w:type="dxa"/>
            <w:vAlign w:val="center"/>
          </w:tcPr>
          <w:p w14:paraId="1461A333">
            <w:pPr>
              <w:spacing w:line="360" w:lineRule="auto"/>
              <w:jc w:val="center"/>
              <w:rPr>
                <w:rFonts w:hint="eastAsia" w:hAnsi="宋体"/>
                <w:color w:val="auto"/>
                <w:sz w:val="21"/>
                <w:szCs w:val="21"/>
                <w:highlight w:val="none"/>
              </w:rPr>
            </w:pPr>
            <w:r>
              <w:rPr>
                <w:rFonts w:hint="eastAsia" w:hAnsi="宋体"/>
                <w:color w:val="auto"/>
                <w:sz w:val="21"/>
                <w:szCs w:val="21"/>
                <w:highlight w:val="none"/>
              </w:rPr>
              <w:t>1</w:t>
            </w:r>
          </w:p>
        </w:tc>
        <w:tc>
          <w:tcPr>
            <w:tcW w:w="1501" w:type="dxa"/>
            <w:vAlign w:val="center"/>
          </w:tcPr>
          <w:p w14:paraId="00BE88A3">
            <w:pPr>
              <w:spacing w:line="360" w:lineRule="auto"/>
              <w:jc w:val="center"/>
              <w:rPr>
                <w:rFonts w:hint="eastAsia" w:hAnsi="宋体"/>
                <w:color w:val="auto"/>
                <w:sz w:val="21"/>
                <w:szCs w:val="21"/>
                <w:highlight w:val="none"/>
              </w:rPr>
            </w:pPr>
            <w:r>
              <w:rPr>
                <w:rFonts w:hint="eastAsia" w:hAnsi="宋体"/>
                <w:color w:val="auto"/>
                <w:sz w:val="21"/>
                <w:szCs w:val="21"/>
                <w:highlight w:val="none"/>
              </w:rPr>
              <w:t>合格供应商</w:t>
            </w:r>
          </w:p>
        </w:tc>
        <w:tc>
          <w:tcPr>
            <w:tcW w:w="6466" w:type="dxa"/>
            <w:vAlign w:val="center"/>
          </w:tcPr>
          <w:p w14:paraId="288C9608">
            <w:pPr>
              <w:pStyle w:val="148"/>
              <w:spacing w:line="360" w:lineRule="auto"/>
              <w:rPr>
                <w:rFonts w:hint="eastAsia" w:ascii="宋体" w:hAnsi="宋体"/>
                <w:bCs/>
                <w:color w:val="auto"/>
                <w:kern w:val="44"/>
                <w:szCs w:val="21"/>
                <w:highlight w:val="none"/>
              </w:rPr>
            </w:pPr>
            <w:r>
              <w:rPr>
                <w:rFonts w:hint="eastAsia" w:ascii="宋体" w:hAnsi="宋体"/>
                <w:color w:val="auto"/>
                <w:szCs w:val="21"/>
                <w:highlight w:val="none"/>
              </w:rPr>
              <w:t>详见“第一部分 投标邀请”中“二、供应商资格要求”</w:t>
            </w:r>
          </w:p>
        </w:tc>
      </w:tr>
      <w:tr w14:paraId="06831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718" w:type="dxa"/>
            <w:vAlign w:val="center"/>
          </w:tcPr>
          <w:p w14:paraId="0B1B38E4">
            <w:pPr>
              <w:spacing w:line="360" w:lineRule="auto"/>
              <w:jc w:val="center"/>
              <w:rPr>
                <w:rFonts w:hint="eastAsia" w:hAnsi="宋体"/>
                <w:color w:val="auto"/>
                <w:sz w:val="21"/>
                <w:szCs w:val="21"/>
                <w:highlight w:val="none"/>
              </w:rPr>
            </w:pPr>
            <w:r>
              <w:rPr>
                <w:rFonts w:hint="eastAsia" w:hAnsi="宋体"/>
                <w:color w:val="auto"/>
                <w:sz w:val="21"/>
                <w:szCs w:val="21"/>
                <w:highlight w:val="none"/>
              </w:rPr>
              <w:t>2</w:t>
            </w:r>
          </w:p>
        </w:tc>
        <w:tc>
          <w:tcPr>
            <w:tcW w:w="1501" w:type="dxa"/>
            <w:vAlign w:val="center"/>
          </w:tcPr>
          <w:p w14:paraId="2E622F4D">
            <w:pPr>
              <w:spacing w:line="360" w:lineRule="auto"/>
              <w:jc w:val="center"/>
              <w:rPr>
                <w:rFonts w:hint="eastAsia" w:hAnsi="宋体"/>
                <w:color w:val="auto"/>
                <w:sz w:val="21"/>
                <w:szCs w:val="21"/>
                <w:highlight w:val="none"/>
              </w:rPr>
            </w:pPr>
            <w:r>
              <w:rPr>
                <w:rFonts w:hint="eastAsia" w:hAnsi="宋体"/>
                <w:color w:val="auto"/>
                <w:sz w:val="21"/>
                <w:szCs w:val="21"/>
                <w:highlight w:val="none"/>
              </w:rPr>
              <w:t>服务期</w:t>
            </w:r>
          </w:p>
        </w:tc>
        <w:tc>
          <w:tcPr>
            <w:tcW w:w="6466" w:type="dxa"/>
            <w:vAlign w:val="center"/>
          </w:tcPr>
          <w:p w14:paraId="07BD5C1A">
            <w:pPr>
              <w:pStyle w:val="66"/>
              <w:spacing w:line="360" w:lineRule="auto"/>
              <w:ind w:firstLine="420"/>
              <w:rPr>
                <w:rFonts w:hint="eastAsia" w:hAnsi="宋体"/>
                <w:color w:val="auto"/>
                <w:sz w:val="21"/>
                <w:szCs w:val="21"/>
                <w:highlight w:val="none"/>
                <w:lang w:val="en-US"/>
              </w:rPr>
            </w:pPr>
            <w:r>
              <w:rPr>
                <w:rFonts w:hint="eastAsia" w:hAnsi="宋体"/>
                <w:color w:val="auto"/>
                <w:sz w:val="21"/>
                <w:szCs w:val="21"/>
                <w:highlight w:val="none"/>
              </w:rPr>
              <w:t xml:space="preserve"> 合同签订之日起12个月</w:t>
            </w:r>
          </w:p>
        </w:tc>
      </w:tr>
      <w:tr w14:paraId="2676F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718" w:type="dxa"/>
            <w:vAlign w:val="center"/>
          </w:tcPr>
          <w:p w14:paraId="6E6FF02A">
            <w:pPr>
              <w:spacing w:line="360" w:lineRule="auto"/>
              <w:jc w:val="center"/>
              <w:rPr>
                <w:rFonts w:hint="eastAsia" w:hAnsi="宋体"/>
                <w:color w:val="auto"/>
                <w:sz w:val="21"/>
                <w:szCs w:val="21"/>
                <w:highlight w:val="none"/>
              </w:rPr>
            </w:pPr>
            <w:r>
              <w:rPr>
                <w:rFonts w:hint="eastAsia" w:hAnsi="宋体"/>
                <w:color w:val="auto"/>
                <w:sz w:val="21"/>
                <w:szCs w:val="21"/>
                <w:highlight w:val="none"/>
              </w:rPr>
              <w:t>3</w:t>
            </w:r>
          </w:p>
        </w:tc>
        <w:tc>
          <w:tcPr>
            <w:tcW w:w="1501" w:type="dxa"/>
            <w:vAlign w:val="center"/>
          </w:tcPr>
          <w:p w14:paraId="575D5D60">
            <w:pPr>
              <w:spacing w:line="360" w:lineRule="auto"/>
              <w:jc w:val="center"/>
              <w:rPr>
                <w:rFonts w:hint="eastAsia" w:hAnsi="宋体"/>
                <w:color w:val="auto"/>
                <w:sz w:val="21"/>
                <w:szCs w:val="21"/>
                <w:highlight w:val="none"/>
              </w:rPr>
            </w:pPr>
            <w:r>
              <w:rPr>
                <w:rFonts w:hint="eastAsia" w:hAnsi="宋体"/>
                <w:color w:val="auto"/>
                <w:sz w:val="21"/>
                <w:szCs w:val="21"/>
                <w:highlight w:val="none"/>
              </w:rPr>
              <w:t>付款方式</w:t>
            </w:r>
          </w:p>
        </w:tc>
        <w:tc>
          <w:tcPr>
            <w:tcW w:w="6466" w:type="dxa"/>
            <w:vAlign w:val="center"/>
          </w:tcPr>
          <w:p w14:paraId="33D4138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1.按月支付：按月支付，次月10日前支付上月费用。</w:t>
            </w:r>
          </w:p>
          <w:p w14:paraId="69FCF75B">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2.付款条件：供应商需提交上月约定的量化指标完成数据，经采购方书面审核确认合格后，提交请款资料，采购人支付至请款金额的100%。</w:t>
            </w:r>
          </w:p>
          <w:p w14:paraId="28AA407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税务调整：每次付款前，供应商必须提供合法有效、与合同条款中增值税税率一致的增值税专用发票给采购人，否则采购人有权拒绝付款且不构成违约；在采购人除支付质保金外的最后一期款项前，供应商须连同当期支付款项发票和质保金一并提交采购人；若后续出现质保问题，按照质保责任和条款，部分或全部扣除质保金的，不退还相应金额的发票。若合同执行期间，遇国家税务政策调整引起的合同价格变化，按照不含税价格调整结算价格。</w:t>
            </w:r>
          </w:p>
        </w:tc>
      </w:tr>
      <w:tr w14:paraId="25DC6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jc w:val="center"/>
        </w:trPr>
        <w:tc>
          <w:tcPr>
            <w:tcW w:w="718" w:type="dxa"/>
            <w:vAlign w:val="center"/>
          </w:tcPr>
          <w:p w14:paraId="3CB465FF">
            <w:pPr>
              <w:spacing w:line="360" w:lineRule="auto"/>
              <w:jc w:val="center"/>
              <w:rPr>
                <w:rFonts w:hint="eastAsia" w:hAnsi="宋体"/>
                <w:color w:val="auto"/>
                <w:sz w:val="21"/>
                <w:szCs w:val="21"/>
                <w:highlight w:val="none"/>
              </w:rPr>
            </w:pPr>
            <w:r>
              <w:rPr>
                <w:rFonts w:hint="eastAsia" w:hAnsi="宋体"/>
                <w:color w:val="auto"/>
                <w:sz w:val="21"/>
                <w:szCs w:val="21"/>
                <w:highlight w:val="none"/>
              </w:rPr>
              <w:t>4</w:t>
            </w:r>
          </w:p>
        </w:tc>
        <w:tc>
          <w:tcPr>
            <w:tcW w:w="1501" w:type="dxa"/>
            <w:vAlign w:val="center"/>
          </w:tcPr>
          <w:p w14:paraId="6FB9BA35">
            <w:pPr>
              <w:spacing w:line="360" w:lineRule="auto"/>
              <w:jc w:val="center"/>
              <w:rPr>
                <w:rFonts w:hint="eastAsia" w:hAnsi="宋体"/>
                <w:color w:val="auto"/>
                <w:sz w:val="21"/>
                <w:szCs w:val="21"/>
                <w:highlight w:val="none"/>
              </w:rPr>
            </w:pPr>
            <w:r>
              <w:rPr>
                <w:rFonts w:hint="eastAsia" w:hAnsi="宋体"/>
                <w:color w:val="auto"/>
                <w:sz w:val="21"/>
                <w:szCs w:val="21"/>
                <w:highlight w:val="none"/>
              </w:rPr>
              <w:t>项目地点</w:t>
            </w:r>
          </w:p>
        </w:tc>
        <w:tc>
          <w:tcPr>
            <w:tcW w:w="6466" w:type="dxa"/>
            <w:vAlign w:val="center"/>
          </w:tcPr>
          <w:p w14:paraId="4329638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采购人指定地点。</w:t>
            </w:r>
          </w:p>
        </w:tc>
      </w:tr>
      <w:tr w14:paraId="22501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jc w:val="center"/>
        </w:trPr>
        <w:tc>
          <w:tcPr>
            <w:tcW w:w="718" w:type="dxa"/>
            <w:vAlign w:val="center"/>
          </w:tcPr>
          <w:p w14:paraId="139BCF30">
            <w:pPr>
              <w:spacing w:line="360" w:lineRule="auto"/>
              <w:jc w:val="center"/>
              <w:rPr>
                <w:rFonts w:hint="eastAsia" w:hAnsi="宋体"/>
                <w:color w:val="auto"/>
                <w:sz w:val="21"/>
                <w:szCs w:val="21"/>
                <w:highlight w:val="none"/>
              </w:rPr>
            </w:pPr>
            <w:r>
              <w:rPr>
                <w:rFonts w:hint="eastAsia" w:hAnsi="宋体"/>
                <w:color w:val="auto"/>
                <w:sz w:val="21"/>
                <w:szCs w:val="21"/>
                <w:highlight w:val="none"/>
              </w:rPr>
              <w:t>5</w:t>
            </w:r>
          </w:p>
        </w:tc>
        <w:tc>
          <w:tcPr>
            <w:tcW w:w="1501" w:type="dxa"/>
            <w:vAlign w:val="center"/>
          </w:tcPr>
          <w:p w14:paraId="5B682865">
            <w:pPr>
              <w:spacing w:line="360" w:lineRule="auto"/>
              <w:jc w:val="center"/>
              <w:rPr>
                <w:rFonts w:hint="eastAsia" w:hAnsi="宋体"/>
                <w:color w:val="auto"/>
                <w:sz w:val="21"/>
                <w:szCs w:val="21"/>
                <w:highlight w:val="none"/>
              </w:rPr>
            </w:pPr>
            <w:r>
              <w:rPr>
                <w:rFonts w:hint="eastAsia" w:hAnsi="宋体"/>
                <w:color w:val="auto"/>
                <w:sz w:val="21"/>
                <w:szCs w:val="21"/>
                <w:highlight w:val="none"/>
              </w:rPr>
              <w:t>报价要求</w:t>
            </w:r>
          </w:p>
        </w:tc>
        <w:tc>
          <w:tcPr>
            <w:tcW w:w="6466" w:type="dxa"/>
            <w:vAlign w:val="center"/>
          </w:tcPr>
          <w:p w14:paraId="45E2A13A">
            <w:pPr>
              <w:pStyle w:val="21"/>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报价应包含以下全部费用，采购方不再支付任何额外费用：AI系统部署费、定制开发费、数字人形象定制/授权费（含通用形象授权）、内容生产费（含AI生成、拍摄、剪辑、设计）、运营陪跑费、培训费、技术支持费、差旅费、税费、其他为完成本项目所需的一切费用。</w:t>
            </w:r>
          </w:p>
        </w:tc>
      </w:tr>
      <w:tr w14:paraId="56D57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718" w:type="dxa"/>
            <w:vAlign w:val="center"/>
          </w:tcPr>
          <w:p w14:paraId="75576FC7">
            <w:pPr>
              <w:spacing w:line="360" w:lineRule="auto"/>
              <w:jc w:val="center"/>
              <w:rPr>
                <w:rFonts w:hint="eastAsia" w:hAnsi="宋体"/>
                <w:color w:val="auto"/>
                <w:sz w:val="21"/>
                <w:szCs w:val="21"/>
                <w:highlight w:val="none"/>
              </w:rPr>
            </w:pPr>
            <w:r>
              <w:rPr>
                <w:rFonts w:hint="eastAsia" w:hAnsi="宋体"/>
                <w:color w:val="auto"/>
                <w:sz w:val="21"/>
                <w:szCs w:val="21"/>
                <w:highlight w:val="none"/>
              </w:rPr>
              <w:t>6</w:t>
            </w:r>
          </w:p>
        </w:tc>
        <w:tc>
          <w:tcPr>
            <w:tcW w:w="1501" w:type="dxa"/>
            <w:vAlign w:val="center"/>
          </w:tcPr>
          <w:p w14:paraId="36680FEB">
            <w:pPr>
              <w:spacing w:line="360" w:lineRule="auto"/>
              <w:jc w:val="center"/>
              <w:rPr>
                <w:rFonts w:hint="eastAsia" w:hAnsi="宋体"/>
                <w:color w:val="auto"/>
                <w:sz w:val="21"/>
                <w:szCs w:val="21"/>
                <w:highlight w:val="none"/>
              </w:rPr>
            </w:pPr>
            <w:r>
              <w:rPr>
                <w:rFonts w:hint="eastAsia" w:hAnsi="宋体"/>
                <w:color w:val="auto"/>
                <w:sz w:val="21"/>
                <w:szCs w:val="21"/>
                <w:highlight w:val="none"/>
              </w:rPr>
              <w:t>投标有效期</w:t>
            </w:r>
          </w:p>
        </w:tc>
        <w:tc>
          <w:tcPr>
            <w:tcW w:w="6466" w:type="dxa"/>
            <w:vAlign w:val="center"/>
          </w:tcPr>
          <w:p w14:paraId="51377021">
            <w:pPr>
              <w:tabs>
                <w:tab w:val="center" w:pos="3125"/>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自开标之日起90天。</w:t>
            </w:r>
          </w:p>
        </w:tc>
      </w:tr>
      <w:tr w14:paraId="1A7EF8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6" w:hRule="atLeast"/>
          <w:jc w:val="center"/>
        </w:trPr>
        <w:tc>
          <w:tcPr>
            <w:tcW w:w="718" w:type="dxa"/>
            <w:vAlign w:val="center"/>
          </w:tcPr>
          <w:p w14:paraId="579A5E93">
            <w:pPr>
              <w:spacing w:line="360" w:lineRule="auto"/>
              <w:jc w:val="center"/>
              <w:rPr>
                <w:rFonts w:hint="eastAsia" w:hAnsi="宋体"/>
                <w:color w:val="auto"/>
                <w:sz w:val="21"/>
                <w:szCs w:val="21"/>
                <w:highlight w:val="none"/>
              </w:rPr>
            </w:pPr>
            <w:r>
              <w:rPr>
                <w:rFonts w:hint="eastAsia" w:hAnsi="宋体"/>
                <w:color w:val="auto"/>
                <w:sz w:val="21"/>
                <w:szCs w:val="21"/>
                <w:highlight w:val="none"/>
              </w:rPr>
              <w:t>7</w:t>
            </w:r>
          </w:p>
        </w:tc>
        <w:tc>
          <w:tcPr>
            <w:tcW w:w="1501" w:type="dxa"/>
            <w:vAlign w:val="center"/>
          </w:tcPr>
          <w:p w14:paraId="582B0A50">
            <w:pPr>
              <w:spacing w:line="360" w:lineRule="auto"/>
              <w:jc w:val="center"/>
              <w:rPr>
                <w:rFonts w:hint="eastAsia" w:hAnsi="宋体"/>
                <w:color w:val="auto"/>
                <w:sz w:val="21"/>
                <w:szCs w:val="21"/>
                <w:highlight w:val="none"/>
              </w:rPr>
            </w:pPr>
            <w:r>
              <w:rPr>
                <w:rFonts w:hint="eastAsia" w:hAnsi="宋体"/>
                <w:color w:val="auto"/>
                <w:sz w:val="21"/>
                <w:szCs w:val="21"/>
                <w:highlight w:val="none"/>
              </w:rPr>
              <w:t>合同条款</w:t>
            </w:r>
          </w:p>
        </w:tc>
        <w:tc>
          <w:tcPr>
            <w:tcW w:w="6466" w:type="dxa"/>
            <w:vAlign w:val="center"/>
          </w:tcPr>
          <w:p w14:paraId="063781E6">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供应商实质响应合同各条款。</w:t>
            </w:r>
          </w:p>
        </w:tc>
      </w:tr>
    </w:tbl>
    <w:p w14:paraId="13FFA821">
      <w:pPr>
        <w:rPr>
          <w:rFonts w:hint="eastAsia" w:hAnsi="宋体"/>
          <w:color w:val="auto"/>
          <w:highlight w:val="none"/>
        </w:rPr>
      </w:pPr>
    </w:p>
    <w:p w14:paraId="5907E891">
      <w:pPr>
        <w:jc w:val="center"/>
        <w:rPr>
          <w:rFonts w:hint="eastAsia" w:hAnsi="宋体"/>
          <w:color w:val="auto"/>
          <w:highlight w:val="none"/>
        </w:rPr>
      </w:pPr>
      <w:bookmarkStart w:id="166" w:name="_Toc19316"/>
      <w:bookmarkStart w:id="167" w:name="_Toc30066"/>
      <w:r>
        <w:rPr>
          <w:rFonts w:hint="eastAsia" w:hAnsi="宋体"/>
          <w:color w:val="auto"/>
          <w:highlight w:val="none"/>
        </w:rPr>
        <w:br w:type="page"/>
      </w:r>
      <w:r>
        <w:rPr>
          <w:rFonts w:hint="eastAsia" w:hAnsi="宋体"/>
          <w:color w:val="auto"/>
          <w:highlight w:val="none"/>
        </w:rPr>
        <w:t>第二章 技术需求书</w:t>
      </w:r>
      <w:bookmarkEnd w:id="166"/>
      <w:bookmarkEnd w:id="167"/>
    </w:p>
    <w:p w14:paraId="1F71E3A3">
      <w:pPr>
        <w:spacing w:line="360" w:lineRule="auto"/>
        <w:rPr>
          <w:rFonts w:hint="eastAsia" w:hAnsi="宋体" w:cs="Segoe UI"/>
          <w:b/>
          <w:bCs/>
          <w:color w:val="auto"/>
          <w:sz w:val="21"/>
          <w:szCs w:val="21"/>
          <w:highlight w:val="none"/>
        </w:rPr>
      </w:pPr>
      <w:r>
        <w:rPr>
          <w:rFonts w:hAnsi="宋体" w:cs="Segoe UI"/>
          <w:b/>
          <w:bCs/>
          <w:color w:val="auto"/>
          <w:sz w:val="21"/>
          <w:szCs w:val="21"/>
          <w:highlight w:val="none"/>
        </w:rPr>
        <w:t>一、</w:t>
      </w:r>
      <w:r>
        <w:rPr>
          <w:rFonts w:hint="eastAsia" w:hAnsi="宋体" w:cs="Segoe UI"/>
          <w:b/>
          <w:bCs/>
          <w:color w:val="auto"/>
          <w:sz w:val="21"/>
          <w:szCs w:val="21"/>
          <w:highlight w:val="none"/>
        </w:rPr>
        <w:t>项目概况</w:t>
      </w:r>
    </w:p>
    <w:p w14:paraId="6F369956">
      <w:pPr>
        <w:spacing w:line="360" w:lineRule="auto"/>
        <w:rPr>
          <w:rFonts w:hint="eastAsia" w:hAnsi="宋体" w:cs="Segoe UI"/>
          <w:b/>
          <w:bCs/>
          <w:color w:val="auto"/>
          <w:sz w:val="21"/>
          <w:szCs w:val="21"/>
          <w:highlight w:val="none"/>
        </w:rPr>
      </w:pPr>
      <w:r>
        <w:rPr>
          <w:rFonts w:hAnsi="宋体" w:cs="Segoe UI"/>
          <w:color w:val="auto"/>
          <w:sz w:val="21"/>
          <w:szCs w:val="21"/>
          <w:highlight w:val="none"/>
        </w:rPr>
        <w:t>1.1项目目标</w:t>
      </w:r>
      <w:r>
        <w:rPr>
          <w:rFonts w:hint="eastAsia" w:hAnsi="宋体" w:cs="Segoe UI"/>
          <w:color w:val="auto"/>
          <w:sz w:val="21"/>
          <w:szCs w:val="21"/>
          <w:highlight w:val="none"/>
        </w:rPr>
        <w:t>：</w:t>
      </w:r>
      <w:r>
        <w:rPr>
          <w:rFonts w:hAnsi="宋体" w:cs="Segoe UI"/>
          <w:color w:val="auto"/>
          <w:sz w:val="21"/>
          <w:szCs w:val="21"/>
          <w:highlight w:val="none"/>
        </w:rPr>
        <w:t>通过AI智能客服实现7×24小时在线客户触达与留资转化</w:t>
      </w:r>
      <w:r>
        <w:rPr>
          <w:rFonts w:hint="eastAsia" w:hAnsi="宋体" w:cs="Segoe UI"/>
          <w:color w:val="auto"/>
          <w:sz w:val="21"/>
          <w:szCs w:val="21"/>
          <w:highlight w:val="none"/>
        </w:rPr>
        <w:t>、</w:t>
      </w:r>
      <w:r>
        <w:rPr>
          <w:rFonts w:hAnsi="宋体" w:cs="Segoe UI"/>
          <w:color w:val="auto"/>
          <w:sz w:val="21"/>
          <w:szCs w:val="21"/>
          <w:highlight w:val="none"/>
        </w:rPr>
        <w:t>通过AI内容生产实现营销素材的高频、高质量产出</w:t>
      </w:r>
      <w:r>
        <w:rPr>
          <w:rFonts w:hint="eastAsia" w:hAnsi="宋体" w:cs="Segoe UI"/>
          <w:b/>
          <w:bCs/>
          <w:color w:val="auto"/>
          <w:sz w:val="21"/>
          <w:szCs w:val="21"/>
          <w:highlight w:val="none"/>
        </w:rPr>
        <w:t>、</w:t>
      </w:r>
      <w:r>
        <w:rPr>
          <w:rFonts w:hAnsi="宋体" w:cs="Segoe UI"/>
          <w:color w:val="auto"/>
          <w:sz w:val="21"/>
          <w:szCs w:val="21"/>
          <w:highlight w:val="none"/>
        </w:rPr>
        <w:t>通过数据看板实现营销效果的实时追踪与策略优化全年获取有效线索≥10,000条，全平台自然曝光≥800万次</w:t>
      </w:r>
      <w:r>
        <w:rPr>
          <w:rFonts w:hint="eastAsia" w:hAnsi="宋体" w:cs="Segoe UI"/>
          <w:color w:val="auto"/>
          <w:sz w:val="21"/>
          <w:szCs w:val="21"/>
          <w:highlight w:val="none"/>
        </w:rPr>
        <w:t>。</w:t>
      </w:r>
    </w:p>
    <w:p w14:paraId="42890B71">
      <w:pPr>
        <w:spacing w:line="360" w:lineRule="auto"/>
        <w:rPr>
          <w:rFonts w:hint="eastAsia" w:hAnsi="宋体" w:cs="Segoe UI"/>
          <w:b/>
          <w:bCs/>
          <w:color w:val="auto"/>
          <w:sz w:val="21"/>
          <w:szCs w:val="21"/>
          <w:highlight w:val="none"/>
        </w:rPr>
      </w:pPr>
      <w:r>
        <w:rPr>
          <w:rFonts w:hint="eastAsia" w:hAnsi="宋体" w:cs="Segoe UI"/>
          <w:b/>
          <w:bCs/>
          <w:color w:val="auto"/>
          <w:sz w:val="21"/>
          <w:szCs w:val="21"/>
          <w:highlight w:val="none"/>
        </w:rPr>
        <w:t>二</w:t>
      </w:r>
      <w:r>
        <w:rPr>
          <w:rFonts w:hAnsi="宋体" w:cs="Segoe UI"/>
          <w:b/>
          <w:bCs/>
          <w:color w:val="auto"/>
          <w:sz w:val="21"/>
          <w:szCs w:val="21"/>
          <w:highlight w:val="none"/>
        </w:rPr>
        <w:t>、服务内容与技术规范</w:t>
      </w:r>
    </w:p>
    <w:p w14:paraId="1E88B9CE">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.1 AI智能客服系统</w:t>
      </w:r>
    </w:p>
    <w:p w14:paraId="7E4CDFCF">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.1.1 接入平台</w:t>
      </w:r>
      <w:r>
        <w:rPr>
          <w:rFonts w:hint="eastAsia" w:hAnsi="宋体" w:cs="Segoe UI"/>
          <w:color w:val="auto"/>
          <w:sz w:val="21"/>
          <w:szCs w:val="21"/>
          <w:highlight w:val="none"/>
        </w:rPr>
        <w:t>：</w:t>
      </w:r>
      <w:r>
        <w:rPr>
          <w:rFonts w:hAnsi="宋体" w:cs="Segoe UI"/>
          <w:color w:val="auto"/>
          <w:sz w:val="21"/>
          <w:szCs w:val="21"/>
          <w:highlight w:val="none"/>
        </w:rPr>
        <w:t>需接入以下至少4个平台：抖音、小红书、微信小程序、视频号。</w:t>
      </w:r>
    </w:p>
    <w:p w14:paraId="66330F71">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.1.2 核心功能</w:t>
      </w:r>
    </w:p>
    <w:p w14:paraId="4FE45D02">
      <w:pPr>
        <w:spacing w:line="360" w:lineRule="auto"/>
        <w:rPr>
          <w:rFonts w:hint="eastAsia" w:hAnsi="宋体" w:cs="Segoe UI"/>
          <w:color w:val="auto"/>
          <w:sz w:val="21"/>
          <w:szCs w:val="21"/>
          <w:highlight w:val="none"/>
        </w:rPr>
      </w:pPr>
      <w:r>
        <w:rPr>
          <w:rFonts w:hAnsi="宋体" w:cs="Segoe UI"/>
          <w:color w:val="auto"/>
          <w:sz w:val="21"/>
          <w:szCs w:val="21"/>
          <w:highlight w:val="none"/>
        </w:rPr>
        <w:t>（1）自动回复</w:t>
      </w:r>
      <w:r>
        <w:rPr>
          <w:rFonts w:hint="eastAsia" w:hAnsi="宋体" w:cs="Segoe UI"/>
          <w:color w:val="auto"/>
          <w:sz w:val="21"/>
          <w:szCs w:val="21"/>
          <w:highlight w:val="none"/>
        </w:rPr>
        <w:t>：</w:t>
      </w:r>
      <w:r>
        <w:rPr>
          <w:rFonts w:hAnsi="宋体" w:cs="Segoe UI"/>
          <w:color w:val="auto"/>
          <w:sz w:val="21"/>
          <w:szCs w:val="21"/>
          <w:highlight w:val="none"/>
        </w:rPr>
        <w:t>7×24小时在线服务</w:t>
      </w:r>
      <w:r>
        <w:rPr>
          <w:rFonts w:hint="eastAsia" w:hAnsi="宋体" w:cs="Segoe UI"/>
          <w:color w:val="auto"/>
          <w:sz w:val="21"/>
          <w:szCs w:val="21"/>
          <w:highlight w:val="none"/>
        </w:rPr>
        <w:t>；</w:t>
      </w:r>
      <w:r>
        <w:rPr>
          <w:rFonts w:hAnsi="宋体" w:cs="Segoe UI"/>
          <w:color w:val="auto"/>
          <w:sz w:val="21"/>
          <w:szCs w:val="21"/>
          <w:highlight w:val="none"/>
        </w:rPr>
        <w:t>用户消息后5秒内回复率100%</w:t>
      </w:r>
      <w:r>
        <w:rPr>
          <w:rFonts w:hint="eastAsia" w:hAnsi="宋体" w:cs="Segoe UI"/>
          <w:color w:val="auto"/>
          <w:sz w:val="21"/>
          <w:szCs w:val="21"/>
          <w:highlight w:val="none"/>
        </w:rPr>
        <w:t>；</w:t>
      </w:r>
      <w:r>
        <w:rPr>
          <w:rFonts w:hAnsi="宋体" w:cs="Segoe UI"/>
          <w:color w:val="auto"/>
          <w:sz w:val="21"/>
          <w:szCs w:val="21"/>
          <w:highlight w:val="none"/>
        </w:rPr>
        <w:t>支持文本、图片、图文混合等多种消息类型</w:t>
      </w:r>
      <w:r>
        <w:rPr>
          <w:rFonts w:hint="eastAsia" w:hAnsi="宋体" w:cs="Segoe UI"/>
          <w:color w:val="auto"/>
          <w:sz w:val="21"/>
          <w:szCs w:val="21"/>
          <w:highlight w:val="none"/>
        </w:rPr>
        <w:t>。</w:t>
      </w:r>
    </w:p>
    <w:p w14:paraId="06D0F257">
      <w:pPr>
        <w:spacing w:line="360" w:lineRule="auto"/>
        <w:rPr>
          <w:rFonts w:hint="eastAsia" w:hAnsi="宋体" w:cs="Segoe UI"/>
          <w:color w:val="auto"/>
          <w:sz w:val="21"/>
          <w:szCs w:val="21"/>
          <w:highlight w:val="none"/>
        </w:rPr>
      </w:pPr>
      <w:r>
        <w:rPr>
          <w:rFonts w:hAnsi="宋体" w:cs="Segoe UI"/>
          <w:color w:val="auto"/>
          <w:sz w:val="21"/>
          <w:szCs w:val="21"/>
          <w:highlight w:val="none"/>
        </w:rPr>
        <w:t>（2）违禁词过滤</w:t>
      </w:r>
      <w:r>
        <w:rPr>
          <w:rFonts w:hint="eastAsia" w:hAnsi="宋体" w:cs="Segoe UI"/>
          <w:color w:val="auto"/>
          <w:sz w:val="21"/>
          <w:szCs w:val="21"/>
          <w:highlight w:val="none"/>
        </w:rPr>
        <w:t>：</w:t>
      </w:r>
      <w:r>
        <w:rPr>
          <w:rFonts w:hAnsi="宋体" w:cs="Segoe UI"/>
          <w:color w:val="auto"/>
          <w:sz w:val="21"/>
          <w:szCs w:val="21"/>
          <w:highlight w:val="none"/>
        </w:rPr>
        <w:t>内置各平台违禁词库</w:t>
      </w:r>
      <w:r>
        <w:rPr>
          <w:rFonts w:hint="eastAsia" w:hAnsi="宋体" w:cs="Segoe UI"/>
          <w:color w:val="auto"/>
          <w:sz w:val="21"/>
          <w:szCs w:val="21"/>
          <w:highlight w:val="none"/>
        </w:rPr>
        <w:t>；</w:t>
      </w:r>
      <w:r>
        <w:rPr>
          <w:rFonts w:hAnsi="宋体" w:cs="Segoe UI"/>
          <w:color w:val="auto"/>
          <w:sz w:val="21"/>
          <w:szCs w:val="21"/>
          <w:highlight w:val="none"/>
        </w:rPr>
        <w:t>自动拦截风险内容</w:t>
      </w:r>
      <w:r>
        <w:rPr>
          <w:rFonts w:hint="eastAsia" w:hAnsi="宋体" w:cs="Segoe UI"/>
          <w:color w:val="auto"/>
          <w:sz w:val="21"/>
          <w:szCs w:val="21"/>
          <w:highlight w:val="none"/>
        </w:rPr>
        <w:t>；</w:t>
      </w:r>
      <w:r>
        <w:rPr>
          <w:rFonts w:hAnsi="宋体" w:cs="Segoe UI"/>
          <w:color w:val="auto"/>
          <w:sz w:val="21"/>
          <w:szCs w:val="21"/>
          <w:highlight w:val="none"/>
        </w:rPr>
        <w:t>词库每月更新</w:t>
      </w:r>
      <w:r>
        <w:rPr>
          <w:rFonts w:hint="eastAsia" w:hAnsi="宋体" w:cs="Segoe UI"/>
          <w:color w:val="auto"/>
          <w:sz w:val="21"/>
          <w:szCs w:val="21"/>
          <w:highlight w:val="none"/>
        </w:rPr>
        <w:t>；</w:t>
      </w:r>
      <w:r>
        <w:rPr>
          <w:rFonts w:hAnsi="宋体" w:cs="Segoe UI"/>
          <w:color w:val="auto"/>
          <w:sz w:val="21"/>
          <w:szCs w:val="21"/>
          <w:highlight w:val="none"/>
        </w:rPr>
        <w:t>支持采购方自定义添加</w:t>
      </w:r>
      <w:r>
        <w:rPr>
          <w:rFonts w:hint="eastAsia" w:hAnsi="宋体" w:cs="Segoe UI"/>
          <w:color w:val="auto"/>
          <w:sz w:val="21"/>
          <w:szCs w:val="21"/>
          <w:highlight w:val="none"/>
        </w:rPr>
        <w:t>，</w:t>
      </w:r>
      <w:r>
        <w:rPr>
          <w:rFonts w:hAnsi="宋体" w:cs="Segoe UI"/>
          <w:color w:val="auto"/>
          <w:sz w:val="21"/>
          <w:szCs w:val="21"/>
          <w:highlight w:val="none"/>
        </w:rPr>
        <w:t>过滤准确率≥95%</w:t>
      </w:r>
    </w:p>
    <w:p w14:paraId="18EDBA91">
      <w:pPr>
        <w:spacing w:line="360" w:lineRule="auto"/>
        <w:rPr>
          <w:rFonts w:hint="eastAsia" w:hAnsi="宋体" w:cs="Segoe UI"/>
          <w:color w:val="auto"/>
          <w:sz w:val="21"/>
          <w:szCs w:val="21"/>
          <w:highlight w:val="none"/>
        </w:rPr>
      </w:pPr>
      <w:r>
        <w:rPr>
          <w:rFonts w:hAnsi="宋体" w:cs="Segoe UI"/>
          <w:color w:val="auto"/>
          <w:sz w:val="21"/>
          <w:szCs w:val="21"/>
          <w:highlight w:val="none"/>
        </w:rPr>
        <w:t>（3）智能对话</w:t>
      </w:r>
      <w:r>
        <w:rPr>
          <w:rFonts w:hint="eastAsia" w:hAnsi="宋体" w:cs="Segoe UI"/>
          <w:color w:val="auto"/>
          <w:sz w:val="21"/>
          <w:szCs w:val="21"/>
          <w:highlight w:val="none"/>
        </w:rPr>
        <w:t>：</w:t>
      </w:r>
      <w:r>
        <w:rPr>
          <w:rFonts w:hAnsi="宋体" w:cs="Segoe UI"/>
          <w:color w:val="auto"/>
          <w:sz w:val="21"/>
          <w:szCs w:val="21"/>
          <w:highlight w:val="none"/>
        </w:rPr>
        <w:t>基于莞寓房源知识库（户型、价格、优惠、配套、周边等）进行多轮对话</w:t>
      </w:r>
      <w:r>
        <w:rPr>
          <w:rFonts w:hint="eastAsia" w:hAnsi="宋体" w:cs="Segoe UI"/>
          <w:color w:val="auto"/>
          <w:sz w:val="21"/>
          <w:szCs w:val="21"/>
          <w:highlight w:val="none"/>
        </w:rPr>
        <w:t>；</w:t>
      </w:r>
      <w:r>
        <w:rPr>
          <w:rFonts w:hAnsi="宋体" w:cs="Segoe UI"/>
          <w:color w:val="auto"/>
          <w:sz w:val="21"/>
          <w:szCs w:val="21"/>
          <w:highlight w:val="none"/>
        </w:rPr>
        <w:t>支持按价格、户型、区域筛选推荐房源</w:t>
      </w:r>
      <w:r>
        <w:rPr>
          <w:rFonts w:hint="eastAsia" w:hAnsi="宋体" w:cs="Segoe UI"/>
          <w:color w:val="auto"/>
          <w:sz w:val="21"/>
          <w:szCs w:val="21"/>
          <w:highlight w:val="none"/>
        </w:rPr>
        <w:t>；</w:t>
      </w:r>
      <w:r>
        <w:rPr>
          <w:rFonts w:hAnsi="宋体" w:cs="Segoe UI"/>
          <w:color w:val="auto"/>
          <w:sz w:val="21"/>
          <w:szCs w:val="21"/>
          <w:highlight w:val="none"/>
        </w:rPr>
        <w:t>语义理解正确率≥85%（参照GB/T 46483-2025）</w:t>
      </w:r>
      <w:r>
        <w:rPr>
          <w:rFonts w:hint="eastAsia" w:hAnsi="宋体" w:cs="Segoe UI"/>
          <w:color w:val="auto"/>
          <w:sz w:val="21"/>
          <w:szCs w:val="21"/>
          <w:highlight w:val="none"/>
        </w:rPr>
        <w:t>；</w:t>
      </w:r>
      <w:r>
        <w:rPr>
          <w:rFonts w:hAnsi="宋体" w:cs="Segoe UI"/>
          <w:color w:val="auto"/>
          <w:sz w:val="21"/>
          <w:szCs w:val="21"/>
          <w:highlight w:val="none"/>
        </w:rPr>
        <w:t>支持上下文理解，多轮对话轮次≥5轮</w:t>
      </w:r>
      <w:r>
        <w:rPr>
          <w:rFonts w:hint="eastAsia" w:hAnsi="宋体" w:cs="Segoe UI"/>
          <w:color w:val="auto"/>
          <w:sz w:val="21"/>
          <w:szCs w:val="21"/>
          <w:highlight w:val="none"/>
        </w:rPr>
        <w:t>，</w:t>
      </w:r>
      <w:r>
        <w:rPr>
          <w:rFonts w:hAnsi="宋体" w:cs="Segoe UI"/>
          <w:color w:val="auto"/>
          <w:sz w:val="21"/>
          <w:szCs w:val="21"/>
          <w:highlight w:val="none"/>
        </w:rPr>
        <w:t>知识库更新后30分钟内生效</w:t>
      </w:r>
    </w:p>
    <w:p w14:paraId="731B00AC">
      <w:pPr>
        <w:spacing w:line="360" w:lineRule="auto"/>
        <w:rPr>
          <w:rFonts w:hint="eastAsia" w:hAnsi="宋体" w:cs="Segoe UI"/>
          <w:color w:val="auto"/>
          <w:sz w:val="21"/>
          <w:szCs w:val="21"/>
          <w:highlight w:val="none"/>
        </w:rPr>
      </w:pPr>
      <w:r>
        <w:rPr>
          <w:rFonts w:hAnsi="宋体" w:cs="Segoe UI"/>
          <w:color w:val="auto"/>
          <w:sz w:val="21"/>
          <w:szCs w:val="21"/>
          <w:highlight w:val="none"/>
        </w:rPr>
        <w:t>（4）留资引导</w:t>
      </w:r>
      <w:r>
        <w:rPr>
          <w:rFonts w:hint="eastAsia" w:hAnsi="宋体" w:cs="Segoe UI"/>
          <w:color w:val="auto"/>
          <w:sz w:val="21"/>
          <w:szCs w:val="21"/>
          <w:highlight w:val="none"/>
        </w:rPr>
        <w:t>：</w:t>
      </w:r>
      <w:r>
        <w:rPr>
          <w:rFonts w:hAnsi="宋体" w:cs="Segoe UI"/>
          <w:color w:val="auto"/>
          <w:sz w:val="21"/>
          <w:szCs w:val="21"/>
          <w:highlight w:val="none"/>
        </w:rPr>
        <w:t>主动引导用户留下姓名+手机号+意向户型+预算范围</w:t>
      </w:r>
      <w:r>
        <w:rPr>
          <w:rFonts w:hint="eastAsia" w:hAnsi="宋体" w:cs="Segoe UI"/>
          <w:color w:val="auto"/>
          <w:sz w:val="21"/>
          <w:szCs w:val="21"/>
          <w:highlight w:val="none"/>
        </w:rPr>
        <w:t>；</w:t>
      </w:r>
      <w:r>
        <w:rPr>
          <w:rFonts w:hAnsi="宋体" w:cs="Segoe UI"/>
          <w:color w:val="auto"/>
          <w:sz w:val="21"/>
          <w:szCs w:val="21"/>
          <w:highlight w:val="none"/>
        </w:rPr>
        <w:t>留资后自动同步至采购方CRM或支持Excel导出</w:t>
      </w:r>
      <w:r>
        <w:rPr>
          <w:rFonts w:hint="eastAsia" w:hAnsi="宋体" w:cs="Segoe UI"/>
          <w:color w:val="auto"/>
          <w:sz w:val="21"/>
          <w:szCs w:val="21"/>
          <w:highlight w:val="none"/>
        </w:rPr>
        <w:t>；</w:t>
      </w:r>
      <w:r>
        <w:rPr>
          <w:rFonts w:hAnsi="宋体" w:cs="Segoe UI"/>
          <w:color w:val="auto"/>
          <w:sz w:val="21"/>
          <w:szCs w:val="21"/>
          <w:highlight w:val="none"/>
        </w:rPr>
        <w:t>手机号需通过短信验证码验证有效性</w:t>
      </w:r>
    </w:p>
    <w:p w14:paraId="6DF5C8EF">
      <w:pPr>
        <w:spacing w:line="360" w:lineRule="auto"/>
        <w:rPr>
          <w:rFonts w:hint="eastAsia" w:hAnsi="宋体" w:cs="Segoe UI"/>
          <w:color w:val="auto"/>
          <w:sz w:val="21"/>
          <w:szCs w:val="21"/>
          <w:highlight w:val="none"/>
        </w:rPr>
      </w:pPr>
      <w:r>
        <w:rPr>
          <w:rFonts w:hAnsi="宋体" w:cs="Segoe UI"/>
          <w:color w:val="auto"/>
          <w:sz w:val="21"/>
          <w:szCs w:val="21"/>
          <w:highlight w:val="none"/>
        </w:rPr>
        <w:t>（5）虚拟数字人客服（如适用）</w:t>
      </w:r>
      <w:r>
        <w:rPr>
          <w:rFonts w:hint="eastAsia" w:hAnsi="宋体" w:cs="Segoe UI"/>
          <w:color w:val="auto"/>
          <w:sz w:val="21"/>
          <w:szCs w:val="21"/>
          <w:highlight w:val="none"/>
        </w:rPr>
        <w:t>：</w:t>
      </w:r>
      <w:r>
        <w:rPr>
          <w:rFonts w:hAnsi="宋体" w:cs="Segoe UI"/>
          <w:color w:val="auto"/>
          <w:sz w:val="21"/>
          <w:szCs w:val="21"/>
          <w:highlight w:val="none"/>
        </w:rPr>
        <w:t>2D数字人形象需五官细节完整清晰可辨</w:t>
      </w:r>
      <w:r>
        <w:rPr>
          <w:rFonts w:hint="eastAsia" w:hAnsi="宋体" w:cs="Segoe UI"/>
          <w:color w:val="auto"/>
          <w:sz w:val="21"/>
          <w:szCs w:val="21"/>
          <w:highlight w:val="none"/>
        </w:rPr>
        <w:t>；</w:t>
      </w:r>
      <w:r>
        <w:rPr>
          <w:rFonts w:hAnsi="宋体" w:cs="Segoe UI"/>
          <w:color w:val="auto"/>
          <w:sz w:val="21"/>
          <w:szCs w:val="21"/>
          <w:highlight w:val="none"/>
        </w:rPr>
        <w:t>口型驱动准确率≥90%</w:t>
      </w:r>
      <w:r>
        <w:rPr>
          <w:color w:val="auto"/>
          <w:highlight w:val="none"/>
        </w:rPr>
        <w:fldChar w:fldCharType="begin"/>
      </w:r>
      <w:r>
        <w:rPr>
          <w:color w:val="auto"/>
          <w:highlight w:val="none"/>
        </w:rPr>
        <w:instrText xml:space="preserve"> HYPERLINK "https://ai.zol.com.cn/1101/11013741.html?via=index" \t "_blank" </w:instrText>
      </w:r>
      <w:r>
        <w:rPr>
          <w:color w:val="auto"/>
          <w:highlight w:val="none"/>
        </w:rPr>
        <w:fldChar w:fldCharType="separate"/>
      </w:r>
      <w:r>
        <w:rPr>
          <w:rFonts w:hAnsi="宋体" w:cs="Segoe UI"/>
          <w:color w:val="auto"/>
          <w:sz w:val="21"/>
          <w:szCs w:val="21"/>
          <w:highlight w:val="none"/>
        </w:rPr>
        <w:t>-5</w:t>
      </w:r>
      <w:r>
        <w:rPr>
          <w:rFonts w:hAnsi="宋体" w:cs="Segoe UI"/>
          <w:color w:val="auto"/>
          <w:sz w:val="21"/>
          <w:szCs w:val="21"/>
          <w:highlight w:val="none"/>
        </w:rPr>
        <w:fldChar w:fldCharType="end"/>
      </w:r>
      <w:r>
        <w:rPr>
          <w:rFonts w:hint="eastAsia" w:hAnsi="宋体" w:cs="Segoe UI"/>
          <w:color w:val="auto"/>
          <w:sz w:val="21"/>
          <w:szCs w:val="21"/>
          <w:highlight w:val="none"/>
        </w:rPr>
        <w:t>；</w:t>
      </w:r>
      <w:r>
        <w:rPr>
          <w:rFonts w:hAnsi="宋体" w:cs="Segoe UI"/>
          <w:color w:val="auto"/>
          <w:sz w:val="21"/>
          <w:szCs w:val="21"/>
          <w:highlight w:val="none"/>
        </w:rPr>
        <w:t>语音交互响应时间≤2秒</w:t>
      </w:r>
      <w:r>
        <w:rPr>
          <w:color w:val="auto"/>
          <w:sz w:val="21"/>
          <w:szCs w:val="21"/>
          <w:highlight w:val="none"/>
        </w:rPr>
        <w:fldChar w:fldCharType="begin"/>
      </w:r>
      <w:r>
        <w:rPr>
          <w:color w:val="auto"/>
          <w:sz w:val="21"/>
          <w:szCs w:val="21"/>
          <w:highlight w:val="none"/>
        </w:rPr>
        <w:instrText xml:space="preserve"> HYPERLINK "https://ai.zol.com.cn/1101/11013741.html?via=index" \t "_blank" </w:instrText>
      </w:r>
      <w:r>
        <w:rPr>
          <w:color w:val="auto"/>
          <w:sz w:val="21"/>
          <w:szCs w:val="21"/>
          <w:highlight w:val="none"/>
        </w:rPr>
        <w:fldChar w:fldCharType="separate"/>
      </w:r>
      <w:r>
        <w:rPr>
          <w:rFonts w:hAnsi="宋体" w:cs="Segoe UI"/>
          <w:color w:val="auto"/>
          <w:sz w:val="21"/>
          <w:szCs w:val="21"/>
          <w:highlight w:val="none"/>
        </w:rPr>
        <w:t>-5</w:t>
      </w:r>
      <w:r>
        <w:rPr>
          <w:rFonts w:hAnsi="宋体" w:cs="Segoe UI"/>
          <w:color w:val="auto"/>
          <w:sz w:val="21"/>
          <w:szCs w:val="21"/>
          <w:highlight w:val="none"/>
        </w:rPr>
        <w:fldChar w:fldCharType="end"/>
      </w:r>
    </w:p>
    <w:p w14:paraId="092A5BCF">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.1.3 量化指标</w:t>
      </w:r>
      <w:r>
        <w:rPr>
          <w:rFonts w:hint="eastAsia" w:hAnsi="宋体" w:cs="Segoe UI"/>
          <w:color w:val="auto"/>
          <w:sz w:val="21"/>
          <w:szCs w:val="21"/>
          <w:highlight w:val="none"/>
        </w:rPr>
        <w:t>：</w:t>
      </w:r>
      <w:r>
        <w:rPr>
          <w:rFonts w:hAnsi="宋体" w:cs="Segoe UI"/>
          <w:color w:val="auto"/>
          <w:sz w:val="21"/>
          <w:szCs w:val="21"/>
          <w:highlight w:val="none"/>
        </w:rPr>
        <w:t>合同期内通过AI客服获取的有效线索（手机号通过短信验证，去重后）累计≥10,000条。</w:t>
      </w:r>
    </w:p>
    <w:p w14:paraId="3910C5BA">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.2 AI内容制作与分发</w:t>
      </w:r>
    </w:p>
    <w:p w14:paraId="537E4CE2">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.2.1 内容类型</w:t>
      </w:r>
    </w:p>
    <w:p w14:paraId="2F584B8D">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AI视频：含数字人口播、探房剪辑、活动花絮</w:t>
      </w:r>
    </w:p>
    <w:p w14:paraId="695724B4">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AI图片：海报、房源展示图、社交媒体配图</w:t>
      </w:r>
    </w:p>
    <w:p w14:paraId="4F280E57">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AI文案：种草文案、活动推文、公众号文章</w:t>
      </w:r>
    </w:p>
    <w:p w14:paraId="4EBB1099">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朋友圈九宫格素材</w:t>
      </w:r>
    </w:p>
    <w:p w14:paraId="7978941F">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.2.2 内容方向</w:t>
      </w:r>
    </w:p>
    <w:p w14:paraId="21D76199">
      <w:pPr>
        <w:spacing w:line="360" w:lineRule="auto"/>
        <w:rPr>
          <w:rFonts w:hint="eastAsia" w:hAnsi="宋体" w:cs="Segoe UI"/>
          <w:color w:val="auto"/>
          <w:sz w:val="21"/>
          <w:szCs w:val="21"/>
          <w:highlight w:val="none"/>
        </w:rPr>
      </w:pPr>
      <w:r>
        <w:rPr>
          <w:rFonts w:hAnsi="宋体" w:cs="Segoe UI"/>
          <w:color w:val="auto"/>
          <w:sz w:val="21"/>
          <w:szCs w:val="21"/>
          <w:highlight w:val="none"/>
        </w:rPr>
        <w:t>（1）生活方式海报</w:t>
      </w:r>
      <w:r>
        <w:rPr>
          <w:rFonts w:hint="eastAsia" w:hAnsi="宋体" w:cs="Segoe UI"/>
          <w:color w:val="auto"/>
          <w:sz w:val="21"/>
          <w:szCs w:val="21"/>
          <w:highlight w:val="none"/>
        </w:rPr>
        <w:t>：</w:t>
      </w:r>
      <w:r>
        <w:rPr>
          <w:rFonts w:hAnsi="宋体" w:cs="Segoe UI"/>
          <w:color w:val="auto"/>
          <w:sz w:val="21"/>
          <w:szCs w:val="21"/>
          <w:highlight w:val="none"/>
        </w:rPr>
        <w:t>基于莞寓公区、健身房、书吧、台球桌、样板间、周边配套等实拍素材，生成主题海报+种草文案。</w:t>
      </w:r>
    </w:p>
    <w:p w14:paraId="5EC7F9A1">
      <w:pPr>
        <w:spacing w:line="360" w:lineRule="auto"/>
        <w:rPr>
          <w:rFonts w:hint="eastAsia" w:hAnsi="宋体" w:cs="Segoe UI"/>
          <w:color w:val="auto"/>
          <w:sz w:val="21"/>
          <w:szCs w:val="21"/>
          <w:highlight w:val="none"/>
        </w:rPr>
      </w:pPr>
      <w:r>
        <w:rPr>
          <w:rFonts w:hAnsi="宋体" w:cs="Segoe UI"/>
          <w:color w:val="auto"/>
          <w:sz w:val="21"/>
          <w:szCs w:val="21"/>
          <w:highlight w:val="none"/>
        </w:rPr>
        <w:t>（2）短视频</w:t>
      </w:r>
      <w:r>
        <w:rPr>
          <w:rFonts w:hint="eastAsia" w:hAnsi="宋体" w:cs="Segoe UI"/>
          <w:color w:val="auto"/>
          <w:sz w:val="21"/>
          <w:szCs w:val="21"/>
          <w:highlight w:val="none"/>
        </w:rPr>
        <w:t>：</w:t>
      </w:r>
      <w:r>
        <w:rPr>
          <w:rFonts w:hAnsi="宋体" w:cs="Segoe UI"/>
          <w:color w:val="auto"/>
          <w:sz w:val="21"/>
          <w:szCs w:val="21"/>
          <w:highlight w:val="none"/>
        </w:rPr>
        <w:t>基于房源亮点、实拍素材、脚本模板，生成探房短视频、招商短视频、活动短视频、数字人口播视频。</w:t>
      </w:r>
    </w:p>
    <w:p w14:paraId="38C08788">
      <w:pPr>
        <w:spacing w:line="360" w:lineRule="auto"/>
        <w:rPr>
          <w:rFonts w:hint="eastAsia" w:hAnsi="宋体" w:cs="Segoe UI"/>
          <w:color w:val="auto"/>
          <w:sz w:val="21"/>
          <w:szCs w:val="21"/>
          <w:highlight w:val="none"/>
        </w:rPr>
      </w:pPr>
      <w:r>
        <w:rPr>
          <w:rFonts w:hAnsi="宋体" w:cs="Segoe UI"/>
          <w:color w:val="auto"/>
          <w:sz w:val="21"/>
          <w:szCs w:val="21"/>
          <w:highlight w:val="none"/>
        </w:rPr>
        <w:t>（3）活动传播</w:t>
      </w:r>
      <w:r>
        <w:rPr>
          <w:rFonts w:hint="eastAsia" w:hAnsi="宋体" w:cs="Segoe UI"/>
          <w:color w:val="auto"/>
          <w:sz w:val="21"/>
          <w:szCs w:val="21"/>
          <w:highlight w:val="none"/>
        </w:rPr>
        <w:t>：</w:t>
      </w:r>
      <w:r>
        <w:rPr>
          <w:rFonts w:hAnsi="宋体" w:cs="Segoe UI"/>
          <w:color w:val="auto"/>
          <w:sz w:val="21"/>
          <w:szCs w:val="21"/>
          <w:highlight w:val="none"/>
        </w:rPr>
        <w:t>围绕人才补贴、毕业季、推荐有礼、免租期、社区活动等场景生成宣发物料。</w:t>
      </w:r>
    </w:p>
    <w:p w14:paraId="4D1C316A">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.2.3 交付标准</w:t>
      </w:r>
    </w:p>
    <w:tbl>
      <w:tblPr>
        <w:tblStyle w:val="54"/>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696"/>
        <w:gridCol w:w="3402"/>
        <w:gridCol w:w="3119"/>
      </w:tblGrid>
      <w:tr w14:paraId="1163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1696" w:type="dxa"/>
            <w:tcMar>
              <w:top w:w="150" w:type="dxa"/>
              <w:left w:w="0" w:type="dxa"/>
              <w:bottom w:w="150" w:type="dxa"/>
              <w:right w:w="240" w:type="dxa"/>
            </w:tcMar>
            <w:vAlign w:val="center"/>
          </w:tcPr>
          <w:p w14:paraId="4DA09483">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内容类型</w:t>
            </w:r>
          </w:p>
        </w:tc>
        <w:tc>
          <w:tcPr>
            <w:tcW w:w="3402" w:type="dxa"/>
            <w:tcMar>
              <w:top w:w="150" w:type="dxa"/>
              <w:left w:w="240" w:type="dxa"/>
              <w:bottom w:w="150" w:type="dxa"/>
              <w:right w:w="240" w:type="dxa"/>
            </w:tcMar>
            <w:vAlign w:val="center"/>
          </w:tcPr>
          <w:p w14:paraId="246E39BC">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技术规格</w:t>
            </w:r>
          </w:p>
        </w:tc>
        <w:tc>
          <w:tcPr>
            <w:tcW w:w="3119" w:type="dxa"/>
            <w:tcMar>
              <w:top w:w="150" w:type="dxa"/>
              <w:left w:w="240" w:type="dxa"/>
              <w:bottom w:w="150" w:type="dxa"/>
              <w:right w:w="240" w:type="dxa"/>
            </w:tcMar>
            <w:vAlign w:val="center"/>
          </w:tcPr>
          <w:p w14:paraId="33A9BA76">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格式要求</w:t>
            </w:r>
          </w:p>
        </w:tc>
      </w:tr>
      <w:tr w14:paraId="601D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96" w:type="dxa"/>
            <w:tcMar>
              <w:top w:w="150" w:type="dxa"/>
              <w:left w:w="0" w:type="dxa"/>
              <w:bottom w:w="150" w:type="dxa"/>
              <w:right w:w="240" w:type="dxa"/>
            </w:tcMar>
            <w:vAlign w:val="center"/>
          </w:tcPr>
          <w:p w14:paraId="22E49957">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视频</w:t>
            </w:r>
          </w:p>
        </w:tc>
        <w:tc>
          <w:tcPr>
            <w:tcW w:w="3402" w:type="dxa"/>
            <w:tcMar>
              <w:top w:w="150" w:type="dxa"/>
              <w:left w:w="240" w:type="dxa"/>
              <w:bottom w:w="150" w:type="dxa"/>
              <w:right w:w="240" w:type="dxa"/>
            </w:tcMar>
            <w:vAlign w:val="center"/>
          </w:tcPr>
          <w:p w14:paraId="36DB6976">
            <w:pPr>
              <w:spacing w:line="360" w:lineRule="auto"/>
              <w:rPr>
                <w:rFonts w:hint="eastAsia" w:hAnsi="宋体" w:cs="Segoe UI"/>
                <w:color w:val="auto"/>
                <w:sz w:val="21"/>
                <w:szCs w:val="21"/>
                <w:highlight w:val="none"/>
              </w:rPr>
            </w:pPr>
            <w:r>
              <w:rPr>
                <w:rFonts w:hAnsi="宋体" w:cs="Segoe UI"/>
                <w:color w:val="auto"/>
                <w:sz w:val="21"/>
                <w:szCs w:val="21"/>
                <w:highlight w:val="none"/>
              </w:rPr>
              <w:t>分辨率≥1080P，时长15-60秒</w:t>
            </w:r>
          </w:p>
        </w:tc>
        <w:tc>
          <w:tcPr>
            <w:tcW w:w="3119" w:type="dxa"/>
            <w:tcMar>
              <w:top w:w="150" w:type="dxa"/>
              <w:left w:w="240" w:type="dxa"/>
              <w:bottom w:w="150" w:type="dxa"/>
              <w:right w:w="0" w:type="dxa"/>
            </w:tcMar>
            <w:vAlign w:val="center"/>
          </w:tcPr>
          <w:p w14:paraId="1A6998F4">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MP4，无水印</w:t>
            </w:r>
          </w:p>
        </w:tc>
      </w:tr>
      <w:tr w14:paraId="1C22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96" w:type="dxa"/>
            <w:tcMar>
              <w:top w:w="150" w:type="dxa"/>
              <w:left w:w="0" w:type="dxa"/>
              <w:bottom w:w="150" w:type="dxa"/>
              <w:right w:w="240" w:type="dxa"/>
            </w:tcMar>
            <w:vAlign w:val="center"/>
          </w:tcPr>
          <w:p w14:paraId="68E6FD45">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图片</w:t>
            </w:r>
          </w:p>
        </w:tc>
        <w:tc>
          <w:tcPr>
            <w:tcW w:w="3402" w:type="dxa"/>
            <w:tcMar>
              <w:top w:w="150" w:type="dxa"/>
              <w:left w:w="240" w:type="dxa"/>
              <w:bottom w:w="150" w:type="dxa"/>
              <w:right w:w="240" w:type="dxa"/>
            </w:tcMar>
            <w:vAlign w:val="center"/>
          </w:tcPr>
          <w:p w14:paraId="008F3FF9">
            <w:pPr>
              <w:spacing w:line="360" w:lineRule="auto"/>
              <w:rPr>
                <w:rFonts w:hint="eastAsia" w:hAnsi="宋体" w:cs="Segoe UI"/>
                <w:color w:val="auto"/>
                <w:sz w:val="21"/>
                <w:szCs w:val="21"/>
                <w:highlight w:val="none"/>
              </w:rPr>
            </w:pPr>
            <w:r>
              <w:rPr>
                <w:rFonts w:hAnsi="宋体" w:cs="Segoe UI"/>
                <w:color w:val="auto"/>
                <w:sz w:val="21"/>
                <w:szCs w:val="21"/>
                <w:highlight w:val="none"/>
              </w:rPr>
              <w:t>≥1200×1200像素</w:t>
            </w:r>
          </w:p>
        </w:tc>
        <w:tc>
          <w:tcPr>
            <w:tcW w:w="3119" w:type="dxa"/>
            <w:tcMar>
              <w:top w:w="150" w:type="dxa"/>
              <w:left w:w="240" w:type="dxa"/>
              <w:bottom w:w="150" w:type="dxa"/>
              <w:right w:w="0" w:type="dxa"/>
            </w:tcMar>
            <w:vAlign w:val="center"/>
          </w:tcPr>
          <w:p w14:paraId="1295E942">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JPG/PNG</w:t>
            </w:r>
          </w:p>
        </w:tc>
      </w:tr>
      <w:tr w14:paraId="4BD4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96" w:type="dxa"/>
            <w:tcMar>
              <w:top w:w="150" w:type="dxa"/>
              <w:left w:w="0" w:type="dxa"/>
              <w:bottom w:w="150" w:type="dxa"/>
              <w:right w:w="240" w:type="dxa"/>
            </w:tcMar>
            <w:vAlign w:val="center"/>
          </w:tcPr>
          <w:p w14:paraId="6ADD2FA3">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文案</w:t>
            </w:r>
          </w:p>
        </w:tc>
        <w:tc>
          <w:tcPr>
            <w:tcW w:w="3402" w:type="dxa"/>
            <w:tcMar>
              <w:top w:w="150" w:type="dxa"/>
              <w:left w:w="240" w:type="dxa"/>
              <w:bottom w:w="150" w:type="dxa"/>
              <w:right w:w="240" w:type="dxa"/>
            </w:tcMar>
            <w:vAlign w:val="center"/>
          </w:tcPr>
          <w:p w14:paraId="427968B4">
            <w:pPr>
              <w:spacing w:line="360" w:lineRule="auto"/>
              <w:rPr>
                <w:rFonts w:hint="eastAsia" w:hAnsi="宋体" w:cs="Segoe UI"/>
                <w:color w:val="auto"/>
                <w:sz w:val="21"/>
                <w:szCs w:val="21"/>
                <w:highlight w:val="none"/>
              </w:rPr>
            </w:pPr>
            <w:r>
              <w:rPr>
                <w:rFonts w:hAnsi="宋体" w:cs="Segoe UI"/>
                <w:color w:val="auto"/>
                <w:sz w:val="21"/>
                <w:szCs w:val="21"/>
                <w:highlight w:val="none"/>
              </w:rPr>
              <w:t>适配各平台字数限制</w:t>
            </w:r>
          </w:p>
        </w:tc>
        <w:tc>
          <w:tcPr>
            <w:tcW w:w="3119" w:type="dxa"/>
            <w:tcMar>
              <w:top w:w="150" w:type="dxa"/>
              <w:left w:w="240" w:type="dxa"/>
              <w:bottom w:w="150" w:type="dxa"/>
              <w:right w:w="0" w:type="dxa"/>
            </w:tcMar>
            <w:vAlign w:val="center"/>
          </w:tcPr>
          <w:p w14:paraId="46B29396">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可编辑Word/Excel</w:t>
            </w:r>
          </w:p>
        </w:tc>
      </w:tr>
    </w:tbl>
    <w:p w14:paraId="3CA1CC5A">
      <w:pPr>
        <w:spacing w:line="360" w:lineRule="auto"/>
        <w:ind w:firstLine="422" w:firstLineChars="200"/>
        <w:rPr>
          <w:rFonts w:hint="eastAsia" w:hAnsi="宋体" w:cs="Segoe UI"/>
          <w:color w:val="auto"/>
          <w:sz w:val="21"/>
          <w:szCs w:val="21"/>
          <w:highlight w:val="none"/>
        </w:rPr>
      </w:pPr>
      <w:r>
        <w:rPr>
          <w:rFonts w:hAnsi="宋体"/>
          <w:b/>
          <w:bCs/>
          <w:color w:val="auto"/>
          <w:sz w:val="21"/>
          <w:szCs w:val="21"/>
          <w:highlight w:val="none"/>
        </w:rPr>
        <w:t>版权要求</w:t>
      </w:r>
      <w:r>
        <w:rPr>
          <w:rFonts w:hAnsi="宋体" w:cs="Segoe UI"/>
          <w:color w:val="auto"/>
          <w:sz w:val="21"/>
          <w:szCs w:val="21"/>
          <w:highlight w:val="none"/>
        </w:rPr>
        <w:t>：所有内容不得使用未经授权的音乐、字体、图片等素材</w:t>
      </w:r>
      <w:r>
        <w:rPr>
          <w:rFonts w:hint="eastAsia" w:hAnsi="宋体" w:cs="Segoe UI"/>
          <w:color w:val="auto"/>
          <w:sz w:val="21"/>
          <w:szCs w:val="21"/>
          <w:highlight w:val="none"/>
        </w:rPr>
        <w:t>；</w:t>
      </w:r>
      <w:r>
        <w:rPr>
          <w:rFonts w:hAnsi="宋体" w:cs="Segoe UI"/>
          <w:color w:val="auto"/>
          <w:sz w:val="21"/>
          <w:szCs w:val="21"/>
          <w:highlight w:val="none"/>
        </w:rPr>
        <w:t>如使用版权音乐，须提供完整授权证明</w:t>
      </w:r>
      <w:r>
        <w:rPr>
          <w:rFonts w:hint="eastAsia" w:hAnsi="宋体" w:cs="Segoe UI"/>
          <w:color w:val="auto"/>
          <w:sz w:val="21"/>
          <w:szCs w:val="21"/>
          <w:highlight w:val="none"/>
        </w:rPr>
        <w:t>；</w:t>
      </w:r>
      <w:r>
        <w:rPr>
          <w:rFonts w:hAnsi="宋体" w:cs="Segoe UI"/>
          <w:color w:val="auto"/>
          <w:sz w:val="21"/>
          <w:szCs w:val="21"/>
          <w:highlight w:val="none"/>
        </w:rPr>
        <w:t>所有内容需通过原创度检测（使用主流AI内容检测工具，去重率≥70%，检测报告需附具工具名称和版本号）</w:t>
      </w:r>
      <w:r>
        <w:rPr>
          <w:rFonts w:hint="eastAsia" w:hAnsi="宋体" w:cs="Segoe UI"/>
          <w:color w:val="auto"/>
          <w:sz w:val="21"/>
          <w:szCs w:val="21"/>
          <w:highlight w:val="none"/>
        </w:rPr>
        <w:t>。</w:t>
      </w:r>
    </w:p>
    <w:p w14:paraId="26296712">
      <w:pPr>
        <w:spacing w:line="360" w:lineRule="auto"/>
        <w:ind w:left="240" w:leftChars="100" w:firstLine="211" w:firstLineChars="100"/>
        <w:rPr>
          <w:rFonts w:hint="eastAsia" w:hAnsi="宋体" w:cs="Segoe UI"/>
          <w:color w:val="auto"/>
          <w:sz w:val="21"/>
          <w:szCs w:val="21"/>
          <w:highlight w:val="none"/>
        </w:rPr>
      </w:pPr>
      <w:r>
        <w:rPr>
          <w:rFonts w:hAnsi="宋体"/>
          <w:b/>
          <w:bCs/>
          <w:color w:val="auto"/>
          <w:sz w:val="21"/>
          <w:szCs w:val="21"/>
          <w:highlight w:val="none"/>
        </w:rPr>
        <w:t>合规要求</w:t>
      </w:r>
      <w:r>
        <w:rPr>
          <w:rFonts w:hAnsi="宋体" w:cs="Segoe UI"/>
          <w:color w:val="auto"/>
          <w:sz w:val="21"/>
          <w:szCs w:val="21"/>
          <w:highlight w:val="none"/>
        </w:rPr>
        <w:t>：所有AI生成内容须按《人工智能生成合成内容标识办法》要求添加标识供应商须证明其AI内容生成服务已按规定完成算法备案</w:t>
      </w:r>
      <w:r>
        <w:rPr>
          <w:rFonts w:hAnsi="宋体"/>
          <w:color w:val="auto"/>
          <w:sz w:val="21"/>
          <w:szCs w:val="21"/>
          <w:highlight w:val="none"/>
        </w:rPr>
        <w:t>-</w:t>
      </w:r>
    </w:p>
    <w:p w14:paraId="1D63F73B">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.2.4 量化指标（累计）</w:t>
      </w:r>
    </w:p>
    <w:tbl>
      <w:tblPr>
        <w:tblStyle w:val="54"/>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815"/>
        <w:gridCol w:w="3544"/>
      </w:tblGrid>
      <w:tr w14:paraId="6CBF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4815" w:type="dxa"/>
            <w:tcMar>
              <w:top w:w="150" w:type="dxa"/>
              <w:left w:w="0" w:type="dxa"/>
              <w:bottom w:w="150" w:type="dxa"/>
              <w:right w:w="240" w:type="dxa"/>
            </w:tcMar>
            <w:vAlign w:val="center"/>
          </w:tcPr>
          <w:p w14:paraId="1F10562C">
            <w:pPr>
              <w:spacing w:line="360" w:lineRule="auto"/>
              <w:ind w:firstLine="420" w:firstLineChars="200"/>
              <w:jc w:val="center"/>
              <w:rPr>
                <w:rFonts w:hint="eastAsia" w:hAnsi="宋体" w:cs="Segoe UI"/>
                <w:color w:val="auto"/>
                <w:sz w:val="21"/>
                <w:szCs w:val="21"/>
                <w:highlight w:val="none"/>
              </w:rPr>
            </w:pPr>
            <w:r>
              <w:rPr>
                <w:rFonts w:hAnsi="宋体" w:cs="Segoe UI"/>
                <w:color w:val="auto"/>
                <w:sz w:val="21"/>
                <w:szCs w:val="21"/>
                <w:highlight w:val="none"/>
              </w:rPr>
              <w:t>指标</w:t>
            </w:r>
          </w:p>
        </w:tc>
        <w:tc>
          <w:tcPr>
            <w:tcW w:w="3544" w:type="dxa"/>
            <w:tcMar>
              <w:top w:w="150" w:type="dxa"/>
              <w:left w:w="240" w:type="dxa"/>
              <w:bottom w:w="150" w:type="dxa"/>
              <w:right w:w="240" w:type="dxa"/>
            </w:tcMar>
            <w:vAlign w:val="center"/>
          </w:tcPr>
          <w:p w14:paraId="50C69141">
            <w:pPr>
              <w:spacing w:line="360" w:lineRule="auto"/>
              <w:ind w:firstLine="420" w:firstLineChars="200"/>
              <w:jc w:val="center"/>
              <w:rPr>
                <w:rFonts w:hint="eastAsia" w:hAnsi="宋体" w:cs="Segoe UI"/>
                <w:color w:val="auto"/>
                <w:sz w:val="21"/>
                <w:szCs w:val="21"/>
                <w:highlight w:val="none"/>
              </w:rPr>
            </w:pPr>
            <w:r>
              <w:rPr>
                <w:rFonts w:hAnsi="宋体" w:cs="Segoe UI"/>
                <w:color w:val="auto"/>
                <w:sz w:val="21"/>
                <w:szCs w:val="21"/>
                <w:highlight w:val="none"/>
              </w:rPr>
              <w:t>数量</w:t>
            </w:r>
          </w:p>
        </w:tc>
      </w:tr>
      <w:tr w14:paraId="1ED3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815" w:type="dxa"/>
            <w:tcMar>
              <w:top w:w="150" w:type="dxa"/>
              <w:left w:w="0" w:type="dxa"/>
              <w:bottom w:w="150" w:type="dxa"/>
              <w:right w:w="240" w:type="dxa"/>
            </w:tcMar>
            <w:vAlign w:val="center"/>
          </w:tcPr>
          <w:p w14:paraId="7ED79D26">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AI营销视频</w:t>
            </w:r>
          </w:p>
        </w:tc>
        <w:tc>
          <w:tcPr>
            <w:tcW w:w="3544" w:type="dxa"/>
            <w:tcMar>
              <w:top w:w="150" w:type="dxa"/>
              <w:left w:w="240" w:type="dxa"/>
              <w:bottom w:w="150" w:type="dxa"/>
              <w:right w:w="0" w:type="dxa"/>
            </w:tcMar>
            <w:vAlign w:val="center"/>
          </w:tcPr>
          <w:p w14:paraId="30B4B012">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≥4000条</w:t>
            </w:r>
          </w:p>
        </w:tc>
      </w:tr>
      <w:tr w14:paraId="67F0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815" w:type="dxa"/>
            <w:tcMar>
              <w:top w:w="150" w:type="dxa"/>
              <w:left w:w="0" w:type="dxa"/>
              <w:bottom w:w="150" w:type="dxa"/>
              <w:right w:w="240" w:type="dxa"/>
            </w:tcMar>
            <w:vAlign w:val="center"/>
          </w:tcPr>
          <w:p w14:paraId="2E245748">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朋友圈可用素材</w:t>
            </w:r>
          </w:p>
        </w:tc>
        <w:tc>
          <w:tcPr>
            <w:tcW w:w="3544" w:type="dxa"/>
            <w:tcMar>
              <w:top w:w="150" w:type="dxa"/>
              <w:left w:w="240" w:type="dxa"/>
              <w:bottom w:w="150" w:type="dxa"/>
              <w:right w:w="0" w:type="dxa"/>
            </w:tcMar>
            <w:vAlign w:val="center"/>
          </w:tcPr>
          <w:p w14:paraId="43351EED">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≥20000张/组</w:t>
            </w:r>
          </w:p>
        </w:tc>
      </w:tr>
      <w:tr w14:paraId="1D9D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815" w:type="dxa"/>
            <w:tcMar>
              <w:top w:w="150" w:type="dxa"/>
              <w:left w:w="0" w:type="dxa"/>
              <w:bottom w:w="150" w:type="dxa"/>
              <w:right w:w="240" w:type="dxa"/>
            </w:tcMar>
            <w:vAlign w:val="center"/>
          </w:tcPr>
          <w:p w14:paraId="07AD3CE3">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公众号/小红书/小绿书种草文案</w:t>
            </w:r>
          </w:p>
        </w:tc>
        <w:tc>
          <w:tcPr>
            <w:tcW w:w="3544" w:type="dxa"/>
            <w:tcMar>
              <w:top w:w="150" w:type="dxa"/>
              <w:left w:w="240" w:type="dxa"/>
              <w:bottom w:w="150" w:type="dxa"/>
              <w:right w:w="0" w:type="dxa"/>
            </w:tcMar>
            <w:vAlign w:val="center"/>
          </w:tcPr>
          <w:p w14:paraId="1C0597CD">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≥5,000篇</w:t>
            </w:r>
          </w:p>
        </w:tc>
      </w:tr>
      <w:tr w14:paraId="2409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815" w:type="dxa"/>
            <w:tcMar>
              <w:top w:w="150" w:type="dxa"/>
              <w:left w:w="0" w:type="dxa"/>
              <w:bottom w:w="150" w:type="dxa"/>
              <w:right w:w="240" w:type="dxa"/>
            </w:tcMar>
            <w:vAlign w:val="center"/>
          </w:tcPr>
          <w:p w14:paraId="3544AF20">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全平台自然曝光量（不含付费投流）</w:t>
            </w:r>
          </w:p>
        </w:tc>
        <w:tc>
          <w:tcPr>
            <w:tcW w:w="3544" w:type="dxa"/>
            <w:tcMar>
              <w:top w:w="150" w:type="dxa"/>
              <w:left w:w="240" w:type="dxa"/>
              <w:bottom w:w="150" w:type="dxa"/>
              <w:right w:w="0" w:type="dxa"/>
            </w:tcMar>
            <w:vAlign w:val="center"/>
          </w:tcPr>
          <w:p w14:paraId="26FF1D0B">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≥800万次</w:t>
            </w:r>
          </w:p>
        </w:tc>
      </w:tr>
    </w:tbl>
    <w:p w14:paraId="2C055954">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.3 智能管理助手（数据看板）</w:t>
      </w:r>
    </w:p>
    <w:p w14:paraId="6440A3B6">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2</w:t>
      </w:r>
      <w:r>
        <w:rPr>
          <w:rFonts w:hAnsi="宋体" w:cs="Segoe UI"/>
          <w:color w:val="auto"/>
          <w:sz w:val="21"/>
          <w:szCs w:val="21"/>
          <w:highlight w:val="none"/>
        </w:rPr>
        <w:t>.3.1 数据统计功能</w:t>
      </w:r>
    </w:p>
    <w:p w14:paraId="1ED55FCD">
      <w:pPr>
        <w:spacing w:line="360" w:lineRule="auto"/>
        <w:rPr>
          <w:rFonts w:hint="eastAsia" w:hAnsi="宋体" w:cs="Segoe UI"/>
          <w:color w:val="auto"/>
          <w:sz w:val="21"/>
          <w:szCs w:val="21"/>
          <w:highlight w:val="none"/>
        </w:rPr>
      </w:pPr>
      <w:r>
        <w:rPr>
          <w:rFonts w:hAnsi="宋体"/>
          <w:color w:val="auto"/>
          <w:sz w:val="21"/>
          <w:szCs w:val="21"/>
          <w:highlight w:val="none"/>
        </w:rPr>
        <w:t>（1）素材数据</w:t>
      </w:r>
      <w:r>
        <w:rPr>
          <w:rFonts w:hint="eastAsia" w:hAnsi="宋体" w:cs="Segoe UI"/>
          <w:color w:val="auto"/>
          <w:sz w:val="21"/>
          <w:szCs w:val="21"/>
          <w:highlight w:val="none"/>
        </w:rPr>
        <w:t>：</w:t>
      </w:r>
      <w:r>
        <w:rPr>
          <w:rFonts w:hAnsi="宋体" w:cs="Segoe UI"/>
          <w:color w:val="auto"/>
          <w:sz w:val="21"/>
          <w:szCs w:val="21"/>
          <w:highlight w:val="none"/>
        </w:rPr>
        <w:t>生成数量、使用次数、下载次数、转发情况</w:t>
      </w:r>
      <w:r>
        <w:rPr>
          <w:rFonts w:hint="eastAsia" w:hAnsi="宋体" w:cs="Segoe UI"/>
          <w:color w:val="auto"/>
          <w:sz w:val="21"/>
          <w:szCs w:val="21"/>
          <w:highlight w:val="none"/>
        </w:rPr>
        <w:t>、</w:t>
      </w:r>
      <w:r>
        <w:rPr>
          <w:rFonts w:hAnsi="宋体" w:cs="Segoe UI"/>
          <w:color w:val="auto"/>
          <w:sz w:val="21"/>
          <w:szCs w:val="21"/>
          <w:highlight w:val="none"/>
        </w:rPr>
        <w:t>内容类型分布</w:t>
      </w:r>
      <w:r>
        <w:rPr>
          <w:rFonts w:hint="eastAsia" w:hAnsi="宋体" w:cs="Segoe UI"/>
          <w:color w:val="auto"/>
          <w:sz w:val="21"/>
          <w:szCs w:val="21"/>
          <w:highlight w:val="none"/>
        </w:rPr>
        <w:t>、</w:t>
      </w:r>
      <w:r>
        <w:rPr>
          <w:rFonts w:hAnsi="宋体" w:cs="Segoe UI"/>
          <w:color w:val="auto"/>
          <w:sz w:val="21"/>
          <w:szCs w:val="21"/>
          <w:highlight w:val="none"/>
        </w:rPr>
        <w:t>各平台素材表现对比</w:t>
      </w:r>
      <w:r>
        <w:rPr>
          <w:rFonts w:hint="eastAsia" w:hAnsi="宋体" w:cs="Segoe UI"/>
          <w:color w:val="auto"/>
          <w:sz w:val="21"/>
          <w:szCs w:val="21"/>
          <w:highlight w:val="none"/>
        </w:rPr>
        <w:t>。</w:t>
      </w:r>
    </w:p>
    <w:p w14:paraId="7AC8F769">
      <w:pPr>
        <w:spacing w:line="360" w:lineRule="auto"/>
        <w:rPr>
          <w:rFonts w:hint="eastAsia" w:hAnsi="宋体" w:cs="Segoe UI"/>
          <w:color w:val="auto"/>
          <w:sz w:val="21"/>
          <w:szCs w:val="21"/>
          <w:highlight w:val="none"/>
        </w:rPr>
      </w:pPr>
      <w:r>
        <w:rPr>
          <w:rFonts w:hAnsi="宋体"/>
          <w:color w:val="auto"/>
          <w:sz w:val="21"/>
          <w:szCs w:val="21"/>
          <w:highlight w:val="none"/>
        </w:rPr>
        <w:t>（2）线索数据</w:t>
      </w:r>
      <w:r>
        <w:rPr>
          <w:rFonts w:hint="eastAsia" w:hAnsi="宋体" w:cs="Segoe UI"/>
          <w:color w:val="auto"/>
          <w:sz w:val="21"/>
          <w:szCs w:val="21"/>
          <w:highlight w:val="none"/>
        </w:rPr>
        <w:t>：</w:t>
      </w:r>
      <w:r>
        <w:rPr>
          <w:rFonts w:hAnsi="宋体" w:cs="Segoe UI"/>
          <w:color w:val="auto"/>
          <w:sz w:val="21"/>
          <w:szCs w:val="21"/>
          <w:highlight w:val="none"/>
        </w:rPr>
        <w:t>咨询量、留资量、预约看房数</w:t>
      </w:r>
      <w:r>
        <w:rPr>
          <w:rFonts w:hint="eastAsia" w:hAnsi="宋体" w:cs="Segoe UI"/>
          <w:color w:val="auto"/>
          <w:sz w:val="21"/>
          <w:szCs w:val="21"/>
          <w:highlight w:val="none"/>
        </w:rPr>
        <w:t>、</w:t>
      </w:r>
      <w:r>
        <w:rPr>
          <w:rFonts w:hAnsi="宋体" w:cs="Segoe UI"/>
          <w:color w:val="auto"/>
          <w:sz w:val="21"/>
          <w:szCs w:val="21"/>
          <w:highlight w:val="none"/>
        </w:rPr>
        <w:t>补贴资格初筛数、活动报名数</w:t>
      </w:r>
      <w:r>
        <w:rPr>
          <w:rFonts w:hint="eastAsia" w:hAnsi="宋体" w:cs="Segoe UI"/>
          <w:color w:val="auto"/>
          <w:sz w:val="21"/>
          <w:szCs w:val="21"/>
          <w:highlight w:val="none"/>
        </w:rPr>
        <w:t>、</w:t>
      </w:r>
      <w:r>
        <w:rPr>
          <w:rFonts w:hAnsi="宋体" w:cs="Segoe UI"/>
          <w:color w:val="auto"/>
          <w:sz w:val="21"/>
          <w:szCs w:val="21"/>
          <w:highlight w:val="none"/>
        </w:rPr>
        <w:t>转化漏斗分析（咨询→留资→预约→看房→签约）</w:t>
      </w:r>
    </w:p>
    <w:p w14:paraId="0AC88357">
      <w:pPr>
        <w:spacing w:line="360" w:lineRule="auto"/>
        <w:rPr>
          <w:rFonts w:hint="eastAsia" w:hAnsi="宋体" w:cs="Segoe UI"/>
          <w:color w:val="auto"/>
          <w:sz w:val="21"/>
          <w:szCs w:val="21"/>
          <w:highlight w:val="none"/>
        </w:rPr>
      </w:pPr>
      <w:r>
        <w:rPr>
          <w:rFonts w:hAnsi="宋体"/>
          <w:color w:val="auto"/>
          <w:sz w:val="21"/>
          <w:szCs w:val="21"/>
          <w:highlight w:val="none"/>
        </w:rPr>
        <w:t>（3）房源数据</w:t>
      </w:r>
      <w:r>
        <w:rPr>
          <w:rFonts w:hint="eastAsia" w:hAnsi="宋体" w:cs="Segoe UI"/>
          <w:color w:val="auto"/>
          <w:sz w:val="21"/>
          <w:szCs w:val="21"/>
          <w:highlight w:val="none"/>
        </w:rPr>
        <w:t>：</w:t>
      </w:r>
      <w:r>
        <w:rPr>
          <w:rFonts w:hAnsi="宋体" w:cs="Segoe UI"/>
          <w:color w:val="auto"/>
          <w:sz w:val="21"/>
          <w:szCs w:val="21"/>
          <w:highlight w:val="none"/>
        </w:rPr>
        <w:t>各房源浏览数、收藏数、咨询数</w:t>
      </w:r>
      <w:r>
        <w:rPr>
          <w:rFonts w:hint="eastAsia" w:hAnsi="宋体" w:cs="Segoe UI"/>
          <w:color w:val="auto"/>
          <w:sz w:val="21"/>
          <w:szCs w:val="21"/>
          <w:highlight w:val="none"/>
        </w:rPr>
        <w:t>，</w:t>
      </w:r>
      <w:r>
        <w:rPr>
          <w:rFonts w:hAnsi="宋体" w:cs="Segoe UI"/>
          <w:color w:val="auto"/>
          <w:sz w:val="21"/>
          <w:szCs w:val="21"/>
          <w:highlight w:val="none"/>
        </w:rPr>
        <w:t>匹配推荐次数及预约转化率</w:t>
      </w:r>
      <w:r>
        <w:rPr>
          <w:rFonts w:hint="eastAsia" w:hAnsi="宋体" w:cs="Segoe UI"/>
          <w:color w:val="auto"/>
          <w:sz w:val="21"/>
          <w:szCs w:val="21"/>
          <w:highlight w:val="none"/>
        </w:rPr>
        <w:t>，</w:t>
      </w:r>
      <w:r>
        <w:rPr>
          <w:rFonts w:hAnsi="宋体" w:cs="Segoe UI"/>
          <w:color w:val="auto"/>
          <w:sz w:val="21"/>
          <w:szCs w:val="21"/>
          <w:highlight w:val="none"/>
        </w:rPr>
        <w:t>热门房源TOP榜</w:t>
      </w:r>
      <w:r>
        <w:rPr>
          <w:rFonts w:hint="eastAsia" w:hAnsi="宋体" w:cs="Segoe UI"/>
          <w:color w:val="auto"/>
          <w:sz w:val="21"/>
          <w:szCs w:val="21"/>
          <w:highlight w:val="none"/>
        </w:rPr>
        <w:t>。</w:t>
      </w:r>
    </w:p>
    <w:p w14:paraId="49634E63">
      <w:pPr>
        <w:spacing w:line="360" w:lineRule="auto"/>
        <w:rPr>
          <w:rFonts w:hint="eastAsia" w:hAnsi="宋体" w:cs="Segoe UI"/>
          <w:color w:val="auto"/>
          <w:sz w:val="21"/>
          <w:szCs w:val="21"/>
          <w:highlight w:val="none"/>
        </w:rPr>
      </w:pPr>
      <w:r>
        <w:rPr>
          <w:rFonts w:hAnsi="宋体" w:cs="Segoe UI"/>
          <w:color w:val="auto"/>
          <w:sz w:val="21"/>
          <w:szCs w:val="21"/>
          <w:highlight w:val="none"/>
        </w:rPr>
        <w:t>5.3.2 看板要求</w:t>
      </w:r>
      <w:r>
        <w:rPr>
          <w:rFonts w:hint="eastAsia" w:hAnsi="宋体" w:cs="Segoe UI"/>
          <w:color w:val="auto"/>
          <w:sz w:val="21"/>
          <w:szCs w:val="21"/>
          <w:highlight w:val="none"/>
        </w:rPr>
        <w:t>：</w:t>
      </w:r>
      <w:r>
        <w:rPr>
          <w:rFonts w:hAnsi="宋体" w:cs="Segoe UI"/>
          <w:color w:val="auto"/>
          <w:sz w:val="21"/>
          <w:szCs w:val="21"/>
          <w:highlight w:val="none"/>
        </w:rPr>
        <w:t>提供Web端实时查看，支持移动端适配</w:t>
      </w:r>
      <w:r>
        <w:rPr>
          <w:rFonts w:hint="eastAsia" w:hAnsi="宋体" w:cs="Segoe UI"/>
          <w:color w:val="auto"/>
          <w:sz w:val="21"/>
          <w:szCs w:val="21"/>
          <w:highlight w:val="none"/>
        </w:rPr>
        <w:t>，</w:t>
      </w:r>
      <w:r>
        <w:rPr>
          <w:rFonts w:hAnsi="宋体" w:cs="Segoe UI"/>
          <w:color w:val="auto"/>
          <w:sz w:val="21"/>
          <w:szCs w:val="21"/>
          <w:highlight w:val="none"/>
        </w:rPr>
        <w:t>数据更新频率：T+1（次日更新前一日数据）</w:t>
      </w:r>
      <w:r>
        <w:rPr>
          <w:rFonts w:hint="eastAsia" w:hAnsi="宋体" w:cs="Segoe UI"/>
          <w:color w:val="auto"/>
          <w:sz w:val="21"/>
          <w:szCs w:val="21"/>
          <w:highlight w:val="none"/>
        </w:rPr>
        <w:t>，</w:t>
      </w:r>
      <w:r>
        <w:rPr>
          <w:rFonts w:hAnsi="宋体" w:cs="Segoe UI"/>
          <w:color w:val="auto"/>
          <w:sz w:val="21"/>
          <w:szCs w:val="21"/>
          <w:highlight w:val="none"/>
        </w:rPr>
        <w:t>支持数据导出Excel</w:t>
      </w:r>
      <w:r>
        <w:rPr>
          <w:rFonts w:hint="eastAsia" w:hAnsi="宋体" w:cs="Segoe UI"/>
          <w:color w:val="auto"/>
          <w:sz w:val="21"/>
          <w:szCs w:val="21"/>
          <w:highlight w:val="none"/>
        </w:rPr>
        <w:t>，</w:t>
      </w:r>
      <w:r>
        <w:rPr>
          <w:rFonts w:hAnsi="宋体" w:cs="Segoe UI"/>
          <w:color w:val="auto"/>
          <w:sz w:val="21"/>
          <w:szCs w:val="21"/>
          <w:highlight w:val="none"/>
        </w:rPr>
        <w:t>支持自定义时间段筛选和对比分析</w:t>
      </w:r>
      <w:r>
        <w:rPr>
          <w:rFonts w:hint="eastAsia" w:hAnsi="宋体" w:cs="Segoe UI"/>
          <w:color w:val="auto"/>
          <w:sz w:val="21"/>
          <w:szCs w:val="21"/>
          <w:highlight w:val="none"/>
        </w:rPr>
        <w:t>，</w:t>
      </w:r>
      <w:r>
        <w:rPr>
          <w:rFonts w:hAnsi="宋体" w:cs="Segoe UI"/>
          <w:color w:val="auto"/>
          <w:sz w:val="21"/>
          <w:szCs w:val="21"/>
          <w:highlight w:val="none"/>
        </w:rPr>
        <w:t>可视化报表应包含趋势图、漏斗图、分布图等</w:t>
      </w:r>
      <w:r>
        <w:rPr>
          <w:rFonts w:hint="eastAsia" w:hAnsi="宋体"/>
          <w:color w:val="auto"/>
          <w:sz w:val="21"/>
          <w:szCs w:val="21"/>
          <w:highlight w:val="none"/>
        </w:rPr>
        <w:t>。</w:t>
      </w:r>
    </w:p>
    <w:p w14:paraId="01C30522">
      <w:pPr>
        <w:spacing w:line="360" w:lineRule="auto"/>
        <w:rPr>
          <w:rFonts w:hint="eastAsia" w:hAnsi="宋体" w:cs="Segoe UI"/>
          <w:b/>
          <w:bCs/>
          <w:color w:val="auto"/>
          <w:sz w:val="21"/>
          <w:szCs w:val="21"/>
          <w:highlight w:val="none"/>
        </w:rPr>
      </w:pPr>
      <w:r>
        <w:rPr>
          <w:rFonts w:hint="eastAsia" w:hAnsi="宋体" w:cs="Segoe UI"/>
          <w:b/>
          <w:bCs/>
          <w:color w:val="auto"/>
          <w:sz w:val="21"/>
          <w:szCs w:val="21"/>
          <w:highlight w:val="none"/>
        </w:rPr>
        <w:t>三</w:t>
      </w:r>
      <w:r>
        <w:rPr>
          <w:rFonts w:hAnsi="宋体" w:cs="Segoe UI"/>
          <w:b/>
          <w:bCs/>
          <w:color w:val="auto"/>
          <w:sz w:val="21"/>
          <w:szCs w:val="21"/>
          <w:highlight w:val="none"/>
        </w:rPr>
        <w:t>、服务要求与交付流程</w:t>
      </w:r>
    </w:p>
    <w:p w14:paraId="31A8A2AC">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3</w:t>
      </w:r>
      <w:r>
        <w:rPr>
          <w:rFonts w:hAnsi="宋体" w:cs="Segoe UI"/>
          <w:color w:val="auto"/>
          <w:sz w:val="21"/>
          <w:szCs w:val="21"/>
          <w:highlight w:val="none"/>
        </w:rPr>
        <w:t>.1 前期部署（合同签订后30日内）</w:t>
      </w:r>
    </w:p>
    <w:p w14:paraId="2D75789B">
      <w:pPr>
        <w:spacing w:line="360" w:lineRule="auto"/>
        <w:rPr>
          <w:rFonts w:hint="eastAsia" w:hAnsi="宋体" w:cs="Segoe UI"/>
          <w:color w:val="auto"/>
          <w:sz w:val="21"/>
          <w:szCs w:val="21"/>
          <w:highlight w:val="none"/>
        </w:rPr>
      </w:pPr>
      <w:r>
        <w:rPr>
          <w:rFonts w:hAnsi="宋体"/>
          <w:b/>
          <w:bCs/>
          <w:color w:val="auto"/>
          <w:sz w:val="21"/>
          <w:szCs w:val="21"/>
          <w:highlight w:val="none"/>
        </w:rPr>
        <w:t>（1）系统部署</w:t>
      </w:r>
      <w:r>
        <w:rPr>
          <w:rFonts w:hint="eastAsia" w:hAnsi="宋体" w:cs="Segoe UI"/>
          <w:color w:val="auto"/>
          <w:sz w:val="21"/>
          <w:szCs w:val="21"/>
          <w:highlight w:val="none"/>
        </w:rPr>
        <w:t>：</w:t>
      </w:r>
      <w:r>
        <w:rPr>
          <w:rFonts w:hAnsi="宋体" w:cs="Segoe UI"/>
          <w:color w:val="auto"/>
          <w:sz w:val="21"/>
          <w:szCs w:val="21"/>
          <w:highlight w:val="none"/>
        </w:rPr>
        <w:t>完成AI系统部署、各平台账号对接</w:t>
      </w:r>
      <w:r>
        <w:rPr>
          <w:rFonts w:hint="eastAsia" w:hAnsi="宋体" w:cs="Segoe UI"/>
          <w:color w:val="auto"/>
          <w:sz w:val="21"/>
          <w:szCs w:val="21"/>
          <w:highlight w:val="none"/>
        </w:rPr>
        <w:t>、</w:t>
      </w:r>
      <w:r>
        <w:rPr>
          <w:rFonts w:hAnsi="宋体" w:cs="Segoe UI"/>
          <w:color w:val="auto"/>
          <w:sz w:val="21"/>
          <w:szCs w:val="21"/>
          <w:highlight w:val="none"/>
        </w:rPr>
        <w:t>完成知识库搭建（采购方提供房源基础资料，供应商结构化录入并训练）</w:t>
      </w:r>
    </w:p>
    <w:p w14:paraId="0EA08DCE">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知识库验收：采购方可随机抽取50个问题测试，回答准确率≥90%</w:t>
      </w:r>
    </w:p>
    <w:p w14:paraId="406CD3DB">
      <w:pPr>
        <w:spacing w:line="360" w:lineRule="auto"/>
        <w:rPr>
          <w:rFonts w:hint="eastAsia" w:hAnsi="宋体" w:cs="Segoe UI"/>
          <w:color w:val="auto"/>
          <w:sz w:val="21"/>
          <w:szCs w:val="21"/>
          <w:highlight w:val="none"/>
        </w:rPr>
      </w:pPr>
      <w:r>
        <w:rPr>
          <w:rFonts w:hAnsi="宋体"/>
          <w:b/>
          <w:bCs/>
          <w:color w:val="auto"/>
          <w:sz w:val="21"/>
          <w:szCs w:val="21"/>
          <w:highlight w:val="none"/>
        </w:rPr>
        <w:t>（2）数字人形象定制</w:t>
      </w:r>
      <w:r>
        <w:rPr>
          <w:rFonts w:hint="eastAsia" w:hAnsi="宋体" w:cs="Segoe UI"/>
          <w:color w:val="auto"/>
          <w:sz w:val="21"/>
          <w:szCs w:val="21"/>
          <w:highlight w:val="none"/>
        </w:rPr>
        <w:t>：</w:t>
      </w:r>
      <w:r>
        <w:rPr>
          <w:rFonts w:hAnsi="宋体" w:cs="Segoe UI"/>
          <w:color w:val="auto"/>
          <w:sz w:val="21"/>
          <w:szCs w:val="21"/>
          <w:highlight w:val="none"/>
        </w:rPr>
        <w:t>采购方可选择使用通用形象或指定人员形象</w:t>
      </w:r>
      <w:r>
        <w:rPr>
          <w:rFonts w:hint="eastAsia" w:hAnsi="宋体" w:cs="Segoe UI"/>
          <w:color w:val="auto"/>
          <w:sz w:val="21"/>
          <w:szCs w:val="21"/>
          <w:highlight w:val="none"/>
        </w:rPr>
        <w:t>，</w:t>
      </w:r>
      <w:r>
        <w:rPr>
          <w:rFonts w:hAnsi="宋体" w:cs="Segoe UI"/>
          <w:color w:val="auto"/>
          <w:sz w:val="21"/>
          <w:szCs w:val="21"/>
          <w:highlight w:val="none"/>
        </w:rPr>
        <w:t>若需真人克隆，须另行签订形象授权协议，供应商须提供被克隆人书面授权证明</w:t>
      </w:r>
      <w:r>
        <w:rPr>
          <w:rFonts w:hint="eastAsia" w:hAnsi="宋体" w:cs="Segoe UI"/>
          <w:color w:val="auto"/>
          <w:sz w:val="21"/>
          <w:szCs w:val="21"/>
          <w:highlight w:val="none"/>
        </w:rPr>
        <w:t>，</w:t>
      </w:r>
      <w:r>
        <w:rPr>
          <w:rFonts w:hAnsi="宋体" w:cs="Segoe UI"/>
          <w:color w:val="auto"/>
          <w:sz w:val="21"/>
          <w:szCs w:val="21"/>
          <w:highlight w:val="none"/>
        </w:rPr>
        <w:t>授权范围应明确用途、平台、地域、期限</w:t>
      </w:r>
      <w:r>
        <w:rPr>
          <w:rFonts w:hint="eastAsia" w:hAnsi="宋体" w:cs="Segoe UI"/>
          <w:color w:val="auto"/>
          <w:sz w:val="21"/>
          <w:szCs w:val="21"/>
          <w:highlight w:val="none"/>
        </w:rPr>
        <w:t>。</w:t>
      </w:r>
    </w:p>
    <w:p w14:paraId="2A083EFE">
      <w:pPr>
        <w:spacing w:line="360" w:lineRule="auto"/>
        <w:rPr>
          <w:rFonts w:hint="eastAsia" w:hAnsi="宋体" w:cs="Segoe UI"/>
          <w:color w:val="auto"/>
          <w:sz w:val="21"/>
          <w:szCs w:val="21"/>
          <w:highlight w:val="none"/>
        </w:rPr>
      </w:pPr>
      <w:r>
        <w:rPr>
          <w:rFonts w:hAnsi="宋体"/>
          <w:b/>
          <w:bCs/>
          <w:color w:val="auto"/>
          <w:sz w:val="21"/>
          <w:szCs w:val="21"/>
          <w:highlight w:val="none"/>
        </w:rPr>
        <w:t>（3）实地拍摄</w:t>
      </w:r>
      <w:r>
        <w:rPr>
          <w:rFonts w:hint="eastAsia" w:hAnsi="宋体" w:cs="Segoe UI"/>
          <w:color w:val="auto"/>
          <w:sz w:val="21"/>
          <w:szCs w:val="21"/>
          <w:highlight w:val="none"/>
        </w:rPr>
        <w:t>：</w:t>
      </w:r>
      <w:r>
        <w:rPr>
          <w:rFonts w:hAnsi="宋体" w:cs="Segoe UI"/>
          <w:color w:val="auto"/>
          <w:sz w:val="21"/>
          <w:szCs w:val="21"/>
          <w:highlight w:val="none"/>
        </w:rPr>
        <w:t>完成至少1次实地拍摄（莞寓公区、样板间等）</w:t>
      </w:r>
      <w:r>
        <w:rPr>
          <w:rFonts w:hint="eastAsia" w:hAnsi="宋体" w:cs="Segoe UI"/>
          <w:color w:val="auto"/>
          <w:sz w:val="21"/>
          <w:szCs w:val="21"/>
          <w:highlight w:val="none"/>
        </w:rPr>
        <w:t>；</w:t>
      </w:r>
      <w:r>
        <w:rPr>
          <w:rFonts w:hAnsi="宋体" w:cs="Segoe UI"/>
          <w:color w:val="auto"/>
          <w:sz w:val="21"/>
          <w:szCs w:val="21"/>
          <w:highlight w:val="none"/>
        </w:rPr>
        <w:t>产出不少于200张高清原图、20个实拍视频素材</w:t>
      </w:r>
      <w:r>
        <w:rPr>
          <w:rFonts w:hint="eastAsia" w:hAnsi="宋体" w:cs="Segoe UI"/>
          <w:color w:val="auto"/>
          <w:sz w:val="21"/>
          <w:szCs w:val="21"/>
          <w:highlight w:val="none"/>
        </w:rPr>
        <w:t>。</w:t>
      </w:r>
    </w:p>
    <w:p w14:paraId="19656639">
      <w:pPr>
        <w:spacing w:line="360" w:lineRule="auto"/>
        <w:rPr>
          <w:rFonts w:hint="eastAsia" w:hAnsi="宋体" w:cs="Segoe UI"/>
          <w:color w:val="auto"/>
          <w:sz w:val="21"/>
          <w:szCs w:val="21"/>
          <w:highlight w:val="none"/>
        </w:rPr>
      </w:pPr>
      <w:r>
        <w:rPr>
          <w:rFonts w:hAnsi="宋体"/>
          <w:b/>
          <w:bCs/>
          <w:color w:val="auto"/>
          <w:sz w:val="21"/>
          <w:szCs w:val="21"/>
          <w:highlight w:val="none"/>
        </w:rPr>
        <w:t>（4）系统试运行</w:t>
      </w:r>
      <w:r>
        <w:rPr>
          <w:rFonts w:hint="eastAsia" w:hAnsi="宋体" w:cs="Segoe UI"/>
          <w:color w:val="auto"/>
          <w:sz w:val="21"/>
          <w:szCs w:val="21"/>
          <w:highlight w:val="none"/>
        </w:rPr>
        <w:t>：</w:t>
      </w:r>
      <w:r>
        <w:rPr>
          <w:rFonts w:hAnsi="宋体" w:cs="Segoe UI"/>
          <w:color w:val="auto"/>
          <w:sz w:val="21"/>
          <w:szCs w:val="21"/>
          <w:highlight w:val="none"/>
        </w:rPr>
        <w:t>部署完成后进行不少于15天试运行</w:t>
      </w:r>
      <w:r>
        <w:rPr>
          <w:rFonts w:hint="eastAsia" w:hAnsi="宋体" w:cs="Segoe UI"/>
          <w:color w:val="auto"/>
          <w:sz w:val="21"/>
          <w:szCs w:val="21"/>
          <w:highlight w:val="none"/>
        </w:rPr>
        <w:t>，</w:t>
      </w:r>
      <w:r>
        <w:rPr>
          <w:rFonts w:hAnsi="宋体" w:cs="Segoe UI"/>
          <w:color w:val="auto"/>
          <w:sz w:val="21"/>
          <w:szCs w:val="21"/>
          <w:highlight w:val="none"/>
        </w:rPr>
        <w:t>试运行期内完成功能测试、性能测试、安全测试</w:t>
      </w:r>
      <w:r>
        <w:rPr>
          <w:rFonts w:hint="eastAsia" w:hAnsi="宋体"/>
          <w:color w:val="auto"/>
          <w:sz w:val="21"/>
          <w:szCs w:val="21"/>
          <w:highlight w:val="none"/>
        </w:rPr>
        <w:t>，</w:t>
      </w:r>
      <w:r>
        <w:rPr>
          <w:rFonts w:hAnsi="宋体" w:cs="Segoe UI"/>
          <w:color w:val="auto"/>
          <w:sz w:val="21"/>
          <w:szCs w:val="21"/>
          <w:highlight w:val="none"/>
        </w:rPr>
        <w:t>测试通过后方可进入正式服务期</w:t>
      </w:r>
      <w:r>
        <w:rPr>
          <w:rFonts w:hint="eastAsia" w:hAnsi="宋体" w:cs="Segoe UI"/>
          <w:color w:val="auto"/>
          <w:sz w:val="21"/>
          <w:szCs w:val="21"/>
          <w:highlight w:val="none"/>
        </w:rPr>
        <w:t>。</w:t>
      </w:r>
    </w:p>
    <w:p w14:paraId="620F6B47">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3</w:t>
      </w:r>
      <w:r>
        <w:rPr>
          <w:rFonts w:hAnsi="宋体" w:cs="Segoe UI"/>
          <w:color w:val="auto"/>
          <w:sz w:val="21"/>
          <w:szCs w:val="21"/>
          <w:highlight w:val="none"/>
        </w:rPr>
        <w:t>.2 运营与技术支持（合同期内）</w:t>
      </w:r>
    </w:p>
    <w:p w14:paraId="04936314">
      <w:pPr>
        <w:spacing w:line="360" w:lineRule="auto"/>
        <w:rPr>
          <w:rFonts w:hint="eastAsia" w:hAnsi="宋体" w:cs="Segoe UI"/>
          <w:color w:val="auto"/>
          <w:sz w:val="21"/>
          <w:szCs w:val="21"/>
          <w:highlight w:val="none"/>
        </w:rPr>
      </w:pPr>
      <w:r>
        <w:rPr>
          <w:rFonts w:hAnsi="宋体"/>
          <w:b/>
          <w:bCs/>
          <w:color w:val="auto"/>
          <w:sz w:val="21"/>
          <w:szCs w:val="21"/>
          <w:highlight w:val="none"/>
        </w:rPr>
        <w:t>（1）系统运维</w:t>
      </w:r>
      <w:r>
        <w:rPr>
          <w:rFonts w:hint="eastAsia" w:hAnsi="宋体" w:cs="Segoe UI"/>
          <w:color w:val="auto"/>
          <w:sz w:val="21"/>
          <w:szCs w:val="21"/>
          <w:highlight w:val="none"/>
        </w:rPr>
        <w:t>：</w:t>
      </w:r>
      <w:r>
        <w:rPr>
          <w:rFonts w:hAnsi="宋体" w:cs="Segoe UI"/>
          <w:color w:val="auto"/>
          <w:sz w:val="21"/>
          <w:szCs w:val="21"/>
          <w:highlight w:val="none"/>
        </w:rPr>
        <w:t>提供7×24小时系统故障处理</w:t>
      </w:r>
      <w:r>
        <w:rPr>
          <w:rFonts w:hint="eastAsia" w:hAnsi="宋体" w:cs="Segoe UI"/>
          <w:color w:val="auto"/>
          <w:sz w:val="21"/>
          <w:szCs w:val="21"/>
          <w:highlight w:val="none"/>
        </w:rPr>
        <w:t>；</w:t>
      </w:r>
      <w:r>
        <w:rPr>
          <w:rFonts w:hAnsi="宋体" w:cs="Segoe UI"/>
          <w:color w:val="auto"/>
          <w:sz w:val="21"/>
          <w:szCs w:val="21"/>
          <w:highlight w:val="none"/>
        </w:rPr>
        <w:t>响应时间≤2小时，修复时间≤24小时</w:t>
      </w:r>
      <w:r>
        <w:rPr>
          <w:rFonts w:hint="eastAsia" w:hAnsi="宋体" w:cs="Segoe UI"/>
          <w:color w:val="auto"/>
          <w:sz w:val="21"/>
          <w:szCs w:val="21"/>
          <w:highlight w:val="none"/>
        </w:rPr>
        <w:t>。</w:t>
      </w:r>
    </w:p>
    <w:p w14:paraId="254CB967">
      <w:pPr>
        <w:spacing w:line="360" w:lineRule="auto"/>
        <w:rPr>
          <w:rFonts w:hint="eastAsia" w:hAnsi="宋体" w:cs="Segoe UI"/>
          <w:color w:val="auto"/>
          <w:sz w:val="21"/>
          <w:szCs w:val="21"/>
          <w:highlight w:val="none"/>
        </w:rPr>
      </w:pPr>
      <w:r>
        <w:rPr>
          <w:rFonts w:hAnsi="宋体"/>
          <w:b/>
          <w:bCs/>
          <w:color w:val="auto"/>
          <w:sz w:val="21"/>
          <w:szCs w:val="21"/>
          <w:highlight w:val="none"/>
        </w:rPr>
        <w:t>（2）账号与培训</w:t>
      </w:r>
      <w:r>
        <w:rPr>
          <w:rFonts w:hint="eastAsia" w:hAnsi="宋体" w:cs="Segoe UI"/>
          <w:color w:val="auto"/>
          <w:sz w:val="21"/>
          <w:szCs w:val="21"/>
          <w:highlight w:val="none"/>
        </w:rPr>
        <w:t>：</w:t>
      </w:r>
      <w:r>
        <w:rPr>
          <w:rFonts w:hAnsi="宋体" w:cs="Segoe UI"/>
          <w:color w:val="auto"/>
          <w:sz w:val="21"/>
          <w:szCs w:val="21"/>
          <w:highlight w:val="none"/>
        </w:rPr>
        <w:t>提供无限子账号开通</w:t>
      </w:r>
      <w:r>
        <w:rPr>
          <w:rFonts w:hint="eastAsia" w:hAnsi="宋体" w:cs="Segoe UI"/>
          <w:color w:val="auto"/>
          <w:sz w:val="21"/>
          <w:szCs w:val="21"/>
          <w:highlight w:val="none"/>
        </w:rPr>
        <w:t>，</w:t>
      </w:r>
      <w:r>
        <w:rPr>
          <w:rFonts w:hAnsi="宋体" w:cs="Segoe UI"/>
          <w:color w:val="auto"/>
          <w:sz w:val="21"/>
          <w:szCs w:val="21"/>
          <w:highlight w:val="none"/>
        </w:rPr>
        <w:t>为采购方运营团队提供不少于3次集中培训（每次不少于2小时）</w:t>
      </w:r>
      <w:r>
        <w:rPr>
          <w:rFonts w:hint="eastAsia" w:hAnsi="宋体" w:cs="Segoe UI"/>
          <w:color w:val="auto"/>
          <w:sz w:val="21"/>
          <w:szCs w:val="21"/>
          <w:highlight w:val="none"/>
        </w:rPr>
        <w:t>，</w:t>
      </w:r>
      <w:r>
        <w:rPr>
          <w:rFonts w:hAnsi="宋体" w:cs="Segoe UI"/>
          <w:color w:val="auto"/>
          <w:sz w:val="21"/>
          <w:szCs w:val="21"/>
          <w:highlight w:val="none"/>
        </w:rPr>
        <w:t>配备专属客服群进行日常答疑</w:t>
      </w:r>
      <w:r>
        <w:rPr>
          <w:rFonts w:hint="eastAsia" w:hAnsi="宋体" w:cs="Segoe UI"/>
          <w:color w:val="auto"/>
          <w:sz w:val="21"/>
          <w:szCs w:val="21"/>
          <w:highlight w:val="none"/>
        </w:rPr>
        <w:t>。</w:t>
      </w:r>
    </w:p>
    <w:p w14:paraId="0B7174AB">
      <w:pPr>
        <w:spacing w:line="360" w:lineRule="auto"/>
        <w:rPr>
          <w:rFonts w:hint="eastAsia" w:hAnsi="宋体" w:cs="Segoe UI"/>
          <w:color w:val="auto"/>
          <w:sz w:val="21"/>
          <w:szCs w:val="21"/>
          <w:highlight w:val="none"/>
        </w:rPr>
      </w:pPr>
      <w:r>
        <w:rPr>
          <w:rFonts w:hAnsi="宋体"/>
          <w:b/>
          <w:bCs/>
          <w:color w:val="auto"/>
          <w:sz w:val="21"/>
          <w:szCs w:val="21"/>
          <w:highlight w:val="none"/>
        </w:rPr>
        <w:t>（3）陪跑服务</w:t>
      </w:r>
      <w:r>
        <w:rPr>
          <w:rFonts w:hint="eastAsia" w:hAnsi="宋体" w:cs="Segoe UI"/>
          <w:color w:val="auto"/>
          <w:sz w:val="21"/>
          <w:szCs w:val="21"/>
          <w:highlight w:val="none"/>
        </w:rPr>
        <w:t>：</w:t>
      </w:r>
      <w:r>
        <w:rPr>
          <w:rFonts w:hAnsi="宋体" w:cs="Segoe UI"/>
          <w:color w:val="auto"/>
          <w:sz w:val="21"/>
          <w:szCs w:val="21"/>
          <w:highlight w:val="none"/>
        </w:rPr>
        <w:t>每月至少1次运营复盘会议</w:t>
      </w:r>
      <w:r>
        <w:rPr>
          <w:rFonts w:hint="eastAsia" w:hAnsi="宋体" w:cs="Segoe UI"/>
          <w:color w:val="auto"/>
          <w:sz w:val="21"/>
          <w:szCs w:val="21"/>
          <w:highlight w:val="none"/>
        </w:rPr>
        <w:t>，</w:t>
      </w:r>
      <w:r>
        <w:rPr>
          <w:rFonts w:hAnsi="宋体" w:cs="Segoe UI"/>
          <w:color w:val="auto"/>
          <w:sz w:val="21"/>
          <w:szCs w:val="21"/>
          <w:highlight w:val="none"/>
        </w:rPr>
        <w:t>协助优化内容策略和客服话术</w:t>
      </w:r>
      <w:r>
        <w:rPr>
          <w:rFonts w:hint="eastAsia" w:hAnsi="宋体" w:cs="Segoe UI"/>
          <w:color w:val="auto"/>
          <w:sz w:val="21"/>
          <w:szCs w:val="21"/>
          <w:highlight w:val="none"/>
        </w:rPr>
        <w:t>。</w:t>
      </w:r>
    </w:p>
    <w:p w14:paraId="1A958C34">
      <w:pPr>
        <w:spacing w:line="360" w:lineRule="auto"/>
        <w:rPr>
          <w:rFonts w:hint="eastAsia" w:hAnsi="宋体" w:cs="Segoe UI"/>
          <w:color w:val="auto"/>
          <w:sz w:val="21"/>
          <w:szCs w:val="21"/>
          <w:highlight w:val="none"/>
        </w:rPr>
      </w:pPr>
      <w:r>
        <w:rPr>
          <w:rFonts w:hAnsi="宋体" w:cs="Segoe UI"/>
          <w:color w:val="auto"/>
          <w:sz w:val="21"/>
          <w:szCs w:val="21"/>
          <w:highlight w:val="none"/>
        </w:rPr>
        <w:t>6.3 内容审核机制</w:t>
      </w:r>
      <w:r>
        <w:rPr>
          <w:rFonts w:hint="eastAsia" w:hAnsi="宋体" w:cs="Segoe UI"/>
          <w:color w:val="auto"/>
          <w:sz w:val="21"/>
          <w:szCs w:val="21"/>
          <w:highlight w:val="none"/>
        </w:rPr>
        <w:t>：</w:t>
      </w:r>
      <w:r>
        <w:rPr>
          <w:rFonts w:hAnsi="宋体" w:cs="Segoe UI"/>
          <w:color w:val="auto"/>
          <w:sz w:val="21"/>
          <w:szCs w:val="21"/>
          <w:highlight w:val="none"/>
        </w:rPr>
        <w:t>采购方有权按不低于10%的比例对AI生成内容进行抽检</w:t>
      </w:r>
      <w:r>
        <w:rPr>
          <w:rFonts w:hint="eastAsia" w:hAnsi="宋体" w:cs="Segoe UI"/>
          <w:color w:val="auto"/>
          <w:sz w:val="21"/>
          <w:szCs w:val="21"/>
          <w:highlight w:val="none"/>
        </w:rPr>
        <w:t>；</w:t>
      </w:r>
      <w:r>
        <w:rPr>
          <w:rFonts w:hAnsi="宋体" w:cs="Segoe UI"/>
          <w:color w:val="auto"/>
          <w:sz w:val="21"/>
          <w:szCs w:val="21"/>
          <w:highlight w:val="none"/>
        </w:rPr>
        <w:t>抽检不合格率超过20%，供应商需在3个工作日内完成整改</w:t>
      </w:r>
      <w:r>
        <w:rPr>
          <w:rFonts w:hint="eastAsia" w:hAnsi="宋体" w:cs="Segoe UI"/>
          <w:color w:val="auto"/>
          <w:sz w:val="21"/>
          <w:szCs w:val="21"/>
          <w:highlight w:val="none"/>
        </w:rPr>
        <w:t>；</w:t>
      </w:r>
      <w:r>
        <w:rPr>
          <w:rFonts w:hAnsi="宋体" w:cs="Segoe UI"/>
          <w:color w:val="auto"/>
          <w:sz w:val="21"/>
          <w:szCs w:val="21"/>
          <w:highlight w:val="none"/>
        </w:rPr>
        <w:t>连续两个月抽检不合格率超过20%，采购方有权解除合同</w:t>
      </w:r>
      <w:r>
        <w:rPr>
          <w:rFonts w:hint="eastAsia" w:hAnsi="宋体" w:cs="Segoe UI"/>
          <w:color w:val="auto"/>
          <w:sz w:val="21"/>
          <w:szCs w:val="21"/>
          <w:highlight w:val="none"/>
        </w:rPr>
        <w:t>。</w:t>
      </w:r>
    </w:p>
    <w:p w14:paraId="763076B0">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3</w:t>
      </w:r>
      <w:r>
        <w:rPr>
          <w:rFonts w:hAnsi="宋体" w:cs="Segoe UI"/>
          <w:color w:val="auto"/>
          <w:sz w:val="21"/>
          <w:szCs w:val="21"/>
          <w:highlight w:val="none"/>
        </w:rPr>
        <w:t>.4 中期考核（合同第6个月末）</w:t>
      </w:r>
    </w:p>
    <w:p w14:paraId="3C4628F0">
      <w:pPr>
        <w:spacing w:line="360" w:lineRule="auto"/>
        <w:rPr>
          <w:rFonts w:hint="eastAsia" w:hAnsi="宋体" w:cs="Segoe UI"/>
          <w:color w:val="auto"/>
          <w:sz w:val="21"/>
          <w:szCs w:val="21"/>
          <w:highlight w:val="none"/>
        </w:rPr>
      </w:pPr>
      <w:r>
        <w:rPr>
          <w:rFonts w:hAnsi="宋体"/>
          <w:b/>
          <w:bCs/>
          <w:color w:val="auto"/>
          <w:sz w:val="21"/>
          <w:szCs w:val="21"/>
          <w:highlight w:val="none"/>
        </w:rPr>
        <w:t>（1）考核指标</w:t>
      </w:r>
    </w:p>
    <w:tbl>
      <w:tblPr>
        <w:tblStyle w:val="54"/>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263"/>
        <w:gridCol w:w="2694"/>
        <w:gridCol w:w="3260"/>
      </w:tblGrid>
      <w:tr w14:paraId="7B5F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263" w:type="dxa"/>
            <w:tcMar>
              <w:top w:w="150" w:type="dxa"/>
              <w:left w:w="0" w:type="dxa"/>
              <w:bottom w:w="150" w:type="dxa"/>
              <w:right w:w="240" w:type="dxa"/>
            </w:tcMar>
            <w:vAlign w:val="center"/>
          </w:tcPr>
          <w:p w14:paraId="6A9D4159">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指标</w:t>
            </w:r>
          </w:p>
        </w:tc>
        <w:tc>
          <w:tcPr>
            <w:tcW w:w="2694" w:type="dxa"/>
            <w:tcMar>
              <w:top w:w="150" w:type="dxa"/>
              <w:left w:w="240" w:type="dxa"/>
              <w:bottom w:w="150" w:type="dxa"/>
              <w:right w:w="240" w:type="dxa"/>
            </w:tcMar>
            <w:vAlign w:val="center"/>
          </w:tcPr>
          <w:p w14:paraId="2DE0DC15">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目标值</w:t>
            </w:r>
          </w:p>
        </w:tc>
        <w:tc>
          <w:tcPr>
            <w:tcW w:w="3260" w:type="dxa"/>
            <w:tcMar>
              <w:top w:w="150" w:type="dxa"/>
              <w:left w:w="240" w:type="dxa"/>
              <w:bottom w:w="150" w:type="dxa"/>
              <w:right w:w="240" w:type="dxa"/>
            </w:tcMar>
            <w:vAlign w:val="center"/>
          </w:tcPr>
          <w:p w14:paraId="2667E8EC">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完成率要求</w:t>
            </w:r>
          </w:p>
        </w:tc>
      </w:tr>
      <w:tr w14:paraId="10BE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263" w:type="dxa"/>
            <w:tcMar>
              <w:top w:w="150" w:type="dxa"/>
              <w:left w:w="0" w:type="dxa"/>
              <w:bottom w:w="150" w:type="dxa"/>
              <w:right w:w="240" w:type="dxa"/>
            </w:tcMar>
            <w:vAlign w:val="center"/>
          </w:tcPr>
          <w:p w14:paraId="1771F5D0">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线索累计</w:t>
            </w:r>
          </w:p>
        </w:tc>
        <w:tc>
          <w:tcPr>
            <w:tcW w:w="2694" w:type="dxa"/>
            <w:tcMar>
              <w:top w:w="150" w:type="dxa"/>
              <w:left w:w="240" w:type="dxa"/>
              <w:bottom w:w="150" w:type="dxa"/>
              <w:right w:w="240" w:type="dxa"/>
            </w:tcMar>
            <w:vAlign w:val="center"/>
          </w:tcPr>
          <w:p w14:paraId="09EFEE21">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≥4000条</w:t>
            </w:r>
          </w:p>
        </w:tc>
        <w:tc>
          <w:tcPr>
            <w:tcW w:w="3260" w:type="dxa"/>
            <w:tcMar>
              <w:top w:w="150" w:type="dxa"/>
              <w:left w:w="240" w:type="dxa"/>
              <w:bottom w:w="150" w:type="dxa"/>
              <w:right w:w="0" w:type="dxa"/>
            </w:tcMar>
            <w:vAlign w:val="center"/>
          </w:tcPr>
          <w:p w14:paraId="548F18FE">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≥40%</w:t>
            </w:r>
          </w:p>
        </w:tc>
      </w:tr>
      <w:tr w14:paraId="4ABA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263" w:type="dxa"/>
            <w:tcMar>
              <w:top w:w="150" w:type="dxa"/>
              <w:left w:w="0" w:type="dxa"/>
              <w:bottom w:w="150" w:type="dxa"/>
              <w:right w:w="240" w:type="dxa"/>
            </w:tcMar>
            <w:vAlign w:val="center"/>
          </w:tcPr>
          <w:p w14:paraId="7B2D51EA">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视频累计</w:t>
            </w:r>
          </w:p>
        </w:tc>
        <w:tc>
          <w:tcPr>
            <w:tcW w:w="2694" w:type="dxa"/>
            <w:tcMar>
              <w:top w:w="150" w:type="dxa"/>
              <w:left w:w="240" w:type="dxa"/>
              <w:bottom w:w="150" w:type="dxa"/>
              <w:right w:w="240" w:type="dxa"/>
            </w:tcMar>
            <w:vAlign w:val="center"/>
          </w:tcPr>
          <w:p w14:paraId="14AC663C">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≥1,800条</w:t>
            </w:r>
          </w:p>
        </w:tc>
        <w:tc>
          <w:tcPr>
            <w:tcW w:w="3260" w:type="dxa"/>
            <w:tcMar>
              <w:top w:w="150" w:type="dxa"/>
              <w:left w:w="240" w:type="dxa"/>
              <w:bottom w:w="150" w:type="dxa"/>
              <w:right w:w="0" w:type="dxa"/>
            </w:tcMar>
            <w:vAlign w:val="center"/>
          </w:tcPr>
          <w:p w14:paraId="34DAD8C0">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≥45%</w:t>
            </w:r>
          </w:p>
        </w:tc>
      </w:tr>
      <w:tr w14:paraId="5FBB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263" w:type="dxa"/>
            <w:tcMar>
              <w:top w:w="150" w:type="dxa"/>
              <w:left w:w="0" w:type="dxa"/>
              <w:bottom w:w="150" w:type="dxa"/>
              <w:right w:w="240" w:type="dxa"/>
            </w:tcMar>
            <w:vAlign w:val="center"/>
          </w:tcPr>
          <w:p w14:paraId="5D8A0BA9">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曝光累计</w:t>
            </w:r>
          </w:p>
        </w:tc>
        <w:tc>
          <w:tcPr>
            <w:tcW w:w="2694" w:type="dxa"/>
            <w:tcMar>
              <w:top w:w="150" w:type="dxa"/>
              <w:left w:w="240" w:type="dxa"/>
              <w:bottom w:w="150" w:type="dxa"/>
              <w:right w:w="240" w:type="dxa"/>
            </w:tcMar>
            <w:vAlign w:val="center"/>
          </w:tcPr>
          <w:p w14:paraId="13EE2CE9">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≥280万次</w:t>
            </w:r>
          </w:p>
        </w:tc>
        <w:tc>
          <w:tcPr>
            <w:tcW w:w="3260" w:type="dxa"/>
            <w:tcMar>
              <w:top w:w="150" w:type="dxa"/>
              <w:left w:w="240" w:type="dxa"/>
              <w:bottom w:w="150" w:type="dxa"/>
              <w:right w:w="0" w:type="dxa"/>
            </w:tcMar>
            <w:vAlign w:val="center"/>
          </w:tcPr>
          <w:p w14:paraId="333DAA4E">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≥35%</w:t>
            </w:r>
          </w:p>
        </w:tc>
      </w:tr>
    </w:tbl>
    <w:p w14:paraId="2F85CA99">
      <w:pPr>
        <w:spacing w:line="360" w:lineRule="auto"/>
        <w:rPr>
          <w:rFonts w:hint="eastAsia" w:hAnsi="宋体" w:cs="Segoe UI"/>
          <w:color w:val="auto"/>
          <w:sz w:val="21"/>
          <w:szCs w:val="21"/>
          <w:highlight w:val="none"/>
        </w:rPr>
      </w:pPr>
      <w:r>
        <w:rPr>
          <w:rFonts w:hAnsi="宋体"/>
          <w:b/>
          <w:bCs/>
          <w:color w:val="auto"/>
          <w:sz w:val="21"/>
          <w:szCs w:val="21"/>
          <w:highlight w:val="none"/>
        </w:rPr>
        <w:t>（2）考核处理</w:t>
      </w:r>
    </w:p>
    <w:p w14:paraId="3ABA2201">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若三项指标均低于上述目标值的80%，采购方有权要求供应商整改。整改期1个月，整改期内每月至少完成考核指标缺口的30%。整改期满仍不达标的，采购方有权单方解除合同，并按实际完成比例结算费用。</w:t>
      </w:r>
    </w:p>
    <w:p w14:paraId="11B752B6">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3</w:t>
      </w:r>
      <w:r>
        <w:rPr>
          <w:rFonts w:hAnsi="宋体" w:cs="Segoe UI"/>
          <w:color w:val="auto"/>
          <w:sz w:val="21"/>
          <w:szCs w:val="21"/>
          <w:highlight w:val="none"/>
        </w:rPr>
        <w:t>.5 交付与验收</w:t>
      </w:r>
    </w:p>
    <w:p w14:paraId="40ECDB7F">
      <w:pPr>
        <w:spacing w:line="360" w:lineRule="auto"/>
        <w:rPr>
          <w:rFonts w:hint="eastAsia" w:hAnsi="宋体" w:cs="Segoe UI"/>
          <w:color w:val="auto"/>
          <w:sz w:val="21"/>
          <w:szCs w:val="21"/>
          <w:highlight w:val="none"/>
        </w:rPr>
      </w:pPr>
      <w:r>
        <w:rPr>
          <w:rFonts w:hAnsi="宋体"/>
          <w:color w:val="auto"/>
          <w:sz w:val="21"/>
          <w:szCs w:val="21"/>
          <w:highlight w:val="none"/>
        </w:rPr>
        <w:t>（1）月度交付</w:t>
      </w:r>
      <w:r>
        <w:rPr>
          <w:rFonts w:hAnsi="宋体" w:cs="Segoe UI"/>
          <w:color w:val="auto"/>
          <w:sz w:val="21"/>
          <w:szCs w:val="21"/>
          <w:highlight w:val="none"/>
        </w:rPr>
        <w:br w:type="textWrapping"/>
      </w:r>
      <w:r>
        <w:rPr>
          <w:rFonts w:hAnsi="宋体" w:cs="Segoe UI"/>
          <w:color w:val="auto"/>
          <w:sz w:val="21"/>
          <w:szCs w:val="21"/>
          <w:highlight w:val="none"/>
        </w:rPr>
        <w:t>每月5日前，供应商提交上月《量化指标完成报告》，须附：各平台后台截图</w:t>
      </w:r>
      <w:r>
        <w:rPr>
          <w:rFonts w:hint="eastAsia" w:hAnsi="宋体" w:cs="Segoe UI"/>
          <w:color w:val="auto"/>
          <w:sz w:val="21"/>
          <w:szCs w:val="21"/>
          <w:highlight w:val="none"/>
        </w:rPr>
        <w:t>、</w:t>
      </w:r>
      <w:r>
        <w:rPr>
          <w:rFonts w:hAnsi="宋体" w:cs="Segoe UI"/>
          <w:color w:val="auto"/>
          <w:sz w:val="21"/>
          <w:szCs w:val="21"/>
          <w:highlight w:val="none"/>
        </w:rPr>
        <w:t>数据导出文件</w:t>
      </w:r>
      <w:r>
        <w:rPr>
          <w:rFonts w:hint="eastAsia" w:hAnsi="宋体" w:cs="Segoe UI"/>
          <w:color w:val="auto"/>
          <w:sz w:val="21"/>
          <w:szCs w:val="21"/>
          <w:highlight w:val="none"/>
        </w:rPr>
        <w:t>、</w:t>
      </w:r>
      <w:r>
        <w:rPr>
          <w:rFonts w:hAnsi="宋体" w:cs="Segoe UI"/>
          <w:color w:val="auto"/>
          <w:sz w:val="21"/>
          <w:szCs w:val="21"/>
          <w:highlight w:val="none"/>
        </w:rPr>
        <w:t>AI内容原创度检测报告</w:t>
      </w:r>
      <w:r>
        <w:rPr>
          <w:rFonts w:hint="eastAsia" w:hAnsi="宋体" w:cs="Segoe UI"/>
          <w:color w:val="auto"/>
          <w:sz w:val="21"/>
          <w:szCs w:val="21"/>
          <w:highlight w:val="none"/>
        </w:rPr>
        <w:t>、</w:t>
      </w:r>
      <w:r>
        <w:rPr>
          <w:rFonts w:hAnsi="宋体" w:cs="Segoe UI"/>
          <w:color w:val="auto"/>
          <w:sz w:val="21"/>
          <w:szCs w:val="21"/>
          <w:highlight w:val="none"/>
        </w:rPr>
        <w:t>采购方于7个工作日内审核确认。</w:t>
      </w:r>
    </w:p>
    <w:p w14:paraId="59AD66A2">
      <w:pPr>
        <w:spacing w:line="360" w:lineRule="auto"/>
        <w:rPr>
          <w:rFonts w:hint="eastAsia" w:hAnsi="宋体"/>
          <w:color w:val="auto"/>
          <w:sz w:val="21"/>
          <w:szCs w:val="21"/>
          <w:highlight w:val="none"/>
        </w:rPr>
      </w:pPr>
      <w:r>
        <w:rPr>
          <w:rFonts w:hAnsi="宋体"/>
          <w:color w:val="auto"/>
          <w:sz w:val="21"/>
          <w:szCs w:val="21"/>
          <w:highlight w:val="none"/>
        </w:rPr>
        <w:t>（2）最终验收</w:t>
      </w:r>
    </w:p>
    <w:p w14:paraId="6C474A56">
      <w:pPr>
        <w:spacing w:line="360" w:lineRule="auto"/>
        <w:ind w:firstLine="420" w:firstLineChars="200"/>
        <w:rPr>
          <w:rFonts w:hint="eastAsia" w:hAnsi="宋体" w:cs="Segoe UI"/>
          <w:color w:val="auto"/>
          <w:sz w:val="21"/>
          <w:szCs w:val="21"/>
          <w:highlight w:val="none"/>
        </w:rPr>
      </w:pPr>
      <w:r>
        <w:rPr>
          <w:rFonts w:hAnsi="宋体" w:cs="Segoe UI"/>
          <w:color w:val="auto"/>
          <w:sz w:val="21"/>
          <w:szCs w:val="21"/>
          <w:highlight w:val="none"/>
        </w:rPr>
        <w:t>合同结束前15日，供应商需提供：全部交付内容的最终汇总及数据导出</w:t>
      </w:r>
      <w:r>
        <w:rPr>
          <w:rFonts w:hint="eastAsia" w:hAnsi="宋体" w:cs="Segoe UI"/>
          <w:color w:val="auto"/>
          <w:sz w:val="21"/>
          <w:szCs w:val="21"/>
          <w:highlight w:val="none"/>
        </w:rPr>
        <w:t>、</w:t>
      </w:r>
      <w:r>
        <w:rPr>
          <w:rFonts w:hAnsi="宋体" w:cs="Segoe UI"/>
          <w:color w:val="auto"/>
          <w:sz w:val="21"/>
          <w:szCs w:val="21"/>
          <w:highlight w:val="none"/>
        </w:rPr>
        <w:t>服务总结报告</w:t>
      </w:r>
      <w:r>
        <w:rPr>
          <w:rFonts w:hint="eastAsia" w:hAnsi="宋体" w:cs="Segoe UI"/>
          <w:color w:val="auto"/>
          <w:sz w:val="21"/>
          <w:szCs w:val="21"/>
          <w:highlight w:val="none"/>
        </w:rPr>
        <w:t>、</w:t>
      </w:r>
      <w:r>
        <w:rPr>
          <w:rFonts w:hAnsi="宋体" w:cs="Segoe UI"/>
          <w:color w:val="auto"/>
          <w:sz w:val="21"/>
          <w:szCs w:val="21"/>
          <w:highlight w:val="none"/>
        </w:rPr>
        <w:t>知识库完整导出文件</w:t>
      </w:r>
      <w:r>
        <w:rPr>
          <w:rFonts w:hint="eastAsia" w:hAnsi="宋体" w:cs="Segoe UI"/>
          <w:color w:val="auto"/>
          <w:sz w:val="21"/>
          <w:szCs w:val="21"/>
          <w:highlight w:val="none"/>
        </w:rPr>
        <w:t>。</w:t>
      </w:r>
    </w:p>
    <w:p w14:paraId="05FBBE41">
      <w:pPr>
        <w:spacing w:line="360" w:lineRule="auto"/>
        <w:rPr>
          <w:rFonts w:hint="eastAsia" w:hAnsi="宋体" w:cs="Segoe UI"/>
          <w:color w:val="auto"/>
          <w:sz w:val="21"/>
          <w:szCs w:val="21"/>
          <w:highlight w:val="none"/>
        </w:rPr>
      </w:pPr>
      <w:r>
        <w:rPr>
          <w:rFonts w:hAnsi="宋体"/>
          <w:color w:val="auto"/>
          <w:sz w:val="21"/>
          <w:szCs w:val="21"/>
          <w:highlight w:val="none"/>
        </w:rPr>
        <w:t>（3）数据销毁</w:t>
      </w:r>
      <w:r>
        <w:rPr>
          <w:rFonts w:hint="eastAsia" w:hAnsi="宋体" w:cs="Segoe UI"/>
          <w:color w:val="auto"/>
          <w:sz w:val="21"/>
          <w:szCs w:val="21"/>
          <w:highlight w:val="none"/>
        </w:rPr>
        <w:t>：</w:t>
      </w:r>
      <w:r>
        <w:rPr>
          <w:rFonts w:hAnsi="宋体" w:cs="Segoe UI"/>
          <w:color w:val="auto"/>
          <w:sz w:val="21"/>
          <w:szCs w:val="21"/>
          <w:highlight w:val="none"/>
        </w:rPr>
        <w:t>合同终止后7个工作日内，供应商须删除本地留存的全部采购方敏感数据，并提供经第三方公证或采购方认可的删除证明。</w:t>
      </w:r>
    </w:p>
    <w:p w14:paraId="25BE8494">
      <w:pPr>
        <w:spacing w:line="360" w:lineRule="auto"/>
        <w:rPr>
          <w:rFonts w:hint="eastAsia" w:hAnsi="宋体" w:cs="Segoe UI"/>
          <w:b/>
          <w:bCs/>
          <w:color w:val="auto"/>
          <w:sz w:val="21"/>
          <w:szCs w:val="21"/>
          <w:highlight w:val="none"/>
        </w:rPr>
      </w:pPr>
      <w:r>
        <w:rPr>
          <w:rFonts w:hint="eastAsia" w:hAnsi="宋体" w:cs="Segoe UI"/>
          <w:b/>
          <w:bCs/>
          <w:color w:val="auto"/>
          <w:sz w:val="21"/>
          <w:szCs w:val="21"/>
          <w:highlight w:val="none"/>
        </w:rPr>
        <w:t>四</w:t>
      </w:r>
      <w:r>
        <w:rPr>
          <w:rFonts w:hAnsi="宋体" w:cs="Segoe UI"/>
          <w:b/>
          <w:bCs/>
          <w:color w:val="auto"/>
          <w:sz w:val="21"/>
          <w:szCs w:val="21"/>
          <w:highlight w:val="none"/>
        </w:rPr>
        <w:t>、数据安全与保密</w:t>
      </w:r>
    </w:p>
    <w:p w14:paraId="18F0E7C0">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4</w:t>
      </w:r>
      <w:r>
        <w:rPr>
          <w:rFonts w:hAnsi="宋体" w:cs="Segoe UI"/>
          <w:color w:val="auto"/>
          <w:sz w:val="21"/>
          <w:szCs w:val="21"/>
          <w:highlight w:val="none"/>
        </w:rPr>
        <w:t>.1 数据权属</w:t>
      </w:r>
      <w:r>
        <w:rPr>
          <w:rFonts w:hint="eastAsia" w:hAnsi="宋体" w:cs="Segoe UI"/>
          <w:color w:val="auto"/>
          <w:sz w:val="21"/>
          <w:szCs w:val="21"/>
          <w:highlight w:val="none"/>
        </w:rPr>
        <w:t>：</w:t>
      </w:r>
      <w:r>
        <w:rPr>
          <w:rFonts w:hAnsi="宋体" w:cs="Segoe UI"/>
          <w:color w:val="auto"/>
          <w:sz w:val="21"/>
          <w:szCs w:val="21"/>
          <w:highlight w:val="none"/>
        </w:rPr>
        <w:t>所有用户线索、房源数据、内容素材的知识产权归采购方所有</w:t>
      </w:r>
      <w:r>
        <w:rPr>
          <w:rFonts w:hint="eastAsia" w:hAnsi="宋体" w:cs="Segoe UI"/>
          <w:color w:val="auto"/>
          <w:sz w:val="21"/>
          <w:szCs w:val="21"/>
          <w:highlight w:val="none"/>
        </w:rPr>
        <w:t>；</w:t>
      </w:r>
      <w:r>
        <w:rPr>
          <w:rFonts w:hAnsi="宋体" w:cs="Segoe UI"/>
          <w:color w:val="auto"/>
          <w:sz w:val="21"/>
          <w:szCs w:val="21"/>
          <w:highlight w:val="none"/>
        </w:rPr>
        <w:t>AI工具本身的知识产权归供应商所有，采购方获得服务期内的使用权</w:t>
      </w:r>
      <w:r>
        <w:rPr>
          <w:rFonts w:hint="eastAsia" w:hAnsi="宋体" w:cs="Segoe UI"/>
          <w:color w:val="auto"/>
          <w:sz w:val="21"/>
          <w:szCs w:val="21"/>
          <w:highlight w:val="none"/>
        </w:rPr>
        <w:t>；</w:t>
      </w:r>
      <w:r>
        <w:rPr>
          <w:rFonts w:hAnsi="宋体" w:cs="Segoe UI"/>
          <w:color w:val="auto"/>
          <w:sz w:val="21"/>
          <w:szCs w:val="21"/>
          <w:highlight w:val="none"/>
        </w:rPr>
        <w:t>利用采购方数据训练模型产生的衍生成果归采购方所有</w:t>
      </w:r>
      <w:r>
        <w:rPr>
          <w:rFonts w:hint="eastAsia" w:hAnsi="宋体" w:cs="Segoe UI"/>
          <w:color w:val="auto"/>
          <w:sz w:val="21"/>
          <w:szCs w:val="21"/>
          <w:highlight w:val="none"/>
        </w:rPr>
        <w:t>。</w:t>
      </w:r>
    </w:p>
    <w:p w14:paraId="6CF77D40">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4</w:t>
      </w:r>
      <w:r>
        <w:rPr>
          <w:rFonts w:hAnsi="宋体" w:cs="Segoe UI"/>
          <w:color w:val="auto"/>
          <w:sz w:val="21"/>
          <w:szCs w:val="21"/>
          <w:highlight w:val="none"/>
        </w:rPr>
        <w:t>.2 数据使用限制</w:t>
      </w:r>
      <w:r>
        <w:rPr>
          <w:rFonts w:hint="eastAsia" w:hAnsi="宋体" w:cs="Segoe UI"/>
          <w:color w:val="auto"/>
          <w:sz w:val="21"/>
          <w:szCs w:val="21"/>
          <w:highlight w:val="none"/>
        </w:rPr>
        <w:t>：</w:t>
      </w:r>
      <w:r>
        <w:rPr>
          <w:rFonts w:hAnsi="宋体" w:cs="Segoe UI"/>
          <w:color w:val="auto"/>
          <w:sz w:val="21"/>
          <w:szCs w:val="21"/>
          <w:highlight w:val="none"/>
        </w:rPr>
        <w:t>供应商不得将数据用于本项目之外的任何用途</w:t>
      </w:r>
      <w:r>
        <w:rPr>
          <w:rFonts w:hint="eastAsia" w:hAnsi="宋体" w:cs="Segoe UI"/>
          <w:color w:val="auto"/>
          <w:sz w:val="21"/>
          <w:szCs w:val="21"/>
          <w:highlight w:val="none"/>
        </w:rPr>
        <w:t>；</w:t>
      </w:r>
      <w:r>
        <w:rPr>
          <w:rFonts w:hAnsi="宋体" w:cs="Segoe UI"/>
          <w:color w:val="auto"/>
          <w:sz w:val="21"/>
          <w:szCs w:val="21"/>
          <w:highlight w:val="none"/>
        </w:rPr>
        <w:t>合同终止后，供应商不得将服务期间习得的采购方业务知识用于其他客户</w:t>
      </w:r>
      <w:r>
        <w:rPr>
          <w:rFonts w:hint="eastAsia" w:hAnsi="宋体" w:cs="Segoe UI"/>
          <w:color w:val="auto"/>
          <w:sz w:val="21"/>
          <w:szCs w:val="21"/>
          <w:highlight w:val="none"/>
        </w:rPr>
        <w:t>；</w:t>
      </w:r>
      <w:r>
        <w:rPr>
          <w:rFonts w:hAnsi="宋体" w:cs="Segoe UI"/>
          <w:color w:val="auto"/>
          <w:sz w:val="21"/>
          <w:szCs w:val="21"/>
          <w:highlight w:val="none"/>
        </w:rPr>
        <w:t>供应商不得将用户线索、房源数据等传输至境外服务器</w:t>
      </w:r>
      <w:r>
        <w:rPr>
          <w:rFonts w:hint="eastAsia" w:hAnsi="宋体" w:cs="Segoe UI"/>
          <w:color w:val="auto"/>
          <w:sz w:val="21"/>
          <w:szCs w:val="21"/>
          <w:highlight w:val="none"/>
        </w:rPr>
        <w:t>。</w:t>
      </w:r>
    </w:p>
    <w:p w14:paraId="6D8CEB8B">
      <w:pPr>
        <w:spacing w:line="360" w:lineRule="auto"/>
        <w:rPr>
          <w:rFonts w:hint="eastAsia" w:hAnsi="宋体" w:cs="Segoe UI"/>
          <w:b/>
          <w:bCs/>
          <w:color w:val="auto"/>
          <w:sz w:val="21"/>
          <w:szCs w:val="21"/>
          <w:highlight w:val="none"/>
        </w:rPr>
      </w:pPr>
      <w:r>
        <w:rPr>
          <w:rFonts w:hint="eastAsia" w:hAnsi="宋体" w:cs="Segoe UI"/>
          <w:b/>
          <w:bCs/>
          <w:color w:val="auto"/>
          <w:sz w:val="21"/>
          <w:szCs w:val="21"/>
          <w:highlight w:val="none"/>
        </w:rPr>
        <w:t>五</w:t>
      </w:r>
      <w:r>
        <w:rPr>
          <w:rFonts w:hAnsi="宋体" w:cs="Segoe UI"/>
          <w:b/>
          <w:bCs/>
          <w:color w:val="auto"/>
          <w:sz w:val="21"/>
          <w:szCs w:val="21"/>
          <w:highlight w:val="none"/>
        </w:rPr>
        <w:t>、版权与合规责任</w:t>
      </w:r>
    </w:p>
    <w:p w14:paraId="523537E5">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5</w:t>
      </w:r>
      <w:r>
        <w:rPr>
          <w:rFonts w:hAnsi="宋体" w:cs="Segoe UI"/>
          <w:color w:val="auto"/>
          <w:sz w:val="21"/>
          <w:szCs w:val="21"/>
          <w:highlight w:val="none"/>
        </w:rPr>
        <w:t>.1 版权保障</w:t>
      </w:r>
      <w:r>
        <w:rPr>
          <w:rFonts w:hint="eastAsia" w:hAnsi="宋体" w:cs="Segoe UI"/>
          <w:color w:val="auto"/>
          <w:sz w:val="21"/>
          <w:szCs w:val="21"/>
          <w:highlight w:val="none"/>
        </w:rPr>
        <w:t>：</w:t>
      </w:r>
      <w:r>
        <w:rPr>
          <w:rFonts w:hAnsi="宋体" w:cs="Segoe UI"/>
          <w:color w:val="auto"/>
          <w:sz w:val="21"/>
          <w:szCs w:val="21"/>
          <w:highlight w:val="none"/>
        </w:rPr>
        <w:t>供应商保证提供的AI工具、数字人形象、音乐、图片、字体等均拥有合法授权，不侵犯任何第三方权益。</w:t>
      </w:r>
    </w:p>
    <w:p w14:paraId="5EAE2488">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5</w:t>
      </w:r>
      <w:r>
        <w:rPr>
          <w:rFonts w:hAnsi="宋体" w:cs="Segoe UI"/>
          <w:color w:val="auto"/>
          <w:sz w:val="21"/>
          <w:szCs w:val="21"/>
          <w:highlight w:val="none"/>
        </w:rPr>
        <w:t>.2 侵权责任</w:t>
      </w:r>
      <w:r>
        <w:rPr>
          <w:rFonts w:hint="eastAsia" w:hAnsi="宋体" w:cs="Segoe UI"/>
          <w:color w:val="auto"/>
          <w:sz w:val="21"/>
          <w:szCs w:val="21"/>
          <w:highlight w:val="none"/>
        </w:rPr>
        <w:t>：</w:t>
      </w:r>
      <w:r>
        <w:rPr>
          <w:rFonts w:hAnsi="宋体" w:cs="Segoe UI"/>
          <w:color w:val="auto"/>
          <w:sz w:val="21"/>
          <w:szCs w:val="21"/>
          <w:highlight w:val="none"/>
        </w:rPr>
        <w:t>如因供应商提供的内容或工具引发侵权纠纷，由供应商承担全部法律责任及赔偿。</w:t>
      </w:r>
    </w:p>
    <w:p w14:paraId="59BC552A">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5</w:t>
      </w:r>
      <w:r>
        <w:rPr>
          <w:rFonts w:hAnsi="宋体" w:cs="Segoe UI"/>
          <w:color w:val="auto"/>
          <w:sz w:val="21"/>
          <w:szCs w:val="21"/>
          <w:highlight w:val="none"/>
        </w:rPr>
        <w:t>.3 合规保障</w:t>
      </w:r>
      <w:r>
        <w:rPr>
          <w:rFonts w:hint="eastAsia" w:hAnsi="宋体" w:cs="Segoe UI"/>
          <w:color w:val="auto"/>
          <w:sz w:val="21"/>
          <w:szCs w:val="21"/>
          <w:highlight w:val="none"/>
        </w:rPr>
        <w:t>：</w:t>
      </w:r>
      <w:r>
        <w:rPr>
          <w:rFonts w:hAnsi="宋体" w:cs="Segoe UI"/>
          <w:color w:val="auto"/>
          <w:sz w:val="21"/>
          <w:szCs w:val="21"/>
          <w:highlight w:val="none"/>
        </w:rPr>
        <w:t>供应商保证其提供的AI服务已按《生成式人工智能服务管理暂行办法》及《互联网信息服务算法推荐管理规定》完成算法备案</w:t>
      </w:r>
      <w:r>
        <w:rPr>
          <w:rFonts w:hAnsi="宋体"/>
          <w:color w:val="auto"/>
          <w:sz w:val="21"/>
          <w:szCs w:val="21"/>
          <w:highlight w:val="none"/>
        </w:rPr>
        <w:t>-</w:t>
      </w:r>
      <w:r>
        <w:rPr>
          <w:color w:val="auto"/>
          <w:highlight w:val="none"/>
        </w:rPr>
        <w:fldChar w:fldCharType="begin"/>
      </w:r>
      <w:r>
        <w:rPr>
          <w:color w:val="auto"/>
          <w:highlight w:val="none"/>
        </w:rPr>
        <w:instrText xml:space="preserve"> HYPERLINK "http://117.159.72.4:38567/sitesources/fgx/page_pc/zwgk/zdxxgk/gbds/article7424c32fad88488c8a0c85e300cccf98.html" \t "_blank" </w:instrText>
      </w:r>
      <w:r>
        <w:rPr>
          <w:color w:val="auto"/>
          <w:highlight w:val="none"/>
        </w:rPr>
        <w:fldChar w:fldCharType="separate"/>
      </w:r>
      <w:r>
        <w:rPr>
          <w:rFonts w:hAnsi="宋体"/>
          <w:color w:val="auto"/>
          <w:sz w:val="21"/>
          <w:szCs w:val="21"/>
          <w:highlight w:val="none"/>
        </w:rPr>
        <w:t>-20</w:t>
      </w:r>
      <w:r>
        <w:rPr>
          <w:rFonts w:hAnsi="宋体"/>
          <w:color w:val="auto"/>
          <w:sz w:val="21"/>
          <w:szCs w:val="21"/>
          <w:highlight w:val="none"/>
        </w:rPr>
        <w:fldChar w:fldCharType="end"/>
      </w:r>
      <w:r>
        <w:rPr>
          <w:rFonts w:hAnsi="宋体" w:cs="Segoe UI"/>
          <w:color w:val="auto"/>
          <w:sz w:val="21"/>
          <w:szCs w:val="21"/>
          <w:highlight w:val="none"/>
        </w:rPr>
        <w:t>。如因供应商未履行备案义务导致采购方遭受任何损失，由供应商承担全部责任。</w:t>
      </w:r>
    </w:p>
    <w:p w14:paraId="291C0B58">
      <w:pPr>
        <w:spacing w:line="360" w:lineRule="auto"/>
        <w:rPr>
          <w:rFonts w:hint="eastAsia" w:hAnsi="宋体" w:cs="Segoe UI"/>
          <w:color w:val="auto"/>
          <w:sz w:val="21"/>
          <w:szCs w:val="21"/>
          <w:highlight w:val="none"/>
        </w:rPr>
      </w:pPr>
      <w:r>
        <w:rPr>
          <w:rFonts w:hint="eastAsia" w:hAnsi="宋体" w:cs="Segoe UI"/>
          <w:color w:val="auto"/>
          <w:sz w:val="21"/>
          <w:szCs w:val="21"/>
          <w:highlight w:val="none"/>
        </w:rPr>
        <w:t>5</w:t>
      </w:r>
      <w:r>
        <w:rPr>
          <w:rFonts w:hAnsi="宋体" w:cs="Segoe UI"/>
          <w:color w:val="auto"/>
          <w:sz w:val="21"/>
          <w:szCs w:val="21"/>
          <w:highlight w:val="none"/>
        </w:rPr>
        <w:t>.4 内容标识</w:t>
      </w:r>
      <w:r>
        <w:rPr>
          <w:rFonts w:hint="eastAsia" w:hAnsi="宋体" w:cs="Segoe UI"/>
          <w:color w:val="auto"/>
          <w:sz w:val="21"/>
          <w:szCs w:val="21"/>
          <w:highlight w:val="none"/>
        </w:rPr>
        <w:t>：</w:t>
      </w:r>
      <w:r>
        <w:rPr>
          <w:rFonts w:hAnsi="宋体" w:cs="Segoe UI"/>
          <w:color w:val="auto"/>
          <w:sz w:val="21"/>
          <w:szCs w:val="21"/>
          <w:highlight w:val="none"/>
        </w:rPr>
        <w:t>供应商须按《人工智能生成合成内容标识办法》要求，对所有AI生成内容添加标识。</w:t>
      </w:r>
    </w:p>
    <w:p w14:paraId="33EBF5B4">
      <w:pPr>
        <w:spacing w:line="360" w:lineRule="auto"/>
        <w:ind w:firstLine="420" w:firstLineChars="200"/>
        <w:rPr>
          <w:rFonts w:hint="eastAsia" w:hAnsi="宋体"/>
          <w:bCs/>
          <w:color w:val="auto"/>
          <w:sz w:val="21"/>
          <w:szCs w:val="21"/>
          <w:highlight w:val="none"/>
        </w:rPr>
      </w:pPr>
    </w:p>
    <w:p w14:paraId="7E3DBFD8">
      <w:pPr>
        <w:spacing w:line="360" w:lineRule="auto"/>
        <w:ind w:firstLine="480" w:firstLineChars="200"/>
        <w:rPr>
          <w:rFonts w:hint="eastAsia" w:hAnsi="宋体"/>
          <w:bCs/>
          <w:color w:val="auto"/>
          <w:highlight w:val="none"/>
        </w:rPr>
      </w:pPr>
    </w:p>
    <w:bookmarkEnd w:id="161"/>
    <w:bookmarkEnd w:id="162"/>
    <w:bookmarkEnd w:id="163"/>
    <w:bookmarkEnd w:id="164"/>
    <w:bookmarkEnd w:id="165"/>
    <w:p w14:paraId="21F5D049">
      <w:pPr>
        <w:rPr>
          <w:rFonts w:hint="eastAsia" w:hAnsi="宋体"/>
          <w:b/>
          <w:bCs/>
          <w:color w:val="auto"/>
          <w:kern w:val="44"/>
          <w:sz w:val="28"/>
          <w:szCs w:val="28"/>
          <w:highlight w:val="none"/>
          <w:lang w:val="zh-CN"/>
        </w:rPr>
      </w:pPr>
      <w:bookmarkStart w:id="168" w:name="_Toc28792"/>
      <w:bookmarkStart w:id="169" w:name="_Toc4437"/>
    </w:p>
    <w:p w14:paraId="6E443C16">
      <w:pPr>
        <w:pStyle w:val="5"/>
        <w:keepNext/>
        <w:keepLines/>
        <w:pageBreakBefore/>
        <w:numPr>
          <w:ilvl w:val="0"/>
          <w:numId w:val="10"/>
        </w:numPr>
        <w:tabs>
          <w:tab w:val="left" w:pos="1080"/>
        </w:tabs>
        <w:spacing w:line="360" w:lineRule="auto"/>
        <w:ind w:left="1262" w:hanging="1262" w:hangingChars="449"/>
        <w:jc w:val="center"/>
        <w:rPr>
          <w:rFonts w:hint="eastAsia" w:hAnsi="宋体"/>
          <w:b/>
          <w:bCs/>
          <w:color w:val="auto"/>
          <w:kern w:val="44"/>
          <w:sz w:val="28"/>
          <w:szCs w:val="28"/>
          <w:highlight w:val="none"/>
          <w:lang w:val="zh-CN"/>
        </w:rPr>
      </w:pPr>
      <w:r>
        <w:rPr>
          <w:rFonts w:hint="eastAsia" w:hAnsi="宋体"/>
          <w:b/>
          <w:bCs/>
          <w:color w:val="auto"/>
          <w:kern w:val="44"/>
          <w:sz w:val="28"/>
          <w:szCs w:val="28"/>
          <w:highlight w:val="none"/>
          <w:lang w:val="zh-CN"/>
        </w:rPr>
        <w:t>评审工作大纲</w:t>
      </w:r>
      <w:bookmarkEnd w:id="168"/>
    </w:p>
    <w:p w14:paraId="4AC20157">
      <w:pPr>
        <w:pStyle w:val="23"/>
        <w:spacing w:line="360" w:lineRule="auto"/>
        <w:ind w:firstLine="422" w:firstLineChars="200"/>
        <w:jc w:val="both"/>
        <w:rPr>
          <w:rFonts w:hint="eastAsia" w:hAnsi="宋体"/>
          <w:color w:val="auto"/>
          <w:sz w:val="21"/>
          <w:szCs w:val="21"/>
          <w:highlight w:val="none"/>
        </w:rPr>
      </w:pPr>
      <w:r>
        <w:rPr>
          <w:rFonts w:hint="eastAsia" w:hAnsi="宋体"/>
          <w:color w:val="auto"/>
          <w:sz w:val="21"/>
          <w:szCs w:val="21"/>
          <w:highlight w:val="none"/>
        </w:rPr>
        <w:t>一、磋商小组对响应文件进行初审，初审包括资格性审查和符合性审查。</w:t>
      </w:r>
    </w:p>
    <w:p w14:paraId="0FBA4F6F">
      <w:pPr>
        <w:jc w:val="center"/>
        <w:rPr>
          <w:rFonts w:hint="eastAsia" w:hAnsi="宋体"/>
          <w:b/>
          <w:bCs/>
          <w:color w:val="auto"/>
          <w:sz w:val="21"/>
          <w:szCs w:val="21"/>
          <w:highlight w:val="none"/>
        </w:rPr>
      </w:pPr>
      <w:r>
        <w:rPr>
          <w:rFonts w:hint="eastAsia" w:hAnsi="宋体"/>
          <w:b/>
          <w:bCs/>
          <w:color w:val="auto"/>
          <w:sz w:val="21"/>
          <w:szCs w:val="21"/>
          <w:highlight w:val="none"/>
        </w:rPr>
        <w:t>《资格性、符合性审查表》</w:t>
      </w:r>
    </w:p>
    <w:tbl>
      <w:tblPr>
        <w:tblStyle w:val="5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14:paraId="30BE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79860D38">
            <w:pPr>
              <w:spacing w:line="360" w:lineRule="auto"/>
              <w:jc w:val="center"/>
              <w:rPr>
                <w:rFonts w:hint="eastAsia" w:hAnsi="宋体"/>
                <w:b/>
                <w:color w:val="auto"/>
                <w:sz w:val="21"/>
                <w:szCs w:val="21"/>
                <w:highlight w:val="none"/>
              </w:rPr>
            </w:pPr>
            <w:r>
              <w:rPr>
                <w:rFonts w:hint="eastAsia" w:hAnsi="宋体"/>
                <w:b/>
                <w:color w:val="auto"/>
                <w:sz w:val="21"/>
                <w:szCs w:val="21"/>
                <w:highlight w:val="none"/>
              </w:rPr>
              <w:t>序号</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26B60A84">
            <w:pPr>
              <w:spacing w:line="360" w:lineRule="auto"/>
              <w:jc w:val="center"/>
              <w:rPr>
                <w:rFonts w:hint="eastAsia" w:hAnsi="宋体"/>
                <w:b/>
                <w:color w:val="auto"/>
                <w:sz w:val="21"/>
                <w:szCs w:val="21"/>
                <w:highlight w:val="none"/>
              </w:rPr>
            </w:pPr>
            <w:r>
              <w:rPr>
                <w:rFonts w:hint="eastAsia" w:hAnsi="宋体"/>
                <w:b/>
                <w:color w:val="auto"/>
                <w:sz w:val="21"/>
                <w:szCs w:val="21"/>
                <w:highlight w:val="none"/>
              </w:rPr>
              <w:t>评 审 内 容</w:t>
            </w:r>
          </w:p>
        </w:tc>
      </w:tr>
      <w:tr w14:paraId="081C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restart"/>
            <w:tcBorders>
              <w:top w:val="single" w:color="auto" w:sz="4" w:space="0"/>
              <w:left w:val="single" w:color="auto" w:sz="4" w:space="0"/>
              <w:right w:val="single" w:color="auto" w:sz="4" w:space="0"/>
              <w:tl2br w:val="nil"/>
              <w:tr2bl w:val="nil"/>
            </w:tcBorders>
            <w:vAlign w:val="center"/>
          </w:tcPr>
          <w:p w14:paraId="0C3BEB71">
            <w:pPr>
              <w:tabs>
                <w:tab w:val="left" w:pos="176"/>
                <w:tab w:val="left" w:pos="612"/>
              </w:tabs>
              <w:spacing w:line="360" w:lineRule="auto"/>
              <w:jc w:val="center"/>
              <w:rPr>
                <w:rFonts w:hint="eastAsia" w:hAnsi="宋体"/>
                <w:color w:val="auto"/>
                <w:sz w:val="21"/>
                <w:szCs w:val="21"/>
                <w:highlight w:val="none"/>
              </w:rPr>
            </w:pPr>
            <w:r>
              <w:rPr>
                <w:rFonts w:hAnsi="宋体"/>
                <w:color w:val="auto"/>
                <w:sz w:val="21"/>
                <w:szCs w:val="21"/>
                <w:highlight w:val="none"/>
              </w:rPr>
              <w:t>1</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71C405B8">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1）供应商须为在中华人民共和国境内登记注册的具有独立承担民事责任能力的法人或其他组织【提供《营业执照》复印件（加盖公章）或《事业单位法人证书》复印件（加盖公章）或其他主体证书复印件（加盖公章）】；</w:t>
            </w:r>
          </w:p>
        </w:tc>
      </w:tr>
      <w:tr w14:paraId="4A12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l2br w:val="nil"/>
              <w:tr2bl w:val="nil"/>
            </w:tcBorders>
            <w:vAlign w:val="center"/>
          </w:tcPr>
          <w:p w14:paraId="43FA94E6">
            <w:pPr>
              <w:tabs>
                <w:tab w:val="left" w:pos="176"/>
                <w:tab w:val="left" w:pos="420"/>
                <w:tab w:val="left" w:pos="612"/>
              </w:tabs>
              <w:spacing w:line="360" w:lineRule="auto"/>
              <w:jc w:val="center"/>
              <w:rPr>
                <w:rFonts w:hint="eastAsia" w:hAnsi="宋体"/>
                <w:color w:val="auto"/>
                <w:sz w:val="21"/>
                <w:szCs w:val="21"/>
                <w:highlight w:val="none"/>
              </w:rPr>
            </w:pP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7F2F0654">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（2）参加采购活动前三年内，在经营活动中没有重大违法记录（须提供书面声明）；</w:t>
            </w:r>
          </w:p>
        </w:tc>
      </w:tr>
      <w:tr w14:paraId="787D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l2br w:val="nil"/>
              <w:tr2bl w:val="nil"/>
            </w:tcBorders>
            <w:vAlign w:val="center"/>
          </w:tcPr>
          <w:p w14:paraId="4EA9C63A">
            <w:pPr>
              <w:tabs>
                <w:tab w:val="left" w:pos="176"/>
                <w:tab w:val="left" w:pos="420"/>
                <w:tab w:val="left" w:pos="612"/>
              </w:tabs>
              <w:spacing w:line="360" w:lineRule="auto"/>
              <w:jc w:val="center"/>
              <w:rPr>
                <w:rFonts w:hint="eastAsia" w:hAnsi="宋体"/>
                <w:color w:val="auto"/>
                <w:sz w:val="21"/>
                <w:szCs w:val="21"/>
                <w:highlight w:val="none"/>
              </w:rPr>
            </w:pP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622675B0">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（3）供应商的单位负责人为同一人或者存在直接控股、管理关系的不同供应商，不得参加同一合同项下的采购活动；</w:t>
            </w:r>
          </w:p>
        </w:tc>
      </w:tr>
      <w:tr w14:paraId="0904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l2br w:val="nil"/>
              <w:tr2bl w:val="nil"/>
            </w:tcBorders>
            <w:vAlign w:val="center"/>
          </w:tcPr>
          <w:p w14:paraId="0A50B785">
            <w:pPr>
              <w:tabs>
                <w:tab w:val="left" w:pos="176"/>
                <w:tab w:val="left" w:pos="420"/>
                <w:tab w:val="left" w:pos="612"/>
              </w:tabs>
              <w:spacing w:line="360" w:lineRule="auto"/>
              <w:jc w:val="center"/>
              <w:rPr>
                <w:rFonts w:hint="eastAsia" w:hAnsi="宋体"/>
                <w:color w:val="auto"/>
                <w:sz w:val="21"/>
                <w:szCs w:val="21"/>
                <w:highlight w:val="none"/>
              </w:rPr>
            </w:pP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559D2795">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)“记录失信被执行人或重大税收违法失信主体或政府采购严重违法失信行为”记录名单。以代理机构于投标截止日当天在“信用中国”网站查询结果为准，如相关失信记录已失效，供应商需提供相关证明资料；</w:t>
            </w:r>
          </w:p>
        </w:tc>
      </w:tr>
      <w:tr w14:paraId="7D87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l2br w:val="nil"/>
              <w:tr2bl w:val="nil"/>
            </w:tcBorders>
            <w:vAlign w:val="center"/>
          </w:tcPr>
          <w:p w14:paraId="06829785">
            <w:pPr>
              <w:tabs>
                <w:tab w:val="left" w:pos="176"/>
                <w:tab w:val="left" w:pos="420"/>
                <w:tab w:val="left" w:pos="612"/>
              </w:tabs>
              <w:spacing w:line="360" w:lineRule="auto"/>
              <w:jc w:val="center"/>
              <w:rPr>
                <w:rFonts w:hint="eastAsia" w:hAnsi="宋体"/>
                <w:color w:val="auto"/>
                <w:sz w:val="21"/>
                <w:szCs w:val="21"/>
                <w:highlight w:val="none"/>
              </w:rPr>
            </w:pP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5AFB80C3">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5）供应商未被列入东实集团及下属企业相关领域黑名单。【以东莞实业投资控股集团有限公司发文（东实通〔2021〕44号）、（东实通〔2021〕98号）、（东实通〔2022〕75号）、（东实通〔2023〕37号）、（东实通〔2024〕163号）、（东实通〔2024〕195号）、（东实通[2025〕157）为准，如有最新发文通知，按最新文件执行。】</w:t>
            </w:r>
          </w:p>
        </w:tc>
      </w:tr>
      <w:tr w14:paraId="7D0D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l2br w:val="nil"/>
              <w:tr2bl w:val="nil"/>
            </w:tcBorders>
            <w:vAlign w:val="center"/>
          </w:tcPr>
          <w:p w14:paraId="57745377">
            <w:pPr>
              <w:tabs>
                <w:tab w:val="left" w:pos="176"/>
                <w:tab w:val="left" w:pos="420"/>
                <w:tab w:val="left" w:pos="612"/>
              </w:tabs>
              <w:spacing w:line="360" w:lineRule="auto"/>
              <w:jc w:val="center"/>
              <w:rPr>
                <w:rFonts w:hint="eastAsia" w:hAnsi="宋体"/>
                <w:color w:val="auto"/>
                <w:sz w:val="21"/>
                <w:szCs w:val="21"/>
                <w:highlight w:val="none"/>
              </w:rPr>
            </w:pP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24B2DE77">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（6）供应商为非分公司</w:t>
            </w:r>
            <w:r>
              <w:rPr>
                <w:rFonts w:hint="eastAsia" w:hAnsi="宋体"/>
                <w:color w:val="auto"/>
                <w:sz w:val="21"/>
                <w:szCs w:val="21"/>
                <w:highlight w:val="none"/>
                <w:lang w:val="en-US" w:eastAsia="zh-CN"/>
              </w:rPr>
              <w:t>磋商</w:t>
            </w:r>
            <w:r>
              <w:rPr>
                <w:rFonts w:hint="eastAsia" w:hAnsi="宋体"/>
                <w:color w:val="auto"/>
                <w:sz w:val="21"/>
                <w:szCs w:val="21"/>
                <w:highlight w:val="none"/>
              </w:rPr>
              <w:t>。</w:t>
            </w:r>
          </w:p>
        </w:tc>
      </w:tr>
      <w:tr w14:paraId="6C17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bottom w:val="single" w:color="auto" w:sz="4" w:space="0"/>
              <w:right w:val="single" w:color="auto" w:sz="4" w:space="0"/>
              <w:tl2br w:val="nil"/>
              <w:tr2bl w:val="nil"/>
            </w:tcBorders>
            <w:vAlign w:val="center"/>
          </w:tcPr>
          <w:p w14:paraId="7E863EC2">
            <w:pPr>
              <w:tabs>
                <w:tab w:val="left" w:pos="176"/>
                <w:tab w:val="left" w:pos="420"/>
                <w:tab w:val="left" w:pos="612"/>
              </w:tabs>
              <w:spacing w:line="360" w:lineRule="auto"/>
              <w:jc w:val="center"/>
              <w:rPr>
                <w:rFonts w:hint="eastAsia" w:hAnsi="宋体"/>
                <w:color w:val="auto"/>
                <w:sz w:val="21"/>
                <w:szCs w:val="21"/>
                <w:highlight w:val="none"/>
              </w:rPr>
            </w:pP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7F2290BC">
            <w:pPr>
              <w:tabs>
                <w:tab w:val="left" w:pos="612"/>
              </w:tabs>
              <w:spacing w:line="360" w:lineRule="auto"/>
              <w:rPr>
                <w:rFonts w:hint="eastAsia" w:hAnsi="宋体"/>
                <w:color w:val="auto"/>
                <w:sz w:val="21"/>
                <w:szCs w:val="21"/>
                <w:highlight w:val="none"/>
              </w:rPr>
            </w:pPr>
            <w:r>
              <w:rPr>
                <w:rFonts w:hint="eastAsia" w:hAnsi="宋体"/>
                <w:color w:val="auto"/>
                <w:sz w:val="21"/>
                <w:szCs w:val="21"/>
                <w:highlight w:val="none"/>
              </w:rPr>
              <w:t>（7）供应商为非联合体</w:t>
            </w:r>
            <w:r>
              <w:rPr>
                <w:rFonts w:hint="eastAsia" w:hAnsi="宋体"/>
                <w:color w:val="auto"/>
                <w:sz w:val="21"/>
                <w:szCs w:val="21"/>
                <w:highlight w:val="none"/>
                <w:lang w:val="en-US" w:eastAsia="zh-CN"/>
              </w:rPr>
              <w:t>磋商</w:t>
            </w:r>
            <w:r>
              <w:rPr>
                <w:rFonts w:hint="eastAsia" w:hAnsi="宋体"/>
                <w:color w:val="auto"/>
                <w:sz w:val="21"/>
                <w:szCs w:val="21"/>
                <w:highlight w:val="none"/>
              </w:rPr>
              <w:t>。</w:t>
            </w:r>
          </w:p>
        </w:tc>
      </w:tr>
      <w:tr w14:paraId="46BD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5963EB06">
            <w:pPr>
              <w:tabs>
                <w:tab w:val="left" w:pos="176"/>
                <w:tab w:val="left" w:pos="612"/>
              </w:tabs>
              <w:spacing w:line="360" w:lineRule="auto"/>
              <w:jc w:val="center"/>
              <w:rPr>
                <w:rFonts w:hint="eastAsia" w:hAnsi="宋体"/>
                <w:color w:val="auto"/>
                <w:sz w:val="21"/>
                <w:szCs w:val="21"/>
                <w:highlight w:val="none"/>
              </w:rPr>
            </w:pPr>
            <w:r>
              <w:rPr>
                <w:rFonts w:hAnsi="宋体"/>
                <w:color w:val="auto"/>
                <w:sz w:val="21"/>
                <w:szCs w:val="21"/>
                <w:highlight w:val="none"/>
              </w:rPr>
              <w:t>2</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693C3B57">
            <w:pPr>
              <w:spacing w:line="360" w:lineRule="auto"/>
              <w:textAlignment w:val="center"/>
              <w:rPr>
                <w:rFonts w:hint="eastAsia" w:hAnsi="宋体"/>
                <w:color w:val="auto"/>
                <w:sz w:val="21"/>
                <w:szCs w:val="21"/>
                <w:highlight w:val="none"/>
                <w:lang w:bidi="ar"/>
              </w:rPr>
            </w:pPr>
            <w:r>
              <w:rPr>
                <w:rFonts w:hint="eastAsia" w:hAnsi="宋体"/>
                <w:color w:val="auto"/>
                <w:sz w:val="21"/>
                <w:szCs w:val="21"/>
                <w:highlight w:val="none"/>
                <w:lang w:bidi="ar"/>
              </w:rPr>
              <w:t>供应商按照磋商文件要求提交投标保证金；</w:t>
            </w:r>
          </w:p>
        </w:tc>
      </w:tr>
      <w:tr w14:paraId="5F82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6AA2F378">
            <w:pPr>
              <w:tabs>
                <w:tab w:val="left" w:pos="176"/>
                <w:tab w:val="left" w:pos="612"/>
              </w:tabs>
              <w:spacing w:line="360" w:lineRule="auto"/>
              <w:jc w:val="center"/>
              <w:rPr>
                <w:rFonts w:hint="eastAsia" w:hAnsi="宋体"/>
                <w:color w:val="auto"/>
                <w:sz w:val="21"/>
                <w:szCs w:val="21"/>
                <w:highlight w:val="none"/>
              </w:rPr>
            </w:pPr>
            <w:r>
              <w:rPr>
                <w:rFonts w:hAnsi="宋体"/>
                <w:color w:val="auto"/>
                <w:sz w:val="21"/>
                <w:szCs w:val="21"/>
                <w:highlight w:val="none"/>
              </w:rPr>
              <w:t>3</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08632B59">
            <w:pPr>
              <w:spacing w:line="360" w:lineRule="auto"/>
              <w:textAlignment w:val="center"/>
              <w:rPr>
                <w:rFonts w:hint="eastAsia" w:hAnsi="宋体"/>
                <w:color w:val="auto"/>
                <w:sz w:val="21"/>
                <w:szCs w:val="21"/>
                <w:highlight w:val="none"/>
              </w:rPr>
            </w:pPr>
            <w:r>
              <w:rPr>
                <w:rFonts w:hint="eastAsia" w:hAnsi="宋体"/>
                <w:color w:val="auto"/>
                <w:sz w:val="21"/>
                <w:szCs w:val="21"/>
                <w:highlight w:val="none"/>
                <w:lang w:bidi="ar"/>
              </w:rPr>
              <w:t>响应文件按照磋商文件要求签署盖章；</w:t>
            </w:r>
          </w:p>
        </w:tc>
      </w:tr>
      <w:tr w14:paraId="2E16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32312345">
            <w:pPr>
              <w:numPr>
                <w:ilvl w:val="255"/>
                <w:numId w:val="0"/>
              </w:numPr>
              <w:tabs>
                <w:tab w:val="left" w:pos="176"/>
                <w:tab w:val="left" w:pos="612"/>
              </w:tabs>
              <w:spacing w:line="360" w:lineRule="auto"/>
              <w:jc w:val="center"/>
              <w:rPr>
                <w:rFonts w:hint="eastAsia" w:hAnsi="宋体"/>
                <w:color w:val="auto"/>
                <w:sz w:val="21"/>
                <w:szCs w:val="21"/>
                <w:highlight w:val="none"/>
              </w:rPr>
            </w:pPr>
            <w:r>
              <w:rPr>
                <w:rFonts w:hint="eastAsia" w:hAnsi="宋体"/>
                <w:color w:val="auto"/>
                <w:sz w:val="21"/>
                <w:szCs w:val="21"/>
                <w:highlight w:val="none"/>
              </w:rPr>
              <w:t>4</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2222DA1F">
            <w:pPr>
              <w:spacing w:line="360" w:lineRule="auto"/>
              <w:textAlignment w:val="center"/>
              <w:rPr>
                <w:rFonts w:hint="eastAsia" w:hAnsi="宋体"/>
                <w:color w:val="auto"/>
                <w:sz w:val="21"/>
                <w:szCs w:val="21"/>
                <w:highlight w:val="none"/>
              </w:rPr>
            </w:pPr>
            <w:r>
              <w:rPr>
                <w:rFonts w:hint="eastAsia" w:hAnsi="宋体"/>
                <w:color w:val="auto"/>
                <w:sz w:val="21"/>
                <w:szCs w:val="21"/>
                <w:highlight w:val="none"/>
                <w:lang w:bidi="ar"/>
              </w:rPr>
              <w:t>投标总价未超出采购预算或最高限价；</w:t>
            </w:r>
          </w:p>
        </w:tc>
      </w:tr>
      <w:tr w14:paraId="7787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33EECE26">
            <w:pPr>
              <w:tabs>
                <w:tab w:val="left" w:pos="176"/>
                <w:tab w:val="left" w:pos="612"/>
              </w:tabs>
              <w:spacing w:line="360" w:lineRule="auto"/>
              <w:ind w:firstLine="210" w:firstLineChars="100"/>
              <w:jc w:val="both"/>
              <w:rPr>
                <w:rFonts w:hint="eastAsia" w:hAnsi="宋体"/>
                <w:color w:val="auto"/>
                <w:sz w:val="21"/>
                <w:szCs w:val="21"/>
                <w:highlight w:val="none"/>
              </w:rPr>
            </w:pPr>
            <w:r>
              <w:rPr>
                <w:rFonts w:hint="eastAsia" w:hAnsi="宋体"/>
                <w:color w:val="auto"/>
                <w:sz w:val="21"/>
                <w:szCs w:val="21"/>
                <w:highlight w:val="none"/>
              </w:rPr>
              <w:t>5</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6B675DD2">
            <w:pPr>
              <w:spacing w:line="360" w:lineRule="auto"/>
              <w:textAlignment w:val="center"/>
              <w:rPr>
                <w:rFonts w:hint="eastAsia" w:hAnsi="宋体"/>
                <w:color w:val="auto"/>
                <w:sz w:val="21"/>
                <w:szCs w:val="21"/>
                <w:highlight w:val="none"/>
                <w:lang w:bidi="ar"/>
              </w:rPr>
            </w:pPr>
            <w:r>
              <w:rPr>
                <w:rFonts w:hint="eastAsia" w:hAnsi="宋体"/>
                <w:color w:val="auto"/>
                <w:sz w:val="21"/>
                <w:szCs w:val="21"/>
                <w:highlight w:val="none"/>
                <w:lang w:bidi="ar"/>
              </w:rPr>
              <w:t>响应文件未含有采购人不能接受的附加条件；</w:t>
            </w:r>
          </w:p>
        </w:tc>
      </w:tr>
      <w:tr w14:paraId="0362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182AF014">
            <w:pPr>
              <w:tabs>
                <w:tab w:val="left" w:pos="176"/>
                <w:tab w:val="left" w:pos="612"/>
              </w:tabs>
              <w:spacing w:line="360" w:lineRule="auto"/>
              <w:ind w:firstLine="210" w:firstLineChars="100"/>
              <w:jc w:val="both"/>
              <w:rPr>
                <w:rFonts w:hint="eastAsia" w:hAnsi="宋体"/>
                <w:color w:val="auto"/>
                <w:sz w:val="21"/>
                <w:szCs w:val="21"/>
                <w:highlight w:val="none"/>
              </w:rPr>
            </w:pPr>
            <w:r>
              <w:rPr>
                <w:rFonts w:hint="eastAsia" w:hAnsi="宋体"/>
                <w:color w:val="auto"/>
                <w:sz w:val="21"/>
                <w:szCs w:val="21"/>
                <w:highlight w:val="none"/>
              </w:rPr>
              <w:t>6</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4248F16D">
            <w:pPr>
              <w:spacing w:line="360" w:lineRule="auto"/>
              <w:textAlignment w:val="center"/>
              <w:rPr>
                <w:rFonts w:hint="eastAsia" w:hAnsi="宋体"/>
                <w:color w:val="auto"/>
                <w:sz w:val="21"/>
                <w:szCs w:val="21"/>
                <w:highlight w:val="none"/>
              </w:rPr>
            </w:pPr>
            <w:r>
              <w:rPr>
                <w:rFonts w:hint="eastAsia" w:hAnsi="宋体"/>
                <w:color w:val="auto"/>
                <w:sz w:val="21"/>
                <w:szCs w:val="21"/>
                <w:highlight w:val="none"/>
                <w:lang w:bidi="ar"/>
              </w:rPr>
              <w:t>无负偏离标注“★”符号的条款。</w:t>
            </w:r>
          </w:p>
        </w:tc>
      </w:tr>
      <w:tr w14:paraId="2AF4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l2br w:val="nil"/>
              <w:tr2bl w:val="nil"/>
            </w:tcBorders>
            <w:vAlign w:val="center"/>
          </w:tcPr>
          <w:p w14:paraId="001FECA1">
            <w:pPr>
              <w:tabs>
                <w:tab w:val="left" w:pos="176"/>
                <w:tab w:val="left" w:pos="612"/>
              </w:tabs>
              <w:spacing w:line="360" w:lineRule="auto"/>
              <w:ind w:firstLine="210" w:firstLineChars="100"/>
              <w:jc w:val="both"/>
              <w:rPr>
                <w:rFonts w:hint="eastAsia" w:hAnsi="宋体"/>
                <w:color w:val="auto"/>
                <w:sz w:val="21"/>
                <w:szCs w:val="21"/>
                <w:highlight w:val="none"/>
              </w:rPr>
            </w:pPr>
            <w:r>
              <w:rPr>
                <w:rFonts w:hint="eastAsia" w:hAnsi="宋体"/>
                <w:color w:val="auto"/>
                <w:sz w:val="21"/>
                <w:szCs w:val="21"/>
                <w:highlight w:val="none"/>
              </w:rPr>
              <w:t>7</w:t>
            </w:r>
          </w:p>
        </w:tc>
        <w:tc>
          <w:tcPr>
            <w:tcW w:w="7823" w:type="dxa"/>
            <w:tcBorders>
              <w:top w:val="single" w:color="auto" w:sz="4" w:space="0"/>
              <w:left w:val="single" w:color="auto" w:sz="4" w:space="0"/>
              <w:bottom w:val="single" w:color="auto" w:sz="4" w:space="0"/>
              <w:right w:val="single" w:color="auto" w:sz="4" w:space="0"/>
              <w:tl2br w:val="nil"/>
              <w:tr2bl w:val="nil"/>
            </w:tcBorders>
            <w:vAlign w:val="center"/>
          </w:tcPr>
          <w:p w14:paraId="63C5810D">
            <w:pPr>
              <w:spacing w:line="360" w:lineRule="auto"/>
              <w:textAlignment w:val="center"/>
              <w:rPr>
                <w:rFonts w:hint="eastAsia" w:hAnsi="宋体"/>
                <w:color w:val="auto"/>
                <w:sz w:val="21"/>
                <w:szCs w:val="21"/>
                <w:highlight w:val="none"/>
                <w:lang w:bidi="ar"/>
              </w:rPr>
            </w:pPr>
            <w:r>
              <w:rPr>
                <w:rFonts w:hint="eastAsia" w:hAnsi="宋体"/>
                <w:color w:val="auto"/>
                <w:sz w:val="21"/>
                <w:szCs w:val="21"/>
                <w:highlight w:val="none"/>
              </w:rPr>
              <w:t>未出现</w:t>
            </w:r>
            <w:r>
              <w:rPr>
                <w:rFonts w:hint="eastAsia" w:hAnsi="宋体"/>
                <w:color w:val="auto"/>
                <w:sz w:val="21"/>
                <w:szCs w:val="21"/>
                <w:highlight w:val="none"/>
                <w:lang w:bidi="ar"/>
              </w:rPr>
              <w:t>法律、法规和招标文件规定的其他无效情形。</w:t>
            </w:r>
          </w:p>
        </w:tc>
      </w:tr>
    </w:tbl>
    <w:p w14:paraId="0AC8AEF5">
      <w:pPr>
        <w:pStyle w:val="23"/>
        <w:spacing w:line="360" w:lineRule="auto"/>
        <w:ind w:right="-28" w:firstLine="422" w:firstLineChars="200"/>
        <w:jc w:val="left"/>
        <w:rPr>
          <w:rFonts w:hint="eastAsia" w:hAnsi="宋体"/>
          <w:color w:val="auto"/>
          <w:sz w:val="21"/>
          <w:szCs w:val="21"/>
          <w:highlight w:val="none"/>
        </w:rPr>
      </w:pPr>
      <w:r>
        <w:rPr>
          <w:rFonts w:hint="eastAsia" w:hAnsi="宋体"/>
          <w:color w:val="auto"/>
          <w:sz w:val="21"/>
          <w:szCs w:val="21"/>
          <w:highlight w:val="none"/>
        </w:rPr>
        <w:t>以上资格性、符合性审查中带有不合格分项的响应文件，将作无效响应处理。经磋商小组确认的无效响应文件，采购人和采购代理机构将予以拒绝，并且不允许通过修正或撤消其不符合要求的差异，使之成为具有符合性的响应文件。经磋商小组资格性、符合性审查确认具有有效响应文件的供应商不足三家时将重新组织采购。</w:t>
      </w:r>
    </w:p>
    <w:p w14:paraId="4FEC923E">
      <w:pPr>
        <w:pStyle w:val="23"/>
        <w:spacing w:line="360" w:lineRule="auto"/>
        <w:ind w:right="-28" w:firstLine="422" w:firstLineChars="200"/>
        <w:jc w:val="left"/>
        <w:rPr>
          <w:rFonts w:hint="eastAsia" w:hAnsi="宋体"/>
          <w:color w:val="auto"/>
          <w:sz w:val="21"/>
          <w:szCs w:val="21"/>
          <w:highlight w:val="none"/>
        </w:rPr>
      </w:pPr>
      <w:r>
        <w:rPr>
          <w:rFonts w:hint="eastAsia" w:hAnsi="宋体"/>
          <w:color w:val="auto"/>
          <w:sz w:val="21"/>
          <w:szCs w:val="21"/>
          <w:highlight w:val="none"/>
        </w:rPr>
        <w:t>二、经过磋商阶段后，磋商小组按照磋商文件确定的评审标准和方法对提交最后报价的供应商的响应文件进行评审和比较，推荐候选成交供应商，编制评审报告。</w:t>
      </w:r>
    </w:p>
    <w:p w14:paraId="41B338ED">
      <w:pPr>
        <w:pStyle w:val="31"/>
        <w:spacing w:line="360" w:lineRule="auto"/>
        <w:ind w:firstLine="422" w:firstLineChars="200"/>
        <w:outlineLvl w:val="0"/>
        <w:rPr>
          <w:rFonts w:hint="eastAsia" w:hAnsi="宋体"/>
          <w:b/>
          <w:bCs/>
          <w:color w:val="auto"/>
          <w:szCs w:val="21"/>
          <w:highlight w:val="none"/>
        </w:rPr>
      </w:pPr>
      <w:r>
        <w:rPr>
          <w:rFonts w:hint="eastAsia" w:hAnsi="宋体"/>
          <w:b/>
          <w:bCs/>
          <w:color w:val="auto"/>
          <w:szCs w:val="21"/>
          <w:highlight w:val="none"/>
        </w:rPr>
        <w:t>三、评审因素及评分权重</w:t>
      </w:r>
      <w:bookmarkEnd w:id="169"/>
    </w:p>
    <w:p w14:paraId="139BC53A">
      <w:pPr>
        <w:tabs>
          <w:tab w:val="left" w:pos="660"/>
        </w:tabs>
        <w:autoSpaceDE/>
        <w:autoSpaceDN/>
        <w:adjustRightInd/>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1、评委考核打分的评分因素及分值:总分100分</w:t>
      </w:r>
    </w:p>
    <w:tbl>
      <w:tblPr>
        <w:tblStyle w:val="54"/>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9"/>
        <w:gridCol w:w="734"/>
        <w:gridCol w:w="28"/>
        <w:gridCol w:w="6186"/>
      </w:tblGrid>
      <w:tr w14:paraId="28BC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9E9EF7A">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b/>
                <w:bCs/>
                <w:color w:val="auto"/>
                <w:sz w:val="21"/>
                <w:szCs w:val="21"/>
                <w:highlight w:val="none"/>
              </w:rPr>
            </w:pPr>
            <w:bookmarkStart w:id="170" w:name="_Hlk238913436"/>
            <w:r>
              <w:rPr>
                <w:rFonts w:hint="eastAsia" w:ascii="宋体" w:eastAsia="宋体"/>
                <w:b/>
                <w:bCs/>
                <w:color w:val="auto"/>
                <w:sz w:val="21"/>
                <w:szCs w:val="21"/>
                <w:highlight w:val="none"/>
              </w:rPr>
              <w:t>序号</w:t>
            </w:r>
          </w:p>
        </w:tc>
        <w:tc>
          <w:tcPr>
            <w:tcW w:w="1609" w:type="dxa"/>
            <w:tcBorders>
              <w:top w:val="single" w:color="auto" w:sz="4" w:space="0"/>
              <w:left w:val="single" w:color="auto" w:sz="4" w:space="0"/>
              <w:bottom w:val="single" w:color="auto" w:sz="4" w:space="0"/>
              <w:right w:val="single" w:color="auto" w:sz="4" w:space="0"/>
            </w:tcBorders>
            <w:vAlign w:val="center"/>
          </w:tcPr>
          <w:p w14:paraId="7E94F801">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b/>
                <w:bCs/>
                <w:color w:val="auto"/>
                <w:sz w:val="21"/>
                <w:szCs w:val="21"/>
                <w:highlight w:val="none"/>
              </w:rPr>
            </w:pPr>
            <w:r>
              <w:rPr>
                <w:rFonts w:hint="eastAsia" w:ascii="宋体" w:eastAsia="宋体"/>
                <w:b/>
                <w:bCs/>
                <w:color w:val="auto"/>
                <w:sz w:val="21"/>
                <w:szCs w:val="21"/>
                <w:highlight w:val="none"/>
              </w:rPr>
              <w:t>评审项目</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33FB32A7">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b/>
                <w:bCs/>
                <w:color w:val="auto"/>
                <w:sz w:val="21"/>
                <w:szCs w:val="21"/>
                <w:highlight w:val="none"/>
              </w:rPr>
            </w:pPr>
            <w:r>
              <w:rPr>
                <w:rFonts w:hint="eastAsia" w:ascii="宋体" w:eastAsia="宋体"/>
                <w:b/>
                <w:bCs/>
                <w:color w:val="auto"/>
                <w:sz w:val="21"/>
                <w:szCs w:val="21"/>
                <w:highlight w:val="none"/>
              </w:rPr>
              <w:t>分值</w:t>
            </w:r>
          </w:p>
        </w:tc>
        <w:tc>
          <w:tcPr>
            <w:tcW w:w="6186" w:type="dxa"/>
            <w:tcBorders>
              <w:top w:val="single" w:color="auto" w:sz="4" w:space="0"/>
              <w:left w:val="single" w:color="auto" w:sz="4" w:space="0"/>
              <w:bottom w:val="single" w:color="auto" w:sz="4" w:space="0"/>
              <w:right w:val="single" w:color="auto" w:sz="4" w:space="0"/>
            </w:tcBorders>
            <w:vAlign w:val="center"/>
          </w:tcPr>
          <w:p w14:paraId="46D306E9">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b/>
                <w:bCs/>
                <w:color w:val="auto"/>
                <w:sz w:val="21"/>
                <w:szCs w:val="21"/>
                <w:highlight w:val="none"/>
              </w:rPr>
            </w:pPr>
            <w:r>
              <w:rPr>
                <w:rFonts w:hint="eastAsia" w:ascii="宋体" w:eastAsia="宋体"/>
                <w:b/>
                <w:bCs/>
                <w:color w:val="auto"/>
                <w:sz w:val="21"/>
                <w:szCs w:val="21"/>
                <w:highlight w:val="none"/>
              </w:rPr>
              <w:t>评审细则</w:t>
            </w:r>
          </w:p>
        </w:tc>
      </w:tr>
      <w:tr w14:paraId="3B58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7413EC31">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b/>
                <w:bCs/>
                <w:color w:val="auto"/>
                <w:sz w:val="21"/>
                <w:szCs w:val="21"/>
                <w:highlight w:val="none"/>
              </w:rPr>
            </w:pPr>
            <w:r>
              <w:rPr>
                <w:rFonts w:hint="eastAsia" w:ascii="宋体" w:eastAsia="宋体"/>
                <w:b/>
                <w:bCs/>
                <w:color w:val="auto"/>
                <w:sz w:val="21"/>
                <w:szCs w:val="21"/>
                <w:highlight w:val="none"/>
              </w:rPr>
              <w:t>商务评审（30分）</w:t>
            </w:r>
          </w:p>
        </w:tc>
      </w:tr>
      <w:tr w14:paraId="0D8D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EF1CF1E">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7DA39BD8">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同类项目业绩</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089EA788">
            <w:pPr>
              <w:pStyle w:val="23"/>
              <w:keepNext w:val="0"/>
              <w:keepLines w:val="0"/>
              <w:pageBreakBefore w:val="0"/>
              <w:kinsoku/>
              <w:wordWrap/>
              <w:overflowPunct/>
              <w:topLinePunct w:val="0"/>
              <w:bidi w:val="0"/>
              <w:spacing w:line="360" w:lineRule="auto"/>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15分</w:t>
            </w:r>
          </w:p>
        </w:tc>
        <w:tc>
          <w:tcPr>
            <w:tcW w:w="6186" w:type="dxa"/>
            <w:tcBorders>
              <w:top w:val="single" w:color="auto" w:sz="4" w:space="0"/>
              <w:left w:val="single" w:color="auto" w:sz="4" w:space="0"/>
              <w:bottom w:val="single" w:color="auto" w:sz="4" w:space="0"/>
              <w:right w:val="single" w:color="auto" w:sz="4" w:space="0"/>
            </w:tcBorders>
            <w:vAlign w:val="center"/>
          </w:tcPr>
          <w:p w14:paraId="78213E5D">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Ansi="宋体"/>
                <w:b w:val="0"/>
                <w:bCs w:val="0"/>
                <w:color w:val="auto"/>
                <w:sz w:val="21"/>
                <w:szCs w:val="21"/>
                <w:highlight w:val="none"/>
                <w:lang w:val="en-US"/>
              </w:rPr>
              <w:t>投标人自2023年1月1日至投标截止日（以合同签订时间为准），承接过与人工智能系统开发、AI数字人系统、智能营销系统、企业信息化平台建设等同类或类似项目业绩的：</w:t>
            </w:r>
            <w:r>
              <w:rPr>
                <w:rFonts w:hint="eastAsia" w:hAnsi="宋体"/>
                <w:b w:val="0"/>
                <w:bCs w:val="0"/>
                <w:color w:val="auto"/>
                <w:sz w:val="21"/>
                <w:szCs w:val="21"/>
                <w:highlight w:val="none"/>
                <w:lang w:val="en-US"/>
              </w:rPr>
              <w:t>每提供一份有效的业绩得3分，</w:t>
            </w:r>
            <w:r>
              <w:rPr>
                <w:rFonts w:hAnsi="宋体"/>
                <w:b w:val="0"/>
                <w:bCs w:val="0"/>
                <w:color w:val="auto"/>
                <w:sz w:val="21"/>
                <w:szCs w:val="21"/>
                <w:highlight w:val="none"/>
                <w:lang w:val="en-US"/>
              </w:rPr>
              <w:t>本项最高得</w:t>
            </w:r>
            <w:r>
              <w:rPr>
                <w:rFonts w:hint="eastAsia" w:hAnsi="宋体"/>
                <w:b w:val="0"/>
                <w:bCs w:val="0"/>
                <w:color w:val="auto"/>
                <w:sz w:val="21"/>
                <w:szCs w:val="21"/>
                <w:highlight w:val="none"/>
                <w:lang w:val="en-US"/>
              </w:rPr>
              <w:t>15</w:t>
            </w:r>
            <w:r>
              <w:rPr>
                <w:rFonts w:hAnsi="宋体"/>
                <w:b w:val="0"/>
                <w:bCs w:val="0"/>
                <w:color w:val="auto"/>
                <w:sz w:val="21"/>
                <w:szCs w:val="21"/>
                <w:highlight w:val="none"/>
                <w:lang w:val="en-US"/>
              </w:rPr>
              <w:t>分。</w:t>
            </w:r>
          </w:p>
          <w:p w14:paraId="5D6BD9C1">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注：</w:t>
            </w:r>
            <w:r>
              <w:rPr>
                <w:rFonts w:hAnsi="宋体"/>
                <w:b w:val="0"/>
                <w:bCs w:val="0"/>
                <w:color w:val="auto"/>
                <w:sz w:val="21"/>
                <w:szCs w:val="21"/>
                <w:highlight w:val="none"/>
                <w:lang w:val="en-US"/>
              </w:rPr>
              <w:t>业绩证明材料要求合同关键页复印件（至少包含合同首页、合同金额页、服务内容页、签字盖章页）；</w:t>
            </w:r>
            <w:r>
              <w:rPr>
                <w:rFonts w:hint="eastAsia" w:hAnsi="宋体"/>
                <w:b w:val="0"/>
                <w:bCs w:val="0"/>
                <w:color w:val="auto"/>
                <w:sz w:val="21"/>
                <w:szCs w:val="21"/>
                <w:highlight w:val="none"/>
                <w:lang w:val="en-US"/>
              </w:rPr>
              <w:t>合同全额</w:t>
            </w:r>
            <w:r>
              <w:rPr>
                <w:rFonts w:hAnsi="宋体"/>
                <w:b w:val="0"/>
                <w:bCs w:val="0"/>
                <w:color w:val="auto"/>
                <w:sz w:val="21"/>
                <w:szCs w:val="21"/>
                <w:highlight w:val="none"/>
                <w:lang w:val="en-US"/>
              </w:rPr>
              <w:t>发票复印件。</w:t>
            </w:r>
          </w:p>
        </w:tc>
      </w:tr>
      <w:tr w14:paraId="3A10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right w:val="single" w:color="auto" w:sz="4" w:space="0"/>
            </w:tcBorders>
            <w:vAlign w:val="center"/>
          </w:tcPr>
          <w:p w14:paraId="1107A011">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t>2</w:t>
            </w:r>
          </w:p>
        </w:tc>
        <w:tc>
          <w:tcPr>
            <w:tcW w:w="1609" w:type="dxa"/>
            <w:tcBorders>
              <w:top w:val="single" w:color="auto" w:sz="4" w:space="0"/>
              <w:left w:val="single" w:color="auto" w:sz="4" w:space="0"/>
              <w:right w:val="single" w:color="auto" w:sz="4" w:space="0"/>
            </w:tcBorders>
            <w:vAlign w:val="center"/>
          </w:tcPr>
          <w:p w14:paraId="6C947647">
            <w:pPr>
              <w:keepNext w:val="0"/>
              <w:keepLines w:val="0"/>
              <w:pageBreakBefore w:val="0"/>
              <w:widowControl/>
              <w:kinsoku/>
              <w:wordWrap/>
              <w:overflowPunct/>
              <w:topLinePunct w:val="0"/>
              <w:bidi w:val="0"/>
              <w:spacing w:line="360" w:lineRule="auto"/>
              <w:jc w:val="center"/>
              <w:textAlignment w:val="auto"/>
              <w:rPr>
                <w:rFonts w:hint="eastAsia" w:hAnsi="宋体"/>
                <w:color w:val="auto"/>
                <w:sz w:val="21"/>
                <w:szCs w:val="21"/>
                <w:highlight w:val="none"/>
              </w:rPr>
            </w:pPr>
            <w:r>
              <w:rPr>
                <w:rFonts w:hAnsi="宋体"/>
                <w:color w:val="auto"/>
                <w:sz w:val="21"/>
                <w:szCs w:val="21"/>
                <w:highlight w:val="none"/>
              </w:rPr>
              <w:t>企业荣誉与获奖情况</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168A7449">
            <w:pPr>
              <w:keepNext w:val="0"/>
              <w:keepLines w:val="0"/>
              <w:pageBreakBefore w:val="0"/>
              <w:kinsoku/>
              <w:wordWrap/>
              <w:overflowPunct/>
              <w:topLinePunct w:val="0"/>
              <w:bidi w:val="0"/>
              <w:spacing w:line="360" w:lineRule="auto"/>
              <w:jc w:val="center"/>
              <w:textAlignment w:val="auto"/>
              <w:rPr>
                <w:rFonts w:hint="eastAsia" w:hAnsi="宋体"/>
                <w:color w:val="auto"/>
                <w:sz w:val="21"/>
                <w:szCs w:val="21"/>
                <w:highlight w:val="none"/>
              </w:rPr>
            </w:pPr>
            <w:r>
              <w:rPr>
                <w:rFonts w:hint="eastAsia" w:hAnsi="宋体"/>
                <w:color w:val="auto"/>
                <w:sz w:val="21"/>
                <w:szCs w:val="21"/>
                <w:highlight w:val="none"/>
              </w:rPr>
              <w:t>10分</w:t>
            </w:r>
          </w:p>
        </w:tc>
        <w:tc>
          <w:tcPr>
            <w:tcW w:w="6186" w:type="dxa"/>
            <w:tcBorders>
              <w:top w:val="single" w:color="auto" w:sz="4" w:space="0"/>
              <w:left w:val="single" w:color="auto" w:sz="4" w:space="0"/>
              <w:bottom w:val="single" w:color="auto" w:sz="4" w:space="0"/>
              <w:right w:val="single" w:color="auto" w:sz="4" w:space="0"/>
            </w:tcBorders>
          </w:tcPr>
          <w:p w14:paraId="6BB0EFA2">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1.</w:t>
            </w:r>
            <w:r>
              <w:rPr>
                <w:rFonts w:hAnsi="宋体"/>
                <w:b w:val="0"/>
                <w:bCs w:val="0"/>
                <w:color w:val="auto"/>
                <w:sz w:val="21"/>
                <w:szCs w:val="21"/>
                <w:highlight w:val="none"/>
                <w:lang w:val="en-US"/>
              </w:rPr>
              <w:t>投标人近三年（自招标公告发布之日起往前推算）获得省级及以上政府部门、省级及以上行业协会主办的相关领域（人工智能、大数据、数字经济、信息化等）竞赛或评选活动奖项的，</w:t>
            </w:r>
            <w:r>
              <w:rPr>
                <w:rFonts w:hint="eastAsia" w:hAnsi="宋体"/>
                <w:b w:val="0"/>
                <w:bCs w:val="0"/>
                <w:color w:val="auto"/>
                <w:sz w:val="21"/>
                <w:szCs w:val="21"/>
                <w:highlight w:val="none"/>
                <w:lang w:val="en-US"/>
              </w:rPr>
              <w:t>得5分</w:t>
            </w:r>
            <w:r>
              <w:rPr>
                <w:rFonts w:hAnsi="宋体"/>
                <w:b w:val="0"/>
                <w:bCs w:val="0"/>
                <w:color w:val="auto"/>
                <w:sz w:val="21"/>
                <w:szCs w:val="21"/>
                <w:highlight w:val="none"/>
                <w:lang w:val="en-US"/>
              </w:rPr>
              <w:t>。</w:t>
            </w:r>
          </w:p>
          <w:p w14:paraId="7DE605BF">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2.</w:t>
            </w:r>
            <w:r>
              <w:rPr>
                <w:rFonts w:hAnsi="宋体"/>
                <w:b w:val="0"/>
                <w:bCs w:val="0"/>
                <w:color w:val="auto"/>
                <w:sz w:val="21"/>
                <w:szCs w:val="21"/>
                <w:highlight w:val="none"/>
                <w:lang w:val="en-US"/>
              </w:rPr>
              <w:t>投标人近三年获得人工智能、数字营销、大数据等领域行业相关荣誉的，</w:t>
            </w:r>
            <w:r>
              <w:rPr>
                <w:rFonts w:hint="eastAsia" w:hAnsi="宋体"/>
                <w:b w:val="0"/>
                <w:bCs w:val="0"/>
                <w:color w:val="auto"/>
                <w:sz w:val="21"/>
                <w:szCs w:val="21"/>
                <w:highlight w:val="none"/>
                <w:lang w:val="en-US"/>
              </w:rPr>
              <w:t>得5分</w:t>
            </w:r>
            <w:r>
              <w:rPr>
                <w:rFonts w:hAnsi="宋体"/>
                <w:b w:val="0"/>
                <w:bCs w:val="0"/>
                <w:color w:val="auto"/>
                <w:sz w:val="21"/>
                <w:szCs w:val="21"/>
                <w:highlight w:val="none"/>
                <w:lang w:val="en-US"/>
              </w:rPr>
              <w:t>。</w:t>
            </w:r>
          </w:p>
          <w:p w14:paraId="6E792F18">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Ansi="宋体"/>
                <w:b w:val="0"/>
                <w:bCs w:val="0"/>
                <w:color w:val="auto"/>
                <w:sz w:val="21"/>
                <w:szCs w:val="21"/>
                <w:highlight w:val="none"/>
                <w:lang w:val="en-US"/>
              </w:rPr>
              <w:t>注：须提供获奖证书、奖牌照片或官方文件等有效证明材料复印件并加盖投标人公章。</w:t>
            </w:r>
          </w:p>
        </w:tc>
      </w:tr>
      <w:tr w14:paraId="0122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right w:val="single" w:color="auto" w:sz="4" w:space="0"/>
            </w:tcBorders>
            <w:vAlign w:val="center"/>
          </w:tcPr>
          <w:p w14:paraId="029FC976">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t>3</w:t>
            </w:r>
          </w:p>
        </w:tc>
        <w:tc>
          <w:tcPr>
            <w:tcW w:w="1609" w:type="dxa"/>
            <w:tcBorders>
              <w:top w:val="single" w:color="auto" w:sz="4" w:space="0"/>
              <w:left w:val="single" w:color="auto" w:sz="4" w:space="0"/>
              <w:right w:val="single" w:color="auto" w:sz="4" w:space="0"/>
            </w:tcBorders>
            <w:vAlign w:val="center"/>
          </w:tcPr>
          <w:p w14:paraId="47006625">
            <w:pPr>
              <w:pStyle w:val="23"/>
              <w:keepNext w:val="0"/>
              <w:keepLines w:val="0"/>
              <w:pageBreakBefore w:val="0"/>
              <w:kinsoku/>
              <w:wordWrap/>
              <w:overflowPunct/>
              <w:topLinePunct w:val="0"/>
              <w:bidi w:val="0"/>
              <w:spacing w:line="360" w:lineRule="auto"/>
              <w:jc w:val="left"/>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项目团队成员</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755B6EB6">
            <w:pPr>
              <w:pStyle w:val="23"/>
              <w:keepNext w:val="0"/>
              <w:keepLines w:val="0"/>
              <w:pageBreakBefore w:val="0"/>
              <w:kinsoku/>
              <w:wordWrap/>
              <w:overflowPunct/>
              <w:topLinePunct w:val="0"/>
              <w:bidi w:val="0"/>
              <w:spacing w:line="360" w:lineRule="auto"/>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5分</w:t>
            </w:r>
          </w:p>
        </w:tc>
        <w:tc>
          <w:tcPr>
            <w:tcW w:w="6186" w:type="dxa"/>
            <w:tcBorders>
              <w:top w:val="single" w:color="auto" w:sz="4" w:space="0"/>
              <w:left w:val="single" w:color="auto" w:sz="4" w:space="0"/>
              <w:bottom w:val="single" w:color="auto" w:sz="4" w:space="0"/>
              <w:right w:val="single" w:color="auto" w:sz="4" w:space="0"/>
            </w:tcBorders>
          </w:tcPr>
          <w:p w14:paraId="007082E5">
            <w:pPr>
              <w:pStyle w:val="23"/>
              <w:keepNext w:val="0"/>
              <w:keepLines w:val="0"/>
              <w:pageBreakBefore w:val="0"/>
              <w:kinsoku/>
              <w:wordWrap/>
              <w:overflowPunct/>
              <w:topLinePunct w:val="0"/>
              <w:bidi w:val="0"/>
              <w:snapToGrid/>
              <w:spacing w:line="360" w:lineRule="auto"/>
              <w:jc w:val="left"/>
              <w:textAlignment w:val="auto"/>
              <w:rPr>
                <w:rFonts w:hint="eastAsia" w:hAnsi="宋体" w:eastAsia="宋体"/>
                <w:b w:val="0"/>
                <w:bCs w:val="0"/>
                <w:color w:val="auto"/>
                <w:sz w:val="21"/>
                <w:szCs w:val="21"/>
                <w:highlight w:val="none"/>
                <w:lang w:val="en-US" w:eastAsia="zh-CN"/>
              </w:rPr>
            </w:pPr>
            <w:r>
              <w:rPr>
                <w:rFonts w:hint="eastAsia" w:hAnsi="宋体"/>
                <w:b w:val="0"/>
                <w:bCs w:val="0"/>
                <w:color w:val="auto"/>
                <w:sz w:val="21"/>
                <w:szCs w:val="21"/>
                <w:highlight w:val="none"/>
                <w:lang w:val="en-US"/>
              </w:rPr>
              <w:t>1.</w:t>
            </w:r>
            <w:r>
              <w:rPr>
                <w:rFonts w:hAnsi="宋体"/>
                <w:b w:val="0"/>
                <w:bCs w:val="0"/>
                <w:color w:val="auto"/>
                <w:sz w:val="21"/>
                <w:szCs w:val="21"/>
                <w:highlight w:val="none"/>
                <w:lang w:val="en-US"/>
              </w:rPr>
              <w:t xml:space="preserve"> 项目负责人具有</w:t>
            </w:r>
            <w:r>
              <w:rPr>
                <w:rFonts w:hint="eastAsia" w:hAnsi="宋体"/>
                <w:b w:val="0"/>
                <w:bCs w:val="0"/>
                <w:color w:val="auto"/>
                <w:sz w:val="21"/>
                <w:szCs w:val="21"/>
                <w:highlight w:val="none"/>
                <w:lang w:val="en-US"/>
              </w:rPr>
              <w:t>1</w:t>
            </w:r>
            <w:r>
              <w:rPr>
                <w:rFonts w:hAnsi="宋体"/>
                <w:b w:val="0"/>
                <w:bCs w:val="0"/>
                <w:color w:val="auto"/>
                <w:sz w:val="21"/>
                <w:szCs w:val="21"/>
                <w:highlight w:val="none"/>
                <w:lang w:val="en-US"/>
              </w:rPr>
              <w:t>年及以上人工智能或信息化系统开发项目管理经验的，得</w:t>
            </w:r>
            <w:r>
              <w:rPr>
                <w:rFonts w:hint="eastAsia" w:hAnsi="宋体"/>
                <w:b w:val="0"/>
                <w:bCs w:val="0"/>
                <w:color w:val="auto"/>
                <w:sz w:val="21"/>
                <w:szCs w:val="21"/>
                <w:highlight w:val="none"/>
                <w:lang w:val="en-US"/>
              </w:rPr>
              <w:t>3</w:t>
            </w:r>
            <w:r>
              <w:rPr>
                <w:rFonts w:hAnsi="宋体"/>
                <w:b w:val="0"/>
                <w:bCs w:val="0"/>
                <w:color w:val="auto"/>
                <w:sz w:val="21"/>
                <w:szCs w:val="21"/>
                <w:highlight w:val="none"/>
                <w:lang w:val="en-US"/>
              </w:rPr>
              <w:t>分</w:t>
            </w:r>
            <w:r>
              <w:rPr>
                <w:rFonts w:hint="eastAsia" w:hAnsi="宋体"/>
                <w:b w:val="0"/>
                <w:bCs w:val="0"/>
                <w:color w:val="auto"/>
                <w:sz w:val="21"/>
                <w:szCs w:val="21"/>
                <w:highlight w:val="none"/>
                <w:lang w:val="en-US" w:eastAsia="zh-CN"/>
              </w:rPr>
              <w:t>。</w:t>
            </w:r>
          </w:p>
          <w:p w14:paraId="68904138">
            <w:pPr>
              <w:pStyle w:val="23"/>
              <w:keepNext w:val="0"/>
              <w:keepLines w:val="0"/>
              <w:pageBreakBefore w:val="0"/>
              <w:kinsoku/>
              <w:wordWrap/>
              <w:overflowPunct/>
              <w:topLinePunct w:val="0"/>
              <w:bidi w:val="0"/>
              <w:snapToGrid/>
              <w:spacing w:line="360" w:lineRule="auto"/>
              <w:jc w:val="left"/>
              <w:textAlignment w:val="auto"/>
              <w:rPr>
                <w:rFonts w:hint="eastAsia" w:hAnsi="宋体"/>
                <w:b w:val="0"/>
                <w:bCs w:val="0"/>
                <w:color w:val="auto"/>
                <w:sz w:val="21"/>
                <w:szCs w:val="21"/>
                <w:highlight w:val="none"/>
                <w:lang w:val="en-US"/>
              </w:rPr>
            </w:pPr>
            <w:r>
              <w:rPr>
                <w:rFonts w:hint="eastAsia" w:hAnsi="宋体"/>
                <w:b w:val="0"/>
                <w:bCs w:val="0"/>
                <w:color w:val="auto"/>
                <w:sz w:val="21"/>
                <w:szCs w:val="21"/>
                <w:highlight w:val="none"/>
                <w:lang w:val="en-US"/>
              </w:rPr>
              <w:t>2.</w:t>
            </w:r>
            <w:r>
              <w:rPr>
                <w:rFonts w:hAnsi="宋体"/>
                <w:b w:val="0"/>
                <w:bCs w:val="0"/>
                <w:color w:val="auto"/>
                <w:sz w:val="21"/>
                <w:szCs w:val="21"/>
                <w:highlight w:val="none"/>
                <w:lang w:val="en-US"/>
              </w:rPr>
              <w:t xml:space="preserve"> 团队中具有AI算法、数字人技术、大数据分析等相关领域3年以上开发经验的人员，每提供一名得</w:t>
            </w:r>
            <w:r>
              <w:rPr>
                <w:rFonts w:hint="eastAsia" w:hAnsi="宋体"/>
                <w:b w:val="0"/>
                <w:bCs w:val="0"/>
                <w:color w:val="auto"/>
                <w:sz w:val="21"/>
                <w:szCs w:val="21"/>
                <w:highlight w:val="none"/>
                <w:lang w:val="en-US"/>
              </w:rPr>
              <w:t>1</w:t>
            </w:r>
            <w:r>
              <w:rPr>
                <w:rFonts w:hAnsi="宋体"/>
                <w:b w:val="0"/>
                <w:bCs w:val="0"/>
                <w:color w:val="auto"/>
                <w:sz w:val="21"/>
                <w:szCs w:val="21"/>
                <w:highlight w:val="none"/>
                <w:lang w:val="en-US"/>
              </w:rPr>
              <w:t>分，本项最高得</w:t>
            </w:r>
            <w:r>
              <w:rPr>
                <w:rFonts w:hint="eastAsia" w:hAnsi="宋体"/>
                <w:b w:val="0"/>
                <w:bCs w:val="0"/>
                <w:color w:val="auto"/>
                <w:sz w:val="21"/>
                <w:szCs w:val="21"/>
                <w:highlight w:val="none"/>
                <w:lang w:val="en-US"/>
              </w:rPr>
              <w:t>2</w:t>
            </w:r>
            <w:r>
              <w:rPr>
                <w:rFonts w:hAnsi="宋体"/>
                <w:b w:val="0"/>
                <w:bCs w:val="0"/>
                <w:color w:val="auto"/>
                <w:sz w:val="21"/>
                <w:szCs w:val="21"/>
                <w:highlight w:val="none"/>
                <w:lang w:val="en-US"/>
              </w:rPr>
              <w:t>分</w:t>
            </w:r>
            <w:r>
              <w:rPr>
                <w:rFonts w:hint="eastAsia" w:hAnsi="宋体"/>
                <w:b w:val="0"/>
                <w:bCs w:val="0"/>
                <w:color w:val="auto"/>
                <w:sz w:val="21"/>
                <w:szCs w:val="21"/>
                <w:highlight w:val="none"/>
                <w:lang w:val="en-US"/>
              </w:rPr>
              <w:t>。</w:t>
            </w:r>
          </w:p>
          <w:p w14:paraId="14102FC6">
            <w:pPr>
              <w:pStyle w:val="24"/>
              <w:keepNext w:val="0"/>
              <w:keepLines w:val="0"/>
              <w:pageBreakBefore w:val="0"/>
              <w:kinsoku/>
              <w:wordWrap/>
              <w:overflowPunct/>
              <w:topLinePunct w:val="0"/>
              <w:bidi w:val="0"/>
              <w:snapToGrid/>
              <w:spacing w:line="360" w:lineRule="auto"/>
              <w:ind w:left="0" w:leftChars="0" w:firstLine="0" w:firstLineChars="0"/>
              <w:textAlignment w:val="auto"/>
              <w:rPr>
                <w:rFonts w:hint="eastAsia"/>
                <w:color w:val="auto"/>
                <w:sz w:val="21"/>
                <w:szCs w:val="21"/>
                <w:highlight w:val="none"/>
                <w:lang w:val="en-US"/>
              </w:rPr>
            </w:pPr>
            <w:r>
              <w:rPr>
                <w:rFonts w:hint="eastAsia" w:ascii="宋体" w:hAnsi="宋体" w:eastAsia="宋体" w:cs="宋体"/>
                <w:b w:val="0"/>
                <w:bCs w:val="0"/>
                <w:color w:val="auto"/>
                <w:kern w:val="2"/>
                <w:sz w:val="21"/>
                <w:szCs w:val="21"/>
                <w:highlight w:val="none"/>
                <w:lang w:val="en-US" w:eastAsia="zh-CN" w:bidi="ar-SA"/>
              </w:rPr>
              <w:t>注：以上人员须提供</w:t>
            </w:r>
            <w:r>
              <w:rPr>
                <w:rFonts w:hAnsi="宋体"/>
                <w:b w:val="0"/>
                <w:bCs w:val="0"/>
                <w:color w:val="auto"/>
                <w:sz w:val="21"/>
                <w:szCs w:val="21"/>
                <w:highlight w:val="none"/>
                <w:lang w:val="en-US"/>
              </w:rPr>
              <w:t>项目经验证明材料</w:t>
            </w:r>
            <w:r>
              <w:rPr>
                <w:rFonts w:hint="eastAsia" w:ascii="宋体" w:hAnsi="宋体" w:eastAsia="宋体" w:cs="宋体"/>
                <w:b w:val="0"/>
                <w:bCs w:val="0"/>
                <w:color w:val="auto"/>
                <w:kern w:val="2"/>
                <w:sz w:val="21"/>
                <w:szCs w:val="21"/>
                <w:highlight w:val="none"/>
                <w:lang w:val="en-US" w:eastAsia="zh-CN" w:bidi="ar-SA"/>
              </w:rPr>
              <w:t>、身份证复印件、开标前连续六个月（不含开标当月）中任意一个月在投标人单位购买的社保证明加盖投标人公章，未完整提供上述证明材料的人员不予认可。</w:t>
            </w:r>
          </w:p>
        </w:tc>
      </w:tr>
      <w:tr w14:paraId="0470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32871D01">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color w:val="auto"/>
                <w:sz w:val="21"/>
                <w:szCs w:val="21"/>
                <w:highlight w:val="none"/>
              </w:rPr>
            </w:pPr>
            <w:r>
              <w:rPr>
                <w:rFonts w:hint="eastAsia" w:ascii="宋体" w:eastAsia="宋体"/>
                <w:b/>
                <w:bCs/>
                <w:color w:val="auto"/>
                <w:sz w:val="21"/>
                <w:szCs w:val="21"/>
                <w:highlight w:val="none"/>
              </w:rPr>
              <w:t>技术评审（20分）</w:t>
            </w:r>
          </w:p>
        </w:tc>
      </w:tr>
      <w:tr w14:paraId="66A7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AD0FE22">
            <w:pPr>
              <w:keepNext w:val="0"/>
              <w:keepLines w:val="0"/>
              <w:pageBreakBefore w:val="0"/>
              <w:kinsoku/>
              <w:wordWrap/>
              <w:overflowPunct/>
              <w:topLinePunct w:val="0"/>
              <w:bidi w:val="0"/>
              <w:snapToGrid w:val="0"/>
              <w:spacing w:line="360" w:lineRule="auto"/>
              <w:jc w:val="center"/>
              <w:textAlignment w:val="auto"/>
              <w:rPr>
                <w:rFonts w:hint="eastAsia" w:hAnsi="宋体"/>
                <w:color w:val="auto"/>
                <w:sz w:val="21"/>
                <w:szCs w:val="21"/>
                <w:highlight w:val="none"/>
              </w:rPr>
            </w:pPr>
            <w:r>
              <w:rPr>
                <w:rFonts w:hint="eastAsia" w:hAnsi="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6EB24D48">
            <w:pPr>
              <w:keepNext w:val="0"/>
              <w:keepLines w:val="0"/>
              <w:pageBreakBefore w:val="0"/>
              <w:kinsoku/>
              <w:wordWrap/>
              <w:overflowPunct/>
              <w:topLinePunct w:val="0"/>
              <w:bidi w:val="0"/>
              <w:spacing w:line="360" w:lineRule="auto"/>
              <w:jc w:val="center"/>
              <w:textAlignment w:val="auto"/>
              <w:rPr>
                <w:rFonts w:hint="eastAsia" w:hAnsi="宋体"/>
                <w:color w:val="auto"/>
                <w:sz w:val="21"/>
                <w:szCs w:val="21"/>
                <w:highlight w:val="none"/>
                <w:u w:val="single"/>
              </w:rPr>
            </w:pPr>
            <w:r>
              <w:rPr>
                <w:rFonts w:hAnsi="宋体" w:cs="Segoe UI"/>
                <w:color w:val="auto"/>
                <w:sz w:val="21"/>
                <w:szCs w:val="21"/>
                <w:highlight w:val="none"/>
                <w:shd w:val="clear" w:color="auto" w:fill="FFFFFF"/>
              </w:rPr>
              <w:t>项目需求理解与整体方案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494BAD2E">
            <w:pPr>
              <w:keepNext w:val="0"/>
              <w:keepLines w:val="0"/>
              <w:pageBreakBefore w:val="0"/>
              <w:kinsoku/>
              <w:wordWrap/>
              <w:overflowPunct/>
              <w:topLinePunct w:val="0"/>
              <w:bidi w:val="0"/>
              <w:spacing w:line="360" w:lineRule="auto"/>
              <w:jc w:val="center"/>
              <w:textAlignment w:val="auto"/>
              <w:rPr>
                <w:rFonts w:hint="eastAsia" w:hAnsi="宋体"/>
                <w:color w:val="auto"/>
                <w:sz w:val="21"/>
                <w:szCs w:val="21"/>
                <w:highlight w:val="none"/>
              </w:rPr>
            </w:pPr>
            <w:r>
              <w:rPr>
                <w:rFonts w:hAnsi="宋体"/>
                <w:color w:val="auto"/>
                <w:sz w:val="21"/>
                <w:szCs w:val="21"/>
                <w:highlight w:val="none"/>
              </w:rPr>
              <w:t>7</w:t>
            </w:r>
            <w:r>
              <w:rPr>
                <w:rFonts w:hint="eastAsia" w:hAnsi="宋体"/>
                <w:color w:val="auto"/>
                <w:sz w:val="21"/>
                <w:szCs w:val="21"/>
                <w:highlight w:val="none"/>
              </w:rPr>
              <w:t>分</w:t>
            </w:r>
          </w:p>
        </w:tc>
        <w:tc>
          <w:tcPr>
            <w:tcW w:w="6186" w:type="dxa"/>
            <w:tcBorders>
              <w:top w:val="single" w:color="auto" w:sz="4" w:space="0"/>
              <w:left w:val="single" w:color="auto" w:sz="4" w:space="0"/>
              <w:bottom w:val="single" w:color="auto" w:sz="4" w:space="0"/>
              <w:right w:val="single" w:color="auto" w:sz="4" w:space="0"/>
            </w:tcBorders>
            <w:vAlign w:val="center"/>
          </w:tcPr>
          <w:p w14:paraId="4487EE96">
            <w:pPr>
              <w:keepNext w:val="0"/>
              <w:keepLines w:val="0"/>
              <w:pageBreakBefore w:val="0"/>
              <w:kinsoku/>
              <w:wordWrap/>
              <w:overflowPunct/>
              <w:topLinePunct w:val="0"/>
              <w:bidi w:val="0"/>
              <w:spacing w:line="360" w:lineRule="auto"/>
              <w:jc w:val="both"/>
              <w:textAlignment w:val="auto"/>
              <w:rPr>
                <w:rFonts w:hint="eastAsia" w:hAnsi="宋体" w:cs="Segoe UI"/>
                <w:b w:val="0"/>
                <w:bCs w:val="0"/>
                <w:color w:val="auto"/>
                <w:sz w:val="21"/>
                <w:szCs w:val="21"/>
                <w:highlight w:val="none"/>
              </w:rPr>
            </w:pPr>
            <w:r>
              <w:rPr>
                <w:rFonts w:hAnsi="宋体" w:cs="Segoe UI"/>
                <w:b w:val="0"/>
                <w:bCs w:val="0"/>
                <w:color w:val="auto"/>
                <w:sz w:val="21"/>
                <w:szCs w:val="21"/>
                <w:highlight w:val="none"/>
                <w:shd w:val="clear" w:color="auto" w:fill="FFFFFF"/>
              </w:rPr>
              <w:t>根据投标人对本项目需求的理解深度及整体解决方案的完整性、合理性进行评分：</w:t>
            </w:r>
          </w:p>
          <w:p w14:paraId="2DD8D92B">
            <w:pPr>
              <w:keepNext w:val="0"/>
              <w:keepLines w:val="0"/>
              <w:pageBreakBefore w:val="0"/>
              <w:kinsoku/>
              <w:wordWrap/>
              <w:overflowPunct/>
              <w:topLinePunct w:val="0"/>
              <w:bidi w:val="0"/>
              <w:spacing w:line="360" w:lineRule="auto"/>
              <w:jc w:val="both"/>
              <w:textAlignment w:val="auto"/>
              <w:rPr>
                <w:rFonts w:hint="eastAsia" w:hAnsi="宋体" w:cs="Segoe UI"/>
                <w:b w:val="0"/>
                <w:bCs w:val="0"/>
                <w:color w:val="auto"/>
                <w:sz w:val="21"/>
                <w:szCs w:val="21"/>
                <w:highlight w:val="none"/>
              </w:rPr>
            </w:pPr>
            <w:r>
              <w:rPr>
                <w:rStyle w:val="57"/>
                <w:rFonts w:hint="eastAsia" w:hAnsi="宋体" w:cs="Segoe UI"/>
                <w:b w:val="0"/>
                <w:bCs w:val="0"/>
                <w:color w:val="auto"/>
                <w:sz w:val="21"/>
                <w:szCs w:val="21"/>
                <w:highlight w:val="none"/>
                <w:shd w:val="clear" w:color="auto" w:fill="FFFFFF"/>
                <w:lang w:val="en-US" w:eastAsia="zh-CN"/>
              </w:rPr>
              <w:t>1、</w:t>
            </w:r>
            <w:r>
              <w:rPr>
                <w:rFonts w:hAnsi="宋体" w:cs="Segoe UI"/>
                <w:b w:val="0"/>
                <w:bCs w:val="0"/>
                <w:color w:val="auto"/>
                <w:sz w:val="21"/>
                <w:szCs w:val="21"/>
                <w:highlight w:val="none"/>
                <w:shd w:val="clear" w:color="auto" w:fill="FFFFFF"/>
              </w:rPr>
              <w:t>对项目背景、目标、服务内容理解透彻，整体解决方案完整详尽、逻辑清晰、技术路线先进合理，完全满足甚至优于采购需求</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7</w:t>
            </w:r>
            <w:r>
              <w:rPr>
                <w:rFonts w:hint="eastAsia" w:ascii="宋体" w:hAnsi="宋体" w:eastAsia="宋体" w:cs="宋体"/>
                <w:b w:val="0"/>
                <w:bCs w:val="0"/>
                <w:color w:val="auto"/>
                <w:sz w:val="21"/>
                <w:szCs w:val="21"/>
                <w:highlight w:val="none"/>
                <w:lang w:val="en-US" w:bidi="ar-SA"/>
              </w:rPr>
              <w:t>分</w:t>
            </w:r>
            <w:r>
              <w:rPr>
                <w:rFonts w:hAnsi="宋体" w:cs="Segoe UI"/>
                <w:b w:val="0"/>
                <w:bCs w:val="0"/>
                <w:color w:val="auto"/>
                <w:sz w:val="21"/>
                <w:szCs w:val="21"/>
                <w:highlight w:val="none"/>
                <w:shd w:val="clear" w:color="auto" w:fill="FFFFFF"/>
              </w:rPr>
              <w:t>；</w:t>
            </w:r>
          </w:p>
          <w:p w14:paraId="731016F1">
            <w:pPr>
              <w:keepNext w:val="0"/>
              <w:keepLines w:val="0"/>
              <w:pageBreakBefore w:val="0"/>
              <w:kinsoku/>
              <w:wordWrap/>
              <w:overflowPunct/>
              <w:topLinePunct w:val="0"/>
              <w:bidi w:val="0"/>
              <w:spacing w:line="360" w:lineRule="auto"/>
              <w:jc w:val="both"/>
              <w:textAlignment w:val="auto"/>
              <w:rPr>
                <w:rFonts w:hint="eastAsia" w:hAnsi="宋体" w:cs="Segoe UI"/>
                <w:b w:val="0"/>
                <w:bCs w:val="0"/>
                <w:color w:val="auto"/>
                <w:sz w:val="21"/>
                <w:szCs w:val="21"/>
                <w:highlight w:val="none"/>
              </w:rPr>
            </w:pPr>
            <w:r>
              <w:rPr>
                <w:rFonts w:hint="eastAsia" w:hAnsi="宋体" w:cs="Segoe UI"/>
                <w:b w:val="0"/>
                <w:bCs w:val="0"/>
                <w:color w:val="auto"/>
                <w:sz w:val="21"/>
                <w:szCs w:val="21"/>
                <w:highlight w:val="none"/>
                <w:shd w:val="clear" w:color="auto" w:fill="FFFFFF"/>
                <w:lang w:val="en-US" w:eastAsia="zh-CN"/>
              </w:rPr>
              <w:t>2、</w:t>
            </w:r>
            <w:r>
              <w:rPr>
                <w:rFonts w:hAnsi="宋体" w:cs="Segoe UI"/>
                <w:b w:val="0"/>
                <w:bCs w:val="0"/>
                <w:color w:val="auto"/>
                <w:sz w:val="21"/>
                <w:szCs w:val="21"/>
                <w:highlight w:val="none"/>
                <w:shd w:val="clear" w:color="auto" w:fill="FFFFFF"/>
              </w:rPr>
              <w:t>对项目需求理解较为充分，整体解决方案基本完整合理，能够满足采购需求</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4</w:t>
            </w:r>
            <w:r>
              <w:rPr>
                <w:rFonts w:hint="eastAsia" w:ascii="宋体" w:hAnsi="宋体" w:eastAsia="宋体" w:cs="宋体"/>
                <w:b w:val="0"/>
                <w:bCs w:val="0"/>
                <w:color w:val="auto"/>
                <w:sz w:val="21"/>
                <w:szCs w:val="21"/>
                <w:highlight w:val="none"/>
                <w:lang w:val="en-US" w:bidi="ar-SA"/>
              </w:rPr>
              <w:t>分</w:t>
            </w:r>
            <w:r>
              <w:rPr>
                <w:rFonts w:hAnsi="宋体" w:cs="Segoe UI"/>
                <w:b w:val="0"/>
                <w:bCs w:val="0"/>
                <w:color w:val="auto"/>
                <w:sz w:val="21"/>
                <w:szCs w:val="21"/>
                <w:highlight w:val="none"/>
                <w:shd w:val="clear" w:color="auto" w:fill="FFFFFF"/>
              </w:rPr>
              <w:t>；</w:t>
            </w:r>
          </w:p>
          <w:p w14:paraId="610734E3">
            <w:pPr>
              <w:keepNext w:val="0"/>
              <w:keepLines w:val="0"/>
              <w:pageBreakBefore w:val="0"/>
              <w:kinsoku/>
              <w:wordWrap/>
              <w:overflowPunct/>
              <w:topLinePunct w:val="0"/>
              <w:bidi w:val="0"/>
              <w:spacing w:line="360" w:lineRule="auto"/>
              <w:textAlignment w:val="auto"/>
              <w:rPr>
                <w:rFonts w:hAnsi="宋体" w:cs="Segoe UI"/>
                <w:b w:val="0"/>
                <w:bCs w:val="0"/>
                <w:color w:val="auto"/>
                <w:sz w:val="21"/>
                <w:szCs w:val="21"/>
                <w:highlight w:val="none"/>
                <w:shd w:val="clear" w:color="auto" w:fill="FFFFFF"/>
              </w:rPr>
            </w:pPr>
            <w:r>
              <w:rPr>
                <w:rFonts w:hint="eastAsia" w:hAnsi="宋体" w:cs="Segoe UI"/>
                <w:b w:val="0"/>
                <w:bCs w:val="0"/>
                <w:color w:val="auto"/>
                <w:sz w:val="21"/>
                <w:szCs w:val="21"/>
                <w:highlight w:val="none"/>
                <w:shd w:val="clear" w:color="auto" w:fill="FFFFFF"/>
                <w:lang w:val="en-US" w:eastAsia="zh-CN"/>
              </w:rPr>
              <w:t>3、</w:t>
            </w:r>
            <w:r>
              <w:rPr>
                <w:rFonts w:hAnsi="宋体" w:cs="Segoe UI"/>
                <w:b w:val="0"/>
                <w:bCs w:val="0"/>
                <w:color w:val="auto"/>
                <w:sz w:val="21"/>
                <w:szCs w:val="21"/>
                <w:highlight w:val="none"/>
                <w:shd w:val="clear" w:color="auto" w:fill="FFFFFF"/>
              </w:rPr>
              <w:t>对项目需求理解较浅，解决方案内容简单、不够完善，基本满足采购需求但存在明显不足</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1</w:t>
            </w:r>
            <w:r>
              <w:rPr>
                <w:rFonts w:hint="eastAsia" w:ascii="宋体" w:hAnsi="宋体" w:eastAsia="宋体" w:cs="宋体"/>
                <w:b w:val="0"/>
                <w:bCs w:val="0"/>
                <w:color w:val="auto"/>
                <w:sz w:val="21"/>
                <w:szCs w:val="21"/>
                <w:highlight w:val="none"/>
                <w:lang w:val="en-US" w:bidi="ar-SA"/>
              </w:rPr>
              <w:t>分</w:t>
            </w:r>
            <w:r>
              <w:rPr>
                <w:rFonts w:hAnsi="宋体" w:cs="Segoe UI"/>
                <w:b w:val="0"/>
                <w:bCs w:val="0"/>
                <w:color w:val="auto"/>
                <w:sz w:val="21"/>
                <w:szCs w:val="21"/>
                <w:highlight w:val="none"/>
                <w:shd w:val="clear" w:color="auto" w:fill="FFFFFF"/>
              </w:rPr>
              <w:t>；</w:t>
            </w:r>
          </w:p>
          <w:p w14:paraId="30C091D3">
            <w:pPr>
              <w:keepNext w:val="0"/>
              <w:keepLines w:val="0"/>
              <w:pageBreakBefore w:val="0"/>
              <w:kinsoku/>
              <w:wordWrap/>
              <w:overflowPunct/>
              <w:topLinePunct w:val="0"/>
              <w:bidi w:val="0"/>
              <w:spacing w:line="360" w:lineRule="auto"/>
              <w:textAlignment w:val="auto"/>
              <w:rPr>
                <w:rFonts w:hint="eastAsia" w:hAnsi="宋体"/>
                <w:color w:val="auto"/>
                <w:sz w:val="21"/>
                <w:szCs w:val="21"/>
                <w:highlight w:val="none"/>
              </w:rPr>
            </w:pPr>
            <w:r>
              <w:rPr>
                <w:rFonts w:hint="eastAsia" w:hAnsi="宋体" w:cs="Segoe UI"/>
                <w:b w:val="0"/>
                <w:bCs w:val="0"/>
                <w:color w:val="auto"/>
                <w:sz w:val="21"/>
                <w:szCs w:val="21"/>
                <w:highlight w:val="none"/>
                <w:shd w:val="clear" w:color="auto" w:fill="FFFFFF"/>
                <w:lang w:val="en-US" w:eastAsia="zh-CN"/>
              </w:rPr>
              <w:t>4、</w:t>
            </w:r>
            <w:r>
              <w:rPr>
                <w:rFonts w:hAnsi="宋体" w:cs="Segoe UI"/>
                <w:b w:val="0"/>
                <w:bCs/>
                <w:color w:val="auto"/>
                <w:sz w:val="21"/>
                <w:szCs w:val="21"/>
                <w:highlight w:val="none"/>
                <w:shd w:val="clear" w:color="auto" w:fill="FFFFFF"/>
              </w:rPr>
              <w:t>未提供方案或方案不可行</w:t>
            </w:r>
            <w:r>
              <w:rPr>
                <w:rFonts w:hint="eastAsia" w:hAnsi="宋体" w:cs="Segoe UI"/>
                <w:b w:val="0"/>
                <w:bCs/>
                <w:color w:val="auto"/>
                <w:sz w:val="21"/>
                <w:szCs w:val="21"/>
                <w:highlight w:val="none"/>
                <w:shd w:val="clear" w:color="auto" w:fill="FFFFFF"/>
              </w:rPr>
              <w:t>不得分</w:t>
            </w:r>
            <w:r>
              <w:rPr>
                <w:rFonts w:hAnsi="宋体" w:cs="Segoe UI"/>
                <w:b w:val="0"/>
                <w:bCs w:val="0"/>
                <w:color w:val="auto"/>
                <w:sz w:val="21"/>
                <w:szCs w:val="21"/>
                <w:highlight w:val="none"/>
                <w:shd w:val="clear" w:color="auto" w:fill="FFFFFF"/>
              </w:rPr>
              <w:t>。</w:t>
            </w:r>
          </w:p>
        </w:tc>
      </w:tr>
      <w:tr w14:paraId="76B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2F4BFDD">
            <w:pPr>
              <w:keepNext w:val="0"/>
              <w:keepLines w:val="0"/>
              <w:pageBreakBefore w:val="0"/>
              <w:kinsoku/>
              <w:wordWrap/>
              <w:overflowPunct/>
              <w:topLinePunct w:val="0"/>
              <w:bidi w:val="0"/>
              <w:snapToGrid w:val="0"/>
              <w:spacing w:line="360" w:lineRule="auto"/>
              <w:jc w:val="center"/>
              <w:textAlignment w:val="auto"/>
              <w:rPr>
                <w:rFonts w:hint="eastAsia" w:hAnsi="宋体" w:eastAsia="宋体"/>
                <w:bCs/>
                <w:color w:val="auto"/>
                <w:sz w:val="21"/>
                <w:szCs w:val="21"/>
                <w:highlight w:val="none"/>
                <w:lang w:eastAsia="zh-CN"/>
              </w:rPr>
            </w:pPr>
            <w:r>
              <w:rPr>
                <w:rFonts w:hint="eastAsia" w:hAnsi="宋体"/>
                <w:bCs/>
                <w:color w:val="auto"/>
                <w:sz w:val="21"/>
                <w:szCs w:val="21"/>
                <w:highlight w:val="none"/>
                <w:lang w:val="en-US" w:eastAsia="zh-CN"/>
              </w:rPr>
              <w:t>2</w:t>
            </w:r>
          </w:p>
        </w:tc>
        <w:tc>
          <w:tcPr>
            <w:tcW w:w="1609" w:type="dxa"/>
            <w:tcBorders>
              <w:top w:val="single" w:color="auto" w:sz="4" w:space="0"/>
              <w:left w:val="single" w:color="auto" w:sz="4" w:space="0"/>
              <w:bottom w:val="single" w:color="auto" w:sz="4" w:space="0"/>
              <w:right w:val="single" w:color="auto" w:sz="4" w:space="0"/>
            </w:tcBorders>
            <w:vAlign w:val="center"/>
          </w:tcPr>
          <w:p w14:paraId="727151FB">
            <w:pPr>
              <w:keepNext w:val="0"/>
              <w:keepLines w:val="0"/>
              <w:pageBreakBefore w:val="0"/>
              <w:kinsoku/>
              <w:wordWrap/>
              <w:overflowPunct/>
              <w:topLinePunct w:val="0"/>
              <w:bidi w:val="0"/>
              <w:spacing w:line="360" w:lineRule="auto"/>
              <w:jc w:val="center"/>
              <w:textAlignment w:val="auto"/>
              <w:rPr>
                <w:rFonts w:hint="eastAsia" w:hAnsi="宋体"/>
                <w:bCs/>
                <w:color w:val="auto"/>
                <w:sz w:val="21"/>
                <w:szCs w:val="21"/>
                <w:highlight w:val="none"/>
                <w:u w:val="single"/>
              </w:rPr>
            </w:pPr>
            <w:r>
              <w:rPr>
                <w:rFonts w:hAnsi="宋体" w:cs="Segoe UI"/>
                <w:bCs/>
                <w:color w:val="auto"/>
                <w:sz w:val="21"/>
                <w:szCs w:val="21"/>
                <w:highlight w:val="none"/>
                <w:shd w:val="clear" w:color="auto" w:fill="FFFFFF"/>
              </w:rPr>
              <w:t>AI智能客服系统实施方案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0062FC14">
            <w:pPr>
              <w:keepNext w:val="0"/>
              <w:keepLines w:val="0"/>
              <w:pageBreakBefore w:val="0"/>
              <w:kinsoku/>
              <w:wordWrap/>
              <w:overflowPunct/>
              <w:topLinePunct w:val="0"/>
              <w:bidi w:val="0"/>
              <w:spacing w:line="360" w:lineRule="auto"/>
              <w:jc w:val="center"/>
              <w:textAlignment w:val="auto"/>
              <w:rPr>
                <w:rFonts w:hint="eastAsia" w:hAnsi="宋体"/>
                <w:bCs/>
                <w:color w:val="auto"/>
                <w:sz w:val="21"/>
                <w:szCs w:val="21"/>
                <w:highlight w:val="none"/>
              </w:rPr>
            </w:pPr>
            <w:r>
              <w:rPr>
                <w:rFonts w:hAnsi="宋体" w:cs="Segoe UI"/>
                <w:bCs/>
                <w:color w:val="auto"/>
                <w:sz w:val="21"/>
                <w:szCs w:val="21"/>
                <w:highlight w:val="none"/>
              </w:rPr>
              <w:t>7</w:t>
            </w:r>
            <w:r>
              <w:rPr>
                <w:rFonts w:hint="eastAsia" w:hAnsi="宋体" w:cs="Segoe UI"/>
                <w:bCs/>
                <w:color w:val="auto"/>
                <w:sz w:val="21"/>
                <w:szCs w:val="21"/>
                <w:highlight w:val="none"/>
              </w:rPr>
              <w:t>分</w:t>
            </w:r>
          </w:p>
        </w:tc>
        <w:tc>
          <w:tcPr>
            <w:tcW w:w="6186" w:type="dxa"/>
            <w:tcBorders>
              <w:top w:val="single" w:color="auto" w:sz="4" w:space="0"/>
              <w:left w:val="single" w:color="auto" w:sz="4" w:space="0"/>
              <w:bottom w:val="single" w:color="auto" w:sz="4" w:space="0"/>
              <w:right w:val="single" w:color="auto" w:sz="4" w:space="0"/>
            </w:tcBorders>
            <w:vAlign w:val="center"/>
          </w:tcPr>
          <w:p w14:paraId="0BC9DB11">
            <w:pPr>
              <w:keepNext w:val="0"/>
              <w:keepLines w:val="0"/>
              <w:pageBreakBefore w:val="0"/>
              <w:kinsoku/>
              <w:wordWrap/>
              <w:overflowPunct/>
              <w:topLinePunct w:val="0"/>
              <w:bidi w:val="0"/>
              <w:spacing w:line="360" w:lineRule="auto"/>
              <w:jc w:val="both"/>
              <w:textAlignment w:val="auto"/>
              <w:rPr>
                <w:rFonts w:hint="eastAsia" w:hAnsi="宋体" w:cs="Segoe UI"/>
                <w:b w:val="0"/>
                <w:bCs/>
                <w:color w:val="auto"/>
                <w:sz w:val="21"/>
                <w:szCs w:val="21"/>
                <w:highlight w:val="none"/>
                <w:shd w:val="clear" w:color="auto" w:fill="FFFFFF"/>
              </w:rPr>
            </w:pPr>
            <w:r>
              <w:rPr>
                <w:rFonts w:hAnsi="宋体" w:cs="Segoe UI"/>
                <w:b w:val="0"/>
                <w:bCs/>
                <w:color w:val="auto"/>
                <w:sz w:val="21"/>
                <w:szCs w:val="21"/>
                <w:highlight w:val="none"/>
                <w:shd w:val="clear" w:color="auto" w:fill="FFFFFF"/>
              </w:rPr>
              <w:t>根据投标人提供的AI智能客服系统部署方案、多平台对接方案、知识库搭建与训练方案进行评分：</w:t>
            </w:r>
          </w:p>
          <w:p w14:paraId="59E5C955">
            <w:pPr>
              <w:keepNext w:val="0"/>
              <w:keepLines w:val="0"/>
              <w:pageBreakBefore w:val="0"/>
              <w:kinsoku/>
              <w:wordWrap/>
              <w:overflowPunct/>
              <w:topLinePunct w:val="0"/>
              <w:bidi w:val="0"/>
              <w:spacing w:line="360" w:lineRule="auto"/>
              <w:jc w:val="both"/>
              <w:textAlignment w:val="auto"/>
              <w:rPr>
                <w:rFonts w:hint="eastAsia" w:hAnsi="宋体" w:cs="Segoe UI"/>
                <w:b w:val="0"/>
                <w:bCs/>
                <w:color w:val="auto"/>
                <w:sz w:val="21"/>
                <w:szCs w:val="21"/>
                <w:highlight w:val="none"/>
              </w:rPr>
            </w:pPr>
            <w:r>
              <w:rPr>
                <w:rStyle w:val="57"/>
                <w:rFonts w:hint="eastAsia" w:hAnsi="宋体" w:cs="Segoe UI"/>
                <w:b w:val="0"/>
                <w:bCs/>
                <w:color w:val="auto"/>
                <w:sz w:val="21"/>
                <w:szCs w:val="21"/>
                <w:highlight w:val="none"/>
                <w:shd w:val="clear" w:color="auto" w:fill="FFFFFF"/>
                <w:lang w:val="en-US" w:eastAsia="zh-CN"/>
              </w:rPr>
              <w:t>1、</w:t>
            </w:r>
            <w:r>
              <w:rPr>
                <w:rFonts w:hAnsi="宋体" w:cs="Segoe UI"/>
                <w:b w:val="0"/>
                <w:bCs/>
                <w:color w:val="auto"/>
                <w:sz w:val="21"/>
                <w:szCs w:val="21"/>
                <w:highlight w:val="none"/>
                <w:shd w:val="clear" w:color="auto" w:fill="FFFFFF"/>
              </w:rPr>
              <w:t>方案内容完整、技术实现路径清晰，多平台对接方案可行性强，知识库训练方法科学，智能客服话术设计合理</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7</w:t>
            </w:r>
            <w:r>
              <w:rPr>
                <w:rFonts w:hint="eastAsia" w:ascii="宋体" w:hAnsi="宋体" w:eastAsia="宋体" w:cs="宋体"/>
                <w:b w:val="0"/>
                <w:bCs w:val="0"/>
                <w:color w:val="auto"/>
                <w:sz w:val="21"/>
                <w:szCs w:val="21"/>
                <w:highlight w:val="none"/>
                <w:lang w:val="en-US" w:bidi="ar-SA"/>
              </w:rPr>
              <w:t>分</w:t>
            </w:r>
            <w:r>
              <w:rPr>
                <w:rFonts w:hAnsi="宋体" w:cs="Segoe UI"/>
                <w:b w:val="0"/>
                <w:bCs/>
                <w:color w:val="auto"/>
                <w:sz w:val="21"/>
                <w:szCs w:val="21"/>
                <w:highlight w:val="none"/>
                <w:shd w:val="clear" w:color="auto" w:fill="FFFFFF"/>
              </w:rPr>
              <w:t>；</w:t>
            </w:r>
          </w:p>
          <w:p w14:paraId="5F699785">
            <w:pPr>
              <w:keepNext w:val="0"/>
              <w:keepLines w:val="0"/>
              <w:pageBreakBefore w:val="0"/>
              <w:kinsoku/>
              <w:wordWrap/>
              <w:overflowPunct/>
              <w:topLinePunct w:val="0"/>
              <w:bidi w:val="0"/>
              <w:spacing w:line="360" w:lineRule="auto"/>
              <w:jc w:val="both"/>
              <w:textAlignment w:val="auto"/>
              <w:rPr>
                <w:rFonts w:hint="eastAsia" w:hAnsi="宋体" w:cs="Segoe UI"/>
                <w:b w:val="0"/>
                <w:bCs/>
                <w:color w:val="auto"/>
                <w:sz w:val="21"/>
                <w:szCs w:val="21"/>
                <w:highlight w:val="none"/>
              </w:rPr>
            </w:pPr>
            <w:r>
              <w:rPr>
                <w:rStyle w:val="57"/>
                <w:rFonts w:hint="eastAsia" w:hAnsi="宋体" w:cs="Segoe UI"/>
                <w:b w:val="0"/>
                <w:bCs/>
                <w:color w:val="auto"/>
                <w:sz w:val="21"/>
                <w:szCs w:val="21"/>
                <w:highlight w:val="none"/>
                <w:shd w:val="clear" w:color="auto" w:fill="FFFFFF"/>
                <w:lang w:val="en-US" w:eastAsia="zh-CN"/>
              </w:rPr>
              <w:t>2、</w:t>
            </w:r>
            <w:r>
              <w:rPr>
                <w:rFonts w:hAnsi="宋体" w:cs="Segoe UI"/>
                <w:b w:val="0"/>
                <w:bCs/>
                <w:color w:val="auto"/>
                <w:sz w:val="21"/>
                <w:szCs w:val="21"/>
                <w:highlight w:val="none"/>
                <w:shd w:val="clear" w:color="auto" w:fill="FFFFFF"/>
              </w:rPr>
              <w:t>方案基本完整，技术路线可行，知识库搭建方案基本合理</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4</w:t>
            </w:r>
            <w:r>
              <w:rPr>
                <w:rFonts w:hint="eastAsia" w:ascii="宋体" w:hAnsi="宋体" w:eastAsia="宋体" w:cs="宋体"/>
                <w:b w:val="0"/>
                <w:bCs w:val="0"/>
                <w:color w:val="auto"/>
                <w:sz w:val="21"/>
                <w:szCs w:val="21"/>
                <w:highlight w:val="none"/>
                <w:lang w:val="en-US" w:bidi="ar-SA"/>
              </w:rPr>
              <w:t>分</w:t>
            </w:r>
            <w:r>
              <w:rPr>
                <w:rFonts w:hAnsi="宋体" w:cs="Segoe UI"/>
                <w:b w:val="0"/>
                <w:bCs/>
                <w:color w:val="auto"/>
                <w:sz w:val="21"/>
                <w:szCs w:val="21"/>
                <w:highlight w:val="none"/>
                <w:shd w:val="clear" w:color="auto" w:fill="FFFFFF"/>
              </w:rPr>
              <w:t>；</w:t>
            </w:r>
          </w:p>
          <w:p w14:paraId="70E6BAC1">
            <w:pPr>
              <w:keepNext w:val="0"/>
              <w:keepLines w:val="0"/>
              <w:pageBreakBefore w:val="0"/>
              <w:kinsoku/>
              <w:wordWrap/>
              <w:overflowPunct/>
              <w:topLinePunct w:val="0"/>
              <w:bidi w:val="0"/>
              <w:spacing w:line="360" w:lineRule="auto"/>
              <w:jc w:val="both"/>
              <w:textAlignment w:val="auto"/>
              <w:rPr>
                <w:rFonts w:hint="eastAsia" w:hAnsi="宋体" w:cs="Segoe UI"/>
                <w:b w:val="0"/>
                <w:bCs/>
                <w:color w:val="auto"/>
                <w:sz w:val="21"/>
                <w:szCs w:val="21"/>
                <w:highlight w:val="none"/>
                <w:shd w:val="clear" w:color="auto" w:fill="FFFFFF"/>
              </w:rPr>
            </w:pPr>
            <w:r>
              <w:rPr>
                <w:rFonts w:hint="eastAsia" w:hAnsi="宋体" w:cs="Segoe UI"/>
                <w:b w:val="0"/>
                <w:bCs/>
                <w:color w:val="auto"/>
                <w:sz w:val="21"/>
                <w:szCs w:val="21"/>
                <w:highlight w:val="none"/>
                <w:shd w:val="clear" w:color="auto" w:fill="FFFFFF"/>
                <w:lang w:val="en-US" w:eastAsia="zh-CN"/>
              </w:rPr>
              <w:t>3、</w:t>
            </w:r>
            <w:r>
              <w:rPr>
                <w:rFonts w:hAnsi="宋体" w:cs="Segoe UI"/>
                <w:b w:val="0"/>
                <w:bCs/>
                <w:color w:val="auto"/>
                <w:sz w:val="21"/>
                <w:szCs w:val="21"/>
                <w:highlight w:val="none"/>
                <w:shd w:val="clear" w:color="auto" w:fill="FFFFFF"/>
              </w:rPr>
              <w:t>方案内容简单，技术路线基本可行但细节不足</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1</w:t>
            </w:r>
            <w:r>
              <w:rPr>
                <w:rFonts w:hint="eastAsia" w:ascii="宋体" w:hAnsi="宋体" w:eastAsia="宋体" w:cs="宋体"/>
                <w:b w:val="0"/>
                <w:bCs w:val="0"/>
                <w:color w:val="auto"/>
                <w:sz w:val="21"/>
                <w:szCs w:val="21"/>
                <w:highlight w:val="none"/>
                <w:lang w:val="en-US" w:bidi="ar-SA"/>
              </w:rPr>
              <w:t>分</w:t>
            </w:r>
            <w:r>
              <w:rPr>
                <w:rFonts w:hAnsi="宋体" w:cs="Segoe UI"/>
                <w:b w:val="0"/>
                <w:bCs/>
                <w:color w:val="auto"/>
                <w:sz w:val="21"/>
                <w:szCs w:val="21"/>
                <w:highlight w:val="none"/>
                <w:shd w:val="clear" w:color="auto" w:fill="FFFFFF"/>
              </w:rPr>
              <w:t>；</w:t>
            </w:r>
          </w:p>
          <w:p w14:paraId="1C1F4559">
            <w:pPr>
              <w:keepNext w:val="0"/>
              <w:keepLines w:val="0"/>
              <w:pageBreakBefore w:val="0"/>
              <w:kinsoku/>
              <w:wordWrap/>
              <w:overflowPunct/>
              <w:topLinePunct w:val="0"/>
              <w:bidi w:val="0"/>
              <w:spacing w:line="360" w:lineRule="auto"/>
              <w:textAlignment w:val="auto"/>
              <w:rPr>
                <w:rFonts w:hint="eastAsia" w:hAnsi="宋体"/>
                <w:bCs/>
                <w:color w:val="auto"/>
                <w:sz w:val="21"/>
                <w:szCs w:val="21"/>
                <w:highlight w:val="none"/>
                <w:u w:val="single"/>
              </w:rPr>
            </w:pPr>
            <w:r>
              <w:rPr>
                <w:rFonts w:hint="eastAsia" w:hAnsi="宋体" w:cs="Segoe UI"/>
                <w:b w:val="0"/>
                <w:bCs/>
                <w:color w:val="auto"/>
                <w:sz w:val="21"/>
                <w:szCs w:val="21"/>
                <w:highlight w:val="none"/>
                <w:shd w:val="clear" w:color="auto" w:fill="FFFFFF"/>
                <w:lang w:val="en-US" w:eastAsia="zh-CN"/>
              </w:rPr>
              <w:t>4、</w:t>
            </w:r>
            <w:r>
              <w:rPr>
                <w:rFonts w:hAnsi="宋体" w:cs="Segoe UI"/>
                <w:b w:val="0"/>
                <w:bCs/>
                <w:color w:val="auto"/>
                <w:sz w:val="21"/>
                <w:szCs w:val="21"/>
                <w:highlight w:val="none"/>
                <w:shd w:val="clear" w:color="auto" w:fill="FFFFFF"/>
              </w:rPr>
              <w:t>未提供方案或方案不可行</w:t>
            </w:r>
            <w:r>
              <w:rPr>
                <w:rFonts w:hint="eastAsia" w:hAnsi="宋体" w:cs="Segoe UI"/>
                <w:b w:val="0"/>
                <w:bCs/>
                <w:color w:val="auto"/>
                <w:sz w:val="21"/>
                <w:szCs w:val="21"/>
                <w:highlight w:val="none"/>
                <w:shd w:val="clear" w:color="auto" w:fill="FFFFFF"/>
              </w:rPr>
              <w:t>不得分</w:t>
            </w:r>
            <w:r>
              <w:rPr>
                <w:rFonts w:hAnsi="宋体" w:cs="Segoe UI"/>
                <w:b w:val="0"/>
                <w:bCs/>
                <w:color w:val="auto"/>
                <w:sz w:val="21"/>
                <w:szCs w:val="21"/>
                <w:highlight w:val="none"/>
                <w:shd w:val="clear" w:color="auto" w:fill="FFFFFF"/>
              </w:rPr>
              <w:t>。</w:t>
            </w:r>
          </w:p>
        </w:tc>
      </w:tr>
      <w:tr w14:paraId="6C8B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5E58F56">
            <w:pPr>
              <w:keepNext w:val="0"/>
              <w:keepLines w:val="0"/>
              <w:pageBreakBefore w:val="0"/>
              <w:kinsoku/>
              <w:wordWrap/>
              <w:overflowPunct/>
              <w:topLinePunct w:val="0"/>
              <w:bidi w:val="0"/>
              <w:snapToGrid w:val="0"/>
              <w:spacing w:line="360" w:lineRule="auto"/>
              <w:jc w:val="center"/>
              <w:textAlignment w:val="auto"/>
              <w:rPr>
                <w:rFonts w:hint="eastAsia" w:hAnsi="宋体"/>
                <w:bCs/>
                <w:color w:val="auto"/>
                <w:sz w:val="21"/>
                <w:szCs w:val="21"/>
                <w:highlight w:val="none"/>
              </w:rPr>
            </w:pPr>
            <w:r>
              <w:rPr>
                <w:rFonts w:hint="eastAsia" w:hAnsi="宋体"/>
                <w:bCs/>
                <w:color w:val="auto"/>
                <w:sz w:val="21"/>
                <w:szCs w:val="21"/>
                <w:highlight w:val="none"/>
              </w:rPr>
              <w:t>3</w:t>
            </w:r>
          </w:p>
        </w:tc>
        <w:tc>
          <w:tcPr>
            <w:tcW w:w="1609" w:type="dxa"/>
            <w:tcBorders>
              <w:top w:val="single" w:color="auto" w:sz="4" w:space="0"/>
              <w:left w:val="single" w:color="auto" w:sz="4" w:space="0"/>
              <w:bottom w:val="single" w:color="auto" w:sz="4" w:space="0"/>
              <w:right w:val="single" w:color="auto" w:sz="4" w:space="0"/>
            </w:tcBorders>
            <w:vAlign w:val="center"/>
          </w:tcPr>
          <w:p w14:paraId="02B8BDDF">
            <w:pPr>
              <w:keepNext w:val="0"/>
              <w:keepLines w:val="0"/>
              <w:pageBreakBefore w:val="0"/>
              <w:kinsoku/>
              <w:wordWrap/>
              <w:overflowPunct/>
              <w:topLinePunct w:val="0"/>
              <w:bidi w:val="0"/>
              <w:spacing w:line="360" w:lineRule="auto"/>
              <w:textAlignment w:val="auto"/>
              <w:rPr>
                <w:rFonts w:hint="eastAsia" w:hAnsi="宋体"/>
                <w:bCs/>
                <w:color w:val="auto"/>
                <w:spacing w:val="2"/>
                <w:sz w:val="21"/>
                <w:szCs w:val="21"/>
                <w:highlight w:val="none"/>
                <w:u w:val="single"/>
              </w:rPr>
            </w:pPr>
            <w:r>
              <w:rPr>
                <w:rFonts w:hAnsi="宋体" w:cs="Segoe UI"/>
                <w:bCs/>
                <w:color w:val="auto"/>
                <w:sz w:val="21"/>
                <w:szCs w:val="21"/>
                <w:highlight w:val="none"/>
                <w:shd w:val="clear" w:color="auto" w:fill="FFFFFF"/>
              </w:rPr>
              <w:t>AI内容生产与运营方案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0458CF95">
            <w:pPr>
              <w:keepNext w:val="0"/>
              <w:keepLines w:val="0"/>
              <w:pageBreakBefore w:val="0"/>
              <w:kinsoku/>
              <w:wordWrap/>
              <w:overflowPunct/>
              <w:topLinePunct w:val="0"/>
              <w:bidi w:val="0"/>
              <w:spacing w:line="360" w:lineRule="auto"/>
              <w:textAlignment w:val="auto"/>
              <w:rPr>
                <w:rFonts w:hint="eastAsia" w:hAnsi="宋体"/>
                <w:bCs/>
                <w:color w:val="auto"/>
                <w:sz w:val="21"/>
                <w:szCs w:val="21"/>
                <w:highlight w:val="none"/>
              </w:rPr>
            </w:pPr>
            <w:r>
              <w:rPr>
                <w:rFonts w:hint="eastAsia" w:hAnsi="宋体" w:cs="Segoe UI"/>
                <w:bCs/>
                <w:color w:val="auto"/>
                <w:sz w:val="21"/>
                <w:szCs w:val="21"/>
                <w:highlight w:val="none"/>
              </w:rPr>
              <w:t>6分</w:t>
            </w:r>
          </w:p>
        </w:tc>
        <w:tc>
          <w:tcPr>
            <w:tcW w:w="6186" w:type="dxa"/>
            <w:tcBorders>
              <w:top w:val="single" w:color="auto" w:sz="4" w:space="0"/>
              <w:left w:val="single" w:color="auto" w:sz="4" w:space="0"/>
              <w:bottom w:val="single" w:color="auto" w:sz="4" w:space="0"/>
              <w:right w:val="single" w:color="auto" w:sz="4" w:space="0"/>
            </w:tcBorders>
          </w:tcPr>
          <w:p w14:paraId="6774057A">
            <w:pPr>
              <w:keepNext w:val="0"/>
              <w:keepLines w:val="0"/>
              <w:pageBreakBefore w:val="0"/>
              <w:kinsoku/>
              <w:wordWrap/>
              <w:overflowPunct/>
              <w:topLinePunct w:val="0"/>
              <w:bidi w:val="0"/>
              <w:spacing w:line="360" w:lineRule="auto"/>
              <w:jc w:val="both"/>
              <w:textAlignment w:val="auto"/>
              <w:rPr>
                <w:rFonts w:hint="eastAsia" w:hAnsi="宋体" w:cs="Segoe UI"/>
                <w:b w:val="0"/>
                <w:bCs/>
                <w:color w:val="auto"/>
                <w:sz w:val="21"/>
                <w:szCs w:val="21"/>
                <w:highlight w:val="none"/>
              </w:rPr>
            </w:pPr>
            <w:r>
              <w:rPr>
                <w:rFonts w:hAnsi="宋体" w:cs="Segoe UI"/>
                <w:b w:val="0"/>
                <w:bCs/>
                <w:color w:val="auto"/>
                <w:sz w:val="21"/>
                <w:szCs w:val="21"/>
                <w:highlight w:val="none"/>
                <w:shd w:val="clear" w:color="auto" w:fill="FFFFFF"/>
              </w:rPr>
              <w:t>根据投标人提供的AI内容生产流程、数字人应用方案、内容质量控制机制、运营陪跑及培训计划进行评分：</w:t>
            </w:r>
            <w:r>
              <w:rPr>
                <w:rFonts w:hAnsi="宋体" w:cs="Segoe UI"/>
                <w:b w:val="0"/>
                <w:bCs/>
                <w:color w:val="auto"/>
                <w:sz w:val="21"/>
                <w:szCs w:val="21"/>
                <w:highlight w:val="none"/>
              </w:rPr>
              <w:br w:type="textWrapping"/>
            </w:r>
            <w:r>
              <w:rPr>
                <w:rStyle w:val="57"/>
                <w:rFonts w:hint="eastAsia" w:hAnsi="宋体" w:cs="Segoe UI"/>
                <w:b w:val="0"/>
                <w:bCs/>
                <w:color w:val="auto"/>
                <w:sz w:val="21"/>
                <w:szCs w:val="21"/>
                <w:highlight w:val="none"/>
                <w:shd w:val="clear" w:color="auto" w:fill="FFFFFF"/>
                <w:lang w:val="en-US" w:eastAsia="zh-CN"/>
              </w:rPr>
              <w:t>1、</w:t>
            </w:r>
            <w:r>
              <w:rPr>
                <w:rFonts w:hAnsi="宋体" w:cs="Segoe UI"/>
                <w:b w:val="0"/>
                <w:bCs/>
                <w:color w:val="auto"/>
                <w:sz w:val="21"/>
                <w:szCs w:val="21"/>
                <w:highlight w:val="none"/>
                <w:shd w:val="clear" w:color="auto" w:fill="FFFFFF"/>
              </w:rPr>
              <w:t>内容生产流程高效、质量控制机制完善，数字人应用方案先进，运营陪跑计划详实，培训方案针对性强</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6</w:t>
            </w:r>
            <w:r>
              <w:rPr>
                <w:rFonts w:hint="eastAsia" w:ascii="宋体" w:hAnsi="宋体" w:eastAsia="宋体" w:cs="宋体"/>
                <w:b w:val="0"/>
                <w:bCs w:val="0"/>
                <w:color w:val="auto"/>
                <w:sz w:val="21"/>
                <w:szCs w:val="21"/>
                <w:highlight w:val="none"/>
                <w:lang w:val="en-US" w:bidi="ar-SA"/>
              </w:rPr>
              <w:t>分</w:t>
            </w:r>
            <w:r>
              <w:rPr>
                <w:rFonts w:hAnsi="宋体" w:cs="Segoe UI"/>
                <w:b w:val="0"/>
                <w:bCs/>
                <w:color w:val="auto"/>
                <w:sz w:val="21"/>
                <w:szCs w:val="21"/>
                <w:highlight w:val="none"/>
                <w:shd w:val="clear" w:color="auto" w:fill="FFFFFF"/>
              </w:rPr>
              <w:t>；</w:t>
            </w:r>
          </w:p>
          <w:p w14:paraId="690304C4">
            <w:pPr>
              <w:keepNext w:val="0"/>
              <w:keepLines w:val="0"/>
              <w:pageBreakBefore w:val="0"/>
              <w:kinsoku/>
              <w:wordWrap/>
              <w:overflowPunct/>
              <w:topLinePunct w:val="0"/>
              <w:bidi w:val="0"/>
              <w:spacing w:line="360" w:lineRule="auto"/>
              <w:jc w:val="both"/>
              <w:textAlignment w:val="auto"/>
              <w:rPr>
                <w:rFonts w:hint="eastAsia" w:hAnsi="宋体" w:cs="Segoe UI"/>
                <w:b w:val="0"/>
                <w:bCs/>
                <w:color w:val="auto"/>
                <w:sz w:val="21"/>
                <w:szCs w:val="21"/>
                <w:highlight w:val="none"/>
              </w:rPr>
            </w:pPr>
            <w:r>
              <w:rPr>
                <w:rFonts w:hint="eastAsia" w:hAnsi="宋体" w:cs="Segoe UI"/>
                <w:b w:val="0"/>
                <w:bCs/>
                <w:color w:val="auto"/>
                <w:sz w:val="21"/>
                <w:szCs w:val="21"/>
                <w:highlight w:val="none"/>
                <w:shd w:val="clear" w:color="auto" w:fill="FFFFFF"/>
                <w:lang w:val="en-US" w:eastAsia="zh-CN"/>
              </w:rPr>
              <w:t>2、</w:t>
            </w:r>
            <w:r>
              <w:rPr>
                <w:rFonts w:hAnsi="宋体" w:cs="Segoe UI"/>
                <w:b w:val="0"/>
                <w:bCs/>
                <w:color w:val="auto"/>
                <w:sz w:val="21"/>
                <w:szCs w:val="21"/>
                <w:highlight w:val="none"/>
                <w:shd w:val="clear" w:color="auto" w:fill="FFFFFF"/>
              </w:rPr>
              <w:t>内容生产流程基本合理，质量控制机制基本完善，运营及培训方案较为完整</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3</w:t>
            </w:r>
            <w:r>
              <w:rPr>
                <w:rFonts w:hint="eastAsia" w:ascii="宋体" w:hAnsi="宋体" w:eastAsia="宋体" w:cs="宋体"/>
                <w:b w:val="0"/>
                <w:bCs w:val="0"/>
                <w:color w:val="auto"/>
                <w:sz w:val="21"/>
                <w:szCs w:val="21"/>
                <w:highlight w:val="none"/>
                <w:lang w:val="en-US" w:bidi="ar-SA"/>
              </w:rPr>
              <w:t>分</w:t>
            </w:r>
            <w:r>
              <w:rPr>
                <w:rFonts w:hAnsi="宋体" w:cs="Segoe UI"/>
                <w:b w:val="0"/>
                <w:bCs/>
                <w:color w:val="auto"/>
                <w:sz w:val="21"/>
                <w:szCs w:val="21"/>
                <w:highlight w:val="none"/>
                <w:shd w:val="clear" w:color="auto" w:fill="FFFFFF"/>
              </w:rPr>
              <w:t>；</w:t>
            </w:r>
          </w:p>
          <w:p w14:paraId="1725FCB4">
            <w:pPr>
              <w:keepNext w:val="0"/>
              <w:keepLines w:val="0"/>
              <w:pageBreakBefore w:val="0"/>
              <w:kinsoku/>
              <w:wordWrap/>
              <w:overflowPunct/>
              <w:topLinePunct w:val="0"/>
              <w:bidi w:val="0"/>
              <w:spacing w:line="360" w:lineRule="auto"/>
              <w:textAlignment w:val="auto"/>
              <w:rPr>
                <w:rFonts w:hAnsi="宋体" w:cs="Segoe UI"/>
                <w:b w:val="0"/>
                <w:bCs/>
                <w:color w:val="auto"/>
                <w:sz w:val="21"/>
                <w:szCs w:val="21"/>
                <w:highlight w:val="none"/>
                <w:shd w:val="clear" w:color="auto" w:fill="FFFFFF"/>
              </w:rPr>
            </w:pPr>
            <w:r>
              <w:rPr>
                <w:rFonts w:hint="eastAsia" w:hAnsi="宋体" w:cs="Segoe UI"/>
                <w:b w:val="0"/>
                <w:bCs/>
                <w:color w:val="auto"/>
                <w:sz w:val="21"/>
                <w:szCs w:val="21"/>
                <w:highlight w:val="none"/>
                <w:shd w:val="clear" w:color="auto" w:fill="FFFFFF"/>
                <w:lang w:val="en-US" w:eastAsia="zh-CN"/>
              </w:rPr>
              <w:t>3、</w:t>
            </w:r>
            <w:r>
              <w:rPr>
                <w:rFonts w:hAnsi="宋体" w:cs="Segoe UI"/>
                <w:b w:val="0"/>
                <w:bCs/>
                <w:color w:val="auto"/>
                <w:sz w:val="21"/>
                <w:szCs w:val="21"/>
                <w:highlight w:val="none"/>
                <w:shd w:val="clear" w:color="auto" w:fill="FFFFFF"/>
              </w:rPr>
              <w:t>方案内容简单，运营及培训计划不够具体</w:t>
            </w:r>
            <w:r>
              <w:rPr>
                <w:rFonts w:hint="eastAsia" w:ascii="宋体" w:hAnsi="宋体" w:eastAsia="宋体" w:cs="宋体"/>
                <w:b w:val="0"/>
                <w:bCs w:val="0"/>
                <w:color w:val="auto"/>
                <w:sz w:val="21"/>
                <w:szCs w:val="21"/>
                <w:highlight w:val="none"/>
                <w:lang w:val="en-US" w:bidi="ar-SA"/>
              </w:rPr>
              <w:t>，得</w:t>
            </w:r>
            <w:r>
              <w:rPr>
                <w:rFonts w:hint="eastAsia" w:hAnsi="宋体" w:cs="宋体"/>
                <w:b w:val="0"/>
                <w:bCs w:val="0"/>
                <w:color w:val="auto"/>
                <w:sz w:val="21"/>
                <w:szCs w:val="21"/>
                <w:highlight w:val="none"/>
                <w:lang w:val="en-US" w:eastAsia="zh-CN" w:bidi="ar-SA"/>
              </w:rPr>
              <w:t>1</w:t>
            </w:r>
            <w:r>
              <w:rPr>
                <w:rFonts w:hint="eastAsia" w:ascii="宋体" w:hAnsi="宋体" w:eastAsia="宋体" w:cs="宋体"/>
                <w:b w:val="0"/>
                <w:bCs w:val="0"/>
                <w:color w:val="auto"/>
                <w:sz w:val="21"/>
                <w:szCs w:val="21"/>
                <w:highlight w:val="none"/>
                <w:lang w:val="en-US" w:bidi="ar-SA"/>
              </w:rPr>
              <w:t>分</w:t>
            </w:r>
            <w:r>
              <w:rPr>
                <w:rFonts w:hAnsi="宋体" w:cs="Segoe UI"/>
                <w:b w:val="0"/>
                <w:bCs/>
                <w:color w:val="auto"/>
                <w:sz w:val="21"/>
                <w:szCs w:val="21"/>
                <w:highlight w:val="none"/>
                <w:shd w:val="clear" w:color="auto" w:fill="FFFFFF"/>
              </w:rPr>
              <w:t>；</w:t>
            </w:r>
          </w:p>
          <w:p w14:paraId="081D712A">
            <w:pPr>
              <w:keepNext w:val="0"/>
              <w:keepLines w:val="0"/>
              <w:pageBreakBefore w:val="0"/>
              <w:kinsoku/>
              <w:wordWrap/>
              <w:overflowPunct/>
              <w:topLinePunct w:val="0"/>
              <w:bidi w:val="0"/>
              <w:spacing w:line="360" w:lineRule="auto"/>
              <w:textAlignment w:val="auto"/>
              <w:rPr>
                <w:rFonts w:hint="eastAsia" w:hAnsi="宋体"/>
                <w:bCs/>
                <w:color w:val="auto"/>
                <w:sz w:val="21"/>
                <w:szCs w:val="21"/>
                <w:highlight w:val="none"/>
                <w:u w:val="single"/>
              </w:rPr>
            </w:pPr>
            <w:r>
              <w:rPr>
                <w:rFonts w:hint="eastAsia" w:hAnsi="宋体" w:cs="Segoe UI"/>
                <w:b w:val="0"/>
                <w:bCs/>
                <w:color w:val="auto"/>
                <w:sz w:val="21"/>
                <w:szCs w:val="21"/>
                <w:highlight w:val="none"/>
                <w:shd w:val="clear" w:color="auto" w:fill="FFFFFF"/>
                <w:lang w:val="en-US" w:eastAsia="zh-CN"/>
              </w:rPr>
              <w:t>4、</w:t>
            </w:r>
            <w:r>
              <w:rPr>
                <w:rFonts w:hAnsi="宋体" w:cs="Segoe UI"/>
                <w:b w:val="0"/>
                <w:bCs/>
                <w:color w:val="auto"/>
                <w:sz w:val="21"/>
                <w:szCs w:val="21"/>
                <w:highlight w:val="none"/>
                <w:shd w:val="clear" w:color="auto" w:fill="FFFFFF"/>
              </w:rPr>
              <w:t>未提供方案或方案不可行</w:t>
            </w:r>
            <w:r>
              <w:rPr>
                <w:rFonts w:hint="eastAsia" w:hAnsi="宋体" w:cs="Segoe UI"/>
                <w:b w:val="0"/>
                <w:bCs/>
                <w:color w:val="auto"/>
                <w:sz w:val="21"/>
                <w:szCs w:val="21"/>
                <w:highlight w:val="none"/>
                <w:shd w:val="clear" w:color="auto" w:fill="FFFFFF"/>
              </w:rPr>
              <w:t>不得分</w:t>
            </w:r>
            <w:r>
              <w:rPr>
                <w:rFonts w:hAnsi="宋体" w:cs="Segoe UI"/>
                <w:b w:val="0"/>
                <w:bCs/>
                <w:color w:val="auto"/>
                <w:sz w:val="21"/>
                <w:szCs w:val="21"/>
                <w:highlight w:val="none"/>
                <w:shd w:val="clear" w:color="auto" w:fill="FFFFFF"/>
              </w:rPr>
              <w:t>。</w:t>
            </w:r>
          </w:p>
        </w:tc>
      </w:tr>
      <w:tr w14:paraId="3CB9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782F5532">
            <w:pPr>
              <w:keepNext w:val="0"/>
              <w:keepLines w:val="0"/>
              <w:pageBreakBefore w:val="0"/>
              <w:tabs>
                <w:tab w:val="left" w:pos="907"/>
              </w:tabs>
              <w:kinsoku/>
              <w:wordWrap/>
              <w:overflowPunct/>
              <w:topLinePunct w:val="0"/>
              <w:bidi w:val="0"/>
              <w:snapToGrid w:val="0"/>
              <w:spacing w:line="360" w:lineRule="auto"/>
              <w:ind w:firstLine="422" w:firstLineChars="200"/>
              <w:jc w:val="both"/>
              <w:textAlignment w:val="auto"/>
              <w:rPr>
                <w:rFonts w:hint="eastAsia" w:hAnsi="宋体"/>
                <w:b/>
                <w:color w:val="auto"/>
                <w:sz w:val="21"/>
                <w:szCs w:val="21"/>
                <w:highlight w:val="none"/>
              </w:rPr>
            </w:pPr>
            <w:r>
              <w:rPr>
                <w:rFonts w:hint="eastAsia" w:hAnsi="宋体"/>
                <w:b/>
                <w:color w:val="auto"/>
                <w:sz w:val="21"/>
                <w:szCs w:val="21"/>
                <w:highlight w:val="none"/>
              </w:rPr>
              <w:t>注：</w:t>
            </w:r>
          </w:p>
          <w:p w14:paraId="4AE45D31">
            <w:pPr>
              <w:keepNext w:val="0"/>
              <w:keepLines w:val="0"/>
              <w:pageBreakBefore w:val="0"/>
              <w:tabs>
                <w:tab w:val="left" w:pos="907"/>
              </w:tabs>
              <w:kinsoku/>
              <w:wordWrap/>
              <w:overflowPunct/>
              <w:topLinePunct w:val="0"/>
              <w:bidi w:val="0"/>
              <w:snapToGrid w:val="0"/>
              <w:spacing w:line="360" w:lineRule="auto"/>
              <w:ind w:firstLine="422" w:firstLineChars="200"/>
              <w:jc w:val="both"/>
              <w:textAlignment w:val="auto"/>
              <w:rPr>
                <w:rFonts w:hint="eastAsia" w:hAnsi="宋体"/>
                <w:b/>
                <w:color w:val="auto"/>
                <w:sz w:val="21"/>
                <w:szCs w:val="21"/>
                <w:highlight w:val="none"/>
              </w:rPr>
            </w:pPr>
            <w:r>
              <w:rPr>
                <w:rFonts w:hint="eastAsia" w:hAnsi="宋体"/>
                <w:b/>
                <w:color w:val="auto"/>
                <w:sz w:val="21"/>
                <w:szCs w:val="21"/>
                <w:highlight w:val="none"/>
              </w:rPr>
              <w:t>（1）无特殊说明外，以上评审项，同一证明文件不重复计分。</w:t>
            </w:r>
          </w:p>
          <w:p w14:paraId="35D80EB9">
            <w:pPr>
              <w:keepNext w:val="0"/>
              <w:keepLines w:val="0"/>
              <w:pageBreakBefore w:val="0"/>
              <w:tabs>
                <w:tab w:val="left" w:pos="907"/>
              </w:tabs>
              <w:kinsoku/>
              <w:wordWrap/>
              <w:overflowPunct/>
              <w:topLinePunct w:val="0"/>
              <w:bidi w:val="0"/>
              <w:snapToGrid w:val="0"/>
              <w:spacing w:line="360" w:lineRule="auto"/>
              <w:ind w:firstLine="422" w:firstLineChars="200"/>
              <w:jc w:val="both"/>
              <w:textAlignment w:val="auto"/>
              <w:rPr>
                <w:rFonts w:hint="eastAsia" w:hAnsi="宋体"/>
                <w:color w:val="auto"/>
                <w:sz w:val="21"/>
                <w:szCs w:val="21"/>
                <w:highlight w:val="none"/>
              </w:rPr>
            </w:pPr>
            <w:r>
              <w:rPr>
                <w:rFonts w:hint="eastAsia" w:hAnsi="宋体"/>
                <w:b/>
                <w:color w:val="auto"/>
                <w:sz w:val="21"/>
                <w:szCs w:val="21"/>
                <w:highlight w:val="none"/>
              </w:rPr>
              <w:t>（2）供应商根据以上评分要求提供的投标材料因模糊不清导致磋商小组无法清晰辨认进行评审的，视为无效材料。</w:t>
            </w:r>
          </w:p>
        </w:tc>
      </w:tr>
      <w:tr w14:paraId="5845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36864657">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color w:val="auto"/>
                <w:sz w:val="21"/>
                <w:szCs w:val="21"/>
                <w:highlight w:val="none"/>
                <w:lang w:val="zh-CN"/>
              </w:rPr>
            </w:pPr>
            <w:r>
              <w:rPr>
                <w:rFonts w:hint="eastAsia" w:ascii="宋体" w:eastAsia="宋体"/>
                <w:b/>
                <w:bCs/>
                <w:color w:val="auto"/>
                <w:sz w:val="21"/>
                <w:szCs w:val="21"/>
                <w:highlight w:val="none"/>
              </w:rPr>
              <w:t>价格评审（50分）</w:t>
            </w:r>
          </w:p>
        </w:tc>
      </w:tr>
      <w:tr w14:paraId="632B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261617A">
            <w:pPr>
              <w:pStyle w:val="79"/>
              <w:keepNext w:val="0"/>
              <w:keepLines w:val="0"/>
              <w:pageBreakBefore w:val="0"/>
              <w:kinsoku/>
              <w:wordWrap/>
              <w:overflowPunct/>
              <w:topLinePunct w:val="0"/>
              <w:bidi w:val="0"/>
              <w:adjustRightInd w:val="0"/>
              <w:snapToGrid w:val="0"/>
              <w:spacing w:line="360" w:lineRule="auto"/>
              <w:ind w:firstLine="0" w:firstLineChars="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1CE579C3">
            <w:pPr>
              <w:keepNext w:val="0"/>
              <w:keepLines w:val="0"/>
              <w:pageBreakBefore w:val="0"/>
              <w:kinsoku/>
              <w:wordWrap/>
              <w:overflowPunct/>
              <w:topLinePunct w:val="0"/>
              <w:bidi w:val="0"/>
              <w:snapToGrid w:val="0"/>
              <w:spacing w:line="360" w:lineRule="auto"/>
              <w:jc w:val="center"/>
              <w:textAlignment w:val="auto"/>
              <w:rPr>
                <w:rFonts w:hint="eastAsia" w:hAnsi="宋体"/>
                <w:color w:val="auto"/>
                <w:kern w:val="2"/>
                <w:sz w:val="21"/>
                <w:szCs w:val="21"/>
                <w:highlight w:val="none"/>
              </w:rPr>
            </w:pPr>
            <w:r>
              <w:rPr>
                <w:rFonts w:hint="eastAsia" w:hAnsi="宋体"/>
                <w:color w:val="auto"/>
                <w:kern w:val="2"/>
                <w:sz w:val="21"/>
                <w:szCs w:val="21"/>
                <w:highlight w:val="none"/>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14:paraId="2A7CEBCF">
            <w:pPr>
              <w:keepNext w:val="0"/>
              <w:keepLines w:val="0"/>
              <w:pageBreakBefore w:val="0"/>
              <w:kinsoku/>
              <w:wordWrap/>
              <w:overflowPunct/>
              <w:topLinePunct w:val="0"/>
              <w:bidi w:val="0"/>
              <w:snapToGrid w:val="0"/>
              <w:spacing w:line="360" w:lineRule="auto"/>
              <w:jc w:val="center"/>
              <w:textAlignment w:val="auto"/>
              <w:rPr>
                <w:rFonts w:hint="eastAsia" w:hAnsi="宋体"/>
                <w:color w:val="auto"/>
                <w:kern w:val="2"/>
                <w:sz w:val="21"/>
                <w:szCs w:val="21"/>
                <w:highlight w:val="none"/>
              </w:rPr>
            </w:pPr>
            <w:r>
              <w:rPr>
                <w:rFonts w:hint="eastAsia" w:hAnsi="宋体"/>
                <w:color w:val="auto"/>
                <w:kern w:val="2"/>
                <w:sz w:val="21"/>
                <w:szCs w:val="21"/>
                <w:highlight w:val="none"/>
              </w:rPr>
              <w:t>50分</w:t>
            </w:r>
          </w:p>
        </w:tc>
        <w:tc>
          <w:tcPr>
            <w:tcW w:w="6214" w:type="dxa"/>
            <w:gridSpan w:val="2"/>
            <w:tcBorders>
              <w:top w:val="single" w:color="auto" w:sz="4" w:space="0"/>
              <w:left w:val="single" w:color="auto" w:sz="4" w:space="0"/>
              <w:bottom w:val="single" w:color="auto" w:sz="4" w:space="0"/>
              <w:right w:val="single" w:color="auto" w:sz="4" w:space="0"/>
            </w:tcBorders>
            <w:vAlign w:val="center"/>
          </w:tcPr>
          <w:p w14:paraId="156F1FFF">
            <w:pPr>
              <w:keepNext w:val="0"/>
              <w:keepLines w:val="0"/>
              <w:pageBreakBefore w:val="0"/>
              <w:kinsoku/>
              <w:wordWrap/>
              <w:overflowPunct/>
              <w:topLinePunct w:val="0"/>
              <w:bidi w:val="0"/>
              <w:snapToGrid w:val="0"/>
              <w:spacing w:line="360" w:lineRule="auto"/>
              <w:ind w:firstLine="420" w:firstLineChars="200"/>
              <w:textAlignment w:val="auto"/>
              <w:rPr>
                <w:rFonts w:hint="eastAsia" w:hAnsi="宋体"/>
                <w:color w:val="auto"/>
                <w:kern w:val="2"/>
                <w:sz w:val="21"/>
                <w:szCs w:val="21"/>
                <w:highlight w:val="none"/>
              </w:rPr>
            </w:pPr>
            <w:r>
              <w:rPr>
                <w:rFonts w:hint="eastAsia" w:hAnsi="宋体"/>
                <w:color w:val="auto"/>
                <w:kern w:val="2"/>
                <w:sz w:val="21"/>
                <w:szCs w:val="21"/>
                <w:highlight w:val="none"/>
              </w:rPr>
              <w:t>价格分计算方法：满足磋商文件要求且磋商价格最低的磋商报价</w:t>
            </w:r>
            <w:r>
              <w:rPr>
                <w:rFonts w:hint="eastAsia" w:hAnsi="宋体"/>
                <w:color w:val="auto"/>
                <w:sz w:val="21"/>
                <w:szCs w:val="21"/>
                <w:highlight w:val="none"/>
              </w:rPr>
              <w:t>（含税报价）</w:t>
            </w:r>
            <w:r>
              <w:rPr>
                <w:rFonts w:hint="eastAsia" w:hAnsi="宋体"/>
                <w:color w:val="auto"/>
                <w:kern w:val="2"/>
                <w:sz w:val="21"/>
                <w:szCs w:val="21"/>
                <w:highlight w:val="none"/>
              </w:rPr>
              <w:t>为评标基准价，其价格分为满分。其他供应商的价格分统一按照下列公式计算：磋商报价得分=(评标基准价／磋商报价)×价格权重×100</w:t>
            </w:r>
          </w:p>
        </w:tc>
      </w:tr>
      <w:bookmarkEnd w:id="170"/>
    </w:tbl>
    <w:p w14:paraId="0A23C693">
      <w:pPr>
        <w:widowControl/>
        <w:tabs>
          <w:tab w:val="left" w:pos="907"/>
        </w:tabs>
        <w:snapToGrid w:val="0"/>
        <w:spacing w:line="360" w:lineRule="auto"/>
        <w:rPr>
          <w:rFonts w:hint="eastAsia" w:hAnsi="宋体"/>
          <w:bCs/>
          <w:color w:val="auto"/>
          <w:sz w:val="21"/>
          <w:szCs w:val="21"/>
          <w:highlight w:val="none"/>
        </w:rPr>
      </w:pPr>
    </w:p>
    <w:p w14:paraId="1985A07D">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注：</w:t>
      </w:r>
    </w:p>
    <w:p w14:paraId="366A9FE5">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（1）上证明文件均提供加盖公章复印件。</w:t>
      </w:r>
    </w:p>
    <w:p w14:paraId="3384EEC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若开标当日磋商小组需要查看以上证明文件原件，供应商请在接到通知后规定时间内携带原件到达评标会场，接受核查，如因迟到或是其他原因不能携原件到达现场接受检查，其造成的所有后果供应商自行承担。</w:t>
      </w:r>
    </w:p>
    <w:p w14:paraId="0DC9394A">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（3）若成交将在发放成交通知书前逐一核对核查原件，请勿提供虚假、过期材料，否则将依据相关规定严肃处理。</w:t>
      </w:r>
    </w:p>
    <w:p w14:paraId="7BA77C0F">
      <w:pPr>
        <w:pStyle w:val="31"/>
        <w:spacing w:line="360" w:lineRule="auto"/>
        <w:ind w:firstLine="422" w:firstLineChars="200"/>
        <w:rPr>
          <w:rFonts w:hint="eastAsia" w:hAnsi="宋体"/>
          <w:b/>
          <w:color w:val="auto"/>
          <w:szCs w:val="21"/>
          <w:highlight w:val="none"/>
        </w:rPr>
      </w:pPr>
    </w:p>
    <w:p w14:paraId="634F43C8">
      <w:pPr>
        <w:pStyle w:val="31"/>
        <w:spacing w:line="360" w:lineRule="auto"/>
        <w:ind w:firstLine="422" w:firstLineChars="200"/>
        <w:outlineLvl w:val="0"/>
        <w:rPr>
          <w:rFonts w:hint="eastAsia" w:hAnsi="宋体"/>
          <w:b/>
          <w:color w:val="auto"/>
          <w:szCs w:val="21"/>
          <w:highlight w:val="none"/>
        </w:rPr>
      </w:pPr>
      <w:bookmarkStart w:id="171" w:name="_Toc15603"/>
      <w:r>
        <w:rPr>
          <w:rFonts w:hint="eastAsia" w:hAnsi="宋体"/>
          <w:b/>
          <w:color w:val="auto"/>
          <w:szCs w:val="21"/>
          <w:highlight w:val="none"/>
        </w:rPr>
        <w:t>四、技术评审</w:t>
      </w:r>
      <w:bookmarkEnd w:id="171"/>
    </w:p>
    <w:p w14:paraId="72E84511">
      <w:pPr>
        <w:spacing w:line="360" w:lineRule="auto"/>
        <w:ind w:firstLine="420" w:firstLineChars="200"/>
        <w:rPr>
          <w:rFonts w:hint="eastAsia" w:hAnsi="宋体"/>
          <w:bCs/>
          <w:color w:val="auto"/>
          <w:sz w:val="21"/>
          <w:szCs w:val="21"/>
          <w:highlight w:val="none"/>
        </w:rPr>
      </w:pPr>
      <w:r>
        <w:rPr>
          <w:rFonts w:hint="eastAsia" w:hAnsi="宋体"/>
          <w:color w:val="auto"/>
          <w:sz w:val="21"/>
          <w:szCs w:val="21"/>
          <w:highlight w:val="none"/>
        </w:rPr>
        <w:t>1.由磋商小组对所有响应文件的技术部分响应和指标进行审核和分析；对响应文件中文字、图纸说明和指标响应进行评分，填写《技术评分表》。</w:t>
      </w:r>
    </w:p>
    <w:p w14:paraId="53AE8F37">
      <w:pPr>
        <w:pStyle w:val="31"/>
        <w:spacing w:line="360" w:lineRule="auto"/>
        <w:ind w:firstLine="420" w:firstLineChars="200"/>
        <w:rPr>
          <w:rFonts w:hint="eastAsia" w:hAnsi="宋体"/>
          <w:color w:val="auto"/>
          <w:szCs w:val="21"/>
          <w:highlight w:val="none"/>
        </w:rPr>
      </w:pPr>
      <w:r>
        <w:rPr>
          <w:rFonts w:hint="eastAsia" w:hAnsi="宋体"/>
          <w:color w:val="auto"/>
          <w:szCs w:val="21"/>
          <w:highlight w:val="none"/>
        </w:rPr>
        <w:t>2.磋商小组按评标标准独立对技术标进行评审，得出技术标评分。当磋商小组为五人时，在所有评委对同一份响应文件技术标评审的总评分中，去掉一个最高分和一个最低分，计算剩余总评分的算术平均值即为该供应商技术标的最终综合得分；当磋商小组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响应文件技术部分评审的总评分中，去掉一个最高分和一个最低分，计算剩余总评分的算术平均值即为该供应商技术部分的最终综合得分。</w:t>
      </w:r>
    </w:p>
    <w:p w14:paraId="6AB91C80">
      <w:pPr>
        <w:pStyle w:val="31"/>
        <w:spacing w:line="360" w:lineRule="auto"/>
        <w:ind w:firstLine="422" w:firstLineChars="200"/>
        <w:rPr>
          <w:rFonts w:hint="eastAsia" w:hAnsi="宋体"/>
          <w:b/>
          <w:color w:val="auto"/>
          <w:szCs w:val="21"/>
          <w:highlight w:val="none"/>
        </w:rPr>
      </w:pPr>
    </w:p>
    <w:p w14:paraId="5A874D70">
      <w:pPr>
        <w:pStyle w:val="31"/>
        <w:spacing w:line="360" w:lineRule="auto"/>
        <w:ind w:firstLine="422" w:firstLineChars="200"/>
        <w:outlineLvl w:val="0"/>
        <w:rPr>
          <w:rFonts w:hint="eastAsia" w:hAnsi="宋体"/>
          <w:b/>
          <w:color w:val="auto"/>
          <w:szCs w:val="21"/>
          <w:highlight w:val="none"/>
        </w:rPr>
      </w:pPr>
      <w:bookmarkStart w:id="172" w:name="_Toc4394"/>
      <w:r>
        <w:rPr>
          <w:rFonts w:hint="eastAsia" w:hAnsi="宋体"/>
          <w:b/>
          <w:color w:val="auto"/>
          <w:szCs w:val="21"/>
          <w:highlight w:val="none"/>
        </w:rPr>
        <w:t>五、商务评审</w:t>
      </w:r>
      <w:bookmarkEnd w:id="172"/>
    </w:p>
    <w:p w14:paraId="13B2B3F5">
      <w:pPr>
        <w:pStyle w:val="31"/>
        <w:spacing w:line="360" w:lineRule="auto"/>
        <w:ind w:firstLine="420" w:firstLineChars="200"/>
        <w:rPr>
          <w:rFonts w:hint="eastAsia" w:hAnsi="宋体"/>
          <w:color w:val="auto"/>
          <w:szCs w:val="21"/>
          <w:highlight w:val="none"/>
        </w:rPr>
      </w:pPr>
      <w:r>
        <w:rPr>
          <w:rFonts w:hint="eastAsia" w:hAnsi="宋体"/>
          <w:color w:val="auto"/>
          <w:szCs w:val="21"/>
          <w:highlight w:val="none"/>
        </w:rPr>
        <w:t>1.由磋商小组评价每个供应商的商务条件，填写《商务评分表》。</w:t>
      </w:r>
    </w:p>
    <w:p w14:paraId="49AE718E">
      <w:pPr>
        <w:pStyle w:val="31"/>
        <w:spacing w:line="360" w:lineRule="auto"/>
        <w:ind w:firstLine="420" w:firstLineChars="200"/>
        <w:rPr>
          <w:rFonts w:hint="eastAsia" w:hAnsi="宋体"/>
          <w:color w:val="auto"/>
          <w:szCs w:val="21"/>
          <w:highlight w:val="none"/>
        </w:rPr>
      </w:pPr>
      <w:r>
        <w:rPr>
          <w:rFonts w:hint="eastAsia" w:hAnsi="宋体"/>
          <w:color w:val="auto"/>
          <w:szCs w:val="21"/>
          <w:highlight w:val="none"/>
        </w:rPr>
        <w:t>2.将每一个磋商小组成员的评分汇总，取其算术平均值，为该供应商的商务得分。</w:t>
      </w:r>
    </w:p>
    <w:p w14:paraId="44472D3A">
      <w:pPr>
        <w:pStyle w:val="31"/>
        <w:spacing w:line="360" w:lineRule="auto"/>
        <w:ind w:firstLine="422" w:firstLineChars="200"/>
        <w:rPr>
          <w:rFonts w:hint="eastAsia" w:hAnsi="宋体"/>
          <w:b/>
          <w:color w:val="auto"/>
          <w:szCs w:val="21"/>
          <w:highlight w:val="none"/>
        </w:rPr>
      </w:pPr>
    </w:p>
    <w:p w14:paraId="799EDF56">
      <w:pPr>
        <w:pStyle w:val="31"/>
        <w:spacing w:line="360" w:lineRule="auto"/>
        <w:ind w:firstLine="422" w:firstLineChars="200"/>
        <w:outlineLvl w:val="0"/>
        <w:rPr>
          <w:rFonts w:hint="eastAsia" w:hAnsi="宋体"/>
          <w:b/>
          <w:color w:val="auto"/>
          <w:szCs w:val="21"/>
          <w:highlight w:val="none"/>
        </w:rPr>
      </w:pPr>
      <w:bookmarkStart w:id="173" w:name="_Toc19007"/>
      <w:r>
        <w:rPr>
          <w:rFonts w:hint="eastAsia" w:hAnsi="宋体"/>
          <w:b/>
          <w:color w:val="auto"/>
          <w:szCs w:val="21"/>
          <w:highlight w:val="none"/>
        </w:rPr>
        <w:t>六、报价评审</w:t>
      </w:r>
      <w:bookmarkEnd w:id="173"/>
    </w:p>
    <w:p w14:paraId="5EEADB34">
      <w:pPr>
        <w:tabs>
          <w:tab w:val="left" w:pos="1365"/>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1.价格核准：磋商小组对有效供应商的详细报价进行复核，审查是否有计算上的错误或供货范围上的错误。对错误修正的原则如下：</w:t>
      </w:r>
    </w:p>
    <w:p w14:paraId="72E8488F">
      <w:pPr>
        <w:tabs>
          <w:tab w:val="left" w:pos="1365"/>
          <w:tab w:val="left" w:pos="1470"/>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1.1响应文件的大写金额和小写金额不一致的，以大写金额为准；</w:t>
      </w:r>
    </w:p>
    <w:p w14:paraId="54347AA7">
      <w:pPr>
        <w:tabs>
          <w:tab w:val="left" w:pos="1365"/>
          <w:tab w:val="left" w:pos="1470"/>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1.2当单价和数量的乘积与总价不一致时，以单价为准，并修正总价，但单价金额小数点有明显错误的除外；</w:t>
      </w:r>
    </w:p>
    <w:p w14:paraId="7C52374D">
      <w:pPr>
        <w:tabs>
          <w:tab w:val="left" w:pos="1365"/>
          <w:tab w:val="left" w:pos="1470"/>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1.3当分项之和与总价不一致时，以单价为准，并修正总价。</w:t>
      </w:r>
    </w:p>
    <w:p w14:paraId="79206E9E">
      <w:pPr>
        <w:tabs>
          <w:tab w:val="left" w:pos="1365"/>
        </w:tabs>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2.价格评分：</w:t>
      </w:r>
    </w:p>
    <w:p w14:paraId="6C40A818">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将磋商小组修正后的入围供应商的磋商报价，以最后报价最低的供应商的价格（含税报价）为磋商基准价，定基准价的价格评分。其他磋商报价得分＝价格评分×(磋商基准价／最后磋商报价)。由此算出各供应商的报价得分。</w:t>
      </w:r>
    </w:p>
    <w:p w14:paraId="077D94F0">
      <w:pPr>
        <w:pStyle w:val="31"/>
        <w:tabs>
          <w:tab w:val="left" w:pos="1365"/>
        </w:tabs>
        <w:spacing w:line="360" w:lineRule="auto"/>
        <w:ind w:left="16" w:firstLine="422" w:firstLineChars="200"/>
        <w:rPr>
          <w:rFonts w:hint="eastAsia" w:hAnsi="宋体"/>
          <w:b/>
          <w:color w:val="auto"/>
          <w:szCs w:val="21"/>
          <w:highlight w:val="none"/>
        </w:rPr>
      </w:pPr>
    </w:p>
    <w:p w14:paraId="77C7642C">
      <w:pPr>
        <w:pStyle w:val="31"/>
        <w:tabs>
          <w:tab w:val="left" w:pos="1365"/>
        </w:tabs>
        <w:spacing w:line="360" w:lineRule="auto"/>
        <w:ind w:left="16" w:firstLine="422" w:firstLineChars="200"/>
        <w:outlineLvl w:val="0"/>
        <w:rPr>
          <w:rFonts w:hint="eastAsia" w:hAnsi="宋体"/>
          <w:b/>
          <w:color w:val="auto"/>
          <w:szCs w:val="21"/>
          <w:highlight w:val="none"/>
        </w:rPr>
      </w:pPr>
      <w:bookmarkStart w:id="174" w:name="_Toc3331"/>
      <w:r>
        <w:rPr>
          <w:rFonts w:hint="eastAsia" w:hAnsi="宋体"/>
          <w:b/>
          <w:color w:val="auto"/>
          <w:szCs w:val="21"/>
          <w:highlight w:val="none"/>
        </w:rPr>
        <w:t>七、综合得分的计算</w:t>
      </w:r>
      <w:bookmarkEnd w:id="174"/>
    </w:p>
    <w:p w14:paraId="375AD389">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1.综合得分=技术评审得分+商务评审得分+磋商报价得分。</w:t>
      </w:r>
    </w:p>
    <w:p w14:paraId="327209CF">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将综合得分从高到低排出名次，总分第一名为第一成交候选供应商，第二名为第二成交候选供应商，第三名为第三成交候选供应商（综合得分相同的，按磋商报价得分顺序推荐；综合得分相同且磋商报价得分相同的，按技术得分顺序排列）。</w:t>
      </w:r>
    </w:p>
    <w:p w14:paraId="5BEF1846">
      <w:pPr>
        <w:rPr>
          <w:rFonts w:hint="eastAsia" w:hAnsi="宋体"/>
          <w:color w:val="auto"/>
          <w:highlight w:val="none"/>
          <w:lang w:val="zh-CN"/>
        </w:rPr>
      </w:pPr>
    </w:p>
    <w:p w14:paraId="7E83199B">
      <w:pPr>
        <w:pStyle w:val="5"/>
        <w:keepNext/>
        <w:keepLines/>
        <w:pageBreakBefore/>
        <w:numPr>
          <w:ilvl w:val="0"/>
          <w:numId w:val="10"/>
        </w:numPr>
        <w:tabs>
          <w:tab w:val="left" w:pos="1080"/>
        </w:tabs>
        <w:spacing w:line="360" w:lineRule="auto"/>
        <w:ind w:left="1262" w:hanging="1262" w:hangingChars="449"/>
        <w:jc w:val="center"/>
        <w:rPr>
          <w:rFonts w:hint="eastAsia" w:hAnsi="宋体"/>
          <w:b/>
          <w:bCs/>
          <w:color w:val="auto"/>
          <w:kern w:val="44"/>
          <w:sz w:val="28"/>
          <w:szCs w:val="28"/>
          <w:highlight w:val="none"/>
          <w:lang w:val="zh-CN"/>
        </w:rPr>
      </w:pPr>
      <w:bookmarkStart w:id="175" w:name="_Toc3360"/>
      <w:bookmarkStart w:id="176" w:name="_Toc15636"/>
      <w:bookmarkStart w:id="177" w:name="_Toc396137242"/>
      <w:bookmarkStart w:id="178" w:name="_Toc8470"/>
      <w:bookmarkStart w:id="179" w:name="_Toc9129"/>
      <w:r>
        <w:rPr>
          <w:rFonts w:hint="eastAsia" w:hAnsi="宋体"/>
          <w:b/>
          <w:bCs/>
          <w:color w:val="auto"/>
          <w:kern w:val="44"/>
          <w:sz w:val="28"/>
          <w:szCs w:val="28"/>
          <w:highlight w:val="none"/>
          <w:lang w:val="zh-CN"/>
        </w:rPr>
        <w:t>合同条款格式</w:t>
      </w:r>
      <w:bookmarkEnd w:id="175"/>
      <w:bookmarkEnd w:id="176"/>
    </w:p>
    <w:p w14:paraId="067A49E5">
      <w:pPr>
        <w:rPr>
          <w:rFonts w:hint="eastAsia" w:hAnsi="宋体"/>
          <w:bCs/>
          <w:color w:val="auto"/>
          <w:sz w:val="22"/>
          <w:szCs w:val="20"/>
          <w:highlight w:val="none"/>
          <w:u w:val="single"/>
        </w:rPr>
      </w:pPr>
      <w:r>
        <w:rPr>
          <w:rFonts w:hint="eastAsia" w:hAnsi="宋体"/>
          <w:bCs/>
          <w:color w:val="auto"/>
          <w:sz w:val="22"/>
          <w:szCs w:val="20"/>
          <w:highlight w:val="none"/>
        </w:rPr>
        <w:t>合同编号：</w:t>
      </w:r>
      <w:r>
        <w:rPr>
          <w:rFonts w:hint="eastAsia" w:hAnsi="宋体"/>
          <w:bCs/>
          <w:color w:val="auto"/>
          <w:sz w:val="22"/>
          <w:szCs w:val="20"/>
          <w:highlight w:val="none"/>
          <w:u w:val="single"/>
        </w:rPr>
        <w:t xml:space="preserve">                </w:t>
      </w:r>
    </w:p>
    <w:p w14:paraId="1C718FF7">
      <w:pPr>
        <w:spacing w:line="360" w:lineRule="auto"/>
        <w:ind w:left="-240" w:leftChars="-100"/>
        <w:jc w:val="center"/>
        <w:rPr>
          <w:rFonts w:hint="eastAsia" w:hAnsi="宋体"/>
          <w:color w:val="auto"/>
          <w:highlight w:val="none"/>
        </w:rPr>
      </w:pPr>
    </w:p>
    <w:p w14:paraId="4BACABEE">
      <w:pPr>
        <w:spacing w:line="360" w:lineRule="auto"/>
        <w:ind w:left="-240" w:leftChars="-100"/>
        <w:jc w:val="center"/>
        <w:rPr>
          <w:rFonts w:hint="eastAsia" w:hAnsi="宋体"/>
          <w:b/>
          <w:color w:val="auto"/>
          <w:sz w:val="40"/>
          <w:szCs w:val="32"/>
          <w:highlight w:val="none"/>
        </w:rPr>
      </w:pPr>
    </w:p>
    <w:p w14:paraId="3A4CA1F4">
      <w:pPr>
        <w:spacing w:line="360" w:lineRule="auto"/>
        <w:ind w:left="-240" w:leftChars="-100"/>
        <w:jc w:val="center"/>
        <w:rPr>
          <w:rFonts w:hint="eastAsia" w:hAnsi="宋体"/>
          <w:b/>
          <w:color w:val="auto"/>
          <w:sz w:val="40"/>
          <w:szCs w:val="32"/>
          <w:highlight w:val="none"/>
        </w:rPr>
      </w:pPr>
    </w:p>
    <w:p w14:paraId="28EDD4F9">
      <w:pPr>
        <w:spacing w:line="360" w:lineRule="auto"/>
        <w:ind w:left="-240" w:leftChars="-100"/>
        <w:jc w:val="center"/>
        <w:rPr>
          <w:rFonts w:hint="eastAsia" w:hAnsi="宋体"/>
          <w:b/>
          <w:color w:val="auto"/>
          <w:sz w:val="84"/>
          <w:szCs w:val="84"/>
          <w:highlight w:val="none"/>
        </w:rPr>
      </w:pPr>
      <w:r>
        <w:rPr>
          <w:rFonts w:hint="eastAsia" w:hAnsi="宋体"/>
          <w:b/>
          <w:color w:val="auto"/>
          <w:sz w:val="40"/>
          <w:szCs w:val="32"/>
          <w:highlight w:val="none"/>
        </w:rPr>
        <w:t>2026年东莞市安居建设投资有限公司AI营销服务项目合同</w:t>
      </w:r>
    </w:p>
    <w:p w14:paraId="47102B4C">
      <w:pPr>
        <w:rPr>
          <w:rFonts w:hint="eastAsia" w:hAnsi="宋体"/>
          <w:color w:val="auto"/>
          <w:highlight w:val="none"/>
        </w:rPr>
      </w:pPr>
    </w:p>
    <w:p w14:paraId="5259F074">
      <w:pPr>
        <w:rPr>
          <w:rFonts w:hint="eastAsia" w:hAnsi="宋体"/>
          <w:color w:val="auto"/>
          <w:highlight w:val="none"/>
        </w:rPr>
      </w:pPr>
    </w:p>
    <w:p w14:paraId="5F6A76EB">
      <w:pPr>
        <w:rPr>
          <w:rFonts w:hint="eastAsia" w:hAnsi="宋体"/>
          <w:color w:val="auto"/>
          <w:highlight w:val="none"/>
        </w:rPr>
      </w:pPr>
    </w:p>
    <w:p w14:paraId="1260FAFA">
      <w:pPr>
        <w:rPr>
          <w:rFonts w:hint="eastAsia" w:hAnsi="宋体"/>
          <w:color w:val="auto"/>
          <w:highlight w:val="none"/>
        </w:rPr>
      </w:pPr>
    </w:p>
    <w:p w14:paraId="2D8907FC">
      <w:pPr>
        <w:rPr>
          <w:rFonts w:hint="eastAsia" w:hAnsi="宋体"/>
          <w:color w:val="auto"/>
          <w:highlight w:val="none"/>
        </w:rPr>
      </w:pPr>
    </w:p>
    <w:p w14:paraId="7D042D1A">
      <w:pPr>
        <w:pStyle w:val="164"/>
        <w:spacing w:line="360" w:lineRule="auto"/>
        <w:rPr>
          <w:rFonts w:hint="eastAsia" w:hAnsi="宋体"/>
          <w:color w:val="auto"/>
          <w:highlight w:val="none"/>
        </w:rPr>
      </w:pPr>
    </w:p>
    <w:p w14:paraId="2443477E">
      <w:pPr>
        <w:pStyle w:val="164"/>
        <w:spacing w:line="360" w:lineRule="auto"/>
        <w:ind w:firstLine="480" w:firstLineChars="200"/>
        <w:rPr>
          <w:rFonts w:hint="eastAsia" w:hAnsi="宋体"/>
          <w:bCs/>
          <w:color w:val="auto"/>
          <w:highlight w:val="none"/>
        </w:rPr>
      </w:pPr>
    </w:p>
    <w:p w14:paraId="441A68CB">
      <w:pPr>
        <w:spacing w:line="360" w:lineRule="auto"/>
        <w:ind w:left="2528" w:leftChars="426" w:hanging="1506" w:hangingChars="500"/>
        <w:jc w:val="both"/>
        <w:rPr>
          <w:rFonts w:hint="eastAsia" w:hAnsi="宋体"/>
          <w:b/>
          <w:color w:val="auto"/>
          <w:sz w:val="30"/>
          <w:szCs w:val="30"/>
          <w:highlight w:val="none"/>
        </w:rPr>
      </w:pPr>
    </w:p>
    <w:p w14:paraId="4432FA2E">
      <w:pPr>
        <w:spacing w:line="360" w:lineRule="auto"/>
        <w:ind w:left="2528" w:leftChars="426" w:hanging="1506" w:hangingChars="500"/>
        <w:jc w:val="both"/>
        <w:rPr>
          <w:rFonts w:hint="eastAsia" w:hAnsi="宋体"/>
          <w:b/>
          <w:color w:val="auto"/>
          <w:sz w:val="30"/>
          <w:szCs w:val="30"/>
          <w:highlight w:val="none"/>
        </w:rPr>
      </w:pPr>
    </w:p>
    <w:p w14:paraId="72B486A8">
      <w:pPr>
        <w:spacing w:line="360" w:lineRule="auto"/>
        <w:ind w:left="2528" w:leftChars="426" w:hanging="1506" w:hangingChars="500"/>
        <w:jc w:val="both"/>
        <w:rPr>
          <w:rFonts w:hint="eastAsia" w:hAnsi="宋体"/>
          <w:b/>
          <w:color w:val="auto"/>
          <w:sz w:val="30"/>
          <w:szCs w:val="30"/>
          <w:highlight w:val="none"/>
        </w:rPr>
      </w:pPr>
    </w:p>
    <w:p w14:paraId="129ED3F8">
      <w:pPr>
        <w:spacing w:line="360" w:lineRule="auto"/>
        <w:ind w:left="2528" w:leftChars="426" w:hanging="1506" w:hangingChars="500"/>
        <w:jc w:val="both"/>
        <w:rPr>
          <w:rFonts w:hint="eastAsia" w:hAnsi="宋体"/>
          <w:b/>
          <w:color w:val="auto"/>
          <w:sz w:val="30"/>
          <w:szCs w:val="30"/>
          <w:highlight w:val="none"/>
        </w:rPr>
      </w:pPr>
    </w:p>
    <w:p w14:paraId="31859B55">
      <w:pPr>
        <w:spacing w:line="360" w:lineRule="auto"/>
        <w:ind w:firstLine="281" w:firstLineChars="100"/>
        <w:rPr>
          <w:rFonts w:hint="eastAsia" w:hAnsi="宋体"/>
          <w:b/>
          <w:color w:val="auto"/>
          <w:sz w:val="28"/>
          <w:szCs w:val="28"/>
          <w:highlight w:val="none"/>
        </w:rPr>
      </w:pPr>
      <w:r>
        <w:rPr>
          <w:rFonts w:hint="eastAsia" w:hAnsi="宋体"/>
          <w:b/>
          <w:color w:val="auto"/>
          <w:sz w:val="28"/>
          <w:szCs w:val="28"/>
          <w:highlight w:val="none"/>
        </w:rPr>
        <w:t>项目名称：2026年东莞市安居建设投资有限公司AI营销服务项目</w:t>
      </w:r>
    </w:p>
    <w:p w14:paraId="6DA4D408">
      <w:pPr>
        <w:spacing w:line="360" w:lineRule="auto"/>
        <w:ind w:firstLine="904" w:firstLineChars="300"/>
        <w:textAlignment w:val="baseline"/>
        <w:rPr>
          <w:rFonts w:hint="eastAsia" w:hAnsi="宋体"/>
          <w:b/>
          <w:color w:val="auto"/>
          <w:sz w:val="30"/>
          <w:szCs w:val="30"/>
          <w:highlight w:val="none"/>
          <w:u w:val="single"/>
        </w:rPr>
      </w:pPr>
      <w:r>
        <w:rPr>
          <w:rFonts w:hint="eastAsia" w:hAnsi="宋体"/>
          <w:b/>
          <w:color w:val="auto"/>
          <w:sz w:val="30"/>
          <w:szCs w:val="30"/>
          <w:highlight w:val="none"/>
        </w:rPr>
        <w:t>甲方（全称）：</w:t>
      </w:r>
      <w:r>
        <w:rPr>
          <w:rFonts w:hint="eastAsia" w:hAnsi="宋体"/>
          <w:b/>
          <w:color w:val="auto"/>
          <w:sz w:val="30"/>
          <w:szCs w:val="30"/>
          <w:highlight w:val="none"/>
          <w:u w:val="single" w:color="000000"/>
        </w:rPr>
        <w:t xml:space="preserve">东莞市安居建设投资有限公司 </w:t>
      </w:r>
    </w:p>
    <w:p w14:paraId="67673409">
      <w:pPr>
        <w:spacing w:line="360" w:lineRule="auto"/>
        <w:ind w:firstLine="904" w:firstLineChars="300"/>
        <w:rPr>
          <w:rFonts w:hint="eastAsia" w:hAnsi="宋体"/>
          <w:b/>
          <w:color w:val="auto"/>
          <w:sz w:val="30"/>
          <w:szCs w:val="30"/>
          <w:highlight w:val="none"/>
          <w:u w:val="single" w:color="000000"/>
        </w:rPr>
      </w:pPr>
      <w:r>
        <w:rPr>
          <w:rFonts w:hint="eastAsia" w:hAnsi="宋体"/>
          <w:b/>
          <w:color w:val="auto"/>
          <w:sz w:val="30"/>
          <w:szCs w:val="30"/>
          <w:highlight w:val="none"/>
        </w:rPr>
        <w:t>乙方（全称）：</w:t>
      </w:r>
      <w:r>
        <w:rPr>
          <w:rFonts w:hint="eastAsia" w:hAnsi="宋体"/>
          <w:b/>
          <w:color w:val="auto"/>
          <w:sz w:val="30"/>
          <w:szCs w:val="30"/>
          <w:highlight w:val="none"/>
          <w:u w:val="single" w:color="000000"/>
        </w:rPr>
        <w:t xml:space="preserve">                           </w:t>
      </w:r>
    </w:p>
    <w:p w14:paraId="7D44244B">
      <w:pPr>
        <w:rPr>
          <w:rFonts w:hint="eastAsia" w:hAnsi="宋体"/>
          <w:color w:val="auto"/>
          <w:sz w:val="21"/>
          <w:szCs w:val="21"/>
          <w:highlight w:val="none"/>
        </w:rPr>
      </w:pPr>
      <w:r>
        <w:rPr>
          <w:rFonts w:hint="eastAsia" w:hAnsi="宋体"/>
          <w:color w:val="auto"/>
          <w:sz w:val="21"/>
          <w:szCs w:val="21"/>
          <w:highlight w:val="none"/>
        </w:rPr>
        <w:br w:type="page"/>
      </w:r>
    </w:p>
    <w:p w14:paraId="3A314815">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 xml:space="preserve">甲   方： </w:t>
      </w:r>
    </w:p>
    <w:p w14:paraId="0FA72AC5">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统一社会信用代码：</w:t>
      </w:r>
    </w:p>
    <w:p w14:paraId="1B207294">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法定代表人：</w:t>
      </w:r>
      <w:r>
        <w:rPr>
          <w:rFonts w:hAnsi="宋体"/>
          <w:bCs/>
          <w:color w:val="auto"/>
          <w:sz w:val="21"/>
          <w:szCs w:val="21"/>
          <w:highlight w:val="none"/>
          <w:lang w:val="zh-CN"/>
        </w:rPr>
        <w:t xml:space="preserve"> </w:t>
      </w:r>
    </w:p>
    <w:p w14:paraId="46D85548">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 xml:space="preserve">地 </w:t>
      </w:r>
      <w:r>
        <w:rPr>
          <w:rFonts w:hAnsi="宋体"/>
          <w:bCs/>
          <w:color w:val="auto"/>
          <w:sz w:val="21"/>
          <w:szCs w:val="21"/>
          <w:highlight w:val="none"/>
          <w:lang w:val="zh-CN"/>
        </w:rPr>
        <w:t xml:space="preserve">  </w:t>
      </w:r>
      <w:r>
        <w:rPr>
          <w:rFonts w:hint="eastAsia" w:hAnsi="宋体"/>
          <w:bCs/>
          <w:color w:val="auto"/>
          <w:sz w:val="21"/>
          <w:szCs w:val="21"/>
          <w:highlight w:val="none"/>
          <w:lang w:val="zh-CN"/>
        </w:rPr>
        <w:t>址：</w:t>
      </w:r>
      <w:r>
        <w:rPr>
          <w:rFonts w:hAnsi="宋体"/>
          <w:bCs/>
          <w:color w:val="auto"/>
          <w:sz w:val="21"/>
          <w:szCs w:val="21"/>
          <w:highlight w:val="none"/>
          <w:lang w:val="zh-CN"/>
        </w:rPr>
        <w:t xml:space="preserve"> </w:t>
      </w:r>
    </w:p>
    <w:p w14:paraId="744C89DD">
      <w:pPr>
        <w:snapToGrid w:val="0"/>
        <w:spacing w:line="360" w:lineRule="auto"/>
        <w:ind w:firstLine="420" w:firstLineChars="200"/>
        <w:rPr>
          <w:rFonts w:hint="eastAsia" w:hAnsi="宋体"/>
          <w:bCs/>
          <w:color w:val="auto"/>
          <w:sz w:val="21"/>
          <w:szCs w:val="21"/>
          <w:highlight w:val="none"/>
          <w:lang w:val="zh-CN"/>
        </w:rPr>
      </w:pPr>
    </w:p>
    <w:p w14:paraId="3751D3E7">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 xml:space="preserve">乙    方： </w:t>
      </w:r>
    </w:p>
    <w:p w14:paraId="593B1F0E">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统一社会信用代码：</w:t>
      </w:r>
    </w:p>
    <w:p w14:paraId="4C2349A1">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 xml:space="preserve">法定代表人： </w:t>
      </w:r>
    </w:p>
    <w:p w14:paraId="00CC94C3">
      <w:pPr>
        <w:snapToGrid w:val="0"/>
        <w:spacing w:line="360" w:lineRule="auto"/>
        <w:rPr>
          <w:rFonts w:hint="eastAsia" w:hAnsi="宋体"/>
          <w:bCs/>
          <w:color w:val="auto"/>
          <w:sz w:val="21"/>
          <w:szCs w:val="21"/>
          <w:highlight w:val="none"/>
          <w:lang w:val="zh-CN"/>
        </w:rPr>
      </w:pPr>
      <w:r>
        <w:rPr>
          <w:rFonts w:hint="eastAsia" w:hAnsi="宋体"/>
          <w:bCs/>
          <w:color w:val="auto"/>
          <w:sz w:val="21"/>
          <w:szCs w:val="21"/>
          <w:highlight w:val="none"/>
          <w:lang w:val="zh-CN"/>
        </w:rPr>
        <w:t xml:space="preserve">地 </w:t>
      </w:r>
      <w:r>
        <w:rPr>
          <w:rFonts w:hAnsi="宋体"/>
          <w:bCs/>
          <w:color w:val="auto"/>
          <w:sz w:val="21"/>
          <w:szCs w:val="21"/>
          <w:highlight w:val="none"/>
          <w:lang w:val="zh-CN"/>
        </w:rPr>
        <w:t xml:space="preserve">  </w:t>
      </w:r>
      <w:r>
        <w:rPr>
          <w:rFonts w:hint="eastAsia" w:hAnsi="宋体"/>
          <w:bCs/>
          <w:color w:val="auto"/>
          <w:sz w:val="21"/>
          <w:szCs w:val="21"/>
          <w:highlight w:val="none"/>
          <w:lang w:val="zh-CN"/>
        </w:rPr>
        <w:t xml:space="preserve">址： </w:t>
      </w:r>
    </w:p>
    <w:p w14:paraId="4373A633">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据此，甲乙双方根据</w:t>
      </w:r>
      <w:r>
        <w:rPr>
          <w:rFonts w:hint="eastAsia" w:hAnsi="宋体"/>
          <w:bCs/>
          <w:color w:val="auto"/>
          <w:sz w:val="21"/>
          <w:szCs w:val="21"/>
          <w:highlight w:val="none"/>
          <w:lang w:val="zh-CN"/>
        </w:rPr>
        <w:t>国家</w:t>
      </w:r>
      <w:r>
        <w:rPr>
          <w:rFonts w:hAnsi="宋体"/>
          <w:bCs/>
          <w:color w:val="auto"/>
          <w:sz w:val="21"/>
          <w:szCs w:val="21"/>
          <w:highlight w:val="none"/>
          <w:lang w:val="zh-CN"/>
        </w:rPr>
        <w:t>法律、行政法规和部门规章的规定，本着平等互利、诚实信用的原则，经友好协商，就甲方委托乙方提供AI营销服务事宜，达成如下协议：</w:t>
      </w:r>
    </w:p>
    <w:p w14:paraId="46BBD68F">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第一条 定义与解释</w:t>
      </w:r>
    </w:p>
    <w:p w14:paraId="2F22FDB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1.1“AI营销服务”是指乙方根据本合同约定，利用人工智能技术向甲方提供的智能客服、内容生产与制作、数据管理等一系列服务的总称。</w:t>
      </w:r>
    </w:p>
    <w:p w14:paraId="6C6B760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1.2“AI智能客服系统”是指乙方为甲方部署的，基于人工智能技术实现自动回复、智能对话、留资引导等功能的在线客服系统。</w:t>
      </w:r>
    </w:p>
    <w:p w14:paraId="719B8E4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1.3“AI生成内容”是指利用人工智能技术生成、合成的文本、图片、音频、视频、虚拟场景等信息。</w:t>
      </w:r>
    </w:p>
    <w:p w14:paraId="77AE52B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1.4“有效线索”是指通过AI智能客服系统获取的，经手机号短信验证码验证有效且去重后的用户姓名+手机号+意向户型+预算范围等信息。</w:t>
      </w:r>
    </w:p>
    <w:p w14:paraId="75A852B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1.5“自然曝光量”是指不包含付费投流推广，以各平台后台“展示数/播放数”总和为准的曝光数据。</w:t>
      </w:r>
    </w:p>
    <w:p w14:paraId="5579B8F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1.6“工作日”是指中华人民共和国法定工作日，不包括法定节假日和公休日。</w:t>
      </w:r>
    </w:p>
    <w:p w14:paraId="39B9425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1.7“商业秘密”是指一方拥有或持有的、不为公众所知悉、能为权利人带来经济利益、具有实用性并经权利人采取保密措施的技术信息和经营信息，包括但不限于客户信息、房源数据、技术方案、财务数据等。</w:t>
      </w:r>
    </w:p>
    <w:p w14:paraId="13327A9E">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第二条 服务内容与技术规范</w:t>
      </w:r>
    </w:p>
    <w:p w14:paraId="1296BAAB">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2.1 AI智能客服系统</w:t>
      </w:r>
    </w:p>
    <w:p w14:paraId="3B83FF9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2.1.1接入平台：乙方应在合同签订后30日内完成AI智能客服系统在抖音、小红书、微信小程序、视频号等至少4个平台的部署与对接。</w:t>
      </w:r>
    </w:p>
    <w:p w14:paraId="51F1636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2.1.2 核心功能：</w:t>
      </w:r>
    </w:p>
    <w:p w14:paraId="347E4F1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（1）自动回复：提供7×24小时在线服务，用户消息后5秒内回复率须达到100%。</w:t>
      </w:r>
    </w:p>
    <w:p w14:paraId="6CABF5F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（2）违禁词过滤：内置各平台违禁词库，自动拦截风险内容，词库每月更新，支持甲方自定义添加，过滤准确率不低于95%。</w:t>
      </w:r>
    </w:p>
    <w:p w14:paraId="1C073CA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（3）智能对话：基于甲方提供的房源知识库（户型、价格、优惠、配套、周边等）进行多轮对话，支持按价格、户型、区域筛选推荐房源。语义理解正确率不低于85%（参照GB/T 46483-2025），支持上下文理解，多轮对话轮次不低于5轮。知识库更新后30分钟内生效。</w:t>
      </w:r>
    </w:p>
    <w:p w14:paraId="5CAE905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（4）留资引导：主动引导用户留下姓名+手机号+意向户型+预算范围，留资后自动同步至甲方CRM或支持Excel导出。手机号须通过短信验证码验证有效性。</w:t>
      </w:r>
    </w:p>
    <w:p w14:paraId="2FE3F98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（5）虚拟数字人客服：如涉及使用虚拟数字人客服，2D数字人形象须确保五官细节完整清晰可辨，口型驱动准确率不低于90%，语音交互响应时间不超过2秒。</w:t>
      </w:r>
    </w:p>
    <w:p w14:paraId="57E8720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2.1.3 技术标准：乙方提供的AI智能客服系统应符合GB/T 46483-2025《信息技术 客服型虚拟数字人通用技术要求》的相关规定。</w:t>
      </w:r>
    </w:p>
    <w:p w14:paraId="0B6C5DE7">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2.2 AI内容制作与分发</w:t>
      </w:r>
    </w:p>
    <w:p w14:paraId="575B2016">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2.2.1 内容类型：AI视频（含数字人口播、探房剪辑、活动花絮）、AI图片（海报、房源展示图）、AI文案（种草文案、活动推文）、朋友圈九宫格素材。</w:t>
      </w:r>
    </w:p>
    <w:p w14:paraId="5DEADC8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2.2.2 内容方向：</w:t>
      </w:r>
    </w:p>
    <w:p w14:paraId="161B46D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（1）生活方式海报：基于莞寓公区、健身房、书吧、台球桌、样板间、周边配套等实拍素材，生成主题海报加种草文案。</w:t>
      </w:r>
    </w:p>
    <w:p w14:paraId="2F7A76FC">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（2）短视频：基于房源亮点、实拍素材、脚本模板，生成探房短视频、招商短视频、活动短视频、数字人口播视频。</w:t>
      </w:r>
    </w:p>
    <w:p w14:paraId="08336E3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（3）活动传播：围绕人才补贴、毕业季、推荐有礼、免租期、社区活动等场景生成宣发物料。</w:t>
      </w:r>
    </w:p>
    <w:p w14:paraId="38176D66">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2.2.3交付标准：</w:t>
      </w:r>
    </w:p>
    <w:tbl>
      <w:tblPr>
        <w:tblStyle w:val="54"/>
        <w:tblW w:w="7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29"/>
        <w:gridCol w:w="3828"/>
        <w:gridCol w:w="2835"/>
      </w:tblGrid>
      <w:tr w14:paraId="7D9D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1129" w:type="dxa"/>
            <w:tcMar>
              <w:top w:w="150" w:type="dxa"/>
              <w:left w:w="0" w:type="dxa"/>
              <w:bottom w:w="150" w:type="dxa"/>
              <w:right w:w="240" w:type="dxa"/>
            </w:tcMar>
            <w:vAlign w:val="center"/>
          </w:tcPr>
          <w:p w14:paraId="75CCB7D8">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内容类型</w:t>
            </w:r>
          </w:p>
        </w:tc>
        <w:tc>
          <w:tcPr>
            <w:tcW w:w="3828" w:type="dxa"/>
            <w:tcMar>
              <w:top w:w="150" w:type="dxa"/>
              <w:left w:w="240" w:type="dxa"/>
              <w:bottom w:w="150" w:type="dxa"/>
              <w:right w:w="240" w:type="dxa"/>
            </w:tcMar>
            <w:vAlign w:val="center"/>
          </w:tcPr>
          <w:p w14:paraId="49B5D8D9">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技术规格</w:t>
            </w:r>
          </w:p>
        </w:tc>
        <w:tc>
          <w:tcPr>
            <w:tcW w:w="2835" w:type="dxa"/>
            <w:tcMar>
              <w:top w:w="150" w:type="dxa"/>
              <w:left w:w="240" w:type="dxa"/>
              <w:bottom w:w="150" w:type="dxa"/>
              <w:right w:w="240" w:type="dxa"/>
            </w:tcMar>
            <w:vAlign w:val="center"/>
          </w:tcPr>
          <w:p w14:paraId="604CCE94">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格式要求</w:t>
            </w:r>
          </w:p>
        </w:tc>
      </w:tr>
      <w:tr w14:paraId="6A2F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2D4569BB">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视频</w:t>
            </w:r>
          </w:p>
        </w:tc>
        <w:tc>
          <w:tcPr>
            <w:tcW w:w="3828" w:type="dxa"/>
            <w:tcMar>
              <w:top w:w="150" w:type="dxa"/>
              <w:left w:w="240" w:type="dxa"/>
              <w:bottom w:w="150" w:type="dxa"/>
              <w:right w:w="240" w:type="dxa"/>
            </w:tcMar>
            <w:vAlign w:val="center"/>
          </w:tcPr>
          <w:p w14:paraId="5AF5F722">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分辨率不低于1080P，时长15-60秒</w:t>
            </w:r>
          </w:p>
        </w:tc>
        <w:tc>
          <w:tcPr>
            <w:tcW w:w="2835" w:type="dxa"/>
            <w:tcMar>
              <w:top w:w="150" w:type="dxa"/>
              <w:left w:w="240" w:type="dxa"/>
              <w:bottom w:w="150" w:type="dxa"/>
              <w:right w:w="0" w:type="dxa"/>
            </w:tcMar>
            <w:vAlign w:val="center"/>
          </w:tcPr>
          <w:p w14:paraId="2916C924">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MP4，无水印</w:t>
            </w:r>
          </w:p>
        </w:tc>
      </w:tr>
      <w:tr w14:paraId="33D7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2FA6FE91">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图片</w:t>
            </w:r>
          </w:p>
        </w:tc>
        <w:tc>
          <w:tcPr>
            <w:tcW w:w="3828" w:type="dxa"/>
            <w:tcMar>
              <w:top w:w="150" w:type="dxa"/>
              <w:left w:w="240" w:type="dxa"/>
              <w:bottom w:w="150" w:type="dxa"/>
              <w:right w:w="240" w:type="dxa"/>
            </w:tcMar>
            <w:vAlign w:val="center"/>
          </w:tcPr>
          <w:p w14:paraId="3480C131">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不低于1200×1200像素</w:t>
            </w:r>
          </w:p>
        </w:tc>
        <w:tc>
          <w:tcPr>
            <w:tcW w:w="2835" w:type="dxa"/>
            <w:tcMar>
              <w:top w:w="150" w:type="dxa"/>
              <w:left w:w="240" w:type="dxa"/>
              <w:bottom w:w="150" w:type="dxa"/>
              <w:right w:w="0" w:type="dxa"/>
            </w:tcMar>
            <w:vAlign w:val="center"/>
          </w:tcPr>
          <w:p w14:paraId="4A803756">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JPG/PNG</w:t>
            </w:r>
          </w:p>
        </w:tc>
      </w:tr>
      <w:tr w14:paraId="3324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7772BBA4">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文案</w:t>
            </w:r>
          </w:p>
        </w:tc>
        <w:tc>
          <w:tcPr>
            <w:tcW w:w="3828" w:type="dxa"/>
            <w:tcMar>
              <w:top w:w="150" w:type="dxa"/>
              <w:left w:w="240" w:type="dxa"/>
              <w:bottom w:w="150" w:type="dxa"/>
              <w:right w:w="240" w:type="dxa"/>
            </w:tcMar>
            <w:vAlign w:val="center"/>
          </w:tcPr>
          <w:p w14:paraId="079575BF">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适配各平台字数限制</w:t>
            </w:r>
          </w:p>
        </w:tc>
        <w:tc>
          <w:tcPr>
            <w:tcW w:w="2835" w:type="dxa"/>
            <w:tcMar>
              <w:top w:w="150" w:type="dxa"/>
              <w:left w:w="240" w:type="dxa"/>
              <w:bottom w:w="150" w:type="dxa"/>
              <w:right w:w="0" w:type="dxa"/>
            </w:tcMar>
            <w:vAlign w:val="center"/>
          </w:tcPr>
          <w:p w14:paraId="0BD2DAE9">
            <w:pPr>
              <w:snapToGrid w:val="0"/>
              <w:spacing w:line="360" w:lineRule="auto"/>
              <w:jc w:val="center"/>
              <w:rPr>
                <w:rFonts w:hint="eastAsia" w:hAnsi="宋体"/>
                <w:bCs/>
                <w:color w:val="auto"/>
                <w:sz w:val="21"/>
                <w:szCs w:val="21"/>
                <w:highlight w:val="none"/>
                <w:lang w:val="zh-CN"/>
              </w:rPr>
            </w:pPr>
            <w:r>
              <w:rPr>
                <w:rFonts w:hAnsi="宋体"/>
                <w:bCs/>
                <w:color w:val="auto"/>
                <w:sz w:val="21"/>
                <w:szCs w:val="21"/>
                <w:highlight w:val="none"/>
                <w:lang w:val="zh-CN"/>
              </w:rPr>
              <w:t>可编辑Word/Excel</w:t>
            </w:r>
          </w:p>
        </w:tc>
      </w:tr>
    </w:tbl>
    <w:p w14:paraId="2584F01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2.2.4版权与合规要求：</w:t>
      </w:r>
    </w:p>
    <w:p w14:paraId="77FC79F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（1）所有内容不得使用未经授权的音乐、字体、图片等素材，如使用版权素材须提供完整授权证明。</w:t>
      </w:r>
    </w:p>
    <w:p w14:paraId="2BE045D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（2）所有AI生成内容须按照《人工智能生成合成内容标识办法》的要求添加显式标识和隐式标识。</w:t>
      </w:r>
    </w:p>
    <w:p w14:paraId="55E2F5E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（3）所有内容须通过原创度检测（使用主流AI内容检测工具，去重率不低于70%），检测报告须附具检测工具名称和版本号。</w:t>
      </w:r>
    </w:p>
    <w:p w14:paraId="7EFFB737">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2.3 智能管理助手（数据看板）</w:t>
      </w:r>
    </w:p>
    <w:p w14:paraId="3324AA3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2.3.1 数据统计功能：</w:t>
      </w:r>
    </w:p>
    <w:p w14:paraId="20A22BB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（1）素材数据：统计生成数量、使用次数、下载次数、转发情况、内容类型分布及各平台素材表现对比。</w:t>
      </w:r>
    </w:p>
    <w:p w14:paraId="0872CB8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（2）线索数据：统计咨询量、留资量、预约看房数、补贴资格初筛数、活动报名数及转化漏斗分析（咨询→留资→预约→看房→签约）。</w:t>
      </w:r>
    </w:p>
    <w:p w14:paraId="36F652DB">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（3）房源数据：统计各房源浏览数、收藏数、咨询数、匹配推荐次数及预约转化率，提供热门房源TOP榜。</w:t>
      </w:r>
    </w:p>
    <w:p w14:paraId="22D5757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2.3.2 看板要求：提供Web端实时查看，支持移动端适配，数据更新频率为T+1（次日更新前一日数据），支持数据导出Excel及自定义时间段筛选和对比分析。可视化报表应包含趋势图、漏斗图、分布图等。</w:t>
      </w:r>
    </w:p>
    <w:p w14:paraId="72087B98">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第三条 交付成果与量化指标</w:t>
      </w:r>
    </w:p>
    <w:p w14:paraId="4A7A71DA">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3.1 量化指标</w:t>
      </w:r>
    </w:p>
    <w:p w14:paraId="566E86F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合同期内（自合同签订之日起12个月内），乙方应完成以下累计交付指标：</w:t>
      </w:r>
    </w:p>
    <w:tbl>
      <w:tblPr>
        <w:tblStyle w:val="5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29"/>
        <w:gridCol w:w="4111"/>
        <w:gridCol w:w="3260"/>
      </w:tblGrid>
      <w:tr w14:paraId="75FE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1129" w:type="dxa"/>
            <w:tcMar>
              <w:top w:w="150" w:type="dxa"/>
              <w:left w:w="0" w:type="dxa"/>
              <w:bottom w:w="150" w:type="dxa"/>
              <w:right w:w="240" w:type="dxa"/>
            </w:tcMar>
            <w:vAlign w:val="center"/>
          </w:tcPr>
          <w:p w14:paraId="693BC814">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序号</w:t>
            </w:r>
          </w:p>
        </w:tc>
        <w:tc>
          <w:tcPr>
            <w:tcW w:w="4111" w:type="dxa"/>
            <w:tcMar>
              <w:top w:w="150" w:type="dxa"/>
              <w:left w:w="240" w:type="dxa"/>
              <w:bottom w:w="150" w:type="dxa"/>
              <w:right w:w="240" w:type="dxa"/>
            </w:tcMar>
            <w:vAlign w:val="center"/>
          </w:tcPr>
          <w:p w14:paraId="3577A32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指标名称</w:t>
            </w:r>
          </w:p>
        </w:tc>
        <w:tc>
          <w:tcPr>
            <w:tcW w:w="3260" w:type="dxa"/>
            <w:tcMar>
              <w:top w:w="150" w:type="dxa"/>
              <w:left w:w="240" w:type="dxa"/>
              <w:bottom w:w="150" w:type="dxa"/>
              <w:right w:w="240" w:type="dxa"/>
            </w:tcMar>
            <w:vAlign w:val="center"/>
          </w:tcPr>
          <w:p w14:paraId="49B9BFC4">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累计数量</w:t>
            </w:r>
          </w:p>
        </w:tc>
      </w:tr>
      <w:tr w14:paraId="37C5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44F7152F">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1</w:t>
            </w:r>
          </w:p>
        </w:tc>
        <w:tc>
          <w:tcPr>
            <w:tcW w:w="4111" w:type="dxa"/>
            <w:tcMar>
              <w:top w:w="150" w:type="dxa"/>
              <w:left w:w="240" w:type="dxa"/>
              <w:bottom w:w="150" w:type="dxa"/>
              <w:right w:w="240" w:type="dxa"/>
            </w:tcMar>
            <w:vAlign w:val="center"/>
          </w:tcPr>
          <w:p w14:paraId="55F4846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有效线索（手机号短信验证，去重后）</w:t>
            </w:r>
          </w:p>
        </w:tc>
        <w:tc>
          <w:tcPr>
            <w:tcW w:w="3260" w:type="dxa"/>
            <w:tcMar>
              <w:top w:w="150" w:type="dxa"/>
              <w:left w:w="240" w:type="dxa"/>
              <w:bottom w:w="150" w:type="dxa"/>
              <w:right w:w="0" w:type="dxa"/>
            </w:tcMar>
            <w:vAlign w:val="center"/>
          </w:tcPr>
          <w:p w14:paraId="2088B645">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≥10,000条</w:t>
            </w:r>
          </w:p>
        </w:tc>
      </w:tr>
      <w:tr w14:paraId="2A75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227A651E">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2</w:t>
            </w:r>
          </w:p>
        </w:tc>
        <w:tc>
          <w:tcPr>
            <w:tcW w:w="4111" w:type="dxa"/>
            <w:tcMar>
              <w:top w:w="150" w:type="dxa"/>
              <w:left w:w="240" w:type="dxa"/>
              <w:bottom w:w="150" w:type="dxa"/>
              <w:right w:w="240" w:type="dxa"/>
            </w:tcMar>
            <w:vAlign w:val="center"/>
          </w:tcPr>
          <w:p w14:paraId="4C85F55B">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AI营销视频</w:t>
            </w:r>
          </w:p>
        </w:tc>
        <w:tc>
          <w:tcPr>
            <w:tcW w:w="3260" w:type="dxa"/>
            <w:tcMar>
              <w:top w:w="150" w:type="dxa"/>
              <w:left w:w="240" w:type="dxa"/>
              <w:bottom w:w="150" w:type="dxa"/>
              <w:right w:w="0" w:type="dxa"/>
            </w:tcMar>
            <w:vAlign w:val="center"/>
          </w:tcPr>
          <w:p w14:paraId="4A228C82">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≥4000条</w:t>
            </w:r>
          </w:p>
        </w:tc>
      </w:tr>
      <w:tr w14:paraId="71FB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6E18DD23">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3</w:t>
            </w:r>
          </w:p>
        </w:tc>
        <w:tc>
          <w:tcPr>
            <w:tcW w:w="4111" w:type="dxa"/>
            <w:tcMar>
              <w:top w:w="150" w:type="dxa"/>
              <w:left w:w="240" w:type="dxa"/>
              <w:bottom w:w="150" w:type="dxa"/>
              <w:right w:w="240" w:type="dxa"/>
            </w:tcMar>
            <w:vAlign w:val="center"/>
          </w:tcPr>
          <w:p w14:paraId="4AE878A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朋友圈可用素材</w:t>
            </w:r>
          </w:p>
        </w:tc>
        <w:tc>
          <w:tcPr>
            <w:tcW w:w="3260" w:type="dxa"/>
            <w:tcMar>
              <w:top w:w="150" w:type="dxa"/>
              <w:left w:w="240" w:type="dxa"/>
              <w:bottom w:w="150" w:type="dxa"/>
              <w:right w:w="0" w:type="dxa"/>
            </w:tcMar>
            <w:vAlign w:val="center"/>
          </w:tcPr>
          <w:p w14:paraId="5368AE80">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≥20000张/组</w:t>
            </w:r>
          </w:p>
        </w:tc>
      </w:tr>
      <w:tr w14:paraId="6E31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4F0EFBB7">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4</w:t>
            </w:r>
          </w:p>
        </w:tc>
        <w:tc>
          <w:tcPr>
            <w:tcW w:w="4111" w:type="dxa"/>
            <w:tcMar>
              <w:top w:w="150" w:type="dxa"/>
              <w:left w:w="240" w:type="dxa"/>
              <w:bottom w:w="150" w:type="dxa"/>
              <w:right w:w="240" w:type="dxa"/>
            </w:tcMar>
            <w:vAlign w:val="center"/>
          </w:tcPr>
          <w:p w14:paraId="0CDB838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公众号/小红书/小绿书种草文案</w:t>
            </w:r>
          </w:p>
        </w:tc>
        <w:tc>
          <w:tcPr>
            <w:tcW w:w="3260" w:type="dxa"/>
            <w:tcMar>
              <w:top w:w="150" w:type="dxa"/>
              <w:left w:w="240" w:type="dxa"/>
              <w:bottom w:w="150" w:type="dxa"/>
              <w:right w:w="0" w:type="dxa"/>
            </w:tcMar>
            <w:vAlign w:val="center"/>
          </w:tcPr>
          <w:p w14:paraId="5C52C3E3">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≥5000篇</w:t>
            </w:r>
          </w:p>
        </w:tc>
      </w:tr>
      <w:tr w14:paraId="3E21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9" w:type="dxa"/>
            <w:tcMar>
              <w:top w:w="150" w:type="dxa"/>
              <w:left w:w="0" w:type="dxa"/>
              <w:bottom w:w="150" w:type="dxa"/>
              <w:right w:w="240" w:type="dxa"/>
            </w:tcMar>
            <w:vAlign w:val="center"/>
          </w:tcPr>
          <w:p w14:paraId="07581CBB">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5</w:t>
            </w:r>
          </w:p>
        </w:tc>
        <w:tc>
          <w:tcPr>
            <w:tcW w:w="4111" w:type="dxa"/>
            <w:tcMar>
              <w:top w:w="150" w:type="dxa"/>
              <w:left w:w="240" w:type="dxa"/>
              <w:bottom w:w="150" w:type="dxa"/>
              <w:right w:w="240" w:type="dxa"/>
            </w:tcMar>
            <w:vAlign w:val="center"/>
          </w:tcPr>
          <w:p w14:paraId="5A52ECE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全平台自然曝光量（不含付费投流）</w:t>
            </w:r>
          </w:p>
        </w:tc>
        <w:tc>
          <w:tcPr>
            <w:tcW w:w="3260" w:type="dxa"/>
            <w:tcMar>
              <w:top w:w="150" w:type="dxa"/>
              <w:left w:w="240" w:type="dxa"/>
              <w:bottom w:w="150" w:type="dxa"/>
              <w:right w:w="0" w:type="dxa"/>
            </w:tcMar>
            <w:vAlign w:val="center"/>
          </w:tcPr>
          <w:p w14:paraId="3A5731E2">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≥800万次</w:t>
            </w:r>
          </w:p>
        </w:tc>
      </w:tr>
    </w:tbl>
    <w:p w14:paraId="286012EE">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3.2 交付物清单</w:t>
      </w:r>
    </w:p>
    <w:p w14:paraId="08C2F953">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除上述量化指标对应的内容成果外，乙方还应交付：</w:t>
      </w:r>
    </w:p>
    <w:p w14:paraId="3AE395DB">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（1）AI智能客服系统（含部署、配置、知识库）；</w:t>
      </w:r>
    </w:p>
    <w:p w14:paraId="47F8CEF2">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（2）智能管理助手数据看板（Web端）；</w:t>
      </w:r>
    </w:p>
    <w:p w14:paraId="2F27F255">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（3）项目服务总结报告；</w:t>
      </w:r>
    </w:p>
    <w:p w14:paraId="2A88673E">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（4）知识库完整导出文件。</w:t>
      </w:r>
    </w:p>
    <w:p w14:paraId="4DED907C">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第四条 服务期限</w:t>
      </w:r>
    </w:p>
    <w:p w14:paraId="2DCCD28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4.1 本合同服务期限为</w:t>
      </w:r>
      <w:r>
        <w:rPr>
          <w:rFonts w:hAnsi="宋体"/>
          <w:bCs/>
          <w:color w:val="auto"/>
          <w:sz w:val="21"/>
          <w:szCs w:val="21"/>
          <w:highlight w:val="none"/>
          <w:u w:val="single"/>
          <w:lang w:val="zh-CN"/>
        </w:rPr>
        <w:t>12个月</w:t>
      </w:r>
      <w:r>
        <w:rPr>
          <w:rFonts w:hAnsi="宋体"/>
          <w:bCs/>
          <w:color w:val="auto"/>
          <w:sz w:val="21"/>
          <w:szCs w:val="21"/>
          <w:highlight w:val="none"/>
          <w:lang w:val="zh-CN"/>
        </w:rPr>
        <w:t>，自合同签订之日起计算。</w:t>
      </w:r>
    </w:p>
    <w:p w14:paraId="25B4FA4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4.2 因甲方原因导致项目延期，服务期限相应顺延。因乙方原因导致延期，按本合同第九条约定承担违约责任。</w:t>
      </w:r>
    </w:p>
    <w:p w14:paraId="2AF16376">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第五条 合同价款与支付方式</w:t>
      </w:r>
    </w:p>
    <w:p w14:paraId="0981632A">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5.1 合同价款</w:t>
      </w:r>
    </w:p>
    <w:p w14:paraId="43C5E5B3">
      <w:pPr>
        <w:snapToGrid w:val="0"/>
        <w:spacing w:line="360" w:lineRule="auto"/>
        <w:ind w:firstLine="420" w:firstLineChars="200"/>
        <w:rPr>
          <w:rFonts w:hint="eastAsia" w:hAnsi="宋体"/>
          <w:bCs/>
          <w:color w:val="auto"/>
          <w:sz w:val="21"/>
          <w:szCs w:val="21"/>
          <w:highlight w:val="none"/>
          <w:lang w:val="zh-CN"/>
        </w:rPr>
      </w:pPr>
      <w:r>
        <w:rPr>
          <w:rFonts w:hint="eastAsia" w:hAnsi="宋体"/>
          <w:bCs/>
          <w:color w:val="auto"/>
          <w:sz w:val="21"/>
          <w:szCs w:val="21"/>
          <w:highlight w:val="none"/>
          <w:lang w:val="zh-CN"/>
        </w:rPr>
        <w:t>合同含税总价款为</w:t>
      </w:r>
      <w:r>
        <w:rPr>
          <w:rFonts w:hint="eastAsia" w:hAnsi="宋体"/>
          <w:bCs/>
          <w:color w:val="auto"/>
          <w:sz w:val="21"/>
          <w:szCs w:val="21"/>
          <w:highlight w:val="none"/>
          <w:u w:val="single"/>
          <w:lang w:val="zh-CN"/>
        </w:rPr>
        <w:t xml:space="preserve"> </w:t>
      </w:r>
      <w:r>
        <w:rPr>
          <w:rFonts w:hAnsi="宋体"/>
          <w:bCs/>
          <w:color w:val="auto"/>
          <w:sz w:val="21"/>
          <w:szCs w:val="21"/>
          <w:highlight w:val="none"/>
          <w:u w:val="single"/>
          <w:lang w:val="zh-CN"/>
        </w:rPr>
        <w:t xml:space="preserve">      </w:t>
      </w:r>
      <w:r>
        <w:rPr>
          <w:rFonts w:hint="eastAsia" w:hAnsi="宋体"/>
          <w:bCs/>
          <w:color w:val="auto"/>
          <w:sz w:val="21"/>
          <w:szCs w:val="21"/>
          <w:highlight w:val="none"/>
          <w:lang w:val="zh-CN"/>
        </w:rPr>
        <w:t>元（大写人民币</w:t>
      </w:r>
      <w:r>
        <w:rPr>
          <w:rFonts w:hint="eastAsia" w:hAnsi="宋体"/>
          <w:bCs/>
          <w:color w:val="auto"/>
          <w:sz w:val="21"/>
          <w:szCs w:val="21"/>
          <w:highlight w:val="none"/>
          <w:u w:val="single"/>
          <w:lang w:val="zh-CN"/>
        </w:rPr>
        <w:t xml:space="preserve"> </w:t>
      </w:r>
      <w:r>
        <w:rPr>
          <w:rFonts w:hAnsi="宋体"/>
          <w:bCs/>
          <w:color w:val="auto"/>
          <w:sz w:val="21"/>
          <w:szCs w:val="21"/>
          <w:highlight w:val="none"/>
          <w:u w:val="single"/>
          <w:lang w:val="zh-CN"/>
        </w:rPr>
        <w:t xml:space="preserve">      </w:t>
      </w:r>
      <w:r>
        <w:rPr>
          <w:rFonts w:hint="eastAsia" w:hAnsi="宋体"/>
          <w:bCs/>
          <w:color w:val="auto"/>
          <w:sz w:val="21"/>
          <w:szCs w:val="21"/>
          <w:highlight w:val="none"/>
          <w:lang w:val="zh-CN"/>
        </w:rPr>
        <w:t>）；其中：增值税税率：</w:t>
      </w:r>
      <w:r>
        <w:rPr>
          <w:rFonts w:hAnsi="宋体"/>
          <w:bCs/>
          <w:color w:val="auto"/>
          <w:sz w:val="21"/>
          <w:szCs w:val="21"/>
          <w:highlight w:val="none"/>
          <w:u w:val="single"/>
          <w:lang w:val="zh-CN"/>
        </w:rPr>
        <w:t xml:space="preserve">         </w:t>
      </w:r>
      <w:r>
        <w:rPr>
          <w:rFonts w:hint="eastAsia" w:hAnsi="宋体"/>
          <w:bCs/>
          <w:color w:val="auto"/>
          <w:sz w:val="21"/>
          <w:szCs w:val="21"/>
          <w:highlight w:val="none"/>
          <w:lang w:val="zh-CN"/>
        </w:rPr>
        <w:t>%，税金金额</w:t>
      </w:r>
      <w:r>
        <w:rPr>
          <w:rFonts w:hint="eastAsia" w:hAnsi="宋体"/>
          <w:bCs/>
          <w:color w:val="auto"/>
          <w:sz w:val="21"/>
          <w:szCs w:val="21"/>
          <w:highlight w:val="none"/>
          <w:u w:val="single"/>
          <w:lang w:val="zh-CN"/>
        </w:rPr>
        <w:t xml:space="preserve"> </w:t>
      </w:r>
      <w:r>
        <w:rPr>
          <w:rFonts w:hAnsi="宋体"/>
          <w:bCs/>
          <w:color w:val="auto"/>
          <w:sz w:val="21"/>
          <w:szCs w:val="21"/>
          <w:highlight w:val="none"/>
          <w:u w:val="single"/>
          <w:lang w:val="zh-CN"/>
        </w:rPr>
        <w:t xml:space="preserve">     </w:t>
      </w:r>
      <w:r>
        <w:rPr>
          <w:rFonts w:hint="eastAsia" w:hAnsi="宋体"/>
          <w:bCs/>
          <w:color w:val="auto"/>
          <w:sz w:val="21"/>
          <w:szCs w:val="21"/>
          <w:highlight w:val="none"/>
          <w:lang w:val="zh-CN"/>
        </w:rPr>
        <w:t>元，不含税合同总价款为</w:t>
      </w:r>
      <w:r>
        <w:rPr>
          <w:rFonts w:hint="eastAsia" w:hAnsi="宋体"/>
          <w:bCs/>
          <w:color w:val="auto"/>
          <w:sz w:val="21"/>
          <w:szCs w:val="21"/>
          <w:highlight w:val="none"/>
          <w:u w:val="single"/>
          <w:lang w:val="zh-CN"/>
        </w:rPr>
        <w:t xml:space="preserve"> </w:t>
      </w:r>
      <w:r>
        <w:rPr>
          <w:rFonts w:hAnsi="宋体"/>
          <w:bCs/>
          <w:color w:val="auto"/>
          <w:sz w:val="21"/>
          <w:szCs w:val="21"/>
          <w:highlight w:val="none"/>
          <w:u w:val="single"/>
          <w:lang w:val="zh-CN"/>
        </w:rPr>
        <w:t xml:space="preserve">     </w:t>
      </w:r>
      <w:r>
        <w:rPr>
          <w:rFonts w:hint="eastAsia" w:hAnsi="宋体"/>
          <w:bCs/>
          <w:color w:val="auto"/>
          <w:sz w:val="21"/>
          <w:szCs w:val="21"/>
          <w:highlight w:val="none"/>
          <w:lang w:val="zh-CN"/>
        </w:rPr>
        <w:t>元</w:t>
      </w:r>
      <w:r>
        <w:rPr>
          <w:rFonts w:hAnsi="宋体"/>
          <w:bCs/>
          <w:color w:val="auto"/>
          <w:sz w:val="21"/>
          <w:szCs w:val="21"/>
          <w:highlight w:val="none"/>
          <w:lang w:val="zh-CN"/>
        </w:rPr>
        <w:t>。</w:t>
      </w:r>
    </w:p>
    <w:p w14:paraId="1A09DAA6">
      <w:pPr>
        <w:snapToGrid w:val="0"/>
        <w:spacing w:line="360" w:lineRule="auto"/>
        <w:ind w:firstLine="420" w:firstLineChars="200"/>
        <w:rPr>
          <w:rFonts w:hint="eastAsia" w:hAnsi="宋体"/>
          <w:bCs/>
          <w:color w:val="auto"/>
          <w:sz w:val="21"/>
          <w:szCs w:val="21"/>
          <w:highlight w:val="none"/>
          <w:lang w:val="zh-CN"/>
        </w:rPr>
      </w:pPr>
      <w:r>
        <w:rPr>
          <w:rFonts w:hint="eastAsia" w:hAnsi="宋体"/>
          <w:bCs/>
          <w:color w:val="auto"/>
          <w:sz w:val="21"/>
          <w:szCs w:val="21"/>
          <w:highlight w:val="none"/>
          <w:lang w:val="zh-CN"/>
        </w:rPr>
        <w:t>合同</w:t>
      </w:r>
      <w:r>
        <w:rPr>
          <w:rFonts w:hAnsi="宋体"/>
          <w:bCs/>
          <w:color w:val="auto"/>
          <w:sz w:val="21"/>
          <w:szCs w:val="21"/>
          <w:highlight w:val="none"/>
          <w:lang w:val="zh-CN"/>
        </w:rPr>
        <w:t>价款为固定总价，包含AI系统部署费、定制开发费、数字人形象定制/授权费、内容生产费（含AI生成、拍摄、剪辑、设计）、运营陪跑费、培训费、技术支持费、差旅费、税费等乙方为履行本合同义务所需的一切费用。除本合同另有约定外，甲方不再支付任何额外费用。</w:t>
      </w:r>
    </w:p>
    <w:p w14:paraId="0715C4E3">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5.2 支付方式</w:t>
      </w:r>
    </w:p>
    <w:p w14:paraId="692EDCE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5.2.1 按月支付：甲方于次月10日前支付上月服务费用。每月支付金额=合同总价款÷ 12。</w:t>
      </w:r>
    </w:p>
    <w:p w14:paraId="45DC883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5.2.2 付款条件：乙方须于每月5日前提交上月《量化指标完成报告》（须附各平台后台截图、数据导出文件、AI内容原创度检测报告），经甲方书面审核确认合格后，</w:t>
      </w:r>
      <w:r>
        <w:rPr>
          <w:rFonts w:hint="eastAsia" w:hAnsi="宋体"/>
          <w:bCs/>
          <w:color w:val="auto"/>
          <w:sz w:val="21"/>
          <w:szCs w:val="21"/>
          <w:highlight w:val="none"/>
          <w:lang w:val="zh-CN"/>
        </w:rPr>
        <w:t>乙方提供请款资料，甲方审核无误后，支付至请款金额的1</w:t>
      </w:r>
      <w:r>
        <w:rPr>
          <w:rFonts w:hAnsi="宋体"/>
          <w:bCs/>
          <w:color w:val="auto"/>
          <w:sz w:val="21"/>
          <w:szCs w:val="21"/>
          <w:highlight w:val="none"/>
          <w:lang w:val="zh-CN"/>
        </w:rPr>
        <w:t>00%。</w:t>
      </w:r>
    </w:p>
    <w:p w14:paraId="3862961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5.2.3</w:t>
      </w:r>
      <w:r>
        <w:rPr>
          <w:rFonts w:hint="eastAsia" w:hAnsi="宋体"/>
          <w:bCs/>
          <w:color w:val="auto"/>
          <w:sz w:val="21"/>
          <w:szCs w:val="21"/>
          <w:highlight w:val="none"/>
          <w:lang w:val="zh-CN"/>
        </w:rPr>
        <w:t>发票要求</w:t>
      </w:r>
      <w:r>
        <w:rPr>
          <w:rFonts w:hAnsi="宋体"/>
          <w:bCs/>
          <w:color w:val="auto"/>
          <w:sz w:val="21"/>
          <w:szCs w:val="21"/>
          <w:highlight w:val="none"/>
          <w:lang w:val="zh-CN"/>
        </w:rPr>
        <w:t>：</w:t>
      </w:r>
      <w:r>
        <w:rPr>
          <w:rFonts w:hint="eastAsia" w:hAnsi="宋体"/>
          <w:bCs/>
          <w:color w:val="auto"/>
          <w:sz w:val="21"/>
          <w:szCs w:val="21"/>
          <w:highlight w:val="none"/>
          <w:lang w:val="zh-CN"/>
        </w:rPr>
        <w:t>每次付款前，乙方必须提供合法有效、与合同条款中增值税税率一致的增值税专用发票给甲方，否则甲方有权拒绝付款且不构成违约；在甲方除支付质保金外的最后一期款项前，乙方须连同当期支付款项发票和质保金一并提交甲方；若后续出现质保问题，按照质保责任和条款，部分或全部扣除质保金的，不退还相应金额的发票。若合同执行期间，遇国家税务政策调整引起的合同价格变化，按照不含税价格调整结算价格</w:t>
      </w:r>
      <w:r>
        <w:rPr>
          <w:rFonts w:hAnsi="宋体"/>
          <w:bCs/>
          <w:color w:val="auto"/>
          <w:sz w:val="21"/>
          <w:szCs w:val="21"/>
          <w:highlight w:val="none"/>
          <w:lang w:val="zh-CN"/>
        </w:rPr>
        <w:t>。</w:t>
      </w:r>
    </w:p>
    <w:p w14:paraId="3924268D">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第六条 部署、交付与验收</w:t>
      </w:r>
    </w:p>
    <w:p w14:paraId="3AE7CC49">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6.1 前期部署</w:t>
      </w:r>
    </w:p>
    <w:p w14:paraId="6994D6EC">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6.1.1 乙方应于合同签订后30日内完成以下工作：</w:t>
      </w:r>
    </w:p>
    <w:p w14:paraId="0E0603B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（1）完成AI系统部署、各平台账号对接；</w:t>
      </w:r>
    </w:p>
    <w:p w14:paraId="17CA21A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（2）完成知识库搭建（甲方提供房源基础资料，乙方结构化录入并训练），知识库验收时甲方可随机抽取50个问题测试，回答准确率不低于90%；</w:t>
      </w:r>
    </w:p>
    <w:p w14:paraId="407911A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（3）完成数字人形象定制（如适用）；</w:t>
      </w:r>
    </w:p>
    <w:p w14:paraId="7FA615C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（4）完成至少1次实地拍摄（莞寓公区、样板间等），产出不少于200张高清原图、20个实拍视频素材。</w:t>
      </w:r>
    </w:p>
    <w:p w14:paraId="219EF17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6.1.2 系统试运行：部署完成后进行不少于15天试运行，试运行期内完成功能测试、性能测试、安全测试，测试通过后方可进入正式服务期。</w:t>
      </w:r>
    </w:p>
    <w:p w14:paraId="69A1A769">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6.2 运营与技术支持</w:t>
      </w:r>
    </w:p>
    <w:p w14:paraId="79A050C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6.2.1系统运维：乙方提供7×24小时系统故障处理，响应时间不超过2小时，修复时间不超过24小时。</w:t>
      </w:r>
    </w:p>
    <w:p w14:paraId="164859E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6.2.2账号与培训：乙方提供无限子账号开通，为甲方运营团队提供不少于3次集中培训（每次不少于2小时），配备专属客服群进行日常答疑。</w:t>
      </w:r>
    </w:p>
    <w:p w14:paraId="70AEE5BC">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6.2.3陪跑服务：每月至少1次运营复盘会议，协助优化内容策略和客服话术。</w:t>
      </w:r>
    </w:p>
    <w:p w14:paraId="00B05B2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6.2.4内容审核：甲方有权按不低于10%的比例对AI生成内容进行抽检。抽检不合格率超过20%的，乙方须在3个工作日内完成整改。连续两个月抽检不合格率超过20%的，甲方有权解除合同。</w:t>
      </w:r>
    </w:p>
    <w:p w14:paraId="08A6AD2F">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6.3 中期考核</w:t>
      </w:r>
    </w:p>
    <w:p w14:paraId="7D4EA3C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6.3.1 合同第6个月末进行中期考核，考核指标如下：</w:t>
      </w:r>
    </w:p>
    <w:tbl>
      <w:tblPr>
        <w:tblStyle w:val="54"/>
        <w:tblW w:w="7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38"/>
        <w:gridCol w:w="2835"/>
        <w:gridCol w:w="2552"/>
      </w:tblGrid>
      <w:tr w14:paraId="14AC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1838" w:type="dxa"/>
            <w:tcMar>
              <w:top w:w="150" w:type="dxa"/>
              <w:left w:w="0" w:type="dxa"/>
              <w:bottom w:w="150" w:type="dxa"/>
              <w:right w:w="240" w:type="dxa"/>
            </w:tcMar>
            <w:vAlign w:val="center"/>
          </w:tcPr>
          <w:p w14:paraId="4CED6451">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指标</w:t>
            </w:r>
          </w:p>
        </w:tc>
        <w:tc>
          <w:tcPr>
            <w:tcW w:w="2835" w:type="dxa"/>
            <w:tcMar>
              <w:top w:w="150" w:type="dxa"/>
              <w:left w:w="240" w:type="dxa"/>
              <w:bottom w:w="150" w:type="dxa"/>
              <w:right w:w="240" w:type="dxa"/>
            </w:tcMar>
            <w:vAlign w:val="center"/>
          </w:tcPr>
          <w:p w14:paraId="4A2E4C05">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目标值</w:t>
            </w:r>
          </w:p>
        </w:tc>
        <w:tc>
          <w:tcPr>
            <w:tcW w:w="2552" w:type="dxa"/>
            <w:tcMar>
              <w:top w:w="150" w:type="dxa"/>
              <w:left w:w="240" w:type="dxa"/>
              <w:bottom w:w="150" w:type="dxa"/>
              <w:right w:w="240" w:type="dxa"/>
            </w:tcMar>
            <w:vAlign w:val="center"/>
          </w:tcPr>
          <w:p w14:paraId="6D27386D">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完成率要求</w:t>
            </w:r>
          </w:p>
        </w:tc>
      </w:tr>
      <w:tr w14:paraId="5053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38" w:type="dxa"/>
            <w:tcMar>
              <w:top w:w="150" w:type="dxa"/>
              <w:left w:w="0" w:type="dxa"/>
              <w:bottom w:w="150" w:type="dxa"/>
              <w:right w:w="240" w:type="dxa"/>
            </w:tcMar>
            <w:vAlign w:val="center"/>
          </w:tcPr>
          <w:p w14:paraId="3CC003CF">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线索累计</w:t>
            </w:r>
          </w:p>
        </w:tc>
        <w:tc>
          <w:tcPr>
            <w:tcW w:w="2835" w:type="dxa"/>
            <w:tcMar>
              <w:top w:w="150" w:type="dxa"/>
              <w:left w:w="240" w:type="dxa"/>
              <w:bottom w:w="150" w:type="dxa"/>
              <w:right w:w="240" w:type="dxa"/>
            </w:tcMar>
            <w:vAlign w:val="center"/>
          </w:tcPr>
          <w:p w14:paraId="2D5EFF42">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≥4,000条</w:t>
            </w:r>
          </w:p>
        </w:tc>
        <w:tc>
          <w:tcPr>
            <w:tcW w:w="2552" w:type="dxa"/>
            <w:tcMar>
              <w:top w:w="150" w:type="dxa"/>
              <w:left w:w="240" w:type="dxa"/>
              <w:bottom w:w="150" w:type="dxa"/>
              <w:right w:w="0" w:type="dxa"/>
            </w:tcMar>
            <w:vAlign w:val="center"/>
          </w:tcPr>
          <w:p w14:paraId="30733F66">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≥40%</w:t>
            </w:r>
          </w:p>
        </w:tc>
      </w:tr>
      <w:tr w14:paraId="302B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38" w:type="dxa"/>
            <w:tcMar>
              <w:top w:w="150" w:type="dxa"/>
              <w:left w:w="0" w:type="dxa"/>
              <w:bottom w:w="150" w:type="dxa"/>
              <w:right w:w="240" w:type="dxa"/>
            </w:tcMar>
            <w:vAlign w:val="center"/>
          </w:tcPr>
          <w:p w14:paraId="412862BC">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视频累计</w:t>
            </w:r>
          </w:p>
        </w:tc>
        <w:tc>
          <w:tcPr>
            <w:tcW w:w="2835" w:type="dxa"/>
            <w:tcMar>
              <w:top w:w="150" w:type="dxa"/>
              <w:left w:w="240" w:type="dxa"/>
              <w:bottom w:w="150" w:type="dxa"/>
              <w:right w:w="240" w:type="dxa"/>
            </w:tcMar>
            <w:vAlign w:val="center"/>
          </w:tcPr>
          <w:p w14:paraId="4560AD40">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≥1800条</w:t>
            </w:r>
          </w:p>
        </w:tc>
        <w:tc>
          <w:tcPr>
            <w:tcW w:w="2552" w:type="dxa"/>
            <w:tcMar>
              <w:top w:w="150" w:type="dxa"/>
              <w:left w:w="240" w:type="dxa"/>
              <w:bottom w:w="150" w:type="dxa"/>
              <w:right w:w="0" w:type="dxa"/>
            </w:tcMar>
            <w:vAlign w:val="center"/>
          </w:tcPr>
          <w:p w14:paraId="28E339C2">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≥45%</w:t>
            </w:r>
          </w:p>
        </w:tc>
      </w:tr>
      <w:tr w14:paraId="2DBD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38" w:type="dxa"/>
            <w:tcMar>
              <w:top w:w="150" w:type="dxa"/>
              <w:left w:w="0" w:type="dxa"/>
              <w:bottom w:w="150" w:type="dxa"/>
              <w:right w:w="240" w:type="dxa"/>
            </w:tcMar>
            <w:vAlign w:val="center"/>
          </w:tcPr>
          <w:p w14:paraId="102F87C5">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曝光累计</w:t>
            </w:r>
          </w:p>
        </w:tc>
        <w:tc>
          <w:tcPr>
            <w:tcW w:w="2835" w:type="dxa"/>
            <w:tcMar>
              <w:top w:w="150" w:type="dxa"/>
              <w:left w:w="240" w:type="dxa"/>
              <w:bottom w:w="150" w:type="dxa"/>
              <w:right w:w="240" w:type="dxa"/>
            </w:tcMar>
            <w:vAlign w:val="center"/>
          </w:tcPr>
          <w:p w14:paraId="0A7859DA">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≥280万次</w:t>
            </w:r>
          </w:p>
        </w:tc>
        <w:tc>
          <w:tcPr>
            <w:tcW w:w="2552" w:type="dxa"/>
            <w:tcMar>
              <w:top w:w="150" w:type="dxa"/>
              <w:left w:w="240" w:type="dxa"/>
              <w:bottom w:w="150" w:type="dxa"/>
              <w:right w:w="0" w:type="dxa"/>
            </w:tcMar>
            <w:vAlign w:val="center"/>
          </w:tcPr>
          <w:p w14:paraId="461BA609">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≥35%</w:t>
            </w:r>
          </w:p>
        </w:tc>
      </w:tr>
    </w:tbl>
    <w:p w14:paraId="587F52D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6.3.2 若三项指标均低于上述目标值的80%，甲方有权要求乙方整改。整改期为1个月，整改期内每月至少完成考核指标缺口的30%。</w:t>
      </w:r>
    </w:p>
    <w:p w14:paraId="2799190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6.3.3 整改期满仍不达标的，甲方有权单方解除合同，并按实际完成比例结算费用。</w:t>
      </w:r>
    </w:p>
    <w:p w14:paraId="376314F7">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6.4 最终验收</w:t>
      </w:r>
    </w:p>
    <w:p w14:paraId="6F280A4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6.4.1 合同结束前15日，乙方须提供以下资料：</w:t>
      </w:r>
    </w:p>
    <w:p w14:paraId="6E1EB7EE">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（1）全部交付内容的最终汇总及数据导出；</w:t>
      </w:r>
    </w:p>
    <w:p w14:paraId="2B830E96">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（2）服务总结报告；</w:t>
      </w:r>
    </w:p>
    <w:p w14:paraId="5DD36456">
      <w:pPr>
        <w:snapToGrid w:val="0"/>
        <w:spacing w:line="360" w:lineRule="auto"/>
        <w:ind w:firstLine="420" w:firstLineChars="200"/>
        <w:rPr>
          <w:rFonts w:hint="eastAsia" w:hAnsi="宋体"/>
          <w:bCs/>
          <w:color w:val="auto"/>
          <w:sz w:val="21"/>
          <w:szCs w:val="21"/>
          <w:highlight w:val="none"/>
          <w:lang w:val="zh-CN"/>
        </w:rPr>
      </w:pPr>
      <w:r>
        <w:rPr>
          <w:rFonts w:hAnsi="宋体"/>
          <w:bCs/>
          <w:color w:val="auto"/>
          <w:sz w:val="21"/>
          <w:szCs w:val="21"/>
          <w:highlight w:val="none"/>
          <w:lang w:val="zh-CN"/>
        </w:rPr>
        <w:t>（3）知识库完整导出文件。</w:t>
      </w:r>
    </w:p>
    <w:p w14:paraId="11BD1AE6">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6.4.2 甲方在收到上述资料后15个工作日内完成最终验收。验收合格的，出具最终验收合格证明。</w:t>
      </w:r>
    </w:p>
    <w:p w14:paraId="1EBDB35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6.4.3 验收不合格的，乙方应在10个工作日内完成整改并重新提交验收，由此产生的费用由乙方承担。</w:t>
      </w:r>
    </w:p>
    <w:p w14:paraId="6E96A709">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第七条 知识产权</w:t>
      </w:r>
    </w:p>
    <w:p w14:paraId="24930393">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7.1 知识产权归属</w:t>
      </w:r>
    </w:p>
    <w:p w14:paraId="36FCE94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7.1.1甲方所有权：所有用户线索、房源数据、AI生成内容（包括但不限于AI生成的视频、图片、文案等）的知识产权及所有其他权利归甲方所有。乙方不得将上述内容用于本项目之外的任何用途。</w:t>
      </w:r>
    </w:p>
    <w:p w14:paraId="1F8D4E1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7.1.2乙方所有权：AI工具本身（包括但不限于AI智能客服系统软件、AI内容生成引擎等）的知识产权归乙方所有，甲方获得的是本合同服务期内的使用权。</w:t>
      </w:r>
    </w:p>
    <w:p w14:paraId="0AF8816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7.1.3衍生成果：利用甲方数据训练模型产生的衍生成果（包括但不限于优化后的算法模型、知识库等）归甲方所有。</w:t>
      </w:r>
    </w:p>
    <w:p w14:paraId="7A89DC4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7.1.4合同终止后：乙方不得将服务期间习得的甲方业务知识（包括但不限于房源信息、客户画像、运营策略等）用于其他客户或任何商业用途。</w:t>
      </w:r>
    </w:p>
    <w:p w14:paraId="15D3A985">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7.2 知识产权保证</w:t>
      </w:r>
    </w:p>
    <w:p w14:paraId="741B093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7.2.1乙方保证提供的AI工具、数字人形象、音乐、图片、字体等均拥有合法授权，不侵犯任何第三方知识产权或其他合法权益。</w:t>
      </w:r>
    </w:p>
    <w:p w14:paraId="4C3C674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7.2.2 如因乙方提供的内容或工具引发任何第三方侵权索赔、诉讼或争议，由乙方承担全部法律责任及赔偿，并赔偿甲方因此遭受的全部损失（包括但不限于赔偿款、诉讼费、律师费、公证费、差旅费等）。</w:t>
      </w:r>
    </w:p>
    <w:p w14:paraId="4452FDE9">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第八条 数据安全与保密</w:t>
      </w:r>
    </w:p>
    <w:p w14:paraId="3EE3BBCC">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8.1 数据安全</w:t>
      </w:r>
    </w:p>
    <w:p w14:paraId="41A8470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8.1.1 乙方应遵守《中华人民共和国网络安全法》《中华人民共和国数据安全法》《中华人民共和国个人信息保护法》等相关法律法规的规定，采取数据加密、访问控制、日志审计等技术措施和管理措施，确保甲方数据的安全性和完整性。</w:t>
      </w:r>
    </w:p>
    <w:p w14:paraId="6FB9505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8.1.2 乙方处理甲方提供的个人信息，应遵循合法、正当、必要和诚信原则，不得过度收集个人信息，不得超出本合同约定的目的和范围处理个人信息。</w:t>
      </w:r>
    </w:p>
    <w:p w14:paraId="334C55C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8.1.3 乙方不得将甲方数据（包括但不限于用户线索、房源数据、内容素材等）传输至中华人民共和国境外服务器或存储于境外的任何介质中。</w:t>
      </w:r>
    </w:p>
    <w:p w14:paraId="1282847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8.1.4 乙方应制定数据安全应急预案，发生数据安全事件时，应立即采取补救措施，并在2小时内通知甲方，同时按照相关规定向有关主管部门报告。</w:t>
      </w:r>
    </w:p>
    <w:p w14:paraId="34216BCE">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8.2 保密义务</w:t>
      </w:r>
    </w:p>
    <w:p w14:paraId="013180C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8.2.1甲乙双方应对因履行本合同而知悉的对方商业秘密承担保密义务。未经对方书面同意，任何一方不得向第三方披露对方的商业秘密。</w:t>
      </w:r>
    </w:p>
    <w:p w14:paraId="6325011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8.2.2乙方的保密义务不因本合同的终止而终止，应持续有效直至该等信息进入公有领域。</w:t>
      </w:r>
    </w:p>
    <w:p w14:paraId="1DA7CA2B">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8.2.3甲方为履行本合同向乙方提供的所有资料、数据、信息等，乙方仅可用于本合同约定的服务目的，不得用于任何其他用途。</w:t>
      </w:r>
    </w:p>
    <w:p w14:paraId="49038765">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8.3 数据销毁</w:t>
      </w:r>
    </w:p>
    <w:p w14:paraId="276E1B3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8.3.1 本合同终止后7个工作日内，乙方须删除本地留存的全部甲方数据（包括但不限于用户线索、房源数据、内容素材、知识库等），并提供经甲方认可的删除证明。</w:t>
      </w:r>
    </w:p>
    <w:p w14:paraId="4617BC1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8.3.2 如涉及数字人形象克隆的，乙方须同时删除全部形象数据。</w:t>
      </w:r>
    </w:p>
    <w:p w14:paraId="1796A7E7">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第九条 违约责任</w:t>
      </w:r>
    </w:p>
    <w:p w14:paraId="09B40696">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9.1 乙方违约</w:t>
      </w:r>
    </w:p>
    <w:p w14:paraId="5A6D6EC6">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9.1.1延期交付：因乙方原因导致项目延期或服务延迟的，每延期一日，乙方应向甲方支付合同总价款0.1%的违约金。延期超过30日的，甲方有权单方解除合同。</w:t>
      </w:r>
    </w:p>
    <w:p w14:paraId="333F8A4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9.1.2质量不合格：乙方交付的内容或服务不符合本合同约定的技术标准或质量要求的，甲方有权要求乙方在指定期限内免费整改。整改后仍不符合要求的，甲方有权拒付相应款项，并要求乙方支付该部分服务费20%的违约金。</w:t>
      </w:r>
    </w:p>
    <w:p w14:paraId="27A9AD2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9.1.3量化指标未达标：合同期满，乙方未能完成本合同第三条约定之量化指标的，甲方有权按未完成比例相应扣减合同价款。具体计算方式为：扣减金额=合同总价款×（未完成指标项数÷总指标项数）× 30%。</w:t>
      </w:r>
    </w:p>
    <w:p w14:paraId="33646A5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9.1.4侵犯第三方权益：乙方提供的内容或工具侵犯第三方知识产权的，乙方除承担本合同第七条约定的赔偿责任外，还应向甲方支付合同总价款10%的违约金。</w:t>
      </w:r>
    </w:p>
    <w:p w14:paraId="2E5055C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9.1.5数据安全违约：乙方违反第八条约定，发生数据泄露、违规处理数据或违规传输数据等情形的，应向甲方支付合同总价款20%的违约金；造成甲方损失的，乙方应全额赔偿。</w:t>
      </w:r>
    </w:p>
    <w:p w14:paraId="5AF7D31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9.1.6合规违约：乙方提供的AI服务未按规定完成算法备案，或AI生成内容未按规定添加标识，导致甲方受到行政处罚或遭受其他损失的，乙方应承担全部责任并赔偿甲方全部损失。</w:t>
      </w:r>
    </w:p>
    <w:p w14:paraId="706AEA3B">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9.2 甲方违约</w:t>
      </w:r>
    </w:p>
    <w:p w14:paraId="50A8CC7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9.2.1 甲方未按本合同约定支付合同价款的，每逾期一日，应向乙方支付应付未付款项0.05%的违约金。</w:t>
      </w:r>
    </w:p>
    <w:p w14:paraId="76B82AB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9.2.2 因甲方原因导致项目延期的，服务期限相应顺延，乙方不承担违约责任。</w:t>
      </w:r>
    </w:p>
    <w:p w14:paraId="124BD7F9">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9.3 免责条款</w:t>
      </w:r>
    </w:p>
    <w:p w14:paraId="02A91A2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9.3.1 因不可抗力导致本合同不能履行或不能完全履行的，根据不可抗力的影响，部分或全部免除责任。遭受不可抗力的一方应在不可抗力发生后48小时内书面通知对方，并在15日内提供相关证明。</w:t>
      </w:r>
    </w:p>
    <w:p w14:paraId="2C5C90C6">
      <w:pPr>
        <w:snapToGrid w:val="0"/>
        <w:spacing w:line="360" w:lineRule="auto"/>
        <w:rPr>
          <w:rFonts w:hint="eastAsia" w:hAnsi="宋体"/>
          <w:b/>
          <w:color w:val="auto"/>
          <w:sz w:val="21"/>
          <w:szCs w:val="21"/>
          <w:highlight w:val="none"/>
          <w:lang w:val="zh-CN"/>
        </w:rPr>
      </w:pPr>
      <w:r>
        <w:rPr>
          <w:rFonts w:hAnsi="宋体"/>
          <w:bCs/>
          <w:color w:val="auto"/>
          <w:sz w:val="21"/>
          <w:szCs w:val="21"/>
          <w:highlight w:val="none"/>
          <w:lang w:val="zh-CN"/>
        </w:rPr>
        <w:t>9.3.2 因法律法规或政策变化导致本合同服务内容需要调整的，双方应协商解决，由此产生</w:t>
      </w:r>
      <w:r>
        <w:rPr>
          <w:rFonts w:hAnsi="宋体"/>
          <w:b/>
          <w:color w:val="auto"/>
          <w:sz w:val="21"/>
          <w:szCs w:val="21"/>
          <w:highlight w:val="none"/>
          <w:lang w:val="zh-CN"/>
        </w:rPr>
        <w:t>的损失由双方合理分担。</w:t>
      </w:r>
    </w:p>
    <w:p w14:paraId="762AD086">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第十条 合规保证</w:t>
      </w:r>
    </w:p>
    <w:p w14:paraId="638E984B">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10.1算法备案</w:t>
      </w:r>
    </w:p>
    <w:p w14:paraId="7075599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10.1.1乙方保证其提供的AI服务已按照《生成式人工智能服务管理暂行办法》及《互联网信息服务算法推荐管理规定》的规定，完成了安全评估和算法备案手续。</w:t>
      </w:r>
    </w:p>
    <w:p w14:paraId="60FA3E8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10.1.2合同履行期间，如因法律法规变化导致乙方AI服务需要重新进行安全评估或算法备案的，乙方应自行完成相关手续。</w:t>
      </w:r>
    </w:p>
    <w:p w14:paraId="7B3ECBF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10.1.3因乙方未履行或未及时履行算法备案义务，导致甲方遭受任何损失（包括但不限于行政处罚、平台封禁、声誉损害等）的，由乙方承担全部责任并赔偿甲方全部损失。</w:t>
      </w:r>
    </w:p>
    <w:p w14:paraId="33249329">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10.2 内容标识</w:t>
      </w:r>
    </w:p>
    <w:p w14:paraId="1D2E554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10.2.1 乙方保证所有AI生成内容均按照《人工智能生成合成内容标识办法》的要求添加显式标识和隐式标识。</w:t>
      </w:r>
    </w:p>
    <w:p w14:paraId="15894B6C">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 xml:space="preserve">10.2.2 显式标识应按照以下要求添加： </w:t>
      </w:r>
    </w:p>
    <w:p w14:paraId="4F1F398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（1）文本内容在起始、末尾或中间适当位置添加文字提示或通用符号提示等标识；</w:t>
      </w:r>
    </w:p>
    <w:p w14:paraId="7BEF2BA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（2）音频内容在起始、末尾或中间适当位置添加语音提示或音频节奏提示等标识；</w:t>
      </w:r>
    </w:p>
    <w:p w14:paraId="216AEC0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（3）图片内容在适当位置添加显著的提示标识；</w:t>
      </w:r>
    </w:p>
    <w:p w14:paraId="1DECB4B6">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（4）视频内容在起始画面和视频播放周边的适当位置添加显著的提示标识。</w:t>
      </w:r>
    </w:p>
    <w:p w14:paraId="1CDD757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10.2.3 隐式标识应在生成合成内容的文件元数据中添加，包含生成合成内容属性信息、服务提供者名称或编码、内容编号等制作要素信息。</w:t>
      </w:r>
    </w:p>
    <w:p w14:paraId="76F158A2">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10.2.4 因乙方未按规定添加内容标识，导致甲方受到行政处罚或遭受其他损失的，由乙方承担全部责任并赔偿甲方全部损失。</w:t>
      </w:r>
    </w:p>
    <w:p w14:paraId="23E23457">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10.3 法律法规遵守</w:t>
      </w:r>
    </w:p>
    <w:p w14:paraId="37FEC04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10.3.1 乙方在履行本合同过程中，应遵守《中华人民共和国网络安全法》</w:t>
      </w:r>
      <w:r>
        <w:rPr>
          <w:rFonts w:hint="eastAsia" w:hAnsi="宋体"/>
          <w:bCs/>
          <w:color w:val="auto"/>
          <w:sz w:val="21"/>
          <w:szCs w:val="21"/>
          <w:highlight w:val="none"/>
          <w:lang w:val="zh-CN"/>
        </w:rPr>
        <w:t>、</w:t>
      </w:r>
      <w:r>
        <w:rPr>
          <w:rFonts w:hAnsi="宋体"/>
          <w:bCs/>
          <w:color w:val="auto"/>
          <w:sz w:val="21"/>
          <w:szCs w:val="21"/>
          <w:highlight w:val="none"/>
          <w:lang w:val="zh-CN"/>
        </w:rPr>
        <w:t>《中华人民共和国数据安全法》</w:t>
      </w:r>
      <w:r>
        <w:rPr>
          <w:rFonts w:hint="eastAsia" w:hAnsi="宋体"/>
          <w:bCs/>
          <w:color w:val="auto"/>
          <w:sz w:val="21"/>
          <w:szCs w:val="21"/>
          <w:highlight w:val="none"/>
          <w:lang w:val="zh-CN"/>
        </w:rPr>
        <w:t>、</w:t>
      </w:r>
      <w:r>
        <w:rPr>
          <w:rFonts w:hAnsi="宋体"/>
          <w:bCs/>
          <w:color w:val="auto"/>
          <w:sz w:val="21"/>
          <w:szCs w:val="21"/>
          <w:highlight w:val="none"/>
          <w:lang w:val="zh-CN"/>
        </w:rPr>
        <w:t>《中华人民共和国个人信息保护法》</w:t>
      </w:r>
      <w:r>
        <w:rPr>
          <w:rFonts w:hint="eastAsia" w:hAnsi="宋体"/>
          <w:bCs/>
          <w:color w:val="auto"/>
          <w:sz w:val="21"/>
          <w:szCs w:val="21"/>
          <w:highlight w:val="none"/>
          <w:lang w:val="zh-CN"/>
        </w:rPr>
        <w:t>、</w:t>
      </w:r>
      <w:r>
        <w:rPr>
          <w:rFonts w:hAnsi="宋体"/>
          <w:bCs/>
          <w:color w:val="auto"/>
          <w:sz w:val="21"/>
          <w:szCs w:val="21"/>
          <w:highlight w:val="none"/>
          <w:lang w:val="zh-CN"/>
        </w:rPr>
        <w:t>《中华人民共和国科学技术进步法》</w:t>
      </w:r>
      <w:r>
        <w:rPr>
          <w:rFonts w:hint="eastAsia" w:hAnsi="宋体"/>
          <w:bCs/>
          <w:color w:val="auto"/>
          <w:sz w:val="21"/>
          <w:szCs w:val="21"/>
          <w:highlight w:val="none"/>
          <w:lang w:val="zh-CN"/>
        </w:rPr>
        <w:t>、</w:t>
      </w:r>
      <w:r>
        <w:rPr>
          <w:rFonts w:hAnsi="宋体"/>
          <w:bCs/>
          <w:color w:val="auto"/>
          <w:sz w:val="21"/>
          <w:szCs w:val="21"/>
          <w:highlight w:val="none"/>
          <w:lang w:val="zh-CN"/>
        </w:rPr>
        <w:t>《生成式人工智能服务管理暂行办法》</w:t>
      </w:r>
      <w:r>
        <w:rPr>
          <w:rFonts w:hint="eastAsia" w:hAnsi="宋体"/>
          <w:bCs/>
          <w:color w:val="auto"/>
          <w:sz w:val="21"/>
          <w:szCs w:val="21"/>
          <w:highlight w:val="none"/>
          <w:lang w:val="zh-CN"/>
        </w:rPr>
        <w:t>、</w:t>
      </w:r>
      <w:r>
        <w:rPr>
          <w:rFonts w:hAnsi="宋体"/>
          <w:bCs/>
          <w:color w:val="auto"/>
          <w:sz w:val="21"/>
          <w:szCs w:val="21"/>
          <w:highlight w:val="none"/>
          <w:lang w:val="zh-CN"/>
        </w:rPr>
        <w:t>《人工智能生成合成内容标识办法》等所有适用的法律、行政法规和部门规章。</w:t>
      </w:r>
    </w:p>
    <w:p w14:paraId="43223E8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10.3.2 乙方应依法承担网络信息内容生产者责任，履行网络信息安全义务；涉及个人信息的，依法承担个人信息处理者责任，履行个人信息保护义务。</w:t>
      </w:r>
    </w:p>
    <w:p w14:paraId="13C499E2">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第十一条 合同变更与解除</w:t>
      </w:r>
    </w:p>
    <w:p w14:paraId="78501D5C">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11.1 合同变更</w:t>
      </w:r>
    </w:p>
    <w:p w14:paraId="34833D5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11.1.1 甲方可提前15日书面提出服务内容调整，乙方应配合执行。</w:t>
      </w:r>
    </w:p>
    <w:p w14:paraId="29D53A9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11.1.2 免费调整次数不超过3次；超出后，双方协商额外费用。</w:t>
      </w:r>
    </w:p>
    <w:p w14:paraId="7435F36B">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11.1.3 任何变更须经双方书面确认后方可生效。</w:t>
      </w:r>
    </w:p>
    <w:p w14:paraId="54C84907">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11.2 合同解除</w:t>
      </w:r>
    </w:p>
    <w:p w14:paraId="22A686C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11.2.1 经双方协商一致，可以解除本合同。</w:t>
      </w:r>
    </w:p>
    <w:p w14:paraId="698E70F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11.2.2 有下列情形之一的，甲方有权单方解除本合同：</w:t>
      </w:r>
    </w:p>
    <w:p w14:paraId="188F9AC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（1）乙方迟延履行合同义务超过30日的；</w:t>
      </w:r>
    </w:p>
    <w:p w14:paraId="58328EB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（2）乙方提供的内容或服务不符合约定标准，经整改后仍不符合要求的；</w:t>
      </w:r>
    </w:p>
    <w:p w14:paraId="269A50C3">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（3）乙方违反数据安全或保密义务的；</w:t>
      </w:r>
    </w:p>
    <w:p w14:paraId="0918FE7E">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（4）乙方提供的AI服务未取得或丧失算法备案资质的；</w:t>
      </w:r>
    </w:p>
    <w:p w14:paraId="1EE7DD59">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（5）乙方进入破产、清算或解散程序的；</w:t>
      </w:r>
    </w:p>
    <w:p w14:paraId="4023744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（6）中期考核后整改期满仍不达标的；</w:t>
      </w:r>
    </w:p>
    <w:p w14:paraId="2B31871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（7）连续两个月内容抽检不合格率超过20%的。</w:t>
      </w:r>
    </w:p>
    <w:p w14:paraId="26174988">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11.2.3 甲方依据前款约定解除合同的，乙方应在收到解除通知后10日内退还甲方已支付但尚未提供服务的对应款项，并支付相应的违约金。</w:t>
      </w:r>
    </w:p>
    <w:p w14:paraId="666C9C47">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11.2.4 合同解除后，不影响违约方承担违约责任，也不影响本合同中的保密、知识产权、争议解决等条款的效力。</w:t>
      </w:r>
    </w:p>
    <w:p w14:paraId="6FB440A2">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第十二条 争议解决</w:t>
      </w:r>
    </w:p>
    <w:p w14:paraId="712075D1">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12.1 因本合同引起的或与本合同有关的任何争议，双方应首先通过友好协商解决。</w:t>
      </w:r>
    </w:p>
    <w:p w14:paraId="0554D395">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12.2 协商不成的，任何一方均可向甲方所在地有管辖权的人民法院提起诉讼。</w:t>
      </w:r>
    </w:p>
    <w:p w14:paraId="2245A9F6">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第十三条 通知与送达</w:t>
      </w:r>
    </w:p>
    <w:p w14:paraId="659609F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13.1 本合同项下的所有通知、函件等均应以书面形式作出，并通过专人递送、挂号邮寄、快递或电子邮件方式送达对方。</w:t>
      </w:r>
    </w:p>
    <w:p w14:paraId="480A6E5A">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13.2任何一方变更送达地址的，应提前3个工作日书面通知对方。未通知的，原送达地址继续有效。</w:t>
      </w:r>
    </w:p>
    <w:p w14:paraId="5338500E">
      <w:pPr>
        <w:snapToGrid w:val="0"/>
        <w:spacing w:line="360" w:lineRule="auto"/>
        <w:rPr>
          <w:rFonts w:hint="eastAsia" w:hAnsi="宋体"/>
          <w:b/>
          <w:color w:val="auto"/>
          <w:sz w:val="21"/>
          <w:szCs w:val="21"/>
          <w:highlight w:val="none"/>
          <w:lang w:val="zh-CN"/>
        </w:rPr>
      </w:pPr>
      <w:r>
        <w:rPr>
          <w:rFonts w:hAnsi="宋体"/>
          <w:b/>
          <w:color w:val="auto"/>
          <w:sz w:val="21"/>
          <w:szCs w:val="21"/>
          <w:highlight w:val="none"/>
          <w:lang w:val="zh-CN"/>
        </w:rPr>
        <w:t>第十四条 附则</w:t>
      </w:r>
    </w:p>
    <w:p w14:paraId="32640F5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14.1 本合同附件为本合同不可分割的组成部分，与本合同具有同等法律效力：</w:t>
      </w:r>
    </w:p>
    <w:p w14:paraId="43AE3A4D">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 xml:space="preserve">附件： </w:t>
      </w:r>
    </w:p>
    <w:p w14:paraId="0DFF7BCF">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14.2 本合同未尽事宜，双方可另行签订补充协议，补充协议与本合同具有同等法律效力。</w:t>
      </w:r>
    </w:p>
    <w:p w14:paraId="1D3D73E4">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14.3 本合同一式</w:t>
      </w:r>
      <w:r>
        <w:rPr>
          <w:rFonts w:hAnsi="宋体"/>
          <w:bCs/>
          <w:color w:val="auto"/>
          <w:sz w:val="21"/>
          <w:szCs w:val="21"/>
          <w:highlight w:val="none"/>
          <w:u w:val="single"/>
          <w:lang w:val="zh-CN"/>
        </w:rPr>
        <w:t>_</w:t>
      </w:r>
      <w:r>
        <w:rPr>
          <w:rFonts w:hint="eastAsia" w:hAnsi="宋体"/>
          <w:bCs/>
          <w:color w:val="auto"/>
          <w:sz w:val="21"/>
          <w:szCs w:val="21"/>
          <w:highlight w:val="none"/>
          <w:u w:val="single"/>
          <w:lang w:val="zh-CN"/>
        </w:rPr>
        <w:t>四</w:t>
      </w:r>
      <w:r>
        <w:rPr>
          <w:rFonts w:hAnsi="宋体"/>
          <w:bCs/>
          <w:color w:val="auto"/>
          <w:sz w:val="21"/>
          <w:szCs w:val="21"/>
          <w:highlight w:val="none"/>
          <w:u w:val="single"/>
          <w:lang w:val="zh-CN"/>
        </w:rPr>
        <w:t>_</w:t>
      </w:r>
      <w:r>
        <w:rPr>
          <w:rFonts w:hAnsi="宋体"/>
          <w:bCs/>
          <w:color w:val="auto"/>
          <w:sz w:val="21"/>
          <w:szCs w:val="21"/>
          <w:highlight w:val="none"/>
          <w:lang w:val="zh-CN"/>
        </w:rPr>
        <w:t>份，甲方持</w:t>
      </w:r>
      <w:r>
        <w:rPr>
          <w:rFonts w:hAnsi="宋体"/>
          <w:bCs/>
          <w:color w:val="auto"/>
          <w:sz w:val="21"/>
          <w:szCs w:val="21"/>
          <w:highlight w:val="none"/>
          <w:u w:val="single"/>
          <w:lang w:val="zh-CN"/>
        </w:rPr>
        <w:t>_</w:t>
      </w:r>
      <w:r>
        <w:rPr>
          <w:rFonts w:hint="eastAsia" w:hAnsi="宋体"/>
          <w:bCs/>
          <w:color w:val="auto"/>
          <w:sz w:val="21"/>
          <w:szCs w:val="21"/>
          <w:highlight w:val="none"/>
          <w:u w:val="single"/>
          <w:lang w:val="zh-CN"/>
        </w:rPr>
        <w:t>二</w:t>
      </w:r>
      <w:r>
        <w:rPr>
          <w:rFonts w:hAnsi="宋体"/>
          <w:bCs/>
          <w:color w:val="auto"/>
          <w:sz w:val="21"/>
          <w:szCs w:val="21"/>
          <w:highlight w:val="none"/>
          <w:u w:val="single"/>
          <w:lang w:val="zh-CN"/>
        </w:rPr>
        <w:t>_</w:t>
      </w:r>
      <w:r>
        <w:rPr>
          <w:rFonts w:hAnsi="宋体"/>
          <w:bCs/>
          <w:color w:val="auto"/>
          <w:sz w:val="21"/>
          <w:szCs w:val="21"/>
          <w:highlight w:val="none"/>
          <w:lang w:val="zh-CN"/>
        </w:rPr>
        <w:t>份，乙方持</w:t>
      </w:r>
      <w:r>
        <w:rPr>
          <w:rFonts w:hAnsi="宋体"/>
          <w:bCs/>
          <w:color w:val="auto"/>
          <w:sz w:val="21"/>
          <w:szCs w:val="21"/>
          <w:highlight w:val="none"/>
          <w:u w:val="single"/>
          <w:lang w:val="zh-CN"/>
        </w:rPr>
        <w:t>_</w:t>
      </w:r>
      <w:r>
        <w:rPr>
          <w:rFonts w:hint="eastAsia" w:hAnsi="宋体"/>
          <w:bCs/>
          <w:color w:val="auto"/>
          <w:sz w:val="21"/>
          <w:szCs w:val="21"/>
          <w:highlight w:val="none"/>
          <w:u w:val="single"/>
          <w:lang w:val="zh-CN"/>
        </w:rPr>
        <w:t>二</w:t>
      </w:r>
      <w:r>
        <w:rPr>
          <w:rFonts w:hAnsi="宋体"/>
          <w:bCs/>
          <w:color w:val="auto"/>
          <w:sz w:val="21"/>
          <w:szCs w:val="21"/>
          <w:highlight w:val="none"/>
          <w:u w:val="single"/>
          <w:lang w:val="zh-CN"/>
        </w:rPr>
        <w:t>_</w:t>
      </w:r>
      <w:r>
        <w:rPr>
          <w:rFonts w:hAnsi="宋体"/>
          <w:bCs/>
          <w:color w:val="auto"/>
          <w:sz w:val="21"/>
          <w:szCs w:val="21"/>
          <w:highlight w:val="none"/>
          <w:lang w:val="zh-CN"/>
        </w:rPr>
        <w:t>份，每份具有同等法律效力。</w:t>
      </w:r>
    </w:p>
    <w:p w14:paraId="5993B470">
      <w:pPr>
        <w:snapToGrid w:val="0"/>
        <w:spacing w:line="360" w:lineRule="auto"/>
        <w:rPr>
          <w:rFonts w:hint="eastAsia" w:hAnsi="宋体"/>
          <w:bCs/>
          <w:color w:val="auto"/>
          <w:sz w:val="21"/>
          <w:szCs w:val="21"/>
          <w:highlight w:val="none"/>
          <w:lang w:val="zh-CN"/>
        </w:rPr>
      </w:pPr>
      <w:r>
        <w:rPr>
          <w:rFonts w:hAnsi="宋体"/>
          <w:bCs/>
          <w:color w:val="auto"/>
          <w:sz w:val="21"/>
          <w:szCs w:val="21"/>
          <w:highlight w:val="none"/>
          <w:lang w:val="zh-CN"/>
        </w:rPr>
        <w:t>14.4 本合同自双方法定代表人或授权代表签字并加盖公章之日起生效。</w:t>
      </w:r>
    </w:p>
    <w:p w14:paraId="127E18E3">
      <w:pPr>
        <w:pStyle w:val="65"/>
        <w:tabs>
          <w:tab w:val="left" w:pos="588"/>
        </w:tabs>
        <w:spacing w:line="360" w:lineRule="auto"/>
        <w:rPr>
          <w:rFonts w:hint="eastAsia" w:hAnsi="宋体"/>
          <w:color w:val="auto"/>
          <w:sz w:val="21"/>
          <w:szCs w:val="21"/>
          <w:highlight w:val="none"/>
        </w:rPr>
      </w:pPr>
    </w:p>
    <w:p w14:paraId="0A8D7B09">
      <w:pPr>
        <w:pStyle w:val="65"/>
        <w:tabs>
          <w:tab w:val="left" w:pos="588"/>
        </w:tabs>
        <w:spacing w:line="360" w:lineRule="auto"/>
        <w:rPr>
          <w:rFonts w:hint="eastAsia" w:hAnsi="宋体"/>
          <w:color w:val="auto"/>
          <w:sz w:val="21"/>
          <w:szCs w:val="21"/>
          <w:highlight w:val="none"/>
        </w:rPr>
      </w:pPr>
      <w:r>
        <w:rPr>
          <w:rFonts w:hint="eastAsia" w:hAnsi="宋体"/>
          <w:color w:val="auto"/>
          <w:sz w:val="21"/>
          <w:szCs w:val="21"/>
          <w:highlight w:val="none"/>
        </w:rPr>
        <w:t>甲  方：(公章）                               乙  方：（公章）</w:t>
      </w:r>
    </w:p>
    <w:p w14:paraId="70B5AF14">
      <w:pPr>
        <w:pStyle w:val="65"/>
        <w:tabs>
          <w:tab w:val="left" w:pos="588"/>
        </w:tabs>
        <w:spacing w:line="360" w:lineRule="auto"/>
        <w:jc w:val="both"/>
        <w:rPr>
          <w:rFonts w:hint="eastAsia" w:hAnsi="宋体"/>
          <w:color w:val="auto"/>
          <w:sz w:val="21"/>
          <w:szCs w:val="21"/>
          <w:highlight w:val="none"/>
        </w:rPr>
      </w:pPr>
      <w:r>
        <w:rPr>
          <w:rFonts w:hint="eastAsia" w:hAnsi="宋体"/>
          <w:color w:val="auto"/>
          <w:sz w:val="21"/>
          <w:szCs w:val="21"/>
          <w:highlight w:val="none"/>
        </w:rPr>
        <w:t xml:space="preserve">法定代表人或授权代理人：（签字）              法定代表人或授权代理人：（签字） </w:t>
      </w:r>
    </w:p>
    <w:p w14:paraId="050A95EB">
      <w:pPr>
        <w:tabs>
          <w:tab w:val="left" w:pos="588"/>
        </w:tabs>
        <w:spacing w:line="360" w:lineRule="auto"/>
        <w:rPr>
          <w:rFonts w:hint="eastAsia" w:hAnsi="宋体"/>
          <w:color w:val="auto"/>
          <w:sz w:val="21"/>
          <w:szCs w:val="21"/>
          <w:highlight w:val="none"/>
        </w:rPr>
      </w:pPr>
      <w:r>
        <w:rPr>
          <w:rFonts w:hint="eastAsia" w:hAnsi="宋体"/>
          <w:color w:val="auto"/>
          <w:sz w:val="21"/>
          <w:szCs w:val="21"/>
          <w:highlight w:val="none"/>
        </w:rPr>
        <w:t>日  期：2026年    月   日                     日  期：2026年    月    日</w:t>
      </w:r>
    </w:p>
    <w:p w14:paraId="02261165">
      <w:pPr>
        <w:rPr>
          <w:rFonts w:hint="eastAsia" w:hAnsi="宋体"/>
          <w:color w:val="auto"/>
          <w:sz w:val="21"/>
          <w:szCs w:val="21"/>
          <w:highlight w:val="none"/>
        </w:rPr>
      </w:pPr>
      <w:r>
        <w:rPr>
          <w:rFonts w:hint="eastAsia" w:hAnsi="宋体"/>
          <w:color w:val="auto"/>
          <w:sz w:val="21"/>
          <w:szCs w:val="21"/>
          <w:highlight w:val="none"/>
        </w:rPr>
        <w:br w:type="page"/>
      </w:r>
    </w:p>
    <w:p w14:paraId="09760BF0">
      <w:pPr>
        <w:pStyle w:val="5"/>
        <w:keepNext/>
        <w:keepLines/>
        <w:pageBreakBefore/>
        <w:numPr>
          <w:ilvl w:val="0"/>
          <w:numId w:val="10"/>
        </w:numPr>
        <w:tabs>
          <w:tab w:val="left" w:pos="1080"/>
        </w:tabs>
        <w:spacing w:line="360" w:lineRule="auto"/>
        <w:ind w:left="1262" w:hanging="1262" w:hangingChars="449"/>
        <w:jc w:val="center"/>
        <w:rPr>
          <w:rFonts w:hint="eastAsia" w:hAnsi="宋体"/>
          <w:b/>
          <w:bCs/>
          <w:color w:val="auto"/>
          <w:kern w:val="44"/>
          <w:sz w:val="28"/>
          <w:szCs w:val="28"/>
          <w:highlight w:val="none"/>
          <w:lang w:val="zh-CN"/>
        </w:rPr>
      </w:pPr>
      <w:r>
        <w:rPr>
          <w:rFonts w:hint="eastAsia" w:hAnsi="宋体"/>
          <w:b/>
          <w:bCs/>
          <w:color w:val="auto"/>
          <w:kern w:val="44"/>
          <w:sz w:val="28"/>
          <w:szCs w:val="28"/>
          <w:highlight w:val="none"/>
          <w:lang w:val="zh-CN"/>
        </w:rPr>
        <w:t>磋商响应文件格式</w:t>
      </w:r>
      <w:bookmarkEnd w:id="177"/>
      <w:bookmarkEnd w:id="178"/>
      <w:bookmarkEnd w:id="179"/>
    </w:p>
    <w:p w14:paraId="10B4AB2B">
      <w:pPr>
        <w:ind w:firstLine="1800" w:firstLineChars="750"/>
        <w:rPr>
          <w:rFonts w:hint="eastAsia" w:hAnsi="宋体"/>
          <w:color w:val="auto"/>
          <w:highlight w:val="none"/>
        </w:rPr>
      </w:pPr>
    </w:p>
    <w:p w14:paraId="7E1744D5">
      <w:pPr>
        <w:pStyle w:val="6"/>
        <w:jc w:val="center"/>
        <w:rPr>
          <w:rFonts w:hint="eastAsia"/>
          <w:color w:val="auto"/>
          <w:highlight w:val="none"/>
        </w:rPr>
      </w:pPr>
      <w:bookmarkStart w:id="180" w:name="_Toc19311"/>
      <w:bookmarkStart w:id="181" w:name="_Toc9566"/>
      <w:r>
        <w:rPr>
          <w:rFonts w:hint="eastAsia"/>
          <w:color w:val="auto"/>
          <w:sz w:val="28"/>
          <w:szCs w:val="28"/>
          <w:highlight w:val="none"/>
        </w:rPr>
        <w:t>第一部分 价格文件（单独编制装订成册）</w:t>
      </w:r>
      <w:bookmarkEnd w:id="180"/>
      <w:bookmarkEnd w:id="181"/>
    </w:p>
    <w:p w14:paraId="5DB8A77C">
      <w:pPr>
        <w:pStyle w:val="6"/>
        <w:numPr>
          <w:ilvl w:val="0"/>
          <w:numId w:val="11"/>
        </w:numPr>
        <w:jc w:val="center"/>
        <w:rPr>
          <w:rFonts w:hint="eastAsia"/>
          <w:color w:val="auto"/>
          <w:sz w:val="21"/>
          <w:szCs w:val="21"/>
          <w:highlight w:val="none"/>
        </w:rPr>
      </w:pPr>
      <w:bookmarkStart w:id="182" w:name="_Toc7897888"/>
      <w:bookmarkStart w:id="183" w:name="_Toc12373"/>
      <w:bookmarkStart w:id="184" w:name="_Toc21786"/>
      <w:bookmarkStart w:id="185" w:name="_Toc20730"/>
      <w:bookmarkStart w:id="186" w:name="_Toc18848"/>
      <w:bookmarkStart w:id="187" w:name="_Toc30637"/>
      <w:bookmarkStart w:id="188" w:name="_Toc32273"/>
      <w:bookmarkStart w:id="189" w:name="_Toc15960"/>
      <w:bookmarkStart w:id="190" w:name="_Toc476976201"/>
      <w:bookmarkStart w:id="191" w:name="_Toc458262639"/>
      <w:bookmarkStart w:id="192" w:name="_Toc486671573"/>
      <w:bookmarkStart w:id="193" w:name="_Toc19671"/>
      <w:bookmarkStart w:id="194" w:name="_Toc28095"/>
      <w:bookmarkStart w:id="195" w:name="_Toc12383"/>
      <w:bookmarkStart w:id="196" w:name="_Toc396137244"/>
      <w:bookmarkStart w:id="197" w:name="_Toc2544"/>
      <w:bookmarkStart w:id="198" w:name="_Toc32736"/>
      <w:bookmarkStart w:id="199" w:name="_Toc29841"/>
      <w:bookmarkStart w:id="200" w:name="_Toc9348"/>
      <w:bookmarkStart w:id="201" w:name="_Toc32405"/>
      <w:bookmarkStart w:id="202" w:name="_Toc454701406"/>
      <w:bookmarkStart w:id="203" w:name="_Toc467236769"/>
      <w:bookmarkStart w:id="331" w:name="_GoBack"/>
      <w:bookmarkEnd w:id="331"/>
      <w:r>
        <w:rPr>
          <w:rFonts w:hint="eastAsia"/>
          <w:color w:val="auto"/>
          <w:sz w:val="28"/>
          <w:szCs w:val="28"/>
          <w:highlight w:val="none"/>
        </w:rPr>
        <w:t>报价一览表</w:t>
      </w:r>
      <w:bookmarkEnd w:id="182"/>
      <w:bookmarkEnd w:id="183"/>
      <w:bookmarkEnd w:id="184"/>
      <w:bookmarkEnd w:id="185"/>
    </w:p>
    <w:p w14:paraId="0FFE2B46">
      <w:pPr>
        <w:rPr>
          <w:rFonts w:hint="eastAsia" w:hAnsi="宋体"/>
          <w:color w:val="auto"/>
          <w:sz w:val="21"/>
          <w:szCs w:val="21"/>
          <w:highlight w:val="none"/>
        </w:rPr>
      </w:pPr>
      <w:r>
        <w:rPr>
          <w:rFonts w:hint="eastAsia" w:hAnsi="宋体"/>
          <w:color w:val="auto"/>
          <w:sz w:val="21"/>
          <w:szCs w:val="21"/>
          <w:highlight w:val="none"/>
        </w:rPr>
        <w:t>供应商名称：</w:t>
      </w:r>
    </w:p>
    <w:p w14:paraId="24CECD23">
      <w:pPr>
        <w:rPr>
          <w:rFonts w:hint="eastAsia" w:hAnsi="宋体"/>
          <w:color w:val="auto"/>
          <w:sz w:val="21"/>
          <w:szCs w:val="21"/>
          <w:highlight w:val="none"/>
        </w:rPr>
      </w:pPr>
      <w:r>
        <w:rPr>
          <w:rFonts w:hint="eastAsia" w:hAnsi="宋体"/>
          <w:color w:val="auto"/>
          <w:sz w:val="21"/>
          <w:szCs w:val="21"/>
          <w:highlight w:val="none"/>
        </w:rPr>
        <w:t>采购项目编号：</w:t>
      </w:r>
    </w:p>
    <w:p w14:paraId="2CA06DBD">
      <w:pPr>
        <w:pStyle w:val="63"/>
        <w:rPr>
          <w:rFonts w:hint="eastAsia" w:ascii="宋体" w:hAnsi="宋体" w:cs="宋体"/>
          <w:color w:val="auto"/>
          <w:highlight w:val="none"/>
        </w:rPr>
      </w:pPr>
    </w:p>
    <w:tbl>
      <w:tblPr>
        <w:tblStyle w:val="54"/>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0"/>
        <w:gridCol w:w="4173"/>
        <w:gridCol w:w="962"/>
      </w:tblGrid>
      <w:tr w14:paraId="1269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3730" w:type="dxa"/>
            <w:tcBorders>
              <w:bottom w:val="double" w:color="auto" w:sz="4" w:space="0"/>
            </w:tcBorders>
            <w:vAlign w:val="center"/>
          </w:tcPr>
          <w:p w14:paraId="219EC414">
            <w:pPr>
              <w:tabs>
                <w:tab w:val="left" w:pos="654"/>
                <w:tab w:val="left" w:pos="1734"/>
                <w:tab w:val="left" w:pos="2814"/>
                <w:tab w:val="left" w:pos="3894"/>
                <w:tab w:val="left" w:pos="5334"/>
                <w:tab w:val="left" w:pos="6414"/>
                <w:tab w:val="left" w:pos="7254"/>
                <w:tab w:val="left" w:pos="8574"/>
                <w:tab w:val="left" w:pos="9654"/>
              </w:tabs>
              <w:adjustRightInd/>
              <w:jc w:val="center"/>
              <w:rPr>
                <w:rFonts w:hint="eastAsia" w:hAnsi="宋体"/>
                <w:bCs/>
                <w:color w:val="auto"/>
                <w:sz w:val="21"/>
                <w:szCs w:val="21"/>
                <w:highlight w:val="none"/>
              </w:rPr>
            </w:pPr>
            <w:r>
              <w:rPr>
                <w:rFonts w:hint="eastAsia" w:hAnsi="宋体"/>
                <w:bCs/>
                <w:color w:val="auto"/>
                <w:sz w:val="21"/>
                <w:szCs w:val="21"/>
                <w:highlight w:val="none"/>
              </w:rPr>
              <w:t>项目名称</w:t>
            </w:r>
          </w:p>
        </w:tc>
        <w:tc>
          <w:tcPr>
            <w:tcW w:w="4173" w:type="dxa"/>
            <w:tcBorders>
              <w:bottom w:val="double" w:color="auto" w:sz="4" w:space="0"/>
            </w:tcBorders>
            <w:vAlign w:val="center"/>
          </w:tcPr>
          <w:p w14:paraId="62D4F3A1">
            <w:pPr>
              <w:tabs>
                <w:tab w:val="left" w:pos="654"/>
                <w:tab w:val="left" w:pos="1734"/>
                <w:tab w:val="left" w:pos="2814"/>
                <w:tab w:val="left" w:pos="3894"/>
                <w:tab w:val="left" w:pos="5334"/>
                <w:tab w:val="left" w:pos="6414"/>
                <w:tab w:val="left" w:pos="7254"/>
                <w:tab w:val="left" w:pos="8574"/>
                <w:tab w:val="left" w:pos="9654"/>
              </w:tabs>
              <w:adjustRightInd/>
              <w:jc w:val="center"/>
              <w:rPr>
                <w:rFonts w:hint="eastAsia" w:hAnsi="宋体"/>
                <w:bCs/>
                <w:color w:val="auto"/>
                <w:sz w:val="21"/>
                <w:szCs w:val="21"/>
                <w:highlight w:val="none"/>
              </w:rPr>
            </w:pPr>
            <w:r>
              <w:rPr>
                <w:rFonts w:hint="eastAsia" w:hAnsi="宋体"/>
                <w:bCs/>
                <w:color w:val="auto"/>
                <w:sz w:val="21"/>
                <w:szCs w:val="21"/>
                <w:highlight w:val="none"/>
              </w:rPr>
              <w:t>投标报价</w:t>
            </w:r>
          </w:p>
        </w:tc>
        <w:tc>
          <w:tcPr>
            <w:tcW w:w="962" w:type="dxa"/>
            <w:tcBorders>
              <w:bottom w:val="double" w:color="auto" w:sz="4" w:space="0"/>
            </w:tcBorders>
            <w:vAlign w:val="center"/>
          </w:tcPr>
          <w:p w14:paraId="1E934274">
            <w:pPr>
              <w:tabs>
                <w:tab w:val="left" w:pos="654"/>
                <w:tab w:val="left" w:pos="1734"/>
                <w:tab w:val="left" w:pos="2814"/>
                <w:tab w:val="left" w:pos="3894"/>
                <w:tab w:val="left" w:pos="5334"/>
                <w:tab w:val="left" w:pos="6414"/>
                <w:tab w:val="left" w:pos="7254"/>
                <w:tab w:val="left" w:pos="8574"/>
                <w:tab w:val="left" w:pos="9654"/>
              </w:tabs>
              <w:adjustRightInd/>
              <w:jc w:val="center"/>
              <w:rPr>
                <w:rFonts w:hint="eastAsia" w:hAnsi="宋体"/>
                <w:bCs/>
                <w:color w:val="auto"/>
                <w:sz w:val="21"/>
                <w:szCs w:val="21"/>
                <w:highlight w:val="none"/>
              </w:rPr>
            </w:pPr>
            <w:r>
              <w:rPr>
                <w:rFonts w:hint="eastAsia" w:hAnsi="宋体"/>
                <w:bCs/>
                <w:color w:val="auto"/>
                <w:sz w:val="21"/>
                <w:szCs w:val="21"/>
                <w:highlight w:val="none"/>
              </w:rPr>
              <w:t>备注</w:t>
            </w:r>
          </w:p>
        </w:tc>
      </w:tr>
      <w:tr w14:paraId="6429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3730" w:type="dxa"/>
            <w:vAlign w:val="center"/>
          </w:tcPr>
          <w:p w14:paraId="667A102F">
            <w:pPr>
              <w:jc w:val="center"/>
              <w:rPr>
                <w:rFonts w:hint="eastAsia" w:hAnsi="宋体"/>
                <w:color w:val="auto"/>
                <w:kern w:val="2"/>
                <w:sz w:val="21"/>
                <w:szCs w:val="21"/>
                <w:highlight w:val="none"/>
              </w:rPr>
            </w:pPr>
          </w:p>
        </w:tc>
        <w:tc>
          <w:tcPr>
            <w:tcW w:w="4173" w:type="dxa"/>
            <w:vAlign w:val="center"/>
          </w:tcPr>
          <w:p w14:paraId="73CBD548">
            <w:pPr>
              <w:adjustRightInd/>
              <w:jc w:val="both"/>
              <w:rPr>
                <w:rFonts w:hint="eastAsia" w:hAnsi="宋体"/>
                <w:bCs/>
                <w:color w:val="auto"/>
                <w:sz w:val="21"/>
                <w:szCs w:val="21"/>
                <w:highlight w:val="none"/>
              </w:rPr>
            </w:pPr>
            <w:r>
              <w:rPr>
                <w:rFonts w:hint="eastAsia" w:hAnsi="宋体"/>
                <w:bCs/>
                <w:color w:val="auto"/>
                <w:sz w:val="21"/>
                <w:szCs w:val="21"/>
                <w:highlight w:val="none"/>
              </w:rPr>
              <w:t>小写：</w:t>
            </w:r>
          </w:p>
          <w:p w14:paraId="6DC20ECF">
            <w:pPr>
              <w:pStyle w:val="15"/>
              <w:ind w:firstLine="0" w:firstLineChars="0"/>
              <w:jc w:val="both"/>
              <w:rPr>
                <w:rFonts w:hint="eastAsia" w:ascii="宋体" w:hAnsi="宋体"/>
                <w:color w:val="auto"/>
                <w:sz w:val="21"/>
                <w:szCs w:val="21"/>
                <w:highlight w:val="none"/>
              </w:rPr>
            </w:pPr>
            <w:r>
              <w:rPr>
                <w:rFonts w:hint="eastAsia" w:ascii="宋体" w:hAnsi="宋体"/>
                <w:bCs/>
                <w:color w:val="auto"/>
                <w:sz w:val="21"/>
                <w:szCs w:val="21"/>
                <w:highlight w:val="none"/>
              </w:rPr>
              <w:t>大写：</w:t>
            </w:r>
          </w:p>
        </w:tc>
        <w:tc>
          <w:tcPr>
            <w:tcW w:w="962" w:type="dxa"/>
            <w:vAlign w:val="center"/>
          </w:tcPr>
          <w:p w14:paraId="48BF0B84">
            <w:pPr>
              <w:tabs>
                <w:tab w:val="left" w:pos="654"/>
                <w:tab w:val="left" w:pos="1734"/>
                <w:tab w:val="left" w:pos="2814"/>
                <w:tab w:val="left" w:pos="3894"/>
                <w:tab w:val="left" w:pos="5334"/>
                <w:tab w:val="left" w:pos="6414"/>
                <w:tab w:val="left" w:pos="7254"/>
                <w:tab w:val="left" w:pos="8574"/>
                <w:tab w:val="left" w:pos="9654"/>
              </w:tabs>
              <w:adjustRightInd/>
              <w:jc w:val="center"/>
              <w:rPr>
                <w:rFonts w:hint="eastAsia" w:hAnsi="宋体"/>
                <w:bCs/>
                <w:color w:val="auto"/>
                <w:sz w:val="21"/>
                <w:szCs w:val="21"/>
                <w:highlight w:val="none"/>
              </w:rPr>
            </w:pPr>
          </w:p>
        </w:tc>
      </w:tr>
    </w:tbl>
    <w:p w14:paraId="2DA84ACC">
      <w:pPr>
        <w:snapToGrid w:val="0"/>
        <w:spacing w:line="360" w:lineRule="auto"/>
        <w:ind w:firstLine="420" w:firstLineChars="200"/>
        <w:rPr>
          <w:rFonts w:hint="eastAsia" w:hAnsi="宋体"/>
          <w:color w:val="auto"/>
          <w:sz w:val="21"/>
          <w:szCs w:val="21"/>
          <w:highlight w:val="none"/>
        </w:rPr>
      </w:pPr>
    </w:p>
    <w:p w14:paraId="2C4A3B84">
      <w:pPr>
        <w:snapToGrid w:val="0"/>
        <w:spacing w:line="360" w:lineRule="auto"/>
        <w:ind w:left="391" w:hanging="390" w:hangingChars="186"/>
        <w:rPr>
          <w:rFonts w:hint="eastAsia" w:hAnsi="宋体"/>
          <w:color w:val="auto"/>
          <w:sz w:val="21"/>
          <w:szCs w:val="21"/>
          <w:highlight w:val="none"/>
        </w:rPr>
      </w:pPr>
      <w:r>
        <w:rPr>
          <w:rFonts w:hint="eastAsia" w:hAnsi="宋体"/>
          <w:color w:val="auto"/>
          <w:sz w:val="21"/>
          <w:szCs w:val="21"/>
          <w:highlight w:val="none"/>
        </w:rPr>
        <w:t xml:space="preserve">  注：</w:t>
      </w:r>
    </w:p>
    <w:p w14:paraId="36DA14C4">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1、磋商响应总价栏须用大写金额和小写金额两种方式表示的磋商总价，报价保留小数点后两位。磋商总价大小写不一致，以大写为准。磋商总价必须准确唯一且应包含采购文件要求的所有费用。</w:t>
      </w:r>
    </w:p>
    <w:p w14:paraId="675B6690">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2、温馨提示：未按采购文件要求报价、填写报价一览表是导致供应商废标的常见问题，请供应商仔细填写，认真核对。</w:t>
      </w:r>
    </w:p>
    <w:p w14:paraId="387A8777">
      <w:pPr>
        <w:snapToGrid w:val="0"/>
        <w:spacing w:line="360" w:lineRule="auto"/>
        <w:ind w:firstLine="359" w:firstLineChars="171"/>
        <w:rPr>
          <w:rFonts w:hint="eastAsia" w:hAnsi="宋体"/>
          <w:color w:val="auto"/>
          <w:sz w:val="21"/>
          <w:szCs w:val="21"/>
          <w:highlight w:val="none"/>
        </w:rPr>
      </w:pPr>
    </w:p>
    <w:p w14:paraId="4FABC250">
      <w:pPr>
        <w:pStyle w:val="2"/>
        <w:ind w:left="648"/>
        <w:rPr>
          <w:rFonts w:hint="eastAsia"/>
          <w:color w:val="auto"/>
          <w:highlight w:val="none"/>
        </w:rPr>
      </w:pPr>
    </w:p>
    <w:p w14:paraId="0B4A47FD">
      <w:pPr>
        <w:snapToGrid w:val="0"/>
        <w:spacing w:line="360" w:lineRule="auto"/>
        <w:ind w:firstLine="359" w:firstLineChars="171"/>
        <w:rPr>
          <w:rFonts w:hint="eastAsia" w:hAnsi="宋体"/>
          <w:color w:val="auto"/>
          <w:sz w:val="21"/>
          <w:szCs w:val="21"/>
          <w:highlight w:val="none"/>
        </w:rPr>
      </w:pPr>
      <w:r>
        <w:rPr>
          <w:rFonts w:hint="eastAsia" w:hAnsi="宋体"/>
          <w:color w:val="auto"/>
          <w:sz w:val="21"/>
          <w:szCs w:val="21"/>
          <w:highlight w:val="none"/>
        </w:rPr>
        <w:t>供应商名称（加盖公章）：</w:t>
      </w:r>
    </w:p>
    <w:p w14:paraId="3BB86EFB">
      <w:pPr>
        <w:snapToGrid w:val="0"/>
        <w:spacing w:line="360" w:lineRule="auto"/>
        <w:ind w:firstLine="359" w:firstLineChars="171"/>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2D866442">
      <w:pPr>
        <w:snapToGrid w:val="0"/>
        <w:spacing w:line="360" w:lineRule="auto"/>
        <w:ind w:firstLine="359" w:firstLineChars="171"/>
        <w:rPr>
          <w:rFonts w:hint="eastAsia" w:hAnsi="宋体"/>
          <w:color w:val="auto"/>
          <w:sz w:val="21"/>
          <w:szCs w:val="21"/>
          <w:highlight w:val="none"/>
        </w:rPr>
      </w:pPr>
      <w:r>
        <w:rPr>
          <w:rFonts w:hint="eastAsia" w:hAnsi="宋体"/>
          <w:color w:val="auto"/>
          <w:sz w:val="21"/>
          <w:szCs w:val="21"/>
          <w:highlight w:val="none"/>
        </w:rPr>
        <w:t>日期：  年  月  日</w:t>
      </w:r>
    </w:p>
    <w:p w14:paraId="17C0FFFC">
      <w:pPr>
        <w:snapToGrid w:val="0"/>
        <w:spacing w:line="360" w:lineRule="auto"/>
        <w:ind w:firstLine="359" w:firstLineChars="171"/>
        <w:rPr>
          <w:rFonts w:hint="eastAsia" w:hAnsi="宋体"/>
          <w:color w:val="auto"/>
          <w:sz w:val="21"/>
          <w:szCs w:val="21"/>
          <w:highlight w:val="none"/>
        </w:rPr>
      </w:pPr>
    </w:p>
    <w:p w14:paraId="62292F60">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 xml:space="preserve">  </w:t>
      </w:r>
    </w:p>
    <w:p w14:paraId="610B64FE">
      <w:pPr>
        <w:snapToGrid w:val="0"/>
        <w:spacing w:line="360" w:lineRule="auto"/>
        <w:ind w:firstLine="420" w:firstLineChars="200"/>
        <w:rPr>
          <w:rFonts w:hint="eastAsia" w:hAnsi="宋体"/>
          <w:color w:val="auto"/>
          <w:sz w:val="21"/>
          <w:szCs w:val="21"/>
          <w:highlight w:val="none"/>
        </w:rPr>
      </w:pPr>
    </w:p>
    <w:p w14:paraId="0D2E4C6D">
      <w:pPr>
        <w:rPr>
          <w:rFonts w:hint="eastAsia" w:hAnsi="宋体"/>
          <w:color w:val="auto"/>
          <w:sz w:val="21"/>
          <w:szCs w:val="21"/>
          <w:highlight w:val="none"/>
        </w:rPr>
      </w:pPr>
      <w:r>
        <w:rPr>
          <w:rFonts w:hint="eastAsia" w:hAnsi="宋体"/>
          <w:color w:val="auto"/>
          <w:sz w:val="21"/>
          <w:szCs w:val="21"/>
          <w:highlight w:val="none"/>
        </w:rPr>
        <w:br w:type="page"/>
      </w:r>
    </w:p>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14:paraId="4436B781">
      <w:pPr>
        <w:pStyle w:val="6"/>
        <w:jc w:val="center"/>
        <w:rPr>
          <w:rFonts w:hint="eastAsia"/>
          <w:color w:val="auto"/>
          <w:sz w:val="28"/>
          <w:szCs w:val="28"/>
          <w:highlight w:val="none"/>
        </w:rPr>
      </w:pPr>
      <w:bookmarkStart w:id="204" w:name="_Toc12158"/>
      <w:bookmarkStart w:id="205" w:name="_Toc18450"/>
      <w:bookmarkStart w:id="206" w:name="_Toc7897890"/>
      <w:bookmarkStart w:id="207" w:name="_Toc458262638"/>
      <w:bookmarkStart w:id="208" w:name="_Toc467236768"/>
      <w:bookmarkStart w:id="209" w:name="_Toc454701405"/>
      <w:bookmarkStart w:id="210" w:name="_Toc486671572"/>
      <w:bookmarkStart w:id="211" w:name="_Toc476976200"/>
      <w:bookmarkStart w:id="212" w:name="_Toc27849"/>
      <w:bookmarkStart w:id="213" w:name="_Toc110953866"/>
      <w:bookmarkStart w:id="214" w:name="_Toc480021085"/>
      <w:bookmarkStart w:id="215" w:name="_Toc467987856"/>
      <w:bookmarkStart w:id="216" w:name="_Toc479991616"/>
      <w:bookmarkStart w:id="217" w:name="_Toc480020289"/>
      <w:bookmarkStart w:id="218" w:name="_Toc468157569"/>
      <w:bookmarkStart w:id="219" w:name="_Toc468606064"/>
      <w:bookmarkStart w:id="220" w:name="_Toc480010742"/>
      <w:r>
        <w:rPr>
          <w:rFonts w:hint="eastAsia"/>
          <w:color w:val="auto"/>
          <w:sz w:val="28"/>
          <w:szCs w:val="28"/>
          <w:highlight w:val="none"/>
        </w:rPr>
        <w:t>第二部分  商务文件</w:t>
      </w:r>
      <w:bookmarkEnd w:id="204"/>
      <w:bookmarkEnd w:id="205"/>
      <w:bookmarkStart w:id="221" w:name="_Hlt10519799"/>
      <w:bookmarkEnd w:id="221"/>
      <w:bookmarkStart w:id="222" w:name="_Hlt10456397"/>
      <w:bookmarkEnd w:id="222"/>
      <w:r>
        <w:rPr>
          <w:rFonts w:hint="eastAsia"/>
          <w:color w:val="auto"/>
          <w:sz w:val="28"/>
          <w:szCs w:val="28"/>
          <w:highlight w:val="none"/>
        </w:rPr>
        <w:t>（单独编制装订成册）</w:t>
      </w:r>
    </w:p>
    <w:p w14:paraId="022ABBC4">
      <w:pPr>
        <w:rPr>
          <w:rFonts w:hint="eastAsia" w:hAnsi="宋体"/>
          <w:color w:val="auto"/>
          <w:highlight w:val="none"/>
        </w:rPr>
      </w:pPr>
    </w:p>
    <w:p w14:paraId="3C71F0E5">
      <w:pPr>
        <w:pStyle w:val="6"/>
        <w:numPr>
          <w:ilvl w:val="0"/>
          <w:numId w:val="12"/>
        </w:numPr>
        <w:jc w:val="center"/>
        <w:rPr>
          <w:rFonts w:hint="eastAsia"/>
          <w:b w:val="0"/>
          <w:color w:val="auto"/>
          <w:sz w:val="28"/>
          <w:szCs w:val="28"/>
          <w:highlight w:val="none"/>
        </w:rPr>
      </w:pPr>
      <w:bookmarkStart w:id="223" w:name="_Toc8815"/>
      <w:bookmarkStart w:id="224" w:name="_Toc18728"/>
      <w:r>
        <w:rPr>
          <w:rFonts w:hint="eastAsia"/>
          <w:color w:val="auto"/>
          <w:sz w:val="28"/>
          <w:szCs w:val="28"/>
          <w:highlight w:val="none"/>
        </w:rPr>
        <w:t>响应书</w:t>
      </w:r>
      <w:bookmarkEnd w:id="206"/>
      <w:bookmarkEnd w:id="207"/>
      <w:bookmarkEnd w:id="208"/>
      <w:bookmarkEnd w:id="209"/>
      <w:bookmarkEnd w:id="210"/>
      <w:bookmarkEnd w:id="211"/>
      <w:bookmarkEnd w:id="212"/>
      <w:bookmarkEnd w:id="223"/>
      <w:bookmarkEnd w:id="224"/>
    </w:p>
    <w:p w14:paraId="7A335EDA">
      <w:pPr>
        <w:pStyle w:val="33"/>
        <w:autoSpaceDE/>
        <w:autoSpaceDN/>
        <w:adjustRightInd/>
        <w:spacing w:line="480" w:lineRule="exact"/>
        <w:ind w:left="6000"/>
        <w:rPr>
          <w:rFonts w:hint="eastAsia" w:hAnsi="宋体"/>
          <w:color w:val="auto"/>
          <w:sz w:val="24"/>
          <w:highlight w:val="none"/>
        </w:rPr>
      </w:pPr>
    </w:p>
    <w:p w14:paraId="1FCAC3FD">
      <w:pPr>
        <w:pStyle w:val="33"/>
        <w:autoSpaceDE/>
        <w:autoSpaceDN/>
        <w:adjustRightInd/>
        <w:spacing w:line="480" w:lineRule="exact"/>
        <w:ind w:left="0" w:leftChars="0"/>
        <w:rPr>
          <w:rFonts w:hint="eastAsia" w:hAnsi="宋体"/>
          <w:color w:val="auto"/>
          <w:highlight w:val="none"/>
        </w:rPr>
      </w:pPr>
      <w:r>
        <w:rPr>
          <w:rFonts w:hint="eastAsia" w:hAnsi="宋体"/>
          <w:color w:val="auto"/>
          <w:highlight w:val="none"/>
        </w:rPr>
        <w:t>致：广东中科招标有限公司</w:t>
      </w:r>
    </w:p>
    <w:p w14:paraId="40CD7EE0">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根据贵方（采购编号：）的采购邀请和磋商文件，供应商承诺如下：</w:t>
      </w:r>
    </w:p>
    <w:p w14:paraId="26893988">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1.签字代表</w:t>
      </w:r>
      <w:r>
        <w:rPr>
          <w:rFonts w:hint="eastAsia" w:hAnsi="宋体"/>
          <w:color w:val="auto"/>
          <w:sz w:val="21"/>
          <w:szCs w:val="21"/>
          <w:highlight w:val="none"/>
          <w:u w:val="single"/>
        </w:rPr>
        <w:t>（姓名、职务）</w:t>
      </w:r>
      <w:r>
        <w:rPr>
          <w:rFonts w:hint="eastAsia" w:hAnsi="宋体"/>
          <w:color w:val="auto"/>
          <w:sz w:val="21"/>
          <w:szCs w:val="21"/>
          <w:highlight w:val="none"/>
        </w:rPr>
        <w:t>经正式授权并代表供应商</w:t>
      </w:r>
      <w:r>
        <w:rPr>
          <w:rFonts w:hint="eastAsia" w:hAnsi="宋体"/>
          <w:color w:val="auto"/>
          <w:sz w:val="21"/>
          <w:szCs w:val="21"/>
          <w:highlight w:val="none"/>
          <w:u w:val="single"/>
        </w:rPr>
        <w:t>（供应商名称、地址）</w:t>
      </w:r>
      <w:r>
        <w:rPr>
          <w:rFonts w:hint="eastAsia" w:hAnsi="宋体"/>
          <w:color w:val="auto"/>
          <w:sz w:val="21"/>
          <w:szCs w:val="21"/>
          <w:highlight w:val="none"/>
        </w:rPr>
        <w:t>提交响应文件正本份和副本份。</w:t>
      </w:r>
    </w:p>
    <w:p w14:paraId="7970EE4B">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2.供应商愿意参加响应并在成交后按磋商文件规定履行义务。</w:t>
      </w:r>
    </w:p>
    <w:p w14:paraId="7C72B5EB">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3.供应商已详细审查全部磋商文件，包括澄清或修改文件（如有的话）等全部资料。供应商完全理解磋商文件的内容，不存在对磋商文件不明白和误解。</w:t>
      </w:r>
    </w:p>
    <w:p w14:paraId="57B9F02E">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4.响应文件中所提交的所有资料均是准确的和真实的，否则，我单位愿意放弃成交的权利和接受采购监督管理部门的处罚。</w:t>
      </w:r>
    </w:p>
    <w:p w14:paraId="133FFFA3">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5.参加本项目采购活动前3年内，在经营活动中没有重大违法记录。</w:t>
      </w:r>
    </w:p>
    <w:p w14:paraId="193ECB69">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6.响应有效期为90个工作日，自开启响应文件之日起算。</w:t>
      </w:r>
    </w:p>
    <w:p w14:paraId="190E41A8">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7.如果开启响应文件后，在响应有效期内撤回文件的，我单位愿意承担贵单位由此而产生的损失。</w:t>
      </w:r>
    </w:p>
    <w:p w14:paraId="52F97A95">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8.供应商同意提供按照贵方可能要求的有关的一切资料，理解贵单位不一定要接受最低价的响应或收到的任何响应。</w:t>
      </w:r>
    </w:p>
    <w:p w14:paraId="47E09AF1">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9.与本响应有关的一切正式往来通讯请寄：</w:t>
      </w:r>
    </w:p>
    <w:p w14:paraId="0EA4F036">
      <w:pPr>
        <w:spacing w:line="480" w:lineRule="exact"/>
        <w:ind w:firstLine="420" w:firstLineChars="200"/>
        <w:rPr>
          <w:rFonts w:hint="eastAsia" w:hAnsi="宋体"/>
          <w:color w:val="auto"/>
          <w:sz w:val="21"/>
          <w:szCs w:val="21"/>
          <w:highlight w:val="none"/>
        </w:rPr>
      </w:pPr>
    </w:p>
    <w:p w14:paraId="68A0073B">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供应商名称：</w:t>
      </w:r>
      <w:r>
        <w:rPr>
          <w:rFonts w:hint="eastAsia" w:hAnsi="宋体"/>
          <w:color w:val="auto"/>
          <w:sz w:val="21"/>
          <w:szCs w:val="21"/>
          <w:highlight w:val="none"/>
          <w:u w:val="single"/>
        </w:rPr>
        <w:t xml:space="preserve">            （盖公章）</w:t>
      </w:r>
    </w:p>
    <w:p w14:paraId="5E424470">
      <w:pPr>
        <w:spacing w:line="480" w:lineRule="exact"/>
        <w:ind w:firstLine="420" w:firstLineChars="200"/>
        <w:rPr>
          <w:rFonts w:hint="eastAsia" w:hAnsi="宋体"/>
          <w:color w:val="auto"/>
          <w:sz w:val="21"/>
          <w:szCs w:val="21"/>
          <w:highlight w:val="none"/>
          <w:u w:val="single"/>
        </w:rPr>
      </w:pPr>
      <w:r>
        <w:rPr>
          <w:rFonts w:hint="eastAsia" w:hAnsi="宋体"/>
          <w:color w:val="auto"/>
          <w:sz w:val="21"/>
          <w:szCs w:val="21"/>
          <w:highlight w:val="none"/>
        </w:rPr>
        <w:t>供应商代表姓名、职务（印刷体）：</w:t>
      </w:r>
    </w:p>
    <w:p w14:paraId="2F486D02">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供应商联系电话、传真：</w:t>
      </w:r>
    </w:p>
    <w:p w14:paraId="088AA3EC">
      <w:pPr>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日期：  年  月  日</w:t>
      </w:r>
    </w:p>
    <w:p w14:paraId="49BF3F12">
      <w:pPr>
        <w:pStyle w:val="6"/>
        <w:numPr>
          <w:ilvl w:val="0"/>
          <w:numId w:val="12"/>
        </w:numPr>
        <w:jc w:val="center"/>
        <w:rPr>
          <w:rFonts w:hint="eastAsia"/>
          <w:bCs/>
          <w:color w:val="auto"/>
          <w:sz w:val="28"/>
          <w:szCs w:val="28"/>
          <w:highlight w:val="none"/>
        </w:rPr>
      </w:pPr>
      <w:r>
        <w:rPr>
          <w:rFonts w:hint="eastAsia"/>
          <w:color w:val="auto"/>
          <w:sz w:val="22"/>
          <w:szCs w:val="22"/>
          <w:highlight w:val="none"/>
        </w:rPr>
        <w:br w:type="page"/>
      </w:r>
      <w:bookmarkStart w:id="225" w:name="_Toc10808"/>
      <w:bookmarkStart w:id="226" w:name="_Toc24748"/>
      <w:bookmarkStart w:id="227" w:name="_Toc31943"/>
      <w:bookmarkStart w:id="228" w:name="_Toc7897891"/>
      <w:r>
        <w:rPr>
          <w:rFonts w:hint="eastAsia"/>
          <w:bCs/>
          <w:color w:val="auto"/>
          <w:sz w:val="28"/>
          <w:szCs w:val="28"/>
          <w:highlight w:val="none"/>
        </w:rPr>
        <w:t>法定代表人证明书</w:t>
      </w:r>
      <w:bookmarkEnd w:id="225"/>
      <w:bookmarkEnd w:id="226"/>
      <w:bookmarkEnd w:id="227"/>
      <w:bookmarkEnd w:id="228"/>
    </w:p>
    <w:p w14:paraId="48E36111">
      <w:pPr>
        <w:jc w:val="center"/>
        <w:rPr>
          <w:rFonts w:hint="eastAsia" w:hAnsi="宋体"/>
          <w:color w:val="auto"/>
          <w:sz w:val="28"/>
          <w:szCs w:val="28"/>
          <w:highlight w:val="none"/>
        </w:rPr>
      </w:pPr>
    </w:p>
    <w:p w14:paraId="560FA69C">
      <w:pPr>
        <w:spacing w:line="420" w:lineRule="atLeast"/>
        <w:rPr>
          <w:rFonts w:hint="eastAsia" w:hAnsi="宋体"/>
          <w:color w:val="auto"/>
          <w:sz w:val="21"/>
          <w:szCs w:val="21"/>
          <w:highlight w:val="none"/>
        </w:rPr>
      </w:pPr>
      <w:r>
        <w:rPr>
          <w:rFonts w:hint="eastAsia" w:hAnsi="宋体"/>
          <w:color w:val="auto"/>
          <w:sz w:val="21"/>
          <w:szCs w:val="21"/>
          <w:highlight w:val="none"/>
        </w:rPr>
        <w:t>致：广东中科招标有限公司</w:t>
      </w:r>
    </w:p>
    <w:p w14:paraId="31779BEB">
      <w:pPr>
        <w:pStyle w:val="79"/>
        <w:spacing w:line="420" w:lineRule="atLeast"/>
        <w:ind w:firstLine="433"/>
        <w:rPr>
          <w:rFonts w:hint="eastAsia" w:ascii="宋体" w:eastAsia="宋体"/>
          <w:color w:val="auto"/>
          <w:sz w:val="21"/>
          <w:szCs w:val="21"/>
          <w:highlight w:val="none"/>
        </w:rPr>
      </w:pPr>
    </w:p>
    <w:p w14:paraId="54A559C4">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 xml:space="preserve">供应商名称: </w:t>
      </w:r>
    </w:p>
    <w:p w14:paraId="66719469">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单 位 性质：</w:t>
      </w:r>
    </w:p>
    <w:p w14:paraId="2E5762AD">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地      址：</w:t>
      </w:r>
    </w:p>
    <w:p w14:paraId="69715B37">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成 立 时间：    年  月  日</w:t>
      </w:r>
    </w:p>
    <w:p w14:paraId="3CC53B0D">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经 营 期限：</w:t>
      </w:r>
    </w:p>
    <w:p w14:paraId="7577350A">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姓名：性别：年龄：职务：</w:t>
      </w:r>
    </w:p>
    <w:p w14:paraId="793AC03C">
      <w:pPr>
        <w:pStyle w:val="79"/>
        <w:spacing w:line="420" w:lineRule="atLeast"/>
        <w:ind w:firstLine="433"/>
        <w:rPr>
          <w:rFonts w:hint="eastAsia" w:ascii="宋体" w:eastAsia="宋体"/>
          <w:color w:val="auto"/>
          <w:sz w:val="21"/>
          <w:szCs w:val="21"/>
          <w:highlight w:val="none"/>
        </w:rPr>
      </w:pPr>
      <w:r>
        <w:rPr>
          <w:rFonts w:hint="eastAsia" w:ascii="宋体" w:eastAsia="宋体"/>
          <w:color w:val="auto"/>
          <w:sz w:val="21"/>
          <w:szCs w:val="21"/>
          <w:highlight w:val="none"/>
        </w:rPr>
        <w:t>系（供应商名称）的法定代表人。</w:t>
      </w:r>
    </w:p>
    <w:p w14:paraId="5DEDA486">
      <w:pPr>
        <w:spacing w:line="420" w:lineRule="atLeast"/>
        <w:ind w:firstLine="420" w:firstLineChars="200"/>
        <w:rPr>
          <w:rFonts w:hint="eastAsia" w:hAnsi="宋体"/>
          <w:color w:val="auto"/>
          <w:sz w:val="21"/>
          <w:szCs w:val="21"/>
          <w:highlight w:val="none"/>
        </w:rPr>
      </w:pPr>
      <w:r>
        <w:rPr>
          <w:rFonts w:hint="eastAsia" w:hAnsi="宋体"/>
          <w:color w:val="auto"/>
          <w:sz w:val="21"/>
          <w:szCs w:val="21"/>
          <w:highlight w:val="none"/>
        </w:rPr>
        <w:t>特此证明。</w:t>
      </w:r>
    </w:p>
    <w:p w14:paraId="00CD83B9">
      <w:pPr>
        <w:pStyle w:val="79"/>
        <w:spacing w:line="500" w:lineRule="atLeast"/>
        <w:ind w:firstLine="3517" w:firstLineChars="1675"/>
        <w:rPr>
          <w:rFonts w:hint="eastAsia" w:ascii="宋体" w:eastAsia="宋体"/>
          <w:color w:val="auto"/>
          <w:sz w:val="21"/>
          <w:szCs w:val="21"/>
          <w:highlight w:val="none"/>
        </w:rPr>
      </w:pPr>
    </w:p>
    <w:p w14:paraId="6742F7EB">
      <w:pPr>
        <w:pStyle w:val="79"/>
        <w:spacing w:line="500" w:lineRule="atLeast"/>
        <w:ind w:firstLine="3517" w:firstLineChars="1675"/>
        <w:rPr>
          <w:rFonts w:hint="eastAsia" w:ascii="宋体" w:eastAsia="宋体"/>
          <w:color w:val="auto"/>
          <w:sz w:val="21"/>
          <w:szCs w:val="21"/>
          <w:highlight w:val="none"/>
        </w:rPr>
      </w:pPr>
      <w:r>
        <w:rPr>
          <w:rFonts w:hint="eastAsia" w:ascii="宋体" w:eastAsia="宋体"/>
          <w:color w:val="auto"/>
          <w:sz w:val="21"/>
          <w:szCs w:val="21"/>
          <w:highlight w:val="none"/>
        </w:rPr>
        <w:t>供应商名称（加盖公章）：</w:t>
      </w:r>
    </w:p>
    <w:p w14:paraId="0F2DD68E">
      <w:pPr>
        <w:pStyle w:val="79"/>
        <w:spacing w:line="500" w:lineRule="atLeast"/>
        <w:ind w:firstLine="3517" w:firstLineChars="1675"/>
        <w:rPr>
          <w:rFonts w:hint="eastAsia"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6C8CBEE7">
      <w:pPr>
        <w:pStyle w:val="79"/>
        <w:spacing w:line="500" w:lineRule="atLeast"/>
        <w:ind w:firstLine="3517" w:firstLineChars="1675"/>
        <w:rPr>
          <w:rFonts w:hint="eastAsia" w:ascii="宋体" w:eastAsia="宋体"/>
          <w:color w:val="auto"/>
          <w:sz w:val="21"/>
          <w:szCs w:val="21"/>
          <w:highlight w:val="none"/>
          <w:u w:val="single"/>
        </w:rPr>
      </w:pPr>
      <w:r>
        <w:rPr>
          <w:rFonts w:hint="eastAsia" w:ascii="宋体" w:eastAsia="宋体"/>
          <w:color w:val="auto"/>
          <w:sz w:val="21"/>
          <w:szCs w:val="21"/>
          <w:highlight w:val="none"/>
        </w:rPr>
        <w:t>身份证号码：</w:t>
      </w:r>
    </w:p>
    <w:p w14:paraId="6E84A265">
      <w:pPr>
        <w:pStyle w:val="79"/>
        <w:spacing w:line="500" w:lineRule="atLeast"/>
        <w:ind w:firstLine="3507" w:firstLineChars="1670"/>
        <w:rPr>
          <w:rFonts w:hint="eastAsia" w:ascii="宋体" w:eastAsia="宋体"/>
          <w:color w:val="auto"/>
          <w:sz w:val="21"/>
          <w:szCs w:val="21"/>
          <w:highlight w:val="none"/>
        </w:rPr>
      </w:pPr>
      <w:r>
        <w:rPr>
          <w:rFonts w:hint="eastAsia" w:ascii="宋体" w:eastAsia="宋体"/>
          <w:color w:val="auto"/>
          <w:sz w:val="21"/>
          <w:szCs w:val="21"/>
          <w:highlight w:val="none"/>
        </w:rPr>
        <w:t>日      期：    年  月  日</w:t>
      </w:r>
    </w:p>
    <w:p w14:paraId="7156EDE8">
      <w:pPr>
        <w:pStyle w:val="79"/>
        <w:spacing w:line="460" w:lineRule="exact"/>
        <w:ind w:firstLine="433"/>
        <w:rPr>
          <w:rFonts w:hint="eastAsia" w:ascii="宋体" w:eastAsia="宋体"/>
          <w:color w:val="auto"/>
          <w:sz w:val="21"/>
          <w:szCs w:val="21"/>
          <w:highlight w:val="none"/>
        </w:rPr>
      </w:pPr>
    </w:p>
    <w:p w14:paraId="2EF1C8CE">
      <w:pPr>
        <w:spacing w:line="420" w:lineRule="atLeast"/>
        <w:ind w:firstLine="422" w:firstLineChars="200"/>
        <w:rPr>
          <w:rFonts w:hint="eastAsia" w:hAnsi="宋体"/>
          <w:b/>
          <w:color w:val="auto"/>
          <w:sz w:val="21"/>
          <w:szCs w:val="21"/>
          <w:highlight w:val="none"/>
        </w:rPr>
      </w:pPr>
    </w:p>
    <w:p w14:paraId="0CB1537E">
      <w:pPr>
        <w:spacing w:line="420" w:lineRule="atLeast"/>
        <w:ind w:firstLine="422" w:firstLineChars="200"/>
        <w:rPr>
          <w:rFonts w:hint="eastAsia" w:hAnsi="宋体"/>
          <w:b/>
          <w:color w:val="auto"/>
          <w:sz w:val="21"/>
          <w:szCs w:val="21"/>
          <w:highlight w:val="none"/>
        </w:rPr>
      </w:pPr>
      <w:r>
        <w:rPr>
          <w:rFonts w:hint="eastAsia" w:hAnsi="宋体"/>
          <w:b/>
          <w:color w:val="auto"/>
          <w:sz w:val="21"/>
          <w:szCs w:val="21"/>
          <w:highlight w:val="none"/>
        </w:rPr>
        <w:t>须附：法定代表人身份证复印件</w:t>
      </w:r>
    </w:p>
    <w:p w14:paraId="09DCB549">
      <w:pPr>
        <w:spacing w:line="420" w:lineRule="atLeast"/>
        <w:ind w:firstLine="422" w:firstLineChars="200"/>
        <w:rPr>
          <w:rFonts w:hint="eastAsia" w:hAnsi="宋体"/>
          <w:b/>
          <w:color w:val="auto"/>
          <w:sz w:val="21"/>
          <w:szCs w:val="21"/>
          <w:highlight w:val="none"/>
        </w:rPr>
      </w:pPr>
    </w:p>
    <w:tbl>
      <w:tblPr>
        <w:tblStyle w:val="54"/>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7095C5F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732360F2">
            <w:pPr>
              <w:pStyle w:val="79"/>
              <w:spacing w:line="460" w:lineRule="exact"/>
              <w:ind w:firstLine="0" w:firstLineChars="0"/>
              <w:jc w:val="center"/>
              <w:rPr>
                <w:rFonts w:hint="eastAsia" w:ascii="宋体" w:eastAsia="宋体"/>
                <w:color w:val="auto"/>
                <w:sz w:val="21"/>
                <w:szCs w:val="21"/>
                <w:highlight w:val="none"/>
              </w:rPr>
            </w:pPr>
            <w:r>
              <w:rPr>
                <w:rFonts w:hint="eastAsia" w:ascii="宋体" w:eastAsia="宋体"/>
                <w:color w:val="auto"/>
                <w:sz w:val="21"/>
                <w:szCs w:val="21"/>
                <w:highlight w:val="none"/>
              </w:rPr>
              <w:t>正面</w:t>
            </w:r>
          </w:p>
        </w:tc>
        <w:tc>
          <w:tcPr>
            <w:tcW w:w="4182" w:type="dxa"/>
            <w:vAlign w:val="center"/>
          </w:tcPr>
          <w:p w14:paraId="2F4B234B">
            <w:pPr>
              <w:pStyle w:val="79"/>
              <w:spacing w:line="460" w:lineRule="exact"/>
              <w:ind w:firstLine="0" w:firstLineChars="0"/>
              <w:jc w:val="center"/>
              <w:rPr>
                <w:rFonts w:hint="eastAsia" w:ascii="宋体" w:eastAsia="宋体"/>
                <w:color w:val="auto"/>
                <w:sz w:val="21"/>
                <w:szCs w:val="21"/>
                <w:highlight w:val="none"/>
              </w:rPr>
            </w:pPr>
            <w:r>
              <w:rPr>
                <w:rFonts w:hint="eastAsia" w:ascii="宋体" w:eastAsia="宋体"/>
                <w:color w:val="auto"/>
                <w:sz w:val="21"/>
                <w:szCs w:val="21"/>
                <w:highlight w:val="none"/>
              </w:rPr>
              <w:t>背面</w:t>
            </w:r>
          </w:p>
        </w:tc>
      </w:tr>
    </w:tbl>
    <w:p w14:paraId="3CD981A2">
      <w:pPr>
        <w:rPr>
          <w:rFonts w:hint="eastAsia" w:hAnsi="宋体"/>
          <w:color w:val="auto"/>
          <w:highlight w:val="none"/>
        </w:rPr>
      </w:pPr>
    </w:p>
    <w:p w14:paraId="7F4EEE1A">
      <w:pPr>
        <w:pStyle w:val="6"/>
        <w:numPr>
          <w:ilvl w:val="0"/>
          <w:numId w:val="12"/>
        </w:numPr>
        <w:jc w:val="center"/>
        <w:rPr>
          <w:rFonts w:hint="eastAsia"/>
          <w:bCs/>
          <w:color w:val="auto"/>
          <w:sz w:val="28"/>
          <w:szCs w:val="28"/>
          <w:highlight w:val="none"/>
        </w:rPr>
      </w:pPr>
      <w:r>
        <w:rPr>
          <w:rFonts w:hint="eastAsia"/>
          <w:bCs/>
          <w:color w:val="auto"/>
          <w:sz w:val="28"/>
          <w:szCs w:val="28"/>
          <w:highlight w:val="none"/>
        </w:rPr>
        <w:br w:type="page"/>
      </w:r>
      <w:bookmarkStart w:id="229" w:name="_Toc18590"/>
      <w:bookmarkStart w:id="230" w:name="_Toc28882"/>
      <w:bookmarkStart w:id="231" w:name="_Toc7897892"/>
      <w:bookmarkStart w:id="232" w:name="_Toc19634"/>
      <w:r>
        <w:rPr>
          <w:rFonts w:hint="eastAsia"/>
          <w:bCs/>
          <w:color w:val="auto"/>
          <w:sz w:val="28"/>
          <w:szCs w:val="28"/>
          <w:highlight w:val="none"/>
        </w:rPr>
        <w:t>授权委托书（加法人证明书）</w:t>
      </w:r>
      <w:bookmarkEnd w:id="229"/>
      <w:bookmarkEnd w:id="230"/>
      <w:bookmarkEnd w:id="231"/>
      <w:bookmarkEnd w:id="232"/>
    </w:p>
    <w:p w14:paraId="12115BE0">
      <w:pPr>
        <w:pStyle w:val="15"/>
        <w:ind w:firstLine="400"/>
        <w:rPr>
          <w:rFonts w:hint="eastAsia" w:ascii="宋体" w:hAnsi="宋体"/>
          <w:color w:val="auto"/>
          <w:highlight w:val="none"/>
        </w:rPr>
      </w:pPr>
    </w:p>
    <w:p w14:paraId="3EFE60BD">
      <w:pPr>
        <w:spacing w:line="420" w:lineRule="exact"/>
        <w:rPr>
          <w:rFonts w:hint="eastAsia" w:hAnsi="宋体"/>
          <w:color w:val="auto"/>
          <w:sz w:val="22"/>
          <w:szCs w:val="22"/>
          <w:highlight w:val="none"/>
        </w:rPr>
      </w:pPr>
    </w:p>
    <w:p w14:paraId="3FD20DA0">
      <w:pPr>
        <w:spacing w:line="420" w:lineRule="exact"/>
        <w:rPr>
          <w:rFonts w:hint="eastAsia" w:hAnsi="宋体"/>
          <w:color w:val="auto"/>
          <w:sz w:val="21"/>
          <w:szCs w:val="21"/>
          <w:highlight w:val="none"/>
        </w:rPr>
      </w:pPr>
      <w:r>
        <w:rPr>
          <w:rFonts w:hint="eastAsia" w:hAnsi="宋体"/>
          <w:color w:val="auto"/>
          <w:sz w:val="21"/>
          <w:szCs w:val="21"/>
          <w:highlight w:val="none"/>
        </w:rPr>
        <w:t>致：广东中科招标有限公司</w:t>
      </w:r>
    </w:p>
    <w:p w14:paraId="78617A3B">
      <w:pPr>
        <w:pStyle w:val="79"/>
        <w:spacing w:line="420" w:lineRule="exact"/>
        <w:ind w:firstLine="450" w:firstLineChars="0"/>
        <w:rPr>
          <w:rFonts w:hint="eastAsia" w:ascii="宋体" w:eastAsia="宋体"/>
          <w:color w:val="auto"/>
          <w:sz w:val="21"/>
          <w:szCs w:val="21"/>
          <w:highlight w:val="none"/>
        </w:rPr>
      </w:pPr>
      <w:r>
        <w:rPr>
          <w:rFonts w:hint="eastAsia" w:ascii="宋体" w:eastAsia="宋体"/>
          <w:color w:val="auto"/>
          <w:sz w:val="21"/>
          <w:szCs w:val="21"/>
          <w:highlight w:val="none"/>
        </w:rPr>
        <w:t>本人</w:t>
      </w:r>
      <w:r>
        <w:rPr>
          <w:rFonts w:hint="eastAsia" w:ascii="宋体" w:eastAsia="宋体"/>
          <w:color w:val="auto"/>
          <w:sz w:val="21"/>
          <w:szCs w:val="21"/>
          <w:highlight w:val="none"/>
          <w:u w:val="single"/>
        </w:rPr>
        <w:t xml:space="preserve">  （姓名） </w:t>
      </w:r>
      <w:r>
        <w:rPr>
          <w:rFonts w:hint="eastAsia" w:ascii="宋体" w:eastAsia="宋体"/>
          <w:color w:val="auto"/>
          <w:sz w:val="21"/>
          <w:szCs w:val="21"/>
          <w:highlight w:val="none"/>
        </w:rPr>
        <w:t>系</w:t>
      </w:r>
      <w:r>
        <w:rPr>
          <w:rFonts w:hint="eastAsia" w:ascii="宋体" w:eastAsia="宋体"/>
          <w:color w:val="auto"/>
          <w:sz w:val="21"/>
          <w:szCs w:val="21"/>
          <w:highlight w:val="none"/>
          <w:u w:val="single"/>
        </w:rPr>
        <w:t xml:space="preserve">     （供应商名称）        </w:t>
      </w:r>
      <w:r>
        <w:rPr>
          <w:rFonts w:hint="eastAsia" w:ascii="宋体" w:eastAsia="宋体"/>
          <w:color w:val="auto"/>
          <w:sz w:val="21"/>
          <w:szCs w:val="21"/>
          <w:highlight w:val="none"/>
        </w:rPr>
        <w:t>的法定代表人，现委托</w:t>
      </w:r>
      <w:r>
        <w:rPr>
          <w:rFonts w:hint="eastAsia" w:ascii="宋体" w:eastAsia="宋体"/>
          <w:color w:val="auto"/>
          <w:sz w:val="21"/>
          <w:szCs w:val="21"/>
          <w:highlight w:val="none"/>
          <w:u w:val="single"/>
        </w:rPr>
        <w:t xml:space="preserve"> （姓名） </w:t>
      </w:r>
      <w:r>
        <w:rPr>
          <w:rFonts w:hint="eastAsia" w:ascii="宋体" w:eastAsia="宋体"/>
          <w:color w:val="auto"/>
          <w:sz w:val="21"/>
          <w:szCs w:val="21"/>
          <w:highlight w:val="none"/>
        </w:rPr>
        <w:t>为我方合法代理人。代理人根据授权，以我方名义签署、澄清、说明、补正、递交、撤回、修改</w:t>
      </w:r>
      <w:r>
        <w:rPr>
          <w:rFonts w:hint="eastAsia" w:ascii="宋体" w:eastAsia="宋体"/>
          <w:color w:val="auto"/>
          <w:sz w:val="21"/>
          <w:szCs w:val="21"/>
          <w:highlight w:val="none"/>
          <w:u w:val="single"/>
        </w:rPr>
        <w:t xml:space="preserve">        （项目名称）        </w:t>
      </w:r>
      <w:r>
        <w:rPr>
          <w:rFonts w:hint="eastAsia" w:ascii="宋体" w:eastAsia="宋体"/>
          <w:color w:val="auto"/>
          <w:sz w:val="21"/>
          <w:szCs w:val="21"/>
          <w:highlight w:val="none"/>
        </w:rPr>
        <w:t>[采购编号：</w:t>
      </w:r>
      <w:r>
        <w:rPr>
          <w:rFonts w:hint="eastAsia" w:ascii="宋体" w:eastAsia="宋体"/>
          <w:color w:val="auto"/>
          <w:sz w:val="21"/>
          <w:szCs w:val="21"/>
          <w:highlight w:val="none"/>
          <w:u w:val="single"/>
        </w:rPr>
        <w:t>　　　　　　　</w:t>
      </w:r>
      <w:r>
        <w:rPr>
          <w:rFonts w:hint="eastAsia" w:ascii="宋体" w:eastAsia="宋体"/>
          <w:color w:val="auto"/>
          <w:sz w:val="21"/>
          <w:szCs w:val="21"/>
          <w:highlight w:val="none"/>
        </w:rPr>
        <w:t>]磋商响应文件、签订合同和处理有关事宜，其法律后果由我方承担。</w:t>
      </w:r>
    </w:p>
    <w:p w14:paraId="4E9B11BC">
      <w:pPr>
        <w:pStyle w:val="79"/>
        <w:spacing w:line="420" w:lineRule="exact"/>
        <w:ind w:firstLine="428" w:firstLineChars="204"/>
        <w:rPr>
          <w:rFonts w:hint="eastAsia" w:ascii="宋体" w:eastAsia="宋体"/>
          <w:color w:val="auto"/>
          <w:sz w:val="21"/>
          <w:szCs w:val="21"/>
          <w:highlight w:val="none"/>
        </w:rPr>
      </w:pPr>
      <w:r>
        <w:rPr>
          <w:rFonts w:hint="eastAsia" w:ascii="宋体" w:eastAsia="宋体"/>
          <w:color w:val="auto"/>
          <w:sz w:val="21"/>
          <w:szCs w:val="21"/>
          <w:highlight w:val="none"/>
        </w:rPr>
        <w:t>本委托书于</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日签字生效，特此证明。</w:t>
      </w:r>
    </w:p>
    <w:p w14:paraId="2E042D25">
      <w:pPr>
        <w:pStyle w:val="79"/>
        <w:spacing w:line="420" w:lineRule="exact"/>
        <w:ind w:firstLine="450" w:firstLineChars="0"/>
        <w:rPr>
          <w:rFonts w:hint="eastAsia" w:ascii="宋体" w:eastAsia="宋体"/>
          <w:color w:val="auto"/>
          <w:sz w:val="21"/>
          <w:szCs w:val="21"/>
          <w:highlight w:val="none"/>
        </w:rPr>
      </w:pPr>
      <w:r>
        <w:rPr>
          <w:rFonts w:hint="eastAsia" w:ascii="宋体" w:eastAsia="宋体"/>
          <w:color w:val="auto"/>
          <w:sz w:val="21"/>
          <w:szCs w:val="21"/>
          <w:highlight w:val="none"/>
        </w:rPr>
        <w:t>代理人无转委托权</w:t>
      </w:r>
    </w:p>
    <w:p w14:paraId="7144A1BB">
      <w:pPr>
        <w:pStyle w:val="79"/>
        <w:spacing w:line="420" w:lineRule="exact"/>
        <w:ind w:firstLine="450" w:firstLineChars="0"/>
        <w:rPr>
          <w:rFonts w:hint="eastAsia" w:ascii="宋体" w:eastAsia="宋体"/>
          <w:color w:val="auto"/>
          <w:sz w:val="21"/>
          <w:szCs w:val="21"/>
          <w:highlight w:val="none"/>
        </w:rPr>
      </w:pPr>
    </w:p>
    <w:p w14:paraId="70FD7319">
      <w:pPr>
        <w:pStyle w:val="79"/>
        <w:spacing w:line="420" w:lineRule="exact"/>
        <w:ind w:firstLine="428" w:firstLineChars="204"/>
        <w:rPr>
          <w:rFonts w:hint="eastAsia" w:ascii="宋体" w:eastAsia="宋体"/>
          <w:color w:val="auto"/>
          <w:sz w:val="21"/>
          <w:szCs w:val="21"/>
          <w:highlight w:val="none"/>
        </w:rPr>
      </w:pPr>
    </w:p>
    <w:p w14:paraId="46358323">
      <w:pPr>
        <w:pStyle w:val="79"/>
        <w:spacing w:line="420" w:lineRule="exact"/>
        <w:ind w:firstLine="3517" w:firstLineChars="1675"/>
        <w:rPr>
          <w:rFonts w:hint="eastAsia" w:ascii="宋体" w:eastAsia="宋体"/>
          <w:color w:val="auto"/>
          <w:sz w:val="21"/>
          <w:szCs w:val="21"/>
          <w:highlight w:val="none"/>
        </w:rPr>
      </w:pPr>
      <w:r>
        <w:rPr>
          <w:rFonts w:hint="eastAsia" w:ascii="宋体" w:eastAsia="宋体"/>
          <w:color w:val="auto"/>
          <w:sz w:val="21"/>
          <w:szCs w:val="21"/>
          <w:highlight w:val="none"/>
        </w:rPr>
        <w:t>供应商名称（加盖公章）：</w:t>
      </w:r>
    </w:p>
    <w:p w14:paraId="0DF4B5B4">
      <w:pPr>
        <w:pStyle w:val="79"/>
        <w:spacing w:line="420" w:lineRule="exact"/>
        <w:ind w:firstLine="3517" w:firstLineChars="1675"/>
        <w:rPr>
          <w:rFonts w:hint="eastAsia"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7FEB61A6">
      <w:pPr>
        <w:pStyle w:val="79"/>
        <w:spacing w:line="420" w:lineRule="exact"/>
        <w:ind w:firstLine="3517" w:firstLineChars="1675"/>
        <w:rPr>
          <w:rFonts w:hint="eastAsia" w:ascii="宋体" w:eastAsia="宋体"/>
          <w:color w:val="auto"/>
          <w:sz w:val="21"/>
          <w:szCs w:val="21"/>
          <w:highlight w:val="none"/>
        </w:rPr>
      </w:pPr>
      <w:r>
        <w:rPr>
          <w:rFonts w:hint="eastAsia" w:ascii="宋体" w:eastAsia="宋体"/>
          <w:color w:val="auto"/>
          <w:sz w:val="21"/>
          <w:szCs w:val="21"/>
          <w:highlight w:val="none"/>
        </w:rPr>
        <w:t>身份证号码：</w:t>
      </w:r>
    </w:p>
    <w:p w14:paraId="040E2468">
      <w:pPr>
        <w:pStyle w:val="79"/>
        <w:spacing w:line="420" w:lineRule="exact"/>
        <w:ind w:firstLine="3517" w:firstLineChars="1675"/>
        <w:rPr>
          <w:rFonts w:hint="eastAsia" w:ascii="宋体" w:eastAsia="宋体"/>
          <w:color w:val="auto"/>
          <w:sz w:val="21"/>
          <w:szCs w:val="21"/>
          <w:highlight w:val="none"/>
        </w:rPr>
      </w:pPr>
    </w:p>
    <w:p w14:paraId="2D974A14">
      <w:pPr>
        <w:pStyle w:val="79"/>
        <w:spacing w:line="420" w:lineRule="exact"/>
        <w:ind w:firstLine="3517" w:firstLineChars="1675"/>
        <w:rPr>
          <w:rFonts w:hint="eastAsia" w:ascii="宋体" w:eastAsia="宋体"/>
          <w:color w:val="auto"/>
          <w:sz w:val="21"/>
          <w:szCs w:val="21"/>
          <w:highlight w:val="none"/>
        </w:rPr>
      </w:pPr>
      <w:r>
        <w:rPr>
          <w:rFonts w:hint="eastAsia" w:ascii="宋体" w:eastAsia="宋体"/>
          <w:color w:val="auto"/>
          <w:sz w:val="21"/>
          <w:szCs w:val="21"/>
          <w:highlight w:val="none"/>
        </w:rPr>
        <w:t>受托代理人（签名或盖私章）：</w:t>
      </w:r>
    </w:p>
    <w:p w14:paraId="20019FC2">
      <w:pPr>
        <w:pStyle w:val="79"/>
        <w:spacing w:line="420" w:lineRule="exact"/>
        <w:ind w:firstLine="3517" w:firstLineChars="1675"/>
        <w:rPr>
          <w:rFonts w:hint="eastAsia" w:ascii="宋体" w:eastAsia="宋体"/>
          <w:color w:val="auto"/>
          <w:sz w:val="21"/>
          <w:szCs w:val="21"/>
          <w:highlight w:val="none"/>
          <w:u w:val="single"/>
        </w:rPr>
      </w:pPr>
      <w:r>
        <w:rPr>
          <w:rFonts w:hint="eastAsia" w:ascii="宋体" w:eastAsia="宋体"/>
          <w:color w:val="auto"/>
          <w:sz w:val="21"/>
          <w:szCs w:val="21"/>
          <w:highlight w:val="none"/>
        </w:rPr>
        <w:t>身份证号码：</w:t>
      </w:r>
    </w:p>
    <w:p w14:paraId="795A9BAE">
      <w:pPr>
        <w:pStyle w:val="79"/>
        <w:spacing w:line="460" w:lineRule="exact"/>
        <w:ind w:firstLine="3507" w:firstLineChars="1670"/>
        <w:rPr>
          <w:rFonts w:hint="eastAsia" w:ascii="宋体" w:eastAsia="宋体"/>
          <w:color w:val="auto"/>
          <w:sz w:val="21"/>
          <w:szCs w:val="21"/>
          <w:highlight w:val="none"/>
        </w:rPr>
      </w:pPr>
      <w:r>
        <w:rPr>
          <w:rFonts w:hint="eastAsia" w:ascii="宋体" w:eastAsia="宋体"/>
          <w:color w:val="auto"/>
          <w:sz w:val="21"/>
          <w:szCs w:val="21"/>
          <w:highlight w:val="none"/>
        </w:rPr>
        <w:t>日      期：    年  月  日</w:t>
      </w:r>
    </w:p>
    <w:p w14:paraId="241369FC">
      <w:pPr>
        <w:spacing w:line="420" w:lineRule="atLeast"/>
        <w:ind w:firstLine="422" w:firstLineChars="200"/>
        <w:rPr>
          <w:rFonts w:hint="eastAsia" w:hAnsi="宋体"/>
          <w:b/>
          <w:color w:val="auto"/>
          <w:sz w:val="21"/>
          <w:szCs w:val="21"/>
          <w:highlight w:val="none"/>
        </w:rPr>
      </w:pPr>
    </w:p>
    <w:p w14:paraId="17D5A11F">
      <w:pPr>
        <w:spacing w:line="420" w:lineRule="atLeast"/>
        <w:ind w:firstLine="422" w:firstLineChars="200"/>
        <w:rPr>
          <w:rFonts w:hint="eastAsia" w:hAnsi="宋体"/>
          <w:b/>
          <w:color w:val="auto"/>
          <w:sz w:val="21"/>
          <w:szCs w:val="21"/>
          <w:highlight w:val="none"/>
        </w:rPr>
      </w:pPr>
    </w:p>
    <w:p w14:paraId="7992DB0E">
      <w:pPr>
        <w:spacing w:line="420" w:lineRule="atLeast"/>
        <w:ind w:firstLine="422" w:firstLineChars="200"/>
        <w:rPr>
          <w:rFonts w:hint="eastAsia" w:hAnsi="宋体"/>
          <w:b/>
          <w:color w:val="auto"/>
          <w:sz w:val="21"/>
          <w:szCs w:val="21"/>
          <w:highlight w:val="none"/>
        </w:rPr>
      </w:pPr>
      <w:r>
        <w:rPr>
          <w:rFonts w:hint="eastAsia" w:hAnsi="宋体"/>
          <w:b/>
          <w:color w:val="auto"/>
          <w:sz w:val="21"/>
          <w:szCs w:val="21"/>
          <w:highlight w:val="none"/>
        </w:rPr>
        <w:t>须附：授权代理人身份证复印件</w:t>
      </w:r>
    </w:p>
    <w:p w14:paraId="11EA9C27">
      <w:pPr>
        <w:spacing w:line="420" w:lineRule="atLeast"/>
        <w:ind w:firstLine="420" w:firstLineChars="200"/>
        <w:rPr>
          <w:rFonts w:hint="eastAsia" w:hAnsi="宋体"/>
          <w:color w:val="auto"/>
          <w:sz w:val="21"/>
          <w:szCs w:val="21"/>
          <w:highlight w:val="none"/>
        </w:rPr>
      </w:pPr>
    </w:p>
    <w:tbl>
      <w:tblPr>
        <w:tblStyle w:val="54"/>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0835FE1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70754594">
            <w:pPr>
              <w:pStyle w:val="79"/>
              <w:spacing w:line="460" w:lineRule="exact"/>
              <w:ind w:firstLine="0" w:firstLineChars="0"/>
              <w:jc w:val="center"/>
              <w:rPr>
                <w:rFonts w:hint="eastAsia" w:ascii="宋体" w:eastAsia="宋体"/>
                <w:color w:val="auto"/>
                <w:sz w:val="21"/>
                <w:szCs w:val="21"/>
                <w:highlight w:val="none"/>
              </w:rPr>
            </w:pPr>
            <w:r>
              <w:rPr>
                <w:rFonts w:hint="eastAsia" w:ascii="宋体" w:eastAsia="宋体"/>
                <w:color w:val="auto"/>
                <w:sz w:val="21"/>
                <w:szCs w:val="21"/>
                <w:highlight w:val="none"/>
              </w:rPr>
              <w:t>正面</w:t>
            </w:r>
          </w:p>
        </w:tc>
        <w:tc>
          <w:tcPr>
            <w:tcW w:w="4232" w:type="dxa"/>
            <w:vAlign w:val="center"/>
          </w:tcPr>
          <w:p w14:paraId="5DFB2E8F">
            <w:pPr>
              <w:pStyle w:val="79"/>
              <w:spacing w:line="460" w:lineRule="exact"/>
              <w:ind w:firstLine="0" w:firstLineChars="0"/>
              <w:jc w:val="center"/>
              <w:rPr>
                <w:rFonts w:hint="eastAsia" w:ascii="宋体" w:eastAsia="宋体"/>
                <w:color w:val="auto"/>
                <w:sz w:val="21"/>
                <w:szCs w:val="21"/>
                <w:highlight w:val="none"/>
              </w:rPr>
            </w:pPr>
            <w:r>
              <w:rPr>
                <w:rFonts w:hint="eastAsia" w:ascii="宋体" w:eastAsia="宋体"/>
                <w:color w:val="auto"/>
                <w:sz w:val="21"/>
                <w:szCs w:val="21"/>
                <w:highlight w:val="none"/>
              </w:rPr>
              <w:t>背面</w:t>
            </w:r>
          </w:p>
        </w:tc>
      </w:tr>
    </w:tbl>
    <w:p w14:paraId="1A617F8A">
      <w:pPr>
        <w:pStyle w:val="15"/>
        <w:ind w:firstLine="482"/>
        <w:rPr>
          <w:rFonts w:hint="eastAsia" w:ascii="宋体" w:hAnsi="宋体"/>
          <w:b/>
          <w:color w:val="auto"/>
          <w:sz w:val="24"/>
          <w:szCs w:val="24"/>
          <w:highlight w:val="none"/>
        </w:rPr>
      </w:pPr>
    </w:p>
    <w:p w14:paraId="29669A0A">
      <w:pPr>
        <w:rPr>
          <w:rFonts w:hint="eastAsia" w:hAnsi="宋体"/>
          <w:color w:val="auto"/>
          <w:sz w:val="21"/>
          <w:szCs w:val="21"/>
          <w:highlight w:val="none"/>
        </w:rPr>
      </w:pPr>
      <w:bookmarkStart w:id="233" w:name="_Toc7897893"/>
      <w:bookmarkStart w:id="234" w:name="_Toc4592"/>
      <w:r>
        <w:rPr>
          <w:rFonts w:hint="eastAsia" w:hAnsi="宋体"/>
          <w:color w:val="auto"/>
          <w:sz w:val="21"/>
          <w:szCs w:val="21"/>
          <w:highlight w:val="none"/>
        </w:rPr>
        <w:br w:type="page"/>
      </w:r>
    </w:p>
    <w:p w14:paraId="6030415B">
      <w:pPr>
        <w:pStyle w:val="6"/>
        <w:numPr>
          <w:ilvl w:val="0"/>
          <w:numId w:val="12"/>
        </w:numPr>
        <w:jc w:val="center"/>
        <w:rPr>
          <w:rFonts w:hint="eastAsia"/>
          <w:color w:val="auto"/>
          <w:sz w:val="28"/>
          <w:szCs w:val="28"/>
          <w:highlight w:val="none"/>
        </w:rPr>
      </w:pPr>
      <w:bookmarkStart w:id="235" w:name="_Toc1276"/>
      <w:bookmarkStart w:id="236" w:name="_Toc17363"/>
      <w:r>
        <w:rPr>
          <w:rFonts w:hint="eastAsia"/>
          <w:color w:val="auto"/>
          <w:sz w:val="28"/>
          <w:szCs w:val="28"/>
          <w:highlight w:val="none"/>
        </w:rPr>
        <w:t>供应商基本情况说明</w:t>
      </w:r>
      <w:bookmarkEnd w:id="233"/>
      <w:bookmarkEnd w:id="234"/>
      <w:bookmarkEnd w:id="235"/>
      <w:bookmarkEnd w:id="236"/>
    </w:p>
    <w:p w14:paraId="36482417">
      <w:pPr>
        <w:spacing w:line="360" w:lineRule="auto"/>
        <w:rPr>
          <w:rFonts w:hint="eastAsia" w:hAnsi="宋体"/>
          <w:color w:val="auto"/>
          <w:sz w:val="22"/>
          <w:szCs w:val="22"/>
          <w:highlight w:val="none"/>
        </w:rPr>
      </w:pPr>
    </w:p>
    <w:p w14:paraId="089D4CA4">
      <w:pPr>
        <w:spacing w:line="360" w:lineRule="auto"/>
        <w:rPr>
          <w:rFonts w:hint="eastAsia" w:hAnsi="宋体"/>
          <w:color w:val="auto"/>
          <w:sz w:val="21"/>
          <w:szCs w:val="21"/>
          <w:highlight w:val="none"/>
        </w:rPr>
      </w:pPr>
      <w:r>
        <w:rPr>
          <w:rFonts w:hint="eastAsia" w:hAnsi="宋体"/>
          <w:color w:val="auto"/>
          <w:sz w:val="21"/>
          <w:szCs w:val="21"/>
          <w:highlight w:val="none"/>
        </w:rPr>
        <w:t>一、公司基本情况</w:t>
      </w:r>
    </w:p>
    <w:p w14:paraId="1591F198">
      <w:pPr>
        <w:tabs>
          <w:tab w:val="left" w:pos="4678"/>
        </w:tabs>
        <w:spacing w:line="360" w:lineRule="auto"/>
        <w:rPr>
          <w:rFonts w:hint="eastAsia" w:hAnsi="宋体"/>
          <w:color w:val="auto"/>
          <w:sz w:val="21"/>
          <w:szCs w:val="21"/>
          <w:highlight w:val="none"/>
        </w:rPr>
      </w:pPr>
      <w:r>
        <w:rPr>
          <w:rFonts w:hint="eastAsia" w:hAnsi="宋体"/>
          <w:color w:val="auto"/>
          <w:sz w:val="21"/>
          <w:szCs w:val="21"/>
          <w:highlight w:val="none"/>
        </w:rPr>
        <w:t>1、公司名称：          电话号码：</w:t>
      </w:r>
    </w:p>
    <w:p w14:paraId="1AEE08AC">
      <w:pPr>
        <w:spacing w:line="360" w:lineRule="auto"/>
        <w:rPr>
          <w:rFonts w:hint="eastAsia" w:hAnsi="宋体"/>
          <w:color w:val="auto"/>
          <w:sz w:val="21"/>
          <w:szCs w:val="21"/>
          <w:highlight w:val="none"/>
        </w:rPr>
      </w:pPr>
      <w:r>
        <w:rPr>
          <w:rFonts w:hint="eastAsia" w:hAnsi="宋体"/>
          <w:color w:val="auto"/>
          <w:sz w:val="21"/>
          <w:szCs w:val="21"/>
          <w:highlight w:val="none"/>
        </w:rPr>
        <w:t>2、地  址：            传  真：</w:t>
      </w:r>
    </w:p>
    <w:p w14:paraId="38CF67A8">
      <w:pPr>
        <w:spacing w:line="360" w:lineRule="auto"/>
        <w:rPr>
          <w:rFonts w:hint="eastAsia" w:hAnsi="宋体"/>
          <w:color w:val="auto"/>
          <w:sz w:val="21"/>
          <w:szCs w:val="21"/>
          <w:highlight w:val="none"/>
          <w:u w:val="single"/>
        </w:rPr>
      </w:pPr>
      <w:r>
        <w:rPr>
          <w:rFonts w:hint="eastAsia" w:hAnsi="宋体"/>
          <w:color w:val="auto"/>
          <w:sz w:val="21"/>
          <w:szCs w:val="21"/>
          <w:highlight w:val="none"/>
        </w:rPr>
        <w:t>3、注册资金：          经济性质：</w:t>
      </w:r>
    </w:p>
    <w:p w14:paraId="07C86237">
      <w:pPr>
        <w:spacing w:line="360" w:lineRule="auto"/>
        <w:rPr>
          <w:rFonts w:hint="eastAsia" w:hAnsi="宋体"/>
          <w:color w:val="auto"/>
          <w:sz w:val="21"/>
          <w:szCs w:val="21"/>
          <w:highlight w:val="none"/>
        </w:rPr>
      </w:pPr>
      <w:r>
        <w:rPr>
          <w:rFonts w:hint="eastAsia" w:hAnsi="宋体"/>
          <w:color w:val="auto"/>
          <w:sz w:val="21"/>
          <w:szCs w:val="21"/>
          <w:highlight w:val="none"/>
        </w:rPr>
        <w:t xml:space="preserve">4、公司开户银行名称及账号：      </w:t>
      </w:r>
    </w:p>
    <w:p w14:paraId="2D6C84B7">
      <w:pPr>
        <w:spacing w:line="360" w:lineRule="auto"/>
        <w:rPr>
          <w:rFonts w:hint="eastAsia" w:hAnsi="宋体"/>
          <w:color w:val="auto"/>
          <w:sz w:val="21"/>
          <w:szCs w:val="21"/>
          <w:highlight w:val="none"/>
        </w:rPr>
      </w:pPr>
      <w:r>
        <w:rPr>
          <w:rFonts w:hint="eastAsia" w:hAnsi="宋体"/>
          <w:color w:val="auto"/>
          <w:sz w:val="21"/>
          <w:szCs w:val="21"/>
          <w:highlight w:val="none"/>
        </w:rPr>
        <w:t xml:space="preserve">5、营业注册执照号：  </w:t>
      </w:r>
    </w:p>
    <w:p w14:paraId="372C24D1">
      <w:pPr>
        <w:spacing w:line="360" w:lineRule="auto"/>
        <w:rPr>
          <w:rFonts w:hint="eastAsia" w:hAnsi="宋体"/>
          <w:color w:val="auto"/>
          <w:sz w:val="21"/>
          <w:szCs w:val="21"/>
          <w:highlight w:val="none"/>
        </w:rPr>
      </w:pPr>
      <w:r>
        <w:rPr>
          <w:rFonts w:hint="eastAsia" w:hAnsi="宋体"/>
          <w:color w:val="auto"/>
          <w:sz w:val="21"/>
          <w:szCs w:val="21"/>
          <w:highlight w:val="none"/>
        </w:rPr>
        <w:t>6、公司简介:</w:t>
      </w:r>
    </w:p>
    <w:p w14:paraId="338D3294">
      <w:pPr>
        <w:spacing w:line="360" w:lineRule="auto"/>
        <w:rPr>
          <w:rFonts w:hint="eastAsia" w:hAnsi="宋体"/>
          <w:color w:val="auto"/>
          <w:sz w:val="21"/>
          <w:szCs w:val="21"/>
          <w:highlight w:val="none"/>
        </w:rPr>
      </w:pPr>
      <w:r>
        <w:rPr>
          <w:rFonts w:hint="eastAsia" w:hAnsi="宋体"/>
          <w:color w:val="auto"/>
          <w:sz w:val="21"/>
          <w:szCs w:val="21"/>
          <w:highlight w:val="none"/>
        </w:rPr>
        <w:t>7、公司财务情况：</w:t>
      </w:r>
    </w:p>
    <w:p w14:paraId="4ADA2AA3">
      <w:pPr>
        <w:spacing w:line="360" w:lineRule="auto"/>
        <w:jc w:val="right"/>
        <w:rPr>
          <w:rFonts w:hint="eastAsia" w:hAnsi="宋体"/>
          <w:color w:val="auto"/>
          <w:sz w:val="21"/>
          <w:szCs w:val="21"/>
          <w:highlight w:val="none"/>
        </w:rPr>
      </w:pPr>
      <w:r>
        <w:rPr>
          <w:rFonts w:hint="eastAsia" w:hAnsi="宋体"/>
          <w:color w:val="auto"/>
          <w:sz w:val="21"/>
          <w:szCs w:val="21"/>
          <w:highlight w:val="none"/>
        </w:rPr>
        <w:t>【价格单位：（人民币）元】</w:t>
      </w:r>
    </w:p>
    <w:tbl>
      <w:tblPr>
        <w:tblStyle w:val="54"/>
        <w:tblW w:w="89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9"/>
        <w:gridCol w:w="1809"/>
        <w:gridCol w:w="1809"/>
        <w:gridCol w:w="1839"/>
        <w:gridCol w:w="1851"/>
      </w:tblGrid>
      <w:tr w14:paraId="566D0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1629" w:type="dxa"/>
            <w:vAlign w:val="center"/>
          </w:tcPr>
          <w:p w14:paraId="2EA28502">
            <w:pPr>
              <w:jc w:val="center"/>
              <w:rPr>
                <w:rFonts w:hint="eastAsia" w:hAnsi="宋体"/>
                <w:color w:val="auto"/>
                <w:sz w:val="21"/>
                <w:szCs w:val="21"/>
                <w:highlight w:val="none"/>
              </w:rPr>
            </w:pPr>
            <w:r>
              <w:rPr>
                <w:rFonts w:hint="eastAsia" w:hAnsi="宋体"/>
                <w:color w:val="auto"/>
                <w:sz w:val="21"/>
                <w:szCs w:val="21"/>
                <w:highlight w:val="none"/>
              </w:rPr>
              <w:t>年  度</w:t>
            </w:r>
          </w:p>
        </w:tc>
        <w:tc>
          <w:tcPr>
            <w:tcW w:w="1809" w:type="dxa"/>
            <w:vAlign w:val="center"/>
          </w:tcPr>
          <w:p w14:paraId="2BD576BE">
            <w:pPr>
              <w:jc w:val="center"/>
              <w:rPr>
                <w:rFonts w:hint="eastAsia" w:hAnsi="宋体"/>
                <w:color w:val="auto"/>
                <w:sz w:val="21"/>
                <w:szCs w:val="21"/>
                <w:highlight w:val="none"/>
              </w:rPr>
            </w:pPr>
            <w:r>
              <w:rPr>
                <w:rFonts w:hint="eastAsia" w:hAnsi="宋体"/>
                <w:color w:val="auto"/>
                <w:sz w:val="21"/>
                <w:szCs w:val="21"/>
                <w:highlight w:val="none"/>
              </w:rPr>
              <w:t>总资产（元）</w:t>
            </w:r>
          </w:p>
        </w:tc>
        <w:tc>
          <w:tcPr>
            <w:tcW w:w="1809" w:type="dxa"/>
            <w:vAlign w:val="center"/>
          </w:tcPr>
          <w:p w14:paraId="373928C5">
            <w:pPr>
              <w:jc w:val="center"/>
              <w:rPr>
                <w:rFonts w:hint="eastAsia" w:hAnsi="宋体"/>
                <w:color w:val="auto"/>
                <w:sz w:val="21"/>
                <w:szCs w:val="21"/>
                <w:highlight w:val="none"/>
              </w:rPr>
            </w:pPr>
            <w:r>
              <w:rPr>
                <w:rFonts w:hint="eastAsia" w:hAnsi="宋体"/>
                <w:color w:val="auto"/>
                <w:sz w:val="21"/>
                <w:szCs w:val="21"/>
                <w:highlight w:val="none"/>
              </w:rPr>
              <w:t>资产负债率（%）</w:t>
            </w:r>
          </w:p>
        </w:tc>
        <w:tc>
          <w:tcPr>
            <w:tcW w:w="1839" w:type="dxa"/>
            <w:vAlign w:val="center"/>
          </w:tcPr>
          <w:p w14:paraId="26DDEDED">
            <w:pPr>
              <w:jc w:val="center"/>
              <w:rPr>
                <w:rFonts w:hint="eastAsia" w:hAnsi="宋体"/>
                <w:color w:val="auto"/>
                <w:sz w:val="21"/>
                <w:szCs w:val="21"/>
                <w:highlight w:val="none"/>
              </w:rPr>
            </w:pPr>
            <w:r>
              <w:rPr>
                <w:rFonts w:hint="eastAsia" w:hAnsi="宋体"/>
                <w:color w:val="auto"/>
                <w:sz w:val="21"/>
                <w:szCs w:val="21"/>
                <w:highlight w:val="none"/>
              </w:rPr>
              <w:t>年营业额（元）</w:t>
            </w:r>
          </w:p>
        </w:tc>
        <w:tc>
          <w:tcPr>
            <w:tcW w:w="1851" w:type="dxa"/>
            <w:vAlign w:val="center"/>
          </w:tcPr>
          <w:p w14:paraId="2AFD6734">
            <w:pPr>
              <w:jc w:val="center"/>
              <w:rPr>
                <w:rFonts w:hint="eastAsia" w:hAnsi="宋体"/>
                <w:color w:val="auto"/>
                <w:sz w:val="21"/>
                <w:szCs w:val="21"/>
                <w:highlight w:val="none"/>
              </w:rPr>
            </w:pPr>
            <w:r>
              <w:rPr>
                <w:rFonts w:hint="eastAsia" w:hAnsi="宋体"/>
                <w:color w:val="auto"/>
                <w:sz w:val="21"/>
                <w:szCs w:val="21"/>
                <w:highlight w:val="none"/>
              </w:rPr>
              <w:t>年净利润（元）</w:t>
            </w:r>
          </w:p>
        </w:tc>
      </w:tr>
      <w:tr w14:paraId="6D9325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629" w:type="dxa"/>
            <w:vAlign w:val="center"/>
          </w:tcPr>
          <w:p w14:paraId="2EF34246">
            <w:pPr>
              <w:spacing w:line="360" w:lineRule="auto"/>
              <w:jc w:val="center"/>
              <w:rPr>
                <w:rFonts w:hint="eastAsia" w:hAnsi="宋体"/>
                <w:color w:val="auto"/>
                <w:sz w:val="21"/>
                <w:szCs w:val="21"/>
                <w:highlight w:val="none"/>
              </w:rPr>
            </w:pPr>
          </w:p>
        </w:tc>
        <w:tc>
          <w:tcPr>
            <w:tcW w:w="1809" w:type="dxa"/>
            <w:vAlign w:val="center"/>
          </w:tcPr>
          <w:p w14:paraId="454243B5">
            <w:pPr>
              <w:spacing w:line="360" w:lineRule="auto"/>
              <w:jc w:val="center"/>
              <w:rPr>
                <w:rFonts w:hint="eastAsia" w:hAnsi="宋体"/>
                <w:color w:val="auto"/>
                <w:sz w:val="21"/>
                <w:szCs w:val="21"/>
                <w:highlight w:val="none"/>
              </w:rPr>
            </w:pPr>
          </w:p>
        </w:tc>
        <w:tc>
          <w:tcPr>
            <w:tcW w:w="1809" w:type="dxa"/>
            <w:vAlign w:val="center"/>
          </w:tcPr>
          <w:p w14:paraId="1A2C4D26">
            <w:pPr>
              <w:spacing w:line="360" w:lineRule="auto"/>
              <w:jc w:val="center"/>
              <w:rPr>
                <w:rFonts w:hint="eastAsia" w:hAnsi="宋体"/>
                <w:color w:val="auto"/>
                <w:sz w:val="21"/>
                <w:szCs w:val="21"/>
                <w:highlight w:val="none"/>
              </w:rPr>
            </w:pPr>
          </w:p>
        </w:tc>
        <w:tc>
          <w:tcPr>
            <w:tcW w:w="1839" w:type="dxa"/>
            <w:vAlign w:val="center"/>
          </w:tcPr>
          <w:p w14:paraId="30986ED7">
            <w:pPr>
              <w:spacing w:line="360" w:lineRule="auto"/>
              <w:jc w:val="center"/>
              <w:rPr>
                <w:rFonts w:hint="eastAsia" w:hAnsi="宋体"/>
                <w:color w:val="auto"/>
                <w:sz w:val="21"/>
                <w:szCs w:val="21"/>
                <w:highlight w:val="none"/>
              </w:rPr>
            </w:pPr>
          </w:p>
        </w:tc>
        <w:tc>
          <w:tcPr>
            <w:tcW w:w="1851" w:type="dxa"/>
            <w:vAlign w:val="center"/>
          </w:tcPr>
          <w:p w14:paraId="62E1053F">
            <w:pPr>
              <w:spacing w:line="360" w:lineRule="auto"/>
              <w:jc w:val="center"/>
              <w:rPr>
                <w:rFonts w:hint="eastAsia" w:hAnsi="宋体"/>
                <w:color w:val="auto"/>
                <w:sz w:val="21"/>
                <w:szCs w:val="21"/>
                <w:highlight w:val="none"/>
              </w:rPr>
            </w:pPr>
          </w:p>
        </w:tc>
      </w:tr>
      <w:tr w14:paraId="1CFF4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629" w:type="dxa"/>
            <w:vAlign w:val="center"/>
          </w:tcPr>
          <w:p w14:paraId="41088FD1">
            <w:pPr>
              <w:spacing w:line="360" w:lineRule="auto"/>
              <w:jc w:val="center"/>
              <w:rPr>
                <w:rFonts w:hint="eastAsia" w:hAnsi="宋体"/>
                <w:color w:val="auto"/>
                <w:sz w:val="21"/>
                <w:szCs w:val="21"/>
                <w:highlight w:val="none"/>
              </w:rPr>
            </w:pPr>
          </w:p>
        </w:tc>
        <w:tc>
          <w:tcPr>
            <w:tcW w:w="1809" w:type="dxa"/>
            <w:vAlign w:val="center"/>
          </w:tcPr>
          <w:p w14:paraId="00822C1B">
            <w:pPr>
              <w:spacing w:line="360" w:lineRule="auto"/>
              <w:jc w:val="center"/>
              <w:rPr>
                <w:rFonts w:hint="eastAsia" w:hAnsi="宋体"/>
                <w:color w:val="auto"/>
                <w:sz w:val="21"/>
                <w:szCs w:val="21"/>
                <w:highlight w:val="none"/>
              </w:rPr>
            </w:pPr>
          </w:p>
        </w:tc>
        <w:tc>
          <w:tcPr>
            <w:tcW w:w="1809" w:type="dxa"/>
            <w:vAlign w:val="center"/>
          </w:tcPr>
          <w:p w14:paraId="1CE2BFDC">
            <w:pPr>
              <w:spacing w:line="360" w:lineRule="auto"/>
              <w:jc w:val="center"/>
              <w:rPr>
                <w:rFonts w:hint="eastAsia" w:hAnsi="宋体"/>
                <w:color w:val="auto"/>
                <w:sz w:val="21"/>
                <w:szCs w:val="21"/>
                <w:highlight w:val="none"/>
              </w:rPr>
            </w:pPr>
          </w:p>
        </w:tc>
        <w:tc>
          <w:tcPr>
            <w:tcW w:w="1839" w:type="dxa"/>
            <w:vAlign w:val="center"/>
          </w:tcPr>
          <w:p w14:paraId="41E7094E">
            <w:pPr>
              <w:spacing w:line="360" w:lineRule="auto"/>
              <w:jc w:val="center"/>
              <w:rPr>
                <w:rFonts w:hint="eastAsia" w:hAnsi="宋体"/>
                <w:color w:val="auto"/>
                <w:sz w:val="21"/>
                <w:szCs w:val="21"/>
                <w:highlight w:val="none"/>
              </w:rPr>
            </w:pPr>
          </w:p>
        </w:tc>
        <w:tc>
          <w:tcPr>
            <w:tcW w:w="1851" w:type="dxa"/>
            <w:vAlign w:val="center"/>
          </w:tcPr>
          <w:p w14:paraId="575CC505">
            <w:pPr>
              <w:spacing w:line="360" w:lineRule="auto"/>
              <w:jc w:val="center"/>
              <w:rPr>
                <w:rFonts w:hint="eastAsia" w:hAnsi="宋体"/>
                <w:color w:val="auto"/>
                <w:sz w:val="21"/>
                <w:szCs w:val="21"/>
                <w:highlight w:val="none"/>
              </w:rPr>
            </w:pPr>
          </w:p>
        </w:tc>
      </w:tr>
      <w:tr w14:paraId="3BA5A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1629" w:type="dxa"/>
            <w:vAlign w:val="center"/>
          </w:tcPr>
          <w:p w14:paraId="07F3F417">
            <w:pPr>
              <w:spacing w:line="360" w:lineRule="auto"/>
              <w:jc w:val="center"/>
              <w:rPr>
                <w:rFonts w:hint="eastAsia" w:hAnsi="宋体"/>
                <w:color w:val="auto"/>
                <w:sz w:val="21"/>
                <w:szCs w:val="21"/>
                <w:highlight w:val="none"/>
              </w:rPr>
            </w:pPr>
          </w:p>
        </w:tc>
        <w:tc>
          <w:tcPr>
            <w:tcW w:w="1809" w:type="dxa"/>
            <w:vAlign w:val="center"/>
          </w:tcPr>
          <w:p w14:paraId="34E7C70F">
            <w:pPr>
              <w:spacing w:line="360" w:lineRule="auto"/>
              <w:jc w:val="center"/>
              <w:rPr>
                <w:rFonts w:hint="eastAsia" w:hAnsi="宋体"/>
                <w:color w:val="auto"/>
                <w:sz w:val="21"/>
                <w:szCs w:val="21"/>
                <w:highlight w:val="none"/>
              </w:rPr>
            </w:pPr>
          </w:p>
        </w:tc>
        <w:tc>
          <w:tcPr>
            <w:tcW w:w="1809" w:type="dxa"/>
            <w:vAlign w:val="center"/>
          </w:tcPr>
          <w:p w14:paraId="3ACC66D6">
            <w:pPr>
              <w:spacing w:line="360" w:lineRule="auto"/>
              <w:jc w:val="center"/>
              <w:rPr>
                <w:rFonts w:hint="eastAsia" w:hAnsi="宋体"/>
                <w:color w:val="auto"/>
                <w:sz w:val="21"/>
                <w:szCs w:val="21"/>
                <w:highlight w:val="none"/>
              </w:rPr>
            </w:pPr>
          </w:p>
        </w:tc>
        <w:tc>
          <w:tcPr>
            <w:tcW w:w="1839" w:type="dxa"/>
            <w:vAlign w:val="center"/>
          </w:tcPr>
          <w:p w14:paraId="4E91F828">
            <w:pPr>
              <w:spacing w:line="360" w:lineRule="auto"/>
              <w:jc w:val="center"/>
              <w:rPr>
                <w:rFonts w:hint="eastAsia" w:hAnsi="宋体"/>
                <w:color w:val="auto"/>
                <w:sz w:val="21"/>
                <w:szCs w:val="21"/>
                <w:highlight w:val="none"/>
              </w:rPr>
            </w:pPr>
          </w:p>
        </w:tc>
        <w:tc>
          <w:tcPr>
            <w:tcW w:w="1851" w:type="dxa"/>
            <w:vAlign w:val="center"/>
          </w:tcPr>
          <w:p w14:paraId="50E9FD42">
            <w:pPr>
              <w:spacing w:line="360" w:lineRule="auto"/>
              <w:jc w:val="center"/>
              <w:rPr>
                <w:rFonts w:hint="eastAsia" w:hAnsi="宋体"/>
                <w:color w:val="auto"/>
                <w:sz w:val="21"/>
                <w:szCs w:val="21"/>
                <w:highlight w:val="none"/>
              </w:rPr>
            </w:pPr>
          </w:p>
        </w:tc>
      </w:tr>
    </w:tbl>
    <w:p w14:paraId="5D288FA8">
      <w:pPr>
        <w:tabs>
          <w:tab w:val="left" w:pos="420"/>
          <w:tab w:val="left" w:pos="1485"/>
        </w:tabs>
        <w:spacing w:line="360" w:lineRule="auto"/>
        <w:rPr>
          <w:rFonts w:hint="eastAsia" w:hAnsi="宋体"/>
          <w:color w:val="auto"/>
          <w:sz w:val="21"/>
          <w:szCs w:val="21"/>
          <w:highlight w:val="none"/>
        </w:rPr>
      </w:pPr>
      <w:bookmarkStart w:id="237" w:name="_Toc7860"/>
      <w:r>
        <w:rPr>
          <w:rFonts w:hint="eastAsia" w:hAnsi="宋体"/>
          <w:color w:val="auto"/>
          <w:sz w:val="21"/>
          <w:szCs w:val="21"/>
          <w:highlight w:val="none"/>
        </w:rPr>
        <w:t>二、供应商获得国家有关部门颁发的资质证明或荣誉：（如有）</w:t>
      </w:r>
      <w:bookmarkEnd w:id="237"/>
    </w:p>
    <w:tbl>
      <w:tblPr>
        <w:tblStyle w:val="54"/>
        <w:tblW w:w="88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0"/>
        <w:gridCol w:w="1800"/>
        <w:gridCol w:w="1800"/>
        <w:gridCol w:w="1830"/>
        <w:gridCol w:w="1842"/>
      </w:tblGrid>
      <w:tr w14:paraId="27B8C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620" w:type="dxa"/>
            <w:vAlign w:val="center"/>
          </w:tcPr>
          <w:p w14:paraId="781C0854">
            <w:pPr>
              <w:jc w:val="center"/>
              <w:rPr>
                <w:rFonts w:hint="eastAsia" w:hAnsi="宋体"/>
                <w:color w:val="auto"/>
                <w:sz w:val="21"/>
                <w:szCs w:val="21"/>
                <w:highlight w:val="none"/>
              </w:rPr>
            </w:pPr>
            <w:r>
              <w:rPr>
                <w:rFonts w:hint="eastAsia" w:hAnsi="宋体"/>
                <w:color w:val="auto"/>
                <w:sz w:val="21"/>
                <w:szCs w:val="21"/>
                <w:highlight w:val="none"/>
              </w:rPr>
              <w:t>证书名称</w:t>
            </w:r>
          </w:p>
        </w:tc>
        <w:tc>
          <w:tcPr>
            <w:tcW w:w="1800" w:type="dxa"/>
            <w:vAlign w:val="center"/>
          </w:tcPr>
          <w:p w14:paraId="667878B9">
            <w:pPr>
              <w:jc w:val="center"/>
              <w:rPr>
                <w:rFonts w:hint="eastAsia" w:hAnsi="宋体"/>
                <w:color w:val="auto"/>
                <w:sz w:val="21"/>
                <w:szCs w:val="21"/>
                <w:highlight w:val="none"/>
              </w:rPr>
            </w:pPr>
            <w:r>
              <w:rPr>
                <w:rFonts w:hint="eastAsia" w:hAnsi="宋体"/>
                <w:color w:val="auto"/>
                <w:sz w:val="21"/>
                <w:szCs w:val="21"/>
                <w:highlight w:val="none"/>
              </w:rPr>
              <w:t>发证单位</w:t>
            </w:r>
          </w:p>
        </w:tc>
        <w:tc>
          <w:tcPr>
            <w:tcW w:w="1800" w:type="dxa"/>
            <w:vAlign w:val="center"/>
          </w:tcPr>
          <w:p w14:paraId="36BC34F0">
            <w:pPr>
              <w:jc w:val="center"/>
              <w:rPr>
                <w:rFonts w:hint="eastAsia" w:hAnsi="宋体"/>
                <w:color w:val="auto"/>
                <w:sz w:val="21"/>
                <w:szCs w:val="21"/>
                <w:highlight w:val="none"/>
              </w:rPr>
            </w:pPr>
            <w:r>
              <w:rPr>
                <w:rFonts w:hint="eastAsia" w:hAnsi="宋体"/>
                <w:color w:val="auto"/>
                <w:sz w:val="21"/>
                <w:szCs w:val="21"/>
                <w:highlight w:val="none"/>
              </w:rPr>
              <w:t>证书等级</w:t>
            </w:r>
          </w:p>
        </w:tc>
        <w:tc>
          <w:tcPr>
            <w:tcW w:w="1830" w:type="dxa"/>
            <w:vAlign w:val="center"/>
          </w:tcPr>
          <w:p w14:paraId="6D47ABF5">
            <w:pPr>
              <w:jc w:val="center"/>
              <w:rPr>
                <w:rFonts w:hint="eastAsia" w:hAnsi="宋体"/>
                <w:color w:val="auto"/>
                <w:sz w:val="21"/>
                <w:szCs w:val="21"/>
                <w:highlight w:val="none"/>
              </w:rPr>
            </w:pPr>
            <w:r>
              <w:rPr>
                <w:rFonts w:hint="eastAsia" w:hAnsi="宋体"/>
                <w:color w:val="auto"/>
                <w:sz w:val="21"/>
                <w:szCs w:val="21"/>
                <w:highlight w:val="none"/>
              </w:rPr>
              <w:t>证书有效期</w:t>
            </w:r>
          </w:p>
        </w:tc>
        <w:tc>
          <w:tcPr>
            <w:tcW w:w="1842" w:type="dxa"/>
            <w:vAlign w:val="center"/>
          </w:tcPr>
          <w:p w14:paraId="719CCEDC">
            <w:pPr>
              <w:jc w:val="center"/>
              <w:rPr>
                <w:rFonts w:hint="eastAsia" w:hAnsi="宋体"/>
                <w:color w:val="auto"/>
                <w:sz w:val="21"/>
                <w:szCs w:val="21"/>
                <w:highlight w:val="none"/>
              </w:rPr>
            </w:pPr>
            <w:r>
              <w:rPr>
                <w:rFonts w:hint="eastAsia" w:hAnsi="宋体"/>
                <w:color w:val="auto"/>
                <w:sz w:val="21"/>
                <w:szCs w:val="21"/>
                <w:highlight w:val="none"/>
              </w:rPr>
              <w:t>备注</w:t>
            </w:r>
          </w:p>
        </w:tc>
      </w:tr>
      <w:tr w14:paraId="30E2E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1620" w:type="dxa"/>
            <w:vAlign w:val="center"/>
          </w:tcPr>
          <w:p w14:paraId="77B73425">
            <w:pPr>
              <w:spacing w:line="360" w:lineRule="auto"/>
              <w:jc w:val="center"/>
              <w:rPr>
                <w:rFonts w:hint="eastAsia" w:hAnsi="宋体"/>
                <w:color w:val="auto"/>
                <w:sz w:val="21"/>
                <w:szCs w:val="21"/>
                <w:highlight w:val="none"/>
              </w:rPr>
            </w:pPr>
          </w:p>
        </w:tc>
        <w:tc>
          <w:tcPr>
            <w:tcW w:w="1800" w:type="dxa"/>
            <w:vAlign w:val="center"/>
          </w:tcPr>
          <w:p w14:paraId="4A586886">
            <w:pPr>
              <w:spacing w:line="360" w:lineRule="auto"/>
              <w:jc w:val="center"/>
              <w:rPr>
                <w:rFonts w:hint="eastAsia" w:hAnsi="宋体"/>
                <w:color w:val="auto"/>
                <w:sz w:val="21"/>
                <w:szCs w:val="21"/>
                <w:highlight w:val="none"/>
              </w:rPr>
            </w:pPr>
          </w:p>
        </w:tc>
        <w:tc>
          <w:tcPr>
            <w:tcW w:w="1800" w:type="dxa"/>
            <w:vAlign w:val="center"/>
          </w:tcPr>
          <w:p w14:paraId="3CAECAE6">
            <w:pPr>
              <w:spacing w:line="360" w:lineRule="auto"/>
              <w:jc w:val="center"/>
              <w:rPr>
                <w:rFonts w:hint="eastAsia" w:hAnsi="宋体"/>
                <w:color w:val="auto"/>
                <w:sz w:val="21"/>
                <w:szCs w:val="21"/>
                <w:highlight w:val="none"/>
              </w:rPr>
            </w:pPr>
          </w:p>
        </w:tc>
        <w:tc>
          <w:tcPr>
            <w:tcW w:w="1830" w:type="dxa"/>
            <w:vAlign w:val="center"/>
          </w:tcPr>
          <w:p w14:paraId="18AABAD0">
            <w:pPr>
              <w:spacing w:line="360" w:lineRule="auto"/>
              <w:jc w:val="center"/>
              <w:rPr>
                <w:rFonts w:hint="eastAsia" w:hAnsi="宋体"/>
                <w:color w:val="auto"/>
                <w:sz w:val="21"/>
                <w:szCs w:val="21"/>
                <w:highlight w:val="none"/>
              </w:rPr>
            </w:pPr>
          </w:p>
        </w:tc>
        <w:tc>
          <w:tcPr>
            <w:tcW w:w="1842" w:type="dxa"/>
            <w:vAlign w:val="center"/>
          </w:tcPr>
          <w:p w14:paraId="68CD8E8F">
            <w:pPr>
              <w:spacing w:line="360" w:lineRule="auto"/>
              <w:jc w:val="center"/>
              <w:rPr>
                <w:rFonts w:hint="eastAsia" w:hAnsi="宋体"/>
                <w:color w:val="auto"/>
                <w:sz w:val="21"/>
                <w:szCs w:val="21"/>
                <w:highlight w:val="none"/>
              </w:rPr>
            </w:pPr>
          </w:p>
        </w:tc>
      </w:tr>
      <w:tr w14:paraId="7DCCA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620" w:type="dxa"/>
            <w:vAlign w:val="center"/>
          </w:tcPr>
          <w:p w14:paraId="0C6BA8A6">
            <w:pPr>
              <w:spacing w:line="360" w:lineRule="auto"/>
              <w:jc w:val="center"/>
              <w:rPr>
                <w:rFonts w:hint="eastAsia" w:hAnsi="宋体"/>
                <w:color w:val="auto"/>
                <w:sz w:val="21"/>
                <w:szCs w:val="21"/>
                <w:highlight w:val="none"/>
              </w:rPr>
            </w:pPr>
          </w:p>
        </w:tc>
        <w:tc>
          <w:tcPr>
            <w:tcW w:w="1800" w:type="dxa"/>
            <w:vAlign w:val="center"/>
          </w:tcPr>
          <w:p w14:paraId="1931B0B0">
            <w:pPr>
              <w:spacing w:line="360" w:lineRule="auto"/>
              <w:jc w:val="center"/>
              <w:rPr>
                <w:rFonts w:hint="eastAsia" w:hAnsi="宋体"/>
                <w:color w:val="auto"/>
                <w:sz w:val="21"/>
                <w:szCs w:val="21"/>
                <w:highlight w:val="none"/>
              </w:rPr>
            </w:pPr>
          </w:p>
        </w:tc>
        <w:tc>
          <w:tcPr>
            <w:tcW w:w="1800" w:type="dxa"/>
            <w:vAlign w:val="center"/>
          </w:tcPr>
          <w:p w14:paraId="22541540">
            <w:pPr>
              <w:spacing w:line="360" w:lineRule="auto"/>
              <w:jc w:val="center"/>
              <w:rPr>
                <w:rFonts w:hint="eastAsia" w:hAnsi="宋体"/>
                <w:color w:val="auto"/>
                <w:sz w:val="21"/>
                <w:szCs w:val="21"/>
                <w:highlight w:val="none"/>
              </w:rPr>
            </w:pPr>
          </w:p>
        </w:tc>
        <w:tc>
          <w:tcPr>
            <w:tcW w:w="1830" w:type="dxa"/>
            <w:vAlign w:val="center"/>
          </w:tcPr>
          <w:p w14:paraId="0EBFEC67">
            <w:pPr>
              <w:spacing w:line="360" w:lineRule="auto"/>
              <w:jc w:val="center"/>
              <w:rPr>
                <w:rFonts w:hint="eastAsia" w:hAnsi="宋体"/>
                <w:color w:val="auto"/>
                <w:sz w:val="21"/>
                <w:szCs w:val="21"/>
                <w:highlight w:val="none"/>
              </w:rPr>
            </w:pPr>
          </w:p>
        </w:tc>
        <w:tc>
          <w:tcPr>
            <w:tcW w:w="1842" w:type="dxa"/>
            <w:vAlign w:val="center"/>
          </w:tcPr>
          <w:p w14:paraId="73DCEF13">
            <w:pPr>
              <w:spacing w:line="360" w:lineRule="auto"/>
              <w:jc w:val="center"/>
              <w:rPr>
                <w:rFonts w:hint="eastAsia" w:hAnsi="宋体"/>
                <w:color w:val="auto"/>
                <w:sz w:val="21"/>
                <w:szCs w:val="21"/>
                <w:highlight w:val="none"/>
              </w:rPr>
            </w:pPr>
          </w:p>
        </w:tc>
      </w:tr>
    </w:tbl>
    <w:p w14:paraId="3012F836">
      <w:pPr>
        <w:spacing w:line="420" w:lineRule="atLeast"/>
        <w:rPr>
          <w:rFonts w:hint="eastAsia" w:hAnsi="宋体"/>
          <w:color w:val="auto"/>
          <w:sz w:val="21"/>
          <w:szCs w:val="21"/>
          <w:highlight w:val="none"/>
        </w:rPr>
      </w:pPr>
      <w:r>
        <w:rPr>
          <w:rFonts w:hint="eastAsia" w:hAnsi="宋体"/>
          <w:color w:val="auto"/>
          <w:sz w:val="21"/>
          <w:szCs w:val="21"/>
          <w:highlight w:val="none"/>
        </w:rPr>
        <w:t>备注：以上资质或荣誉必须提供相关证明材料。</w:t>
      </w:r>
    </w:p>
    <w:p w14:paraId="62C8E9AF">
      <w:pPr>
        <w:spacing w:line="420" w:lineRule="atLeast"/>
        <w:rPr>
          <w:rFonts w:hint="eastAsia" w:hAnsi="宋体"/>
          <w:color w:val="auto"/>
          <w:sz w:val="21"/>
          <w:szCs w:val="21"/>
          <w:highlight w:val="none"/>
        </w:rPr>
      </w:pPr>
      <w:r>
        <w:rPr>
          <w:rFonts w:hint="eastAsia" w:hAnsi="宋体"/>
          <w:color w:val="auto"/>
          <w:sz w:val="21"/>
          <w:szCs w:val="21"/>
          <w:highlight w:val="none"/>
        </w:rPr>
        <w:t>兹证明上述声明是真实、正确的，并提供了全部能提供的资料和数据，我方同意遵照贵方要求出示有关证明文件。</w:t>
      </w:r>
    </w:p>
    <w:p w14:paraId="50B9D602">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供应商名称（加盖公章）：</w:t>
      </w:r>
    </w:p>
    <w:p w14:paraId="0453F91A">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2487FCEA">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 xml:space="preserve">日期：   年   月  日 </w:t>
      </w:r>
    </w:p>
    <w:p w14:paraId="0FFE65C4">
      <w:pPr>
        <w:pStyle w:val="6"/>
        <w:numPr>
          <w:ilvl w:val="0"/>
          <w:numId w:val="12"/>
        </w:numPr>
        <w:jc w:val="center"/>
        <w:rPr>
          <w:rFonts w:hint="eastAsia"/>
          <w:b w:val="0"/>
          <w:color w:val="auto"/>
          <w:sz w:val="28"/>
          <w:szCs w:val="28"/>
          <w:highlight w:val="none"/>
          <w:u w:val="single"/>
        </w:rPr>
      </w:pPr>
      <w:r>
        <w:rPr>
          <w:rFonts w:hint="eastAsia"/>
          <w:color w:val="auto"/>
          <w:sz w:val="22"/>
          <w:szCs w:val="22"/>
          <w:highlight w:val="none"/>
        </w:rPr>
        <w:br w:type="page"/>
      </w:r>
      <w:bookmarkStart w:id="238" w:name="_Toc27094"/>
      <w:bookmarkStart w:id="239" w:name="_Toc7897894"/>
      <w:bookmarkStart w:id="240" w:name="_Toc8896"/>
      <w:bookmarkStart w:id="241" w:name="_Toc17704"/>
      <w:r>
        <w:rPr>
          <w:rFonts w:hint="eastAsia"/>
          <w:color w:val="auto"/>
          <w:sz w:val="28"/>
          <w:szCs w:val="28"/>
          <w:highlight w:val="none"/>
        </w:rPr>
        <w:t>偏离表</w:t>
      </w:r>
      <w:bookmarkEnd w:id="213"/>
      <w:bookmarkEnd w:id="238"/>
      <w:bookmarkEnd w:id="239"/>
      <w:bookmarkEnd w:id="240"/>
      <w:bookmarkEnd w:id="241"/>
    </w:p>
    <w:p w14:paraId="2D92D1FE">
      <w:pPr>
        <w:pStyle w:val="15"/>
        <w:ind w:firstLine="480"/>
        <w:rPr>
          <w:rFonts w:hint="eastAsia" w:ascii="宋体" w:hAnsi="宋体"/>
          <w:color w:val="auto"/>
          <w:sz w:val="24"/>
          <w:szCs w:val="21"/>
          <w:highlight w:val="none"/>
        </w:rPr>
      </w:pPr>
    </w:p>
    <w:p w14:paraId="748EC32E">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hAnsi="宋体"/>
          <w:color w:val="auto"/>
          <w:szCs w:val="21"/>
          <w:highlight w:val="none"/>
        </w:rPr>
      </w:pPr>
    </w:p>
    <w:tbl>
      <w:tblPr>
        <w:tblStyle w:val="5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61"/>
        <w:gridCol w:w="1241"/>
        <w:gridCol w:w="1984"/>
        <w:gridCol w:w="1276"/>
        <w:gridCol w:w="1594"/>
      </w:tblGrid>
      <w:tr w14:paraId="34D3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817" w:type="dxa"/>
            <w:vAlign w:val="center"/>
          </w:tcPr>
          <w:p w14:paraId="23E2A79C">
            <w:pPr>
              <w:jc w:val="center"/>
              <w:rPr>
                <w:rFonts w:hint="eastAsia" w:hAnsi="宋体"/>
                <w:b/>
                <w:bCs/>
                <w:color w:val="auto"/>
                <w:sz w:val="21"/>
                <w:szCs w:val="21"/>
                <w:highlight w:val="none"/>
              </w:rPr>
            </w:pPr>
            <w:r>
              <w:rPr>
                <w:rFonts w:hint="eastAsia" w:hAnsi="宋体"/>
                <w:b/>
                <w:bCs/>
                <w:color w:val="auto"/>
                <w:sz w:val="21"/>
                <w:szCs w:val="21"/>
                <w:highlight w:val="none"/>
              </w:rPr>
              <w:t>序号</w:t>
            </w:r>
          </w:p>
        </w:tc>
        <w:tc>
          <w:tcPr>
            <w:tcW w:w="2161" w:type="dxa"/>
            <w:vAlign w:val="center"/>
          </w:tcPr>
          <w:p w14:paraId="4944D4BA">
            <w:pPr>
              <w:jc w:val="center"/>
              <w:rPr>
                <w:rFonts w:hint="eastAsia" w:hAnsi="宋体"/>
                <w:b/>
                <w:bCs/>
                <w:color w:val="auto"/>
                <w:sz w:val="21"/>
                <w:szCs w:val="21"/>
                <w:highlight w:val="none"/>
              </w:rPr>
            </w:pPr>
            <w:r>
              <w:rPr>
                <w:rFonts w:hint="eastAsia" w:hAnsi="宋体"/>
                <w:b/>
                <w:bCs/>
                <w:color w:val="auto"/>
                <w:sz w:val="21"/>
                <w:szCs w:val="21"/>
                <w:highlight w:val="none"/>
              </w:rPr>
              <w:t>项 目</w:t>
            </w:r>
          </w:p>
        </w:tc>
        <w:tc>
          <w:tcPr>
            <w:tcW w:w="1241" w:type="dxa"/>
            <w:vAlign w:val="center"/>
          </w:tcPr>
          <w:p w14:paraId="70A1C13A">
            <w:pPr>
              <w:jc w:val="center"/>
              <w:rPr>
                <w:rFonts w:hint="eastAsia" w:hAnsi="宋体"/>
                <w:b/>
                <w:bCs/>
                <w:color w:val="auto"/>
                <w:sz w:val="21"/>
                <w:szCs w:val="21"/>
                <w:highlight w:val="none"/>
              </w:rPr>
            </w:pPr>
            <w:r>
              <w:rPr>
                <w:rFonts w:hint="eastAsia" w:hAnsi="宋体"/>
                <w:b/>
                <w:bCs/>
                <w:color w:val="auto"/>
                <w:sz w:val="21"/>
                <w:szCs w:val="21"/>
                <w:highlight w:val="none"/>
              </w:rPr>
              <w:t>磋商文件要求</w:t>
            </w:r>
          </w:p>
        </w:tc>
        <w:tc>
          <w:tcPr>
            <w:tcW w:w="1984" w:type="dxa"/>
            <w:vAlign w:val="center"/>
          </w:tcPr>
          <w:p w14:paraId="087ED039">
            <w:pPr>
              <w:jc w:val="center"/>
              <w:rPr>
                <w:rFonts w:hint="eastAsia" w:hAnsi="宋体"/>
                <w:b/>
                <w:bCs/>
                <w:color w:val="auto"/>
                <w:sz w:val="21"/>
                <w:szCs w:val="21"/>
                <w:highlight w:val="none"/>
              </w:rPr>
            </w:pPr>
            <w:r>
              <w:rPr>
                <w:rFonts w:hint="eastAsia" w:hAnsi="宋体"/>
                <w:b/>
                <w:bCs/>
                <w:color w:val="auto"/>
                <w:sz w:val="21"/>
                <w:szCs w:val="21"/>
                <w:highlight w:val="none"/>
              </w:rPr>
              <w:t>响应文件</w:t>
            </w:r>
          </w:p>
          <w:p w14:paraId="0406E1D1">
            <w:pPr>
              <w:jc w:val="center"/>
              <w:rPr>
                <w:rFonts w:hint="eastAsia" w:hAnsi="宋体"/>
                <w:b/>
                <w:bCs/>
                <w:color w:val="auto"/>
                <w:sz w:val="21"/>
                <w:szCs w:val="21"/>
                <w:highlight w:val="none"/>
              </w:rPr>
            </w:pPr>
            <w:r>
              <w:rPr>
                <w:rFonts w:hint="eastAsia" w:hAnsi="宋体"/>
                <w:b/>
                <w:bCs/>
                <w:color w:val="auto"/>
                <w:sz w:val="21"/>
                <w:szCs w:val="21"/>
                <w:highlight w:val="none"/>
              </w:rPr>
              <w:t>响应情况</w:t>
            </w:r>
          </w:p>
        </w:tc>
        <w:tc>
          <w:tcPr>
            <w:tcW w:w="1276" w:type="dxa"/>
            <w:vAlign w:val="center"/>
          </w:tcPr>
          <w:p w14:paraId="1711D0DE">
            <w:pPr>
              <w:jc w:val="center"/>
              <w:rPr>
                <w:rFonts w:hint="eastAsia" w:hAnsi="宋体"/>
                <w:b/>
                <w:bCs/>
                <w:color w:val="auto"/>
                <w:sz w:val="21"/>
                <w:szCs w:val="21"/>
                <w:highlight w:val="none"/>
              </w:rPr>
            </w:pPr>
            <w:r>
              <w:rPr>
                <w:rFonts w:hint="eastAsia" w:hAnsi="宋体"/>
                <w:b/>
                <w:bCs/>
                <w:color w:val="auto"/>
                <w:sz w:val="21"/>
                <w:szCs w:val="21"/>
                <w:highlight w:val="none"/>
              </w:rPr>
              <w:t>偏离情况</w:t>
            </w:r>
          </w:p>
        </w:tc>
        <w:tc>
          <w:tcPr>
            <w:tcW w:w="1594" w:type="dxa"/>
            <w:vAlign w:val="center"/>
          </w:tcPr>
          <w:p w14:paraId="21868222">
            <w:pPr>
              <w:jc w:val="center"/>
              <w:rPr>
                <w:rFonts w:hint="eastAsia" w:hAnsi="宋体"/>
                <w:b/>
                <w:bCs/>
                <w:color w:val="auto"/>
                <w:sz w:val="21"/>
                <w:szCs w:val="21"/>
                <w:highlight w:val="none"/>
              </w:rPr>
            </w:pPr>
            <w:r>
              <w:rPr>
                <w:rFonts w:hint="eastAsia" w:hAnsi="宋体"/>
                <w:b/>
                <w:bCs/>
                <w:color w:val="auto"/>
                <w:sz w:val="21"/>
                <w:szCs w:val="21"/>
                <w:highlight w:val="none"/>
              </w:rPr>
              <w:t>偏离情况</w:t>
            </w:r>
          </w:p>
          <w:p w14:paraId="403B0FA5">
            <w:pPr>
              <w:jc w:val="center"/>
              <w:rPr>
                <w:rFonts w:hint="eastAsia" w:hAnsi="宋体"/>
                <w:b/>
                <w:bCs/>
                <w:color w:val="auto"/>
                <w:sz w:val="21"/>
                <w:szCs w:val="21"/>
                <w:highlight w:val="none"/>
              </w:rPr>
            </w:pPr>
            <w:r>
              <w:rPr>
                <w:rFonts w:hint="eastAsia" w:hAnsi="宋体"/>
                <w:b/>
                <w:bCs/>
                <w:color w:val="auto"/>
                <w:sz w:val="21"/>
                <w:szCs w:val="21"/>
                <w:highlight w:val="none"/>
              </w:rPr>
              <w:t>说明</w:t>
            </w:r>
          </w:p>
        </w:tc>
      </w:tr>
      <w:tr w14:paraId="4A51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42ADD401">
            <w:pPr>
              <w:jc w:val="center"/>
              <w:rPr>
                <w:rFonts w:hint="eastAsia" w:hAnsi="宋体"/>
                <w:b/>
                <w:color w:val="auto"/>
                <w:sz w:val="21"/>
                <w:szCs w:val="21"/>
                <w:highlight w:val="none"/>
              </w:rPr>
            </w:pPr>
            <w:r>
              <w:rPr>
                <w:rFonts w:hint="eastAsia" w:hAnsi="宋体"/>
                <w:b/>
                <w:color w:val="auto"/>
                <w:sz w:val="21"/>
                <w:szCs w:val="21"/>
                <w:highlight w:val="none"/>
              </w:rPr>
              <w:t>1</w:t>
            </w:r>
          </w:p>
        </w:tc>
        <w:tc>
          <w:tcPr>
            <w:tcW w:w="2161" w:type="dxa"/>
            <w:vAlign w:val="center"/>
          </w:tcPr>
          <w:p w14:paraId="21AB034E">
            <w:pPr>
              <w:rPr>
                <w:rFonts w:hint="eastAsia" w:hAnsi="宋体"/>
                <w:bCs/>
                <w:color w:val="auto"/>
                <w:sz w:val="21"/>
                <w:szCs w:val="21"/>
                <w:highlight w:val="none"/>
              </w:rPr>
            </w:pPr>
          </w:p>
        </w:tc>
        <w:tc>
          <w:tcPr>
            <w:tcW w:w="1241" w:type="dxa"/>
            <w:vAlign w:val="center"/>
          </w:tcPr>
          <w:p w14:paraId="38AA921D">
            <w:pPr>
              <w:jc w:val="center"/>
              <w:rPr>
                <w:rFonts w:hint="eastAsia" w:hAnsi="宋体"/>
                <w:color w:val="auto"/>
                <w:sz w:val="21"/>
                <w:szCs w:val="21"/>
                <w:highlight w:val="none"/>
              </w:rPr>
            </w:pPr>
          </w:p>
        </w:tc>
        <w:tc>
          <w:tcPr>
            <w:tcW w:w="1984" w:type="dxa"/>
            <w:vAlign w:val="center"/>
          </w:tcPr>
          <w:p w14:paraId="02B44705">
            <w:pPr>
              <w:jc w:val="center"/>
              <w:rPr>
                <w:rFonts w:hint="eastAsia" w:hAnsi="宋体"/>
                <w:color w:val="auto"/>
                <w:sz w:val="21"/>
                <w:szCs w:val="21"/>
                <w:highlight w:val="none"/>
              </w:rPr>
            </w:pPr>
          </w:p>
        </w:tc>
        <w:tc>
          <w:tcPr>
            <w:tcW w:w="1276" w:type="dxa"/>
            <w:vAlign w:val="center"/>
          </w:tcPr>
          <w:p w14:paraId="59152E2E">
            <w:pPr>
              <w:ind w:left="-446" w:leftChars="-186" w:firstLine="390" w:firstLineChars="186"/>
              <w:jc w:val="center"/>
              <w:rPr>
                <w:rFonts w:hint="eastAsia" w:hAnsi="宋体"/>
                <w:color w:val="auto"/>
                <w:sz w:val="21"/>
                <w:szCs w:val="21"/>
                <w:highlight w:val="none"/>
              </w:rPr>
            </w:pPr>
          </w:p>
        </w:tc>
        <w:tc>
          <w:tcPr>
            <w:tcW w:w="1594" w:type="dxa"/>
            <w:vAlign w:val="center"/>
          </w:tcPr>
          <w:p w14:paraId="1C9990BA">
            <w:pPr>
              <w:ind w:left="-446" w:leftChars="-186" w:firstLine="390" w:firstLineChars="186"/>
              <w:jc w:val="center"/>
              <w:rPr>
                <w:rFonts w:hint="eastAsia" w:hAnsi="宋体"/>
                <w:color w:val="auto"/>
                <w:sz w:val="21"/>
                <w:szCs w:val="21"/>
                <w:highlight w:val="none"/>
              </w:rPr>
            </w:pPr>
          </w:p>
        </w:tc>
      </w:tr>
      <w:tr w14:paraId="376D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466E27C4">
            <w:pPr>
              <w:jc w:val="center"/>
              <w:rPr>
                <w:rFonts w:hint="eastAsia" w:hAnsi="宋体"/>
                <w:b/>
                <w:color w:val="auto"/>
                <w:sz w:val="21"/>
                <w:szCs w:val="21"/>
                <w:highlight w:val="none"/>
              </w:rPr>
            </w:pPr>
            <w:r>
              <w:rPr>
                <w:rFonts w:hint="eastAsia" w:hAnsi="宋体"/>
                <w:b/>
                <w:color w:val="auto"/>
                <w:sz w:val="21"/>
                <w:szCs w:val="21"/>
                <w:highlight w:val="none"/>
              </w:rPr>
              <w:t>2</w:t>
            </w:r>
          </w:p>
        </w:tc>
        <w:tc>
          <w:tcPr>
            <w:tcW w:w="2161" w:type="dxa"/>
            <w:vAlign w:val="center"/>
          </w:tcPr>
          <w:p w14:paraId="0AF87308">
            <w:pPr>
              <w:rPr>
                <w:rFonts w:hint="eastAsia" w:hAnsi="宋体"/>
                <w:bCs/>
                <w:color w:val="auto"/>
                <w:sz w:val="21"/>
                <w:szCs w:val="21"/>
                <w:highlight w:val="none"/>
              </w:rPr>
            </w:pPr>
          </w:p>
        </w:tc>
        <w:tc>
          <w:tcPr>
            <w:tcW w:w="1241" w:type="dxa"/>
            <w:vAlign w:val="center"/>
          </w:tcPr>
          <w:p w14:paraId="7861B1CD">
            <w:pPr>
              <w:jc w:val="center"/>
              <w:rPr>
                <w:rFonts w:hint="eastAsia" w:hAnsi="宋体"/>
                <w:color w:val="auto"/>
                <w:sz w:val="21"/>
                <w:szCs w:val="21"/>
                <w:highlight w:val="none"/>
              </w:rPr>
            </w:pPr>
          </w:p>
        </w:tc>
        <w:tc>
          <w:tcPr>
            <w:tcW w:w="1984" w:type="dxa"/>
            <w:vAlign w:val="center"/>
          </w:tcPr>
          <w:p w14:paraId="56EEF2A4">
            <w:pPr>
              <w:jc w:val="center"/>
              <w:rPr>
                <w:rFonts w:hint="eastAsia" w:hAnsi="宋体"/>
                <w:color w:val="auto"/>
                <w:sz w:val="21"/>
                <w:szCs w:val="21"/>
                <w:highlight w:val="none"/>
              </w:rPr>
            </w:pPr>
          </w:p>
        </w:tc>
        <w:tc>
          <w:tcPr>
            <w:tcW w:w="1276" w:type="dxa"/>
            <w:vAlign w:val="center"/>
          </w:tcPr>
          <w:p w14:paraId="27DF7072">
            <w:pPr>
              <w:jc w:val="center"/>
              <w:rPr>
                <w:rFonts w:hint="eastAsia" w:hAnsi="宋体"/>
                <w:color w:val="auto"/>
                <w:sz w:val="21"/>
                <w:szCs w:val="21"/>
                <w:highlight w:val="none"/>
              </w:rPr>
            </w:pPr>
          </w:p>
        </w:tc>
        <w:tc>
          <w:tcPr>
            <w:tcW w:w="1594" w:type="dxa"/>
            <w:vAlign w:val="center"/>
          </w:tcPr>
          <w:p w14:paraId="41E98A59">
            <w:pPr>
              <w:jc w:val="center"/>
              <w:rPr>
                <w:rFonts w:hint="eastAsia" w:hAnsi="宋体"/>
                <w:color w:val="auto"/>
                <w:sz w:val="21"/>
                <w:szCs w:val="21"/>
                <w:highlight w:val="none"/>
              </w:rPr>
            </w:pPr>
          </w:p>
        </w:tc>
      </w:tr>
      <w:tr w14:paraId="3652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78972C69">
            <w:pPr>
              <w:jc w:val="center"/>
              <w:rPr>
                <w:rFonts w:hint="eastAsia" w:hAnsi="宋体"/>
                <w:b/>
                <w:color w:val="auto"/>
                <w:sz w:val="21"/>
                <w:szCs w:val="21"/>
                <w:highlight w:val="none"/>
              </w:rPr>
            </w:pPr>
            <w:r>
              <w:rPr>
                <w:rFonts w:hint="eastAsia" w:hAnsi="宋体"/>
                <w:b/>
                <w:color w:val="auto"/>
                <w:sz w:val="21"/>
                <w:szCs w:val="21"/>
                <w:highlight w:val="none"/>
              </w:rPr>
              <w:t>3</w:t>
            </w:r>
          </w:p>
        </w:tc>
        <w:tc>
          <w:tcPr>
            <w:tcW w:w="2161" w:type="dxa"/>
            <w:vAlign w:val="center"/>
          </w:tcPr>
          <w:p w14:paraId="5A8FB74C">
            <w:pPr>
              <w:rPr>
                <w:rFonts w:hint="eastAsia" w:hAnsi="宋体"/>
                <w:bCs/>
                <w:color w:val="auto"/>
                <w:sz w:val="21"/>
                <w:szCs w:val="21"/>
                <w:highlight w:val="none"/>
              </w:rPr>
            </w:pPr>
          </w:p>
        </w:tc>
        <w:tc>
          <w:tcPr>
            <w:tcW w:w="1241" w:type="dxa"/>
            <w:vAlign w:val="center"/>
          </w:tcPr>
          <w:p w14:paraId="5677C1E3">
            <w:pPr>
              <w:jc w:val="center"/>
              <w:rPr>
                <w:rFonts w:hint="eastAsia" w:hAnsi="宋体"/>
                <w:color w:val="auto"/>
                <w:sz w:val="21"/>
                <w:szCs w:val="21"/>
                <w:highlight w:val="none"/>
              </w:rPr>
            </w:pPr>
          </w:p>
        </w:tc>
        <w:tc>
          <w:tcPr>
            <w:tcW w:w="1984" w:type="dxa"/>
            <w:vAlign w:val="center"/>
          </w:tcPr>
          <w:p w14:paraId="4B561527">
            <w:pPr>
              <w:jc w:val="center"/>
              <w:rPr>
                <w:rFonts w:hint="eastAsia" w:hAnsi="宋体"/>
                <w:color w:val="auto"/>
                <w:sz w:val="21"/>
                <w:szCs w:val="21"/>
                <w:highlight w:val="none"/>
              </w:rPr>
            </w:pPr>
          </w:p>
        </w:tc>
        <w:tc>
          <w:tcPr>
            <w:tcW w:w="1276" w:type="dxa"/>
            <w:vAlign w:val="center"/>
          </w:tcPr>
          <w:p w14:paraId="40766464">
            <w:pPr>
              <w:jc w:val="center"/>
              <w:rPr>
                <w:rFonts w:hint="eastAsia" w:hAnsi="宋体"/>
                <w:color w:val="auto"/>
                <w:sz w:val="21"/>
                <w:szCs w:val="21"/>
                <w:highlight w:val="none"/>
              </w:rPr>
            </w:pPr>
          </w:p>
        </w:tc>
        <w:tc>
          <w:tcPr>
            <w:tcW w:w="1594" w:type="dxa"/>
            <w:vAlign w:val="center"/>
          </w:tcPr>
          <w:p w14:paraId="18F62766">
            <w:pPr>
              <w:jc w:val="center"/>
              <w:rPr>
                <w:rFonts w:hint="eastAsia" w:hAnsi="宋体"/>
                <w:color w:val="auto"/>
                <w:sz w:val="21"/>
                <w:szCs w:val="21"/>
                <w:highlight w:val="none"/>
              </w:rPr>
            </w:pPr>
          </w:p>
        </w:tc>
      </w:tr>
      <w:tr w14:paraId="21D4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092519AF">
            <w:pPr>
              <w:jc w:val="center"/>
              <w:rPr>
                <w:rFonts w:hint="eastAsia" w:hAnsi="宋体"/>
                <w:b/>
                <w:color w:val="auto"/>
                <w:sz w:val="21"/>
                <w:szCs w:val="21"/>
                <w:highlight w:val="none"/>
              </w:rPr>
            </w:pPr>
            <w:r>
              <w:rPr>
                <w:rFonts w:hint="eastAsia" w:hAnsi="宋体"/>
                <w:b/>
                <w:color w:val="auto"/>
                <w:sz w:val="21"/>
                <w:szCs w:val="21"/>
                <w:highlight w:val="none"/>
              </w:rPr>
              <w:t>···</w:t>
            </w:r>
          </w:p>
        </w:tc>
        <w:tc>
          <w:tcPr>
            <w:tcW w:w="2161" w:type="dxa"/>
            <w:vAlign w:val="center"/>
          </w:tcPr>
          <w:p w14:paraId="6F570EEF">
            <w:pPr>
              <w:rPr>
                <w:rFonts w:hint="eastAsia" w:hAnsi="宋体"/>
                <w:bCs/>
                <w:color w:val="auto"/>
                <w:sz w:val="21"/>
                <w:szCs w:val="21"/>
                <w:highlight w:val="none"/>
              </w:rPr>
            </w:pPr>
          </w:p>
        </w:tc>
        <w:tc>
          <w:tcPr>
            <w:tcW w:w="1241" w:type="dxa"/>
            <w:vAlign w:val="center"/>
          </w:tcPr>
          <w:p w14:paraId="79E4E826">
            <w:pPr>
              <w:jc w:val="center"/>
              <w:rPr>
                <w:rFonts w:hint="eastAsia" w:hAnsi="宋体"/>
                <w:color w:val="auto"/>
                <w:sz w:val="21"/>
                <w:szCs w:val="21"/>
                <w:highlight w:val="none"/>
              </w:rPr>
            </w:pPr>
          </w:p>
        </w:tc>
        <w:tc>
          <w:tcPr>
            <w:tcW w:w="1984" w:type="dxa"/>
            <w:vAlign w:val="center"/>
          </w:tcPr>
          <w:p w14:paraId="5DAAE76C">
            <w:pPr>
              <w:jc w:val="center"/>
              <w:rPr>
                <w:rFonts w:hint="eastAsia" w:hAnsi="宋体"/>
                <w:color w:val="auto"/>
                <w:sz w:val="21"/>
                <w:szCs w:val="21"/>
                <w:highlight w:val="none"/>
              </w:rPr>
            </w:pPr>
          </w:p>
        </w:tc>
        <w:tc>
          <w:tcPr>
            <w:tcW w:w="1276" w:type="dxa"/>
            <w:vAlign w:val="center"/>
          </w:tcPr>
          <w:p w14:paraId="007D108D">
            <w:pPr>
              <w:jc w:val="center"/>
              <w:rPr>
                <w:rFonts w:hint="eastAsia" w:hAnsi="宋体"/>
                <w:color w:val="auto"/>
                <w:sz w:val="21"/>
                <w:szCs w:val="21"/>
                <w:highlight w:val="none"/>
              </w:rPr>
            </w:pPr>
          </w:p>
        </w:tc>
        <w:tc>
          <w:tcPr>
            <w:tcW w:w="1594" w:type="dxa"/>
            <w:vAlign w:val="center"/>
          </w:tcPr>
          <w:p w14:paraId="58F09D6E">
            <w:pPr>
              <w:jc w:val="center"/>
              <w:rPr>
                <w:rFonts w:hint="eastAsia" w:hAnsi="宋体"/>
                <w:color w:val="auto"/>
                <w:sz w:val="21"/>
                <w:szCs w:val="21"/>
                <w:highlight w:val="none"/>
              </w:rPr>
            </w:pPr>
          </w:p>
        </w:tc>
      </w:tr>
      <w:tr w14:paraId="2F14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6C3CF07C">
            <w:pPr>
              <w:jc w:val="center"/>
              <w:rPr>
                <w:rFonts w:hint="eastAsia" w:hAnsi="宋体"/>
                <w:b/>
                <w:color w:val="auto"/>
                <w:sz w:val="21"/>
                <w:szCs w:val="21"/>
                <w:highlight w:val="none"/>
              </w:rPr>
            </w:pPr>
          </w:p>
        </w:tc>
        <w:tc>
          <w:tcPr>
            <w:tcW w:w="2161" w:type="dxa"/>
            <w:vAlign w:val="center"/>
          </w:tcPr>
          <w:p w14:paraId="78E2B3A3">
            <w:pPr>
              <w:rPr>
                <w:rFonts w:hint="eastAsia" w:hAnsi="宋体"/>
                <w:bCs/>
                <w:color w:val="auto"/>
                <w:sz w:val="21"/>
                <w:szCs w:val="21"/>
                <w:highlight w:val="none"/>
              </w:rPr>
            </w:pPr>
          </w:p>
        </w:tc>
        <w:tc>
          <w:tcPr>
            <w:tcW w:w="1241" w:type="dxa"/>
            <w:vAlign w:val="center"/>
          </w:tcPr>
          <w:p w14:paraId="2C127851">
            <w:pPr>
              <w:jc w:val="center"/>
              <w:rPr>
                <w:rFonts w:hint="eastAsia" w:hAnsi="宋体"/>
                <w:color w:val="auto"/>
                <w:sz w:val="21"/>
                <w:szCs w:val="21"/>
                <w:highlight w:val="none"/>
              </w:rPr>
            </w:pPr>
          </w:p>
        </w:tc>
        <w:tc>
          <w:tcPr>
            <w:tcW w:w="1984" w:type="dxa"/>
            <w:vAlign w:val="center"/>
          </w:tcPr>
          <w:p w14:paraId="5B9E77E4">
            <w:pPr>
              <w:jc w:val="center"/>
              <w:rPr>
                <w:rFonts w:hint="eastAsia" w:hAnsi="宋体"/>
                <w:color w:val="auto"/>
                <w:sz w:val="21"/>
                <w:szCs w:val="21"/>
                <w:highlight w:val="none"/>
              </w:rPr>
            </w:pPr>
          </w:p>
        </w:tc>
        <w:tc>
          <w:tcPr>
            <w:tcW w:w="1276" w:type="dxa"/>
            <w:vAlign w:val="center"/>
          </w:tcPr>
          <w:p w14:paraId="696A5612">
            <w:pPr>
              <w:jc w:val="center"/>
              <w:rPr>
                <w:rFonts w:hint="eastAsia" w:hAnsi="宋体"/>
                <w:color w:val="auto"/>
                <w:sz w:val="21"/>
                <w:szCs w:val="21"/>
                <w:highlight w:val="none"/>
              </w:rPr>
            </w:pPr>
          </w:p>
        </w:tc>
        <w:tc>
          <w:tcPr>
            <w:tcW w:w="1594" w:type="dxa"/>
            <w:vAlign w:val="center"/>
          </w:tcPr>
          <w:p w14:paraId="2F74CE20">
            <w:pPr>
              <w:jc w:val="center"/>
              <w:rPr>
                <w:rFonts w:hint="eastAsia" w:hAnsi="宋体"/>
                <w:color w:val="auto"/>
                <w:sz w:val="21"/>
                <w:szCs w:val="21"/>
                <w:highlight w:val="none"/>
              </w:rPr>
            </w:pPr>
          </w:p>
        </w:tc>
      </w:tr>
      <w:tr w14:paraId="1633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3F10BE91">
            <w:pPr>
              <w:jc w:val="center"/>
              <w:rPr>
                <w:rFonts w:hint="eastAsia" w:hAnsi="宋体"/>
                <w:b/>
                <w:color w:val="auto"/>
                <w:sz w:val="21"/>
                <w:szCs w:val="21"/>
                <w:highlight w:val="none"/>
              </w:rPr>
            </w:pPr>
          </w:p>
        </w:tc>
        <w:tc>
          <w:tcPr>
            <w:tcW w:w="2161" w:type="dxa"/>
            <w:vAlign w:val="center"/>
          </w:tcPr>
          <w:p w14:paraId="006BA1A3">
            <w:pPr>
              <w:rPr>
                <w:rFonts w:hint="eastAsia" w:hAnsi="宋体"/>
                <w:bCs/>
                <w:color w:val="auto"/>
                <w:sz w:val="21"/>
                <w:szCs w:val="21"/>
                <w:highlight w:val="none"/>
              </w:rPr>
            </w:pPr>
          </w:p>
        </w:tc>
        <w:tc>
          <w:tcPr>
            <w:tcW w:w="1241" w:type="dxa"/>
            <w:vAlign w:val="center"/>
          </w:tcPr>
          <w:p w14:paraId="3C249F57">
            <w:pPr>
              <w:jc w:val="center"/>
              <w:rPr>
                <w:rFonts w:hint="eastAsia" w:hAnsi="宋体"/>
                <w:color w:val="auto"/>
                <w:sz w:val="21"/>
                <w:szCs w:val="21"/>
                <w:highlight w:val="none"/>
              </w:rPr>
            </w:pPr>
          </w:p>
        </w:tc>
        <w:tc>
          <w:tcPr>
            <w:tcW w:w="1984" w:type="dxa"/>
            <w:vAlign w:val="center"/>
          </w:tcPr>
          <w:p w14:paraId="64019E20">
            <w:pPr>
              <w:jc w:val="center"/>
              <w:rPr>
                <w:rFonts w:hint="eastAsia" w:hAnsi="宋体"/>
                <w:color w:val="auto"/>
                <w:sz w:val="21"/>
                <w:szCs w:val="21"/>
                <w:highlight w:val="none"/>
              </w:rPr>
            </w:pPr>
          </w:p>
        </w:tc>
        <w:tc>
          <w:tcPr>
            <w:tcW w:w="1276" w:type="dxa"/>
            <w:vAlign w:val="center"/>
          </w:tcPr>
          <w:p w14:paraId="2D1C2EE8">
            <w:pPr>
              <w:jc w:val="center"/>
              <w:rPr>
                <w:rFonts w:hint="eastAsia" w:hAnsi="宋体"/>
                <w:color w:val="auto"/>
                <w:sz w:val="21"/>
                <w:szCs w:val="21"/>
                <w:highlight w:val="none"/>
              </w:rPr>
            </w:pPr>
          </w:p>
        </w:tc>
        <w:tc>
          <w:tcPr>
            <w:tcW w:w="1594" w:type="dxa"/>
            <w:vAlign w:val="center"/>
          </w:tcPr>
          <w:p w14:paraId="2D4048BC">
            <w:pPr>
              <w:jc w:val="center"/>
              <w:rPr>
                <w:rFonts w:hint="eastAsia" w:hAnsi="宋体"/>
                <w:color w:val="auto"/>
                <w:sz w:val="21"/>
                <w:szCs w:val="21"/>
                <w:highlight w:val="none"/>
              </w:rPr>
            </w:pPr>
          </w:p>
        </w:tc>
      </w:tr>
      <w:tr w14:paraId="0FA5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3FC39CD5">
            <w:pPr>
              <w:jc w:val="center"/>
              <w:rPr>
                <w:rFonts w:hint="eastAsia" w:hAnsi="宋体"/>
                <w:b/>
                <w:color w:val="auto"/>
                <w:sz w:val="21"/>
                <w:szCs w:val="21"/>
                <w:highlight w:val="none"/>
              </w:rPr>
            </w:pPr>
          </w:p>
        </w:tc>
        <w:tc>
          <w:tcPr>
            <w:tcW w:w="2161" w:type="dxa"/>
            <w:vAlign w:val="center"/>
          </w:tcPr>
          <w:p w14:paraId="4E647962">
            <w:pPr>
              <w:jc w:val="center"/>
              <w:rPr>
                <w:rFonts w:hint="eastAsia" w:hAnsi="宋体"/>
                <w:bCs/>
                <w:color w:val="auto"/>
                <w:sz w:val="21"/>
                <w:szCs w:val="21"/>
                <w:highlight w:val="none"/>
              </w:rPr>
            </w:pPr>
            <w:r>
              <w:rPr>
                <w:rFonts w:hint="eastAsia" w:hAnsi="宋体"/>
                <w:bCs/>
                <w:color w:val="auto"/>
                <w:sz w:val="21"/>
                <w:szCs w:val="21"/>
                <w:highlight w:val="none"/>
              </w:rPr>
              <w:t>其他</w:t>
            </w:r>
          </w:p>
        </w:tc>
        <w:tc>
          <w:tcPr>
            <w:tcW w:w="1241" w:type="dxa"/>
            <w:vAlign w:val="center"/>
          </w:tcPr>
          <w:p w14:paraId="7F9194EA">
            <w:pPr>
              <w:jc w:val="center"/>
              <w:rPr>
                <w:rFonts w:hint="eastAsia" w:hAnsi="宋体"/>
                <w:color w:val="auto"/>
                <w:sz w:val="21"/>
                <w:szCs w:val="21"/>
                <w:highlight w:val="none"/>
              </w:rPr>
            </w:pPr>
          </w:p>
        </w:tc>
        <w:tc>
          <w:tcPr>
            <w:tcW w:w="1984" w:type="dxa"/>
            <w:vAlign w:val="center"/>
          </w:tcPr>
          <w:p w14:paraId="0F0ADFEE">
            <w:pPr>
              <w:jc w:val="center"/>
              <w:rPr>
                <w:rFonts w:hint="eastAsia" w:hAnsi="宋体"/>
                <w:color w:val="auto"/>
                <w:sz w:val="21"/>
                <w:szCs w:val="21"/>
                <w:highlight w:val="none"/>
              </w:rPr>
            </w:pPr>
          </w:p>
        </w:tc>
        <w:tc>
          <w:tcPr>
            <w:tcW w:w="1276" w:type="dxa"/>
            <w:vAlign w:val="center"/>
          </w:tcPr>
          <w:p w14:paraId="2F3D57F2">
            <w:pPr>
              <w:jc w:val="center"/>
              <w:rPr>
                <w:rFonts w:hint="eastAsia" w:hAnsi="宋体"/>
                <w:color w:val="auto"/>
                <w:sz w:val="21"/>
                <w:szCs w:val="21"/>
                <w:highlight w:val="none"/>
              </w:rPr>
            </w:pPr>
          </w:p>
        </w:tc>
        <w:tc>
          <w:tcPr>
            <w:tcW w:w="1594" w:type="dxa"/>
            <w:vAlign w:val="center"/>
          </w:tcPr>
          <w:p w14:paraId="5F63B860">
            <w:pPr>
              <w:jc w:val="center"/>
              <w:rPr>
                <w:rFonts w:hint="eastAsia" w:hAnsi="宋体"/>
                <w:color w:val="auto"/>
                <w:sz w:val="21"/>
                <w:szCs w:val="21"/>
                <w:highlight w:val="none"/>
              </w:rPr>
            </w:pPr>
          </w:p>
        </w:tc>
      </w:tr>
    </w:tbl>
    <w:p w14:paraId="502607F4">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hAnsi="宋体"/>
          <w:b/>
          <w:bCs/>
          <w:color w:val="auto"/>
          <w:sz w:val="21"/>
          <w:szCs w:val="21"/>
          <w:highlight w:val="none"/>
        </w:rPr>
      </w:pPr>
    </w:p>
    <w:p w14:paraId="5E0C0E5B">
      <w:pPr>
        <w:tabs>
          <w:tab w:val="left" w:pos="654"/>
          <w:tab w:val="left" w:pos="1734"/>
          <w:tab w:val="left" w:pos="2814"/>
          <w:tab w:val="left" w:pos="3894"/>
          <w:tab w:val="left" w:pos="5334"/>
          <w:tab w:val="left" w:pos="6414"/>
          <w:tab w:val="left" w:pos="7254"/>
          <w:tab w:val="left" w:pos="8574"/>
          <w:tab w:val="left" w:pos="9654"/>
        </w:tabs>
        <w:spacing w:line="480" w:lineRule="exact"/>
        <w:rPr>
          <w:rFonts w:hint="eastAsia" w:hAnsi="宋体"/>
          <w:color w:val="auto"/>
          <w:sz w:val="21"/>
          <w:szCs w:val="21"/>
          <w:highlight w:val="none"/>
        </w:rPr>
      </w:pPr>
      <w:r>
        <w:rPr>
          <w:rFonts w:hint="eastAsia" w:hAnsi="宋体"/>
          <w:color w:val="auto"/>
          <w:sz w:val="21"/>
          <w:szCs w:val="21"/>
          <w:highlight w:val="none"/>
        </w:rPr>
        <w:t>要求：</w:t>
      </w:r>
    </w:p>
    <w:p w14:paraId="0F8F966C">
      <w:pP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1.“磋商文件要求”见磋商文件“用户需求书”，“响应文件响应情况”是指供应商的投报情况。</w:t>
      </w:r>
    </w:p>
    <w:p w14:paraId="128A6D27">
      <w:pP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2.“</w:t>
      </w:r>
      <w:r>
        <w:rPr>
          <w:rFonts w:hint="eastAsia" w:hAnsi="宋体"/>
          <w:bCs/>
          <w:color w:val="auto"/>
          <w:sz w:val="21"/>
          <w:szCs w:val="21"/>
          <w:highlight w:val="none"/>
        </w:rPr>
        <w:t>偏离情况</w:t>
      </w:r>
      <w:r>
        <w:rPr>
          <w:rFonts w:hint="eastAsia" w:hAnsi="宋体"/>
          <w:color w:val="auto"/>
          <w:sz w:val="21"/>
          <w:szCs w:val="21"/>
          <w:highlight w:val="none"/>
        </w:rPr>
        <w:t>”包括“完全响应”、“正偏离”、“负偏离”。</w:t>
      </w:r>
    </w:p>
    <w:p w14:paraId="638A2252">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hAnsi="宋体"/>
          <w:color w:val="auto"/>
          <w:sz w:val="21"/>
          <w:szCs w:val="21"/>
          <w:highlight w:val="none"/>
        </w:rPr>
      </w:pPr>
    </w:p>
    <w:p w14:paraId="4553839F">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供应商名称（加盖公章）：</w:t>
      </w:r>
    </w:p>
    <w:p w14:paraId="2FED50D1">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3E42248A">
      <w:pPr>
        <w:overflowPunct w:val="0"/>
        <w:spacing w:line="460" w:lineRule="exact"/>
        <w:rPr>
          <w:rFonts w:hint="eastAsia" w:hAnsi="宋体"/>
          <w:color w:val="auto"/>
          <w:sz w:val="22"/>
          <w:szCs w:val="22"/>
          <w:highlight w:val="none"/>
        </w:rPr>
      </w:pPr>
      <w:r>
        <w:rPr>
          <w:rFonts w:hint="eastAsia" w:hAnsi="宋体"/>
          <w:color w:val="auto"/>
          <w:sz w:val="21"/>
          <w:szCs w:val="21"/>
          <w:highlight w:val="none"/>
        </w:rPr>
        <w:t xml:space="preserve">日期：  年  月  日 </w:t>
      </w:r>
    </w:p>
    <w:p w14:paraId="0A8087F8">
      <w:pPr>
        <w:rPr>
          <w:rFonts w:hint="eastAsia" w:hAnsi="宋体"/>
          <w:color w:val="auto"/>
          <w:highlight w:val="none"/>
        </w:rPr>
      </w:pPr>
    </w:p>
    <w:p w14:paraId="7FECF3A8">
      <w:pPr>
        <w:rPr>
          <w:rFonts w:hint="eastAsia" w:hAnsi="宋体"/>
          <w:color w:val="auto"/>
          <w:highlight w:val="none"/>
        </w:rPr>
      </w:pPr>
    </w:p>
    <w:p w14:paraId="404C6792">
      <w:pPr>
        <w:rPr>
          <w:rFonts w:hint="eastAsia" w:hAnsi="宋体"/>
          <w:color w:val="auto"/>
          <w:highlight w:val="none"/>
        </w:rPr>
      </w:pPr>
    </w:p>
    <w:p w14:paraId="4E2E2979">
      <w:pPr>
        <w:rPr>
          <w:rFonts w:hint="eastAsia" w:hAnsi="宋体"/>
          <w:color w:val="auto"/>
          <w:highlight w:val="none"/>
        </w:rPr>
      </w:pPr>
    </w:p>
    <w:p w14:paraId="5BF9F433">
      <w:pPr>
        <w:rPr>
          <w:rFonts w:hint="eastAsia" w:hAnsi="宋体"/>
          <w:color w:val="auto"/>
          <w:highlight w:val="none"/>
        </w:rPr>
      </w:pPr>
    </w:p>
    <w:p w14:paraId="1F1A424A">
      <w:pPr>
        <w:rPr>
          <w:rFonts w:hint="eastAsia" w:hAnsi="宋体"/>
          <w:color w:val="auto"/>
          <w:highlight w:val="none"/>
        </w:rPr>
      </w:pPr>
    </w:p>
    <w:p w14:paraId="4D6DCABA">
      <w:pPr>
        <w:rPr>
          <w:rFonts w:hint="eastAsia" w:hAnsi="宋体"/>
          <w:color w:val="auto"/>
          <w:highlight w:val="none"/>
        </w:rPr>
      </w:pPr>
    </w:p>
    <w:p w14:paraId="0807241B">
      <w:pPr>
        <w:rPr>
          <w:rFonts w:hint="eastAsia" w:hAnsi="宋体"/>
          <w:color w:val="auto"/>
          <w:sz w:val="28"/>
          <w:szCs w:val="28"/>
          <w:highlight w:val="none"/>
        </w:rPr>
      </w:pPr>
      <w:bookmarkStart w:id="242" w:name="_Toc8299"/>
      <w:bookmarkStart w:id="243" w:name="_Toc10734"/>
      <w:bookmarkStart w:id="244" w:name="_Toc31965"/>
      <w:bookmarkStart w:id="245" w:name="_Toc7897895"/>
      <w:r>
        <w:rPr>
          <w:rFonts w:hint="eastAsia" w:hAnsi="宋体"/>
          <w:color w:val="auto"/>
          <w:sz w:val="28"/>
          <w:szCs w:val="28"/>
          <w:highlight w:val="none"/>
        </w:rPr>
        <w:br w:type="page"/>
      </w:r>
    </w:p>
    <w:p w14:paraId="1500CDD1">
      <w:pPr>
        <w:pStyle w:val="6"/>
        <w:numPr>
          <w:ilvl w:val="0"/>
          <w:numId w:val="12"/>
        </w:numPr>
        <w:jc w:val="center"/>
        <w:rPr>
          <w:rFonts w:hint="eastAsia"/>
          <w:color w:val="auto"/>
          <w:sz w:val="28"/>
          <w:szCs w:val="28"/>
          <w:highlight w:val="none"/>
        </w:rPr>
      </w:pPr>
      <w:r>
        <w:rPr>
          <w:rFonts w:hint="eastAsia"/>
          <w:color w:val="auto"/>
          <w:sz w:val="28"/>
          <w:szCs w:val="28"/>
          <w:highlight w:val="none"/>
        </w:rPr>
        <w:t>磋商文件“★”号条款响应表</w:t>
      </w:r>
      <w:bookmarkEnd w:id="242"/>
      <w:bookmarkEnd w:id="243"/>
    </w:p>
    <w:p w14:paraId="5AE492A1">
      <w:pPr>
        <w:rPr>
          <w:rFonts w:hint="eastAsia" w:hAnsi="宋体"/>
          <w:b/>
          <w:bCs/>
          <w:color w:val="auto"/>
          <w:highlight w:val="none"/>
        </w:rPr>
      </w:pPr>
    </w:p>
    <w:tbl>
      <w:tblPr>
        <w:tblStyle w:val="54"/>
        <w:tblW w:w="96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266"/>
        <w:gridCol w:w="3371"/>
        <w:gridCol w:w="2113"/>
        <w:gridCol w:w="2079"/>
      </w:tblGrid>
      <w:tr w14:paraId="69BE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863" w:type="dxa"/>
            <w:vMerge w:val="restart"/>
            <w:vAlign w:val="center"/>
          </w:tcPr>
          <w:p w14:paraId="0DDA242D">
            <w:pPr>
              <w:autoSpaceDE/>
              <w:autoSpaceDN/>
              <w:adjustRightInd/>
              <w:spacing w:before="120" w:after="120" w:line="360" w:lineRule="auto"/>
              <w:jc w:val="center"/>
              <w:rPr>
                <w:rFonts w:hint="eastAsia" w:hAnsi="宋体"/>
                <w:color w:val="auto"/>
                <w:sz w:val="21"/>
                <w:szCs w:val="21"/>
                <w:highlight w:val="none"/>
              </w:rPr>
            </w:pPr>
            <w:r>
              <w:rPr>
                <w:rFonts w:hint="eastAsia" w:hAnsi="宋体"/>
                <w:color w:val="auto"/>
                <w:sz w:val="21"/>
                <w:szCs w:val="21"/>
                <w:highlight w:val="none"/>
              </w:rPr>
              <w:t>序号</w:t>
            </w:r>
          </w:p>
        </w:tc>
        <w:tc>
          <w:tcPr>
            <w:tcW w:w="4637" w:type="dxa"/>
            <w:gridSpan w:val="2"/>
            <w:vAlign w:val="center"/>
          </w:tcPr>
          <w:p w14:paraId="04AA853A">
            <w:pPr>
              <w:autoSpaceDE/>
              <w:autoSpaceDN/>
              <w:adjustRightInd/>
              <w:spacing w:before="120" w:after="120" w:line="360" w:lineRule="auto"/>
              <w:ind w:left="-122" w:leftChars="-51"/>
              <w:jc w:val="center"/>
              <w:rPr>
                <w:rFonts w:hint="eastAsia" w:hAnsi="宋体"/>
                <w:color w:val="auto"/>
                <w:sz w:val="21"/>
                <w:szCs w:val="21"/>
                <w:highlight w:val="none"/>
              </w:rPr>
            </w:pPr>
            <w:r>
              <w:rPr>
                <w:rFonts w:hint="eastAsia" w:hAnsi="宋体"/>
                <w:color w:val="auto"/>
                <w:sz w:val="21"/>
                <w:szCs w:val="21"/>
                <w:highlight w:val="none"/>
              </w:rPr>
              <w:t>磋商文件“★”号条款要求</w:t>
            </w:r>
          </w:p>
        </w:tc>
        <w:tc>
          <w:tcPr>
            <w:tcW w:w="4192" w:type="dxa"/>
            <w:gridSpan w:val="2"/>
            <w:vAlign w:val="center"/>
          </w:tcPr>
          <w:p w14:paraId="1CC5C25C">
            <w:pPr>
              <w:autoSpaceDE/>
              <w:autoSpaceDN/>
              <w:adjustRightInd/>
              <w:spacing w:before="120" w:after="120" w:line="360" w:lineRule="auto"/>
              <w:ind w:left="-88"/>
              <w:jc w:val="center"/>
              <w:rPr>
                <w:rFonts w:hint="eastAsia" w:hAnsi="宋体"/>
                <w:color w:val="auto"/>
                <w:sz w:val="21"/>
                <w:szCs w:val="21"/>
                <w:highlight w:val="none"/>
              </w:rPr>
            </w:pPr>
            <w:r>
              <w:rPr>
                <w:rFonts w:hint="eastAsia" w:hAnsi="宋体"/>
                <w:color w:val="auto"/>
                <w:sz w:val="21"/>
                <w:szCs w:val="21"/>
                <w:highlight w:val="none"/>
              </w:rPr>
              <w:t>磋商响应文件内容</w:t>
            </w:r>
          </w:p>
        </w:tc>
      </w:tr>
      <w:tr w14:paraId="0EA6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863" w:type="dxa"/>
            <w:vMerge w:val="continue"/>
            <w:vAlign w:val="center"/>
          </w:tcPr>
          <w:p w14:paraId="3C952F1A">
            <w:pPr>
              <w:keepNext/>
              <w:keepLines/>
              <w:autoSpaceDE/>
              <w:autoSpaceDN/>
              <w:adjustRightInd/>
              <w:spacing w:before="120" w:after="120" w:line="360" w:lineRule="auto"/>
              <w:ind w:left="629"/>
              <w:jc w:val="center"/>
              <w:rPr>
                <w:rFonts w:hint="eastAsia" w:hAnsi="宋体"/>
                <w:color w:val="auto"/>
                <w:sz w:val="21"/>
                <w:szCs w:val="21"/>
                <w:highlight w:val="none"/>
              </w:rPr>
            </w:pPr>
          </w:p>
        </w:tc>
        <w:tc>
          <w:tcPr>
            <w:tcW w:w="1266" w:type="dxa"/>
            <w:vAlign w:val="center"/>
          </w:tcPr>
          <w:p w14:paraId="423CBA02">
            <w:pPr>
              <w:autoSpaceDE/>
              <w:autoSpaceDN/>
              <w:adjustRightInd/>
              <w:spacing w:before="120" w:after="120" w:line="360" w:lineRule="auto"/>
              <w:jc w:val="center"/>
              <w:rPr>
                <w:rFonts w:hint="eastAsia" w:hAnsi="宋体"/>
                <w:color w:val="auto"/>
                <w:sz w:val="21"/>
                <w:szCs w:val="21"/>
                <w:highlight w:val="none"/>
              </w:rPr>
            </w:pPr>
            <w:r>
              <w:rPr>
                <w:rFonts w:hint="eastAsia" w:hAnsi="宋体"/>
                <w:color w:val="auto"/>
                <w:sz w:val="21"/>
                <w:szCs w:val="21"/>
                <w:highlight w:val="none"/>
              </w:rPr>
              <w:t>条款号</w:t>
            </w:r>
          </w:p>
        </w:tc>
        <w:tc>
          <w:tcPr>
            <w:tcW w:w="3371" w:type="dxa"/>
            <w:vAlign w:val="center"/>
          </w:tcPr>
          <w:p w14:paraId="2EB8B618">
            <w:pPr>
              <w:autoSpaceDE/>
              <w:autoSpaceDN/>
              <w:adjustRightInd/>
              <w:spacing w:before="120" w:after="120" w:line="360" w:lineRule="auto"/>
              <w:jc w:val="center"/>
              <w:rPr>
                <w:rFonts w:hint="eastAsia" w:hAnsi="宋体"/>
                <w:color w:val="auto"/>
                <w:sz w:val="21"/>
                <w:szCs w:val="21"/>
                <w:highlight w:val="none"/>
              </w:rPr>
            </w:pPr>
            <w:r>
              <w:rPr>
                <w:rFonts w:hint="eastAsia" w:hAnsi="宋体"/>
                <w:color w:val="auto"/>
                <w:sz w:val="21"/>
                <w:szCs w:val="21"/>
                <w:highlight w:val="none"/>
              </w:rPr>
              <w:t>简要内容</w:t>
            </w:r>
          </w:p>
        </w:tc>
        <w:tc>
          <w:tcPr>
            <w:tcW w:w="2113" w:type="dxa"/>
            <w:vAlign w:val="center"/>
          </w:tcPr>
          <w:p w14:paraId="7F2E889D">
            <w:pPr>
              <w:autoSpaceDE/>
              <w:autoSpaceDN/>
              <w:adjustRightInd/>
              <w:spacing w:before="120" w:after="120" w:line="360" w:lineRule="auto"/>
              <w:jc w:val="center"/>
              <w:rPr>
                <w:rFonts w:hint="eastAsia" w:hAnsi="宋体"/>
                <w:color w:val="auto"/>
                <w:sz w:val="21"/>
                <w:szCs w:val="21"/>
                <w:highlight w:val="none"/>
              </w:rPr>
            </w:pPr>
            <w:r>
              <w:rPr>
                <w:rFonts w:hint="eastAsia" w:hAnsi="宋体"/>
                <w:color w:val="auto"/>
                <w:sz w:val="21"/>
                <w:szCs w:val="21"/>
                <w:highlight w:val="none"/>
              </w:rPr>
              <w:t>偏离情况</w:t>
            </w:r>
          </w:p>
        </w:tc>
        <w:tc>
          <w:tcPr>
            <w:tcW w:w="2079" w:type="dxa"/>
            <w:vAlign w:val="center"/>
          </w:tcPr>
          <w:p w14:paraId="373BDD55">
            <w:pPr>
              <w:autoSpaceDE/>
              <w:autoSpaceDN/>
              <w:adjustRightInd/>
              <w:spacing w:before="120" w:after="120" w:line="360" w:lineRule="auto"/>
              <w:jc w:val="center"/>
              <w:rPr>
                <w:rFonts w:hint="eastAsia" w:hAnsi="宋体"/>
                <w:color w:val="auto"/>
                <w:sz w:val="21"/>
                <w:szCs w:val="21"/>
                <w:highlight w:val="none"/>
              </w:rPr>
            </w:pPr>
            <w:r>
              <w:rPr>
                <w:rFonts w:hint="eastAsia" w:hAnsi="宋体"/>
                <w:color w:val="auto"/>
                <w:sz w:val="21"/>
                <w:szCs w:val="21"/>
                <w:highlight w:val="none"/>
              </w:rPr>
              <w:t>具体偏离内容</w:t>
            </w:r>
          </w:p>
        </w:tc>
      </w:tr>
      <w:tr w14:paraId="2281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2F4990E7">
            <w:pPr>
              <w:autoSpaceDE/>
              <w:autoSpaceDN/>
              <w:adjustRightInd/>
              <w:spacing w:before="120" w:after="120" w:line="360" w:lineRule="auto"/>
              <w:ind w:left="-108"/>
              <w:jc w:val="center"/>
              <w:rPr>
                <w:rFonts w:hint="eastAsia" w:hAnsi="宋体"/>
                <w:color w:val="auto"/>
                <w:sz w:val="21"/>
                <w:szCs w:val="21"/>
                <w:highlight w:val="none"/>
              </w:rPr>
            </w:pPr>
            <w:r>
              <w:rPr>
                <w:rFonts w:hint="eastAsia" w:hAnsi="宋体"/>
                <w:color w:val="auto"/>
                <w:sz w:val="21"/>
                <w:szCs w:val="21"/>
                <w:highlight w:val="none"/>
              </w:rPr>
              <w:t>1</w:t>
            </w:r>
          </w:p>
        </w:tc>
        <w:tc>
          <w:tcPr>
            <w:tcW w:w="1266" w:type="dxa"/>
            <w:vAlign w:val="center"/>
          </w:tcPr>
          <w:p w14:paraId="3448AF55">
            <w:pPr>
              <w:spacing w:line="360" w:lineRule="auto"/>
              <w:jc w:val="center"/>
              <w:rPr>
                <w:rFonts w:hint="eastAsia" w:hAnsi="宋体"/>
                <w:color w:val="auto"/>
                <w:sz w:val="21"/>
                <w:szCs w:val="21"/>
                <w:highlight w:val="none"/>
              </w:rPr>
            </w:pPr>
          </w:p>
          <w:p w14:paraId="637B194F">
            <w:pPr>
              <w:spacing w:line="360" w:lineRule="auto"/>
              <w:jc w:val="center"/>
              <w:rPr>
                <w:rFonts w:hint="eastAsia" w:hAnsi="宋体"/>
                <w:color w:val="auto"/>
                <w:sz w:val="21"/>
                <w:szCs w:val="21"/>
                <w:highlight w:val="none"/>
              </w:rPr>
            </w:pPr>
          </w:p>
          <w:p w14:paraId="0486C5D8">
            <w:pPr>
              <w:spacing w:line="360" w:lineRule="auto"/>
              <w:jc w:val="center"/>
              <w:rPr>
                <w:rFonts w:hint="eastAsia" w:hAnsi="宋体"/>
                <w:color w:val="auto"/>
                <w:sz w:val="21"/>
                <w:szCs w:val="21"/>
                <w:highlight w:val="none"/>
              </w:rPr>
            </w:pPr>
          </w:p>
          <w:p w14:paraId="4160904A">
            <w:pPr>
              <w:spacing w:line="360" w:lineRule="auto"/>
              <w:jc w:val="center"/>
              <w:rPr>
                <w:rFonts w:hint="eastAsia" w:hAnsi="宋体"/>
                <w:color w:val="auto"/>
                <w:sz w:val="21"/>
                <w:szCs w:val="21"/>
                <w:highlight w:val="none"/>
              </w:rPr>
            </w:pPr>
          </w:p>
          <w:p w14:paraId="308C2FCA">
            <w:pPr>
              <w:spacing w:line="360" w:lineRule="auto"/>
              <w:jc w:val="center"/>
              <w:rPr>
                <w:rFonts w:hint="eastAsia" w:hAnsi="宋体"/>
                <w:color w:val="auto"/>
                <w:sz w:val="21"/>
                <w:szCs w:val="21"/>
                <w:highlight w:val="none"/>
              </w:rPr>
            </w:pPr>
          </w:p>
        </w:tc>
        <w:tc>
          <w:tcPr>
            <w:tcW w:w="3371" w:type="dxa"/>
            <w:vAlign w:val="center"/>
          </w:tcPr>
          <w:p w14:paraId="0D12281C">
            <w:pPr>
              <w:spacing w:line="360" w:lineRule="auto"/>
              <w:jc w:val="center"/>
              <w:rPr>
                <w:rFonts w:hint="eastAsia" w:hAnsi="宋体"/>
                <w:color w:val="auto"/>
                <w:sz w:val="21"/>
                <w:szCs w:val="21"/>
                <w:highlight w:val="none"/>
              </w:rPr>
            </w:pPr>
          </w:p>
        </w:tc>
        <w:tc>
          <w:tcPr>
            <w:tcW w:w="2113" w:type="dxa"/>
            <w:vAlign w:val="center"/>
          </w:tcPr>
          <w:p w14:paraId="0C9977D7">
            <w:pPr>
              <w:keepNext/>
              <w:keepLines/>
              <w:autoSpaceDE/>
              <w:autoSpaceDN/>
              <w:adjustRightInd/>
              <w:spacing w:before="120" w:after="120" w:line="360" w:lineRule="auto"/>
              <w:ind w:left="629"/>
              <w:jc w:val="center"/>
              <w:rPr>
                <w:rFonts w:hint="eastAsia" w:hAnsi="宋体"/>
                <w:color w:val="auto"/>
                <w:sz w:val="21"/>
                <w:szCs w:val="21"/>
                <w:highlight w:val="none"/>
              </w:rPr>
            </w:pPr>
          </w:p>
        </w:tc>
        <w:tc>
          <w:tcPr>
            <w:tcW w:w="2079" w:type="dxa"/>
            <w:vAlign w:val="center"/>
          </w:tcPr>
          <w:p w14:paraId="76973963">
            <w:pPr>
              <w:keepNext/>
              <w:keepLines/>
              <w:autoSpaceDE/>
              <w:autoSpaceDN/>
              <w:adjustRightInd/>
              <w:spacing w:before="120" w:after="120" w:line="360" w:lineRule="auto"/>
              <w:ind w:left="629"/>
              <w:jc w:val="center"/>
              <w:rPr>
                <w:rFonts w:hint="eastAsia" w:hAnsi="宋体"/>
                <w:color w:val="auto"/>
                <w:sz w:val="21"/>
                <w:szCs w:val="21"/>
                <w:highlight w:val="none"/>
              </w:rPr>
            </w:pPr>
          </w:p>
        </w:tc>
      </w:tr>
      <w:tr w14:paraId="4183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5B32AB7E">
            <w:pPr>
              <w:autoSpaceDE/>
              <w:autoSpaceDN/>
              <w:adjustRightInd/>
              <w:spacing w:before="120" w:after="120" w:line="360" w:lineRule="auto"/>
              <w:ind w:left="-108"/>
              <w:jc w:val="center"/>
              <w:rPr>
                <w:rFonts w:hint="eastAsia" w:hAnsi="宋体"/>
                <w:color w:val="auto"/>
                <w:sz w:val="21"/>
                <w:szCs w:val="21"/>
                <w:highlight w:val="none"/>
              </w:rPr>
            </w:pPr>
            <w:r>
              <w:rPr>
                <w:rFonts w:hint="eastAsia" w:hAnsi="宋体"/>
                <w:color w:val="auto"/>
                <w:sz w:val="21"/>
                <w:szCs w:val="21"/>
                <w:highlight w:val="none"/>
              </w:rPr>
              <w:t>2</w:t>
            </w:r>
          </w:p>
        </w:tc>
        <w:tc>
          <w:tcPr>
            <w:tcW w:w="1266" w:type="dxa"/>
            <w:vAlign w:val="center"/>
          </w:tcPr>
          <w:p w14:paraId="41E9E747">
            <w:pPr>
              <w:spacing w:line="360" w:lineRule="auto"/>
              <w:jc w:val="center"/>
              <w:rPr>
                <w:rFonts w:hint="eastAsia" w:hAnsi="宋体"/>
                <w:color w:val="auto"/>
                <w:sz w:val="21"/>
                <w:szCs w:val="21"/>
                <w:highlight w:val="none"/>
              </w:rPr>
            </w:pPr>
          </w:p>
        </w:tc>
        <w:tc>
          <w:tcPr>
            <w:tcW w:w="3371" w:type="dxa"/>
            <w:vAlign w:val="center"/>
          </w:tcPr>
          <w:p w14:paraId="455A54DA">
            <w:pPr>
              <w:spacing w:line="360" w:lineRule="auto"/>
              <w:jc w:val="center"/>
              <w:rPr>
                <w:rFonts w:hint="eastAsia" w:hAnsi="宋体"/>
                <w:color w:val="auto"/>
                <w:sz w:val="21"/>
                <w:szCs w:val="21"/>
                <w:highlight w:val="none"/>
              </w:rPr>
            </w:pPr>
          </w:p>
        </w:tc>
        <w:tc>
          <w:tcPr>
            <w:tcW w:w="2113" w:type="dxa"/>
          </w:tcPr>
          <w:p w14:paraId="357602AB">
            <w:pPr>
              <w:keepNext/>
              <w:keepLines/>
              <w:autoSpaceDE/>
              <w:autoSpaceDN/>
              <w:adjustRightInd/>
              <w:spacing w:before="120" w:after="120" w:line="360" w:lineRule="auto"/>
              <w:ind w:left="629"/>
              <w:jc w:val="both"/>
              <w:rPr>
                <w:rFonts w:hint="eastAsia" w:hAnsi="宋体"/>
                <w:color w:val="auto"/>
                <w:sz w:val="21"/>
                <w:szCs w:val="21"/>
                <w:highlight w:val="none"/>
              </w:rPr>
            </w:pPr>
          </w:p>
        </w:tc>
        <w:tc>
          <w:tcPr>
            <w:tcW w:w="2079" w:type="dxa"/>
            <w:vAlign w:val="center"/>
          </w:tcPr>
          <w:p w14:paraId="0B511AF0">
            <w:pPr>
              <w:keepNext/>
              <w:keepLines/>
              <w:autoSpaceDE/>
              <w:autoSpaceDN/>
              <w:adjustRightInd/>
              <w:spacing w:before="120" w:after="120" w:line="360" w:lineRule="auto"/>
              <w:ind w:left="629"/>
              <w:jc w:val="both"/>
              <w:rPr>
                <w:rFonts w:hint="eastAsia" w:hAnsi="宋体"/>
                <w:color w:val="auto"/>
                <w:sz w:val="21"/>
                <w:szCs w:val="21"/>
                <w:highlight w:val="none"/>
              </w:rPr>
            </w:pPr>
          </w:p>
        </w:tc>
      </w:tr>
      <w:tr w14:paraId="492E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5E9ECF8A">
            <w:pPr>
              <w:autoSpaceDE/>
              <w:autoSpaceDN/>
              <w:adjustRightInd/>
              <w:spacing w:before="120" w:after="120" w:line="360" w:lineRule="auto"/>
              <w:ind w:left="-122" w:leftChars="-51"/>
              <w:jc w:val="center"/>
              <w:rPr>
                <w:rFonts w:hint="eastAsia" w:hAnsi="宋体"/>
                <w:color w:val="auto"/>
                <w:kern w:val="2"/>
                <w:sz w:val="21"/>
                <w:szCs w:val="21"/>
                <w:highlight w:val="none"/>
              </w:rPr>
            </w:pPr>
            <w:r>
              <w:rPr>
                <w:rFonts w:hint="eastAsia" w:hAnsi="宋体"/>
                <w:color w:val="auto"/>
                <w:kern w:val="2"/>
                <w:sz w:val="21"/>
                <w:szCs w:val="21"/>
                <w:highlight w:val="none"/>
              </w:rPr>
              <w:t>3</w:t>
            </w:r>
          </w:p>
        </w:tc>
        <w:tc>
          <w:tcPr>
            <w:tcW w:w="1266" w:type="dxa"/>
            <w:vAlign w:val="center"/>
          </w:tcPr>
          <w:p w14:paraId="0D8CCBAF">
            <w:pPr>
              <w:spacing w:line="360" w:lineRule="auto"/>
              <w:jc w:val="center"/>
              <w:rPr>
                <w:rFonts w:hint="eastAsia" w:hAnsi="宋体"/>
                <w:color w:val="auto"/>
                <w:sz w:val="21"/>
                <w:szCs w:val="21"/>
                <w:highlight w:val="none"/>
              </w:rPr>
            </w:pPr>
          </w:p>
        </w:tc>
        <w:tc>
          <w:tcPr>
            <w:tcW w:w="3371" w:type="dxa"/>
            <w:vAlign w:val="center"/>
          </w:tcPr>
          <w:p w14:paraId="6D6EB749">
            <w:pPr>
              <w:spacing w:line="360" w:lineRule="auto"/>
              <w:jc w:val="center"/>
              <w:rPr>
                <w:rFonts w:hint="eastAsia" w:hAnsi="宋体"/>
                <w:color w:val="auto"/>
                <w:sz w:val="21"/>
                <w:szCs w:val="21"/>
                <w:highlight w:val="none"/>
              </w:rPr>
            </w:pPr>
          </w:p>
        </w:tc>
        <w:tc>
          <w:tcPr>
            <w:tcW w:w="2113" w:type="dxa"/>
          </w:tcPr>
          <w:p w14:paraId="4B7A6CFF">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vAlign w:val="center"/>
          </w:tcPr>
          <w:p w14:paraId="32B447AE">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2968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214631AA">
            <w:pPr>
              <w:autoSpaceDE/>
              <w:autoSpaceDN/>
              <w:adjustRightInd/>
              <w:spacing w:before="120" w:after="120" w:line="360" w:lineRule="auto"/>
              <w:ind w:left="-122" w:leftChars="-51"/>
              <w:jc w:val="center"/>
              <w:rPr>
                <w:rFonts w:hint="eastAsia" w:hAnsi="宋体"/>
                <w:color w:val="auto"/>
                <w:kern w:val="2"/>
                <w:sz w:val="21"/>
                <w:szCs w:val="21"/>
                <w:highlight w:val="none"/>
              </w:rPr>
            </w:pPr>
            <w:r>
              <w:rPr>
                <w:rFonts w:hint="eastAsia" w:hAnsi="宋体"/>
                <w:color w:val="auto"/>
                <w:kern w:val="2"/>
                <w:sz w:val="21"/>
                <w:szCs w:val="21"/>
                <w:highlight w:val="none"/>
              </w:rPr>
              <w:t>……</w:t>
            </w:r>
          </w:p>
        </w:tc>
        <w:tc>
          <w:tcPr>
            <w:tcW w:w="1266" w:type="dxa"/>
            <w:vAlign w:val="center"/>
          </w:tcPr>
          <w:p w14:paraId="1CEBFD02">
            <w:pPr>
              <w:spacing w:line="360" w:lineRule="auto"/>
              <w:jc w:val="center"/>
              <w:rPr>
                <w:rFonts w:hint="eastAsia" w:hAnsi="宋体"/>
                <w:color w:val="auto"/>
                <w:sz w:val="21"/>
                <w:szCs w:val="21"/>
                <w:highlight w:val="none"/>
              </w:rPr>
            </w:pPr>
          </w:p>
        </w:tc>
        <w:tc>
          <w:tcPr>
            <w:tcW w:w="3371" w:type="dxa"/>
            <w:vAlign w:val="center"/>
          </w:tcPr>
          <w:p w14:paraId="2455FCB0">
            <w:pPr>
              <w:spacing w:line="360" w:lineRule="auto"/>
              <w:jc w:val="center"/>
              <w:rPr>
                <w:rFonts w:hint="eastAsia" w:hAnsi="宋体"/>
                <w:color w:val="auto"/>
                <w:sz w:val="21"/>
                <w:szCs w:val="21"/>
                <w:highlight w:val="none"/>
              </w:rPr>
            </w:pPr>
          </w:p>
        </w:tc>
        <w:tc>
          <w:tcPr>
            <w:tcW w:w="2113" w:type="dxa"/>
          </w:tcPr>
          <w:p w14:paraId="11CB9FF1">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vAlign w:val="center"/>
          </w:tcPr>
          <w:p w14:paraId="4BC39646">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59FF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37265A17">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555AFDD2">
            <w:pPr>
              <w:spacing w:line="360" w:lineRule="auto"/>
              <w:jc w:val="center"/>
              <w:rPr>
                <w:rFonts w:hint="eastAsia" w:hAnsi="宋体"/>
                <w:color w:val="auto"/>
                <w:sz w:val="21"/>
                <w:szCs w:val="21"/>
                <w:highlight w:val="none"/>
              </w:rPr>
            </w:pPr>
          </w:p>
        </w:tc>
        <w:tc>
          <w:tcPr>
            <w:tcW w:w="3371" w:type="dxa"/>
            <w:vAlign w:val="center"/>
          </w:tcPr>
          <w:p w14:paraId="1EC8367C">
            <w:pPr>
              <w:spacing w:line="360" w:lineRule="auto"/>
              <w:jc w:val="center"/>
              <w:rPr>
                <w:rFonts w:hint="eastAsia" w:hAnsi="宋体"/>
                <w:color w:val="auto"/>
                <w:sz w:val="21"/>
                <w:szCs w:val="21"/>
                <w:highlight w:val="none"/>
              </w:rPr>
            </w:pPr>
          </w:p>
        </w:tc>
        <w:tc>
          <w:tcPr>
            <w:tcW w:w="2113" w:type="dxa"/>
          </w:tcPr>
          <w:p w14:paraId="01DEFAAF">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vAlign w:val="center"/>
          </w:tcPr>
          <w:p w14:paraId="6243B190">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551D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4342C9C4">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744332A6">
            <w:pPr>
              <w:spacing w:line="360" w:lineRule="auto"/>
              <w:jc w:val="center"/>
              <w:rPr>
                <w:rFonts w:hint="eastAsia" w:hAnsi="宋体"/>
                <w:color w:val="auto"/>
                <w:sz w:val="21"/>
                <w:szCs w:val="21"/>
                <w:highlight w:val="none"/>
              </w:rPr>
            </w:pPr>
          </w:p>
        </w:tc>
        <w:tc>
          <w:tcPr>
            <w:tcW w:w="3371" w:type="dxa"/>
            <w:vAlign w:val="center"/>
          </w:tcPr>
          <w:p w14:paraId="50FB1153">
            <w:pPr>
              <w:spacing w:line="360" w:lineRule="auto"/>
              <w:jc w:val="center"/>
              <w:rPr>
                <w:rFonts w:hint="eastAsia" w:hAnsi="宋体"/>
                <w:color w:val="auto"/>
                <w:sz w:val="21"/>
                <w:szCs w:val="21"/>
                <w:highlight w:val="none"/>
              </w:rPr>
            </w:pPr>
          </w:p>
        </w:tc>
        <w:tc>
          <w:tcPr>
            <w:tcW w:w="2113" w:type="dxa"/>
          </w:tcPr>
          <w:p w14:paraId="4AD48347">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vAlign w:val="center"/>
          </w:tcPr>
          <w:p w14:paraId="55BD2ABC">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7DE4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61875FD0">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21739E95">
            <w:pPr>
              <w:spacing w:line="360" w:lineRule="auto"/>
              <w:jc w:val="center"/>
              <w:rPr>
                <w:rFonts w:hint="eastAsia" w:hAnsi="宋体"/>
                <w:color w:val="auto"/>
                <w:sz w:val="21"/>
                <w:szCs w:val="21"/>
                <w:highlight w:val="none"/>
              </w:rPr>
            </w:pPr>
          </w:p>
        </w:tc>
        <w:tc>
          <w:tcPr>
            <w:tcW w:w="3371" w:type="dxa"/>
            <w:vAlign w:val="center"/>
          </w:tcPr>
          <w:p w14:paraId="6B9782CF">
            <w:pPr>
              <w:spacing w:line="360" w:lineRule="auto"/>
              <w:jc w:val="center"/>
              <w:rPr>
                <w:rFonts w:hint="eastAsia" w:hAnsi="宋体"/>
                <w:color w:val="auto"/>
                <w:sz w:val="21"/>
                <w:szCs w:val="21"/>
                <w:highlight w:val="none"/>
              </w:rPr>
            </w:pPr>
          </w:p>
        </w:tc>
        <w:tc>
          <w:tcPr>
            <w:tcW w:w="2113" w:type="dxa"/>
          </w:tcPr>
          <w:p w14:paraId="2E822062">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512119B4">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02B7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2F02A68F">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13BC884E">
            <w:pPr>
              <w:spacing w:line="360" w:lineRule="auto"/>
              <w:jc w:val="center"/>
              <w:rPr>
                <w:rFonts w:hint="eastAsia" w:hAnsi="宋体"/>
                <w:color w:val="auto"/>
                <w:sz w:val="21"/>
                <w:szCs w:val="21"/>
                <w:highlight w:val="none"/>
              </w:rPr>
            </w:pPr>
          </w:p>
        </w:tc>
        <w:tc>
          <w:tcPr>
            <w:tcW w:w="3371" w:type="dxa"/>
            <w:vAlign w:val="center"/>
          </w:tcPr>
          <w:p w14:paraId="42C5CF55">
            <w:pPr>
              <w:spacing w:line="360" w:lineRule="auto"/>
              <w:jc w:val="center"/>
              <w:rPr>
                <w:rFonts w:hint="eastAsia" w:hAnsi="宋体"/>
                <w:color w:val="auto"/>
                <w:sz w:val="21"/>
                <w:szCs w:val="21"/>
                <w:highlight w:val="none"/>
              </w:rPr>
            </w:pPr>
          </w:p>
        </w:tc>
        <w:tc>
          <w:tcPr>
            <w:tcW w:w="2113" w:type="dxa"/>
          </w:tcPr>
          <w:p w14:paraId="39AFD628">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29B7940D">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3185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5257EDDA">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124CAD2D">
            <w:pPr>
              <w:spacing w:line="360" w:lineRule="auto"/>
              <w:jc w:val="center"/>
              <w:rPr>
                <w:rFonts w:hint="eastAsia" w:hAnsi="宋体"/>
                <w:color w:val="auto"/>
                <w:sz w:val="21"/>
                <w:szCs w:val="21"/>
                <w:highlight w:val="none"/>
              </w:rPr>
            </w:pPr>
          </w:p>
        </w:tc>
        <w:tc>
          <w:tcPr>
            <w:tcW w:w="3371" w:type="dxa"/>
            <w:vAlign w:val="center"/>
          </w:tcPr>
          <w:p w14:paraId="229C4DD3">
            <w:pPr>
              <w:spacing w:line="360" w:lineRule="auto"/>
              <w:jc w:val="center"/>
              <w:rPr>
                <w:rFonts w:hint="eastAsia" w:hAnsi="宋体"/>
                <w:color w:val="auto"/>
                <w:sz w:val="21"/>
                <w:szCs w:val="21"/>
                <w:highlight w:val="none"/>
              </w:rPr>
            </w:pPr>
          </w:p>
        </w:tc>
        <w:tc>
          <w:tcPr>
            <w:tcW w:w="2113" w:type="dxa"/>
          </w:tcPr>
          <w:p w14:paraId="61624D26">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13369F2C">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39CB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5909F0B8">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6D64A29A">
            <w:pPr>
              <w:spacing w:line="360" w:lineRule="auto"/>
              <w:jc w:val="center"/>
              <w:rPr>
                <w:rFonts w:hint="eastAsia" w:hAnsi="宋体"/>
                <w:color w:val="auto"/>
                <w:sz w:val="21"/>
                <w:szCs w:val="21"/>
                <w:highlight w:val="none"/>
              </w:rPr>
            </w:pPr>
          </w:p>
        </w:tc>
        <w:tc>
          <w:tcPr>
            <w:tcW w:w="3371" w:type="dxa"/>
            <w:vAlign w:val="center"/>
          </w:tcPr>
          <w:p w14:paraId="48BECD07">
            <w:pPr>
              <w:spacing w:line="360" w:lineRule="auto"/>
              <w:jc w:val="center"/>
              <w:rPr>
                <w:rFonts w:hint="eastAsia" w:hAnsi="宋体"/>
                <w:color w:val="auto"/>
                <w:sz w:val="21"/>
                <w:szCs w:val="21"/>
                <w:highlight w:val="none"/>
              </w:rPr>
            </w:pPr>
          </w:p>
        </w:tc>
        <w:tc>
          <w:tcPr>
            <w:tcW w:w="2113" w:type="dxa"/>
          </w:tcPr>
          <w:p w14:paraId="5ACC72B6">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7059A2E8">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446B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4F5E7CE7">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76EA88C6">
            <w:pPr>
              <w:spacing w:line="360" w:lineRule="auto"/>
              <w:jc w:val="center"/>
              <w:rPr>
                <w:rFonts w:hint="eastAsia" w:hAnsi="宋体"/>
                <w:color w:val="auto"/>
                <w:sz w:val="21"/>
                <w:szCs w:val="21"/>
                <w:highlight w:val="none"/>
              </w:rPr>
            </w:pPr>
          </w:p>
        </w:tc>
        <w:tc>
          <w:tcPr>
            <w:tcW w:w="3371" w:type="dxa"/>
            <w:vAlign w:val="center"/>
          </w:tcPr>
          <w:p w14:paraId="1E8E127C">
            <w:pPr>
              <w:spacing w:line="360" w:lineRule="auto"/>
              <w:jc w:val="center"/>
              <w:rPr>
                <w:rFonts w:hint="eastAsia" w:hAnsi="宋体"/>
                <w:color w:val="auto"/>
                <w:sz w:val="21"/>
                <w:szCs w:val="21"/>
                <w:highlight w:val="none"/>
              </w:rPr>
            </w:pPr>
          </w:p>
        </w:tc>
        <w:tc>
          <w:tcPr>
            <w:tcW w:w="2113" w:type="dxa"/>
          </w:tcPr>
          <w:p w14:paraId="4B67F0F1">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6D933BD8">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50E0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73263A9D">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1CA387C8">
            <w:pPr>
              <w:spacing w:line="360" w:lineRule="auto"/>
              <w:jc w:val="center"/>
              <w:rPr>
                <w:rFonts w:hint="eastAsia" w:hAnsi="宋体"/>
                <w:color w:val="auto"/>
                <w:sz w:val="21"/>
                <w:szCs w:val="21"/>
                <w:highlight w:val="none"/>
              </w:rPr>
            </w:pPr>
          </w:p>
        </w:tc>
        <w:tc>
          <w:tcPr>
            <w:tcW w:w="3371" w:type="dxa"/>
            <w:vAlign w:val="center"/>
          </w:tcPr>
          <w:p w14:paraId="489CC91D">
            <w:pPr>
              <w:spacing w:line="360" w:lineRule="auto"/>
              <w:jc w:val="center"/>
              <w:rPr>
                <w:rFonts w:hint="eastAsia" w:hAnsi="宋体"/>
                <w:color w:val="auto"/>
                <w:sz w:val="21"/>
                <w:szCs w:val="21"/>
                <w:highlight w:val="none"/>
              </w:rPr>
            </w:pPr>
          </w:p>
        </w:tc>
        <w:tc>
          <w:tcPr>
            <w:tcW w:w="2113" w:type="dxa"/>
          </w:tcPr>
          <w:p w14:paraId="41DC45FC">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3A75B654">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r w14:paraId="1765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51FE6804">
            <w:pPr>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1266" w:type="dxa"/>
            <w:vAlign w:val="center"/>
          </w:tcPr>
          <w:p w14:paraId="27E93107">
            <w:pPr>
              <w:spacing w:line="360" w:lineRule="auto"/>
              <w:jc w:val="center"/>
              <w:rPr>
                <w:rFonts w:hint="eastAsia" w:hAnsi="宋体"/>
                <w:color w:val="auto"/>
                <w:sz w:val="21"/>
                <w:szCs w:val="21"/>
                <w:highlight w:val="none"/>
              </w:rPr>
            </w:pPr>
          </w:p>
        </w:tc>
        <w:tc>
          <w:tcPr>
            <w:tcW w:w="3371" w:type="dxa"/>
            <w:vAlign w:val="center"/>
          </w:tcPr>
          <w:p w14:paraId="380AAFA3">
            <w:pPr>
              <w:spacing w:line="360" w:lineRule="auto"/>
              <w:jc w:val="center"/>
              <w:rPr>
                <w:rFonts w:hint="eastAsia" w:hAnsi="宋体"/>
                <w:color w:val="auto"/>
                <w:sz w:val="21"/>
                <w:szCs w:val="21"/>
                <w:highlight w:val="none"/>
              </w:rPr>
            </w:pPr>
          </w:p>
        </w:tc>
        <w:tc>
          <w:tcPr>
            <w:tcW w:w="2113" w:type="dxa"/>
          </w:tcPr>
          <w:p w14:paraId="0D00CEBE">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c>
          <w:tcPr>
            <w:tcW w:w="2079" w:type="dxa"/>
          </w:tcPr>
          <w:p w14:paraId="73081048">
            <w:pPr>
              <w:keepNext/>
              <w:keepLines/>
              <w:autoSpaceDE/>
              <w:autoSpaceDN/>
              <w:adjustRightInd/>
              <w:spacing w:before="120" w:after="120" w:line="360" w:lineRule="auto"/>
              <w:ind w:left="-122" w:leftChars="-51"/>
              <w:jc w:val="center"/>
              <w:rPr>
                <w:rFonts w:hint="eastAsia" w:hAnsi="宋体"/>
                <w:color w:val="auto"/>
                <w:kern w:val="2"/>
                <w:sz w:val="21"/>
                <w:szCs w:val="21"/>
                <w:highlight w:val="none"/>
              </w:rPr>
            </w:pPr>
          </w:p>
        </w:tc>
      </w:tr>
    </w:tbl>
    <w:p w14:paraId="31131F68">
      <w:pPr>
        <w:autoSpaceDE/>
        <w:autoSpaceDN/>
        <w:adjustRightInd/>
        <w:spacing w:line="360" w:lineRule="auto"/>
        <w:ind w:left="565" w:leftChars="-59" w:hanging="707" w:hangingChars="337"/>
        <w:jc w:val="both"/>
        <w:rPr>
          <w:rFonts w:hint="eastAsia" w:hAnsi="宋体"/>
          <w:b/>
          <w:color w:val="auto"/>
          <w:kern w:val="2"/>
          <w:sz w:val="21"/>
          <w:szCs w:val="21"/>
          <w:highlight w:val="none"/>
        </w:rPr>
      </w:pPr>
      <w:r>
        <w:rPr>
          <w:rFonts w:hint="eastAsia" w:hAnsi="宋体"/>
          <w:color w:val="auto"/>
          <w:kern w:val="2"/>
          <w:sz w:val="21"/>
          <w:szCs w:val="21"/>
          <w:highlight w:val="none"/>
        </w:rPr>
        <w:t>注：1、</w:t>
      </w:r>
      <w:r>
        <w:rPr>
          <w:rFonts w:hint="eastAsia" w:hAnsi="宋体"/>
          <w:b/>
          <w:color w:val="auto"/>
          <w:kern w:val="2"/>
          <w:sz w:val="21"/>
          <w:szCs w:val="21"/>
          <w:highlight w:val="none"/>
        </w:rPr>
        <w:t>供应商应按照磋商文件用户需求要求，逐条、如实地填写“偏离情况”项</w:t>
      </w:r>
      <w:r>
        <w:rPr>
          <w:rFonts w:hint="eastAsia" w:hAnsi="宋体"/>
          <w:color w:val="auto"/>
          <w:kern w:val="2"/>
          <w:sz w:val="21"/>
          <w:szCs w:val="21"/>
          <w:highlight w:val="none"/>
        </w:rPr>
        <w:t>。</w:t>
      </w:r>
      <w:r>
        <w:rPr>
          <w:rFonts w:hint="eastAsia" w:hAnsi="宋体"/>
          <w:b/>
          <w:color w:val="auto"/>
          <w:kern w:val="2"/>
          <w:sz w:val="21"/>
          <w:szCs w:val="21"/>
          <w:highlight w:val="none"/>
        </w:rPr>
        <w:t>“偏离情况”项为正偏离（或负偏离）的，必须在“具体偏离内容”项内详细说明与磋商文件的偏离内容，“偏离情况”项为无偏离的，在“具体偏离内容”项内填“无”。若发现此表未逐条填写或虚假填写本表，按无效磋商响应文件处理。</w:t>
      </w:r>
    </w:p>
    <w:p w14:paraId="45A8AD27">
      <w:pPr>
        <w:autoSpaceDE/>
        <w:autoSpaceDN/>
        <w:adjustRightInd/>
        <w:spacing w:line="360" w:lineRule="auto"/>
        <w:ind w:left="561" w:leftChars="115" w:hanging="285" w:hangingChars="135"/>
        <w:jc w:val="both"/>
        <w:rPr>
          <w:rFonts w:hint="eastAsia" w:hAnsi="宋体"/>
          <w:i/>
          <w:iCs/>
          <w:color w:val="auto"/>
          <w:sz w:val="21"/>
          <w:szCs w:val="21"/>
          <w:highlight w:val="none"/>
        </w:rPr>
      </w:pPr>
      <w:r>
        <w:rPr>
          <w:rFonts w:hint="eastAsia" w:hAnsi="宋体"/>
          <w:b/>
          <w:color w:val="auto"/>
          <w:kern w:val="2"/>
          <w:sz w:val="21"/>
          <w:szCs w:val="21"/>
          <w:highlight w:val="none"/>
        </w:rPr>
        <w:t>2、由供应商自行补充磋商文件所有“★”号条款内容（如有），标注“★”号条款均为必须完全满足指标，供应商须进行实质性响应，供应商若有一项带“★”的条款未响应或不满足，将按无效磋商处理。</w:t>
      </w:r>
    </w:p>
    <w:p w14:paraId="730778DF">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供应商名称（加盖公章）：</w:t>
      </w:r>
    </w:p>
    <w:p w14:paraId="00B4FCB3">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3A4F11E8">
      <w:pPr>
        <w:rPr>
          <w:rFonts w:hint="eastAsia" w:hAnsi="宋体"/>
          <w:color w:val="auto"/>
          <w:sz w:val="22"/>
          <w:szCs w:val="22"/>
          <w:highlight w:val="none"/>
        </w:rPr>
      </w:pPr>
      <w:r>
        <w:rPr>
          <w:rFonts w:hint="eastAsia" w:hAnsi="宋体"/>
          <w:color w:val="auto"/>
          <w:sz w:val="21"/>
          <w:szCs w:val="21"/>
          <w:highlight w:val="none"/>
        </w:rPr>
        <w:t>日期：  年  月  日</w:t>
      </w:r>
    </w:p>
    <w:p w14:paraId="066EB193">
      <w:pPr>
        <w:rPr>
          <w:rFonts w:hint="eastAsia" w:hAnsi="宋体"/>
          <w:color w:val="auto"/>
          <w:sz w:val="28"/>
          <w:szCs w:val="28"/>
          <w:highlight w:val="none"/>
        </w:rPr>
      </w:pPr>
      <w:bookmarkStart w:id="246" w:name="_Toc1441"/>
      <w:bookmarkStart w:id="247" w:name="_Toc12735"/>
      <w:r>
        <w:rPr>
          <w:rFonts w:hint="eastAsia" w:hAnsi="宋体"/>
          <w:bCs/>
          <w:color w:val="auto"/>
          <w:sz w:val="28"/>
          <w:szCs w:val="28"/>
          <w:highlight w:val="none"/>
        </w:rPr>
        <w:br w:type="page"/>
      </w:r>
    </w:p>
    <w:p w14:paraId="5F9F0D7F">
      <w:pPr>
        <w:pStyle w:val="6"/>
        <w:numPr>
          <w:ilvl w:val="0"/>
          <w:numId w:val="12"/>
        </w:numPr>
        <w:jc w:val="center"/>
        <w:rPr>
          <w:rFonts w:hint="eastAsia"/>
          <w:color w:val="auto"/>
          <w:sz w:val="28"/>
          <w:szCs w:val="28"/>
          <w:highlight w:val="none"/>
        </w:rPr>
      </w:pPr>
      <w:r>
        <w:rPr>
          <w:rFonts w:hint="eastAsia"/>
          <w:bCs/>
          <w:color w:val="auto"/>
          <w:sz w:val="28"/>
          <w:szCs w:val="28"/>
          <w:highlight w:val="none"/>
        </w:rPr>
        <w:t>资格申明</w:t>
      </w:r>
      <w:bookmarkEnd w:id="244"/>
      <w:bookmarkEnd w:id="245"/>
      <w:bookmarkEnd w:id="246"/>
      <w:bookmarkEnd w:id="247"/>
    </w:p>
    <w:p w14:paraId="73D5AAB5">
      <w:pPr>
        <w:pStyle w:val="79"/>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广东中科招标有限公司：</w:t>
      </w:r>
    </w:p>
    <w:p w14:paraId="6702DF55">
      <w:pPr>
        <w:ind w:firstLine="420" w:firstLineChars="200"/>
        <w:rPr>
          <w:rFonts w:hint="eastAsia" w:hAnsi="宋体"/>
          <w:color w:val="auto"/>
          <w:sz w:val="21"/>
          <w:szCs w:val="21"/>
          <w:highlight w:val="none"/>
        </w:rPr>
      </w:pPr>
    </w:p>
    <w:p w14:paraId="743EAA33">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我方愿响应贵方关于（项目名称：</w:t>
      </w:r>
      <w:r>
        <w:rPr>
          <w:rFonts w:hint="eastAsia" w:hAnsi="宋体"/>
          <w:color w:val="auto"/>
          <w:sz w:val="21"/>
          <w:szCs w:val="21"/>
          <w:highlight w:val="none"/>
          <w:u w:val="single"/>
        </w:rPr>
        <w:t xml:space="preserve">         </w:t>
      </w:r>
      <w:r>
        <w:rPr>
          <w:rFonts w:hint="eastAsia" w:hAnsi="宋体"/>
          <w:color w:val="auto"/>
          <w:sz w:val="21"/>
          <w:szCs w:val="21"/>
          <w:highlight w:val="none"/>
        </w:rPr>
        <w:t>）（采购项目编号：</w:t>
      </w:r>
      <w:r>
        <w:rPr>
          <w:rFonts w:hint="eastAsia" w:hAnsi="宋体"/>
          <w:color w:val="auto"/>
          <w:sz w:val="21"/>
          <w:szCs w:val="21"/>
          <w:highlight w:val="none"/>
          <w:u w:val="single"/>
        </w:rPr>
        <w:t xml:space="preserve">        </w:t>
      </w:r>
      <w:r>
        <w:rPr>
          <w:rFonts w:hint="eastAsia" w:hAnsi="宋体"/>
          <w:color w:val="auto"/>
          <w:sz w:val="21"/>
          <w:szCs w:val="21"/>
          <w:highlight w:val="none"/>
        </w:rPr>
        <w:t>）的投标邀请，参与投标，提供用户需求书中规定的货物及相关服务，并按采购文件要求提交所附资格文件且声明和保证如下：</w:t>
      </w:r>
    </w:p>
    <w:p w14:paraId="23145D11">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5F431670">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二、我方依法注册，在法律上、财务上和运作上完全独立于</w:t>
      </w:r>
      <w:r>
        <w:rPr>
          <w:rFonts w:hint="eastAsia" w:hAnsi="宋体"/>
          <w:color w:val="auto"/>
          <w:sz w:val="21"/>
          <w:szCs w:val="21"/>
          <w:highlight w:val="none"/>
          <w:u w:val="single"/>
        </w:rPr>
        <w:t xml:space="preserve">  xxxx   </w:t>
      </w:r>
      <w:r>
        <w:rPr>
          <w:rFonts w:hint="eastAsia" w:hAnsi="宋体"/>
          <w:color w:val="auto"/>
          <w:sz w:val="21"/>
          <w:szCs w:val="21"/>
          <w:highlight w:val="none"/>
        </w:rPr>
        <w:t>公司（采购人）及</w:t>
      </w:r>
      <w:r>
        <w:rPr>
          <w:rFonts w:hint="eastAsia" w:hAnsi="宋体"/>
          <w:color w:val="auto"/>
          <w:sz w:val="21"/>
          <w:szCs w:val="21"/>
          <w:highlight w:val="none"/>
          <w:u w:val="single"/>
        </w:rPr>
        <w:t xml:space="preserve">    xxx   </w:t>
      </w:r>
      <w:r>
        <w:rPr>
          <w:rFonts w:hint="eastAsia" w:hAnsi="宋体"/>
          <w:color w:val="auto"/>
          <w:sz w:val="21"/>
          <w:szCs w:val="21"/>
          <w:highlight w:val="none"/>
        </w:rPr>
        <w:t>公司（采购代理机构）。</w:t>
      </w:r>
    </w:p>
    <w:p w14:paraId="2BC0A88C">
      <w:pPr>
        <w:overflowPunct w:val="0"/>
        <w:spacing w:line="460" w:lineRule="exact"/>
        <w:rPr>
          <w:rFonts w:hint="eastAsia" w:hAnsi="宋体"/>
          <w:color w:val="auto"/>
          <w:sz w:val="21"/>
          <w:szCs w:val="21"/>
          <w:highlight w:val="none"/>
        </w:rPr>
      </w:pPr>
    </w:p>
    <w:p w14:paraId="190EBEE1">
      <w:pPr>
        <w:overflowPunct w:val="0"/>
        <w:spacing w:line="460" w:lineRule="exact"/>
        <w:rPr>
          <w:rFonts w:hint="eastAsia" w:hAnsi="宋体"/>
          <w:color w:val="auto"/>
          <w:sz w:val="21"/>
          <w:szCs w:val="21"/>
          <w:highlight w:val="none"/>
        </w:rPr>
      </w:pPr>
    </w:p>
    <w:p w14:paraId="65BD842B">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供应商名称（加盖公章）：</w:t>
      </w:r>
    </w:p>
    <w:p w14:paraId="32845BEF">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1AC7B266">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 xml:space="preserve">日期：  年  月  日 </w:t>
      </w:r>
    </w:p>
    <w:p w14:paraId="7A13ACF9">
      <w:pPr>
        <w:spacing w:line="480" w:lineRule="exact"/>
        <w:rPr>
          <w:rFonts w:hint="eastAsia" w:hAnsi="宋体"/>
          <w:b/>
          <w:color w:val="auto"/>
          <w:szCs w:val="21"/>
          <w:highlight w:val="none"/>
          <w:u w:val="single"/>
        </w:rPr>
      </w:pPr>
    </w:p>
    <w:p w14:paraId="5FDFB5F4">
      <w:pPr>
        <w:spacing w:line="480" w:lineRule="exact"/>
        <w:rPr>
          <w:rFonts w:hint="eastAsia" w:hAnsi="宋体"/>
          <w:b/>
          <w:bCs/>
          <w:color w:val="auto"/>
          <w:szCs w:val="21"/>
          <w:highlight w:val="none"/>
        </w:rPr>
      </w:pPr>
    </w:p>
    <w:p w14:paraId="24544841">
      <w:pPr>
        <w:spacing w:line="480" w:lineRule="exact"/>
        <w:rPr>
          <w:rFonts w:hint="eastAsia" w:hAnsi="宋体"/>
          <w:b/>
          <w:bCs/>
          <w:color w:val="auto"/>
          <w:szCs w:val="21"/>
          <w:highlight w:val="none"/>
        </w:rPr>
      </w:pPr>
    </w:p>
    <w:p w14:paraId="5064ADB2">
      <w:pPr>
        <w:rPr>
          <w:rFonts w:hint="eastAsia" w:hAnsi="宋体"/>
          <w:color w:val="auto"/>
          <w:highlight w:val="none"/>
        </w:rPr>
      </w:pPr>
    </w:p>
    <w:p w14:paraId="41685577">
      <w:pPr>
        <w:pStyle w:val="6"/>
        <w:numPr>
          <w:ilvl w:val="0"/>
          <w:numId w:val="12"/>
        </w:numPr>
        <w:jc w:val="center"/>
        <w:rPr>
          <w:rFonts w:hint="eastAsia"/>
          <w:color w:val="auto"/>
          <w:sz w:val="28"/>
          <w:szCs w:val="28"/>
          <w:highlight w:val="none"/>
        </w:rPr>
      </w:pPr>
      <w:r>
        <w:rPr>
          <w:rFonts w:hint="eastAsia"/>
          <w:color w:val="auto"/>
          <w:highlight w:val="none"/>
        </w:rPr>
        <w:br w:type="page"/>
      </w:r>
      <w:bookmarkStart w:id="248" w:name="_Toc4539"/>
      <w:bookmarkStart w:id="249" w:name="_Toc4884"/>
      <w:bookmarkStart w:id="250" w:name="_Toc23874"/>
      <w:bookmarkStart w:id="251" w:name="_Toc7897896"/>
      <w:r>
        <w:rPr>
          <w:rFonts w:hint="eastAsia"/>
          <w:bCs/>
          <w:color w:val="auto"/>
          <w:sz w:val="28"/>
          <w:szCs w:val="28"/>
          <w:highlight w:val="none"/>
        </w:rPr>
        <w:t>项目业绩一览表</w:t>
      </w:r>
      <w:bookmarkEnd w:id="248"/>
      <w:bookmarkEnd w:id="249"/>
      <w:bookmarkEnd w:id="250"/>
      <w:bookmarkEnd w:id="251"/>
    </w:p>
    <w:p w14:paraId="5AA37ADD">
      <w:pPr>
        <w:pStyle w:val="31"/>
        <w:spacing w:line="480" w:lineRule="exact"/>
        <w:jc w:val="center"/>
        <w:rPr>
          <w:rFonts w:hint="eastAsia" w:hAnsi="宋体"/>
          <w:b/>
          <w:color w:val="auto"/>
          <w:sz w:val="22"/>
          <w:szCs w:val="22"/>
          <w:highlight w:val="none"/>
        </w:rPr>
      </w:pPr>
    </w:p>
    <w:tbl>
      <w:tblPr>
        <w:tblStyle w:val="54"/>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225"/>
        <w:gridCol w:w="1365"/>
        <w:gridCol w:w="1721"/>
        <w:gridCol w:w="835"/>
        <w:gridCol w:w="832"/>
      </w:tblGrid>
      <w:tr w14:paraId="337C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4CAD58CF">
            <w:pPr>
              <w:snapToGrid w:val="0"/>
              <w:jc w:val="center"/>
              <w:rPr>
                <w:rFonts w:hint="eastAsia" w:hAnsi="宋体"/>
                <w:b/>
                <w:color w:val="auto"/>
                <w:sz w:val="21"/>
                <w:szCs w:val="21"/>
                <w:highlight w:val="none"/>
              </w:rPr>
            </w:pPr>
            <w:r>
              <w:rPr>
                <w:rFonts w:hint="eastAsia" w:hAnsi="宋体"/>
                <w:b/>
                <w:color w:val="auto"/>
                <w:sz w:val="21"/>
                <w:szCs w:val="21"/>
                <w:highlight w:val="none"/>
              </w:rPr>
              <w:t>序号</w:t>
            </w:r>
          </w:p>
        </w:tc>
        <w:tc>
          <w:tcPr>
            <w:tcW w:w="3225" w:type="dxa"/>
            <w:tcBorders>
              <w:top w:val="single" w:color="auto" w:sz="4" w:space="0"/>
              <w:left w:val="single" w:color="auto" w:sz="4" w:space="0"/>
              <w:bottom w:val="single" w:color="auto" w:sz="4" w:space="0"/>
              <w:right w:val="single" w:color="auto" w:sz="4" w:space="0"/>
            </w:tcBorders>
            <w:vAlign w:val="center"/>
          </w:tcPr>
          <w:p w14:paraId="3134E5F3">
            <w:pPr>
              <w:snapToGrid w:val="0"/>
              <w:jc w:val="center"/>
              <w:rPr>
                <w:rFonts w:hint="eastAsia" w:hAnsi="宋体"/>
                <w:b/>
                <w:color w:val="auto"/>
                <w:sz w:val="21"/>
                <w:szCs w:val="21"/>
                <w:highlight w:val="none"/>
              </w:rPr>
            </w:pPr>
            <w:r>
              <w:rPr>
                <w:rFonts w:hint="eastAsia" w:hAnsi="宋体"/>
                <w:b/>
                <w:color w:val="auto"/>
                <w:sz w:val="21"/>
                <w:szCs w:val="21"/>
                <w:highlight w:val="none"/>
              </w:rPr>
              <w:t>项目名称</w:t>
            </w:r>
          </w:p>
        </w:tc>
        <w:tc>
          <w:tcPr>
            <w:tcW w:w="1365" w:type="dxa"/>
            <w:tcBorders>
              <w:top w:val="single" w:color="auto" w:sz="4" w:space="0"/>
              <w:left w:val="single" w:color="auto" w:sz="4" w:space="0"/>
              <w:bottom w:val="single" w:color="auto" w:sz="4" w:space="0"/>
              <w:right w:val="single" w:color="auto" w:sz="4" w:space="0"/>
            </w:tcBorders>
            <w:vAlign w:val="center"/>
          </w:tcPr>
          <w:p w14:paraId="55667291">
            <w:pPr>
              <w:snapToGrid w:val="0"/>
              <w:jc w:val="center"/>
              <w:rPr>
                <w:rFonts w:hint="eastAsia" w:hAnsi="宋体"/>
                <w:b/>
                <w:color w:val="auto"/>
                <w:sz w:val="21"/>
                <w:szCs w:val="21"/>
                <w:highlight w:val="none"/>
              </w:rPr>
            </w:pPr>
            <w:r>
              <w:rPr>
                <w:rFonts w:hint="eastAsia" w:hAnsi="宋体"/>
                <w:b/>
                <w:color w:val="auto"/>
                <w:sz w:val="21"/>
                <w:szCs w:val="21"/>
                <w:highlight w:val="none"/>
              </w:rPr>
              <w:t>用户单位</w:t>
            </w:r>
          </w:p>
        </w:tc>
        <w:tc>
          <w:tcPr>
            <w:tcW w:w="1721" w:type="dxa"/>
            <w:tcBorders>
              <w:top w:val="single" w:color="auto" w:sz="4" w:space="0"/>
              <w:left w:val="single" w:color="auto" w:sz="4" w:space="0"/>
              <w:bottom w:val="single" w:color="auto" w:sz="4" w:space="0"/>
              <w:right w:val="single" w:color="auto" w:sz="4" w:space="0"/>
            </w:tcBorders>
            <w:vAlign w:val="center"/>
          </w:tcPr>
          <w:p w14:paraId="564615F7">
            <w:pPr>
              <w:snapToGrid w:val="0"/>
              <w:jc w:val="center"/>
              <w:rPr>
                <w:rFonts w:hint="eastAsia" w:hAnsi="宋体"/>
                <w:b/>
                <w:color w:val="auto"/>
                <w:sz w:val="21"/>
                <w:szCs w:val="21"/>
                <w:highlight w:val="none"/>
              </w:rPr>
            </w:pPr>
            <w:r>
              <w:rPr>
                <w:rFonts w:hint="eastAsia" w:hAnsi="宋体"/>
                <w:b/>
                <w:color w:val="auto"/>
                <w:sz w:val="21"/>
                <w:szCs w:val="21"/>
                <w:highlight w:val="none"/>
              </w:rPr>
              <w:t>项目金额</w:t>
            </w:r>
          </w:p>
        </w:tc>
        <w:tc>
          <w:tcPr>
            <w:tcW w:w="835" w:type="dxa"/>
            <w:tcBorders>
              <w:top w:val="single" w:color="auto" w:sz="4" w:space="0"/>
              <w:left w:val="single" w:color="auto" w:sz="4" w:space="0"/>
              <w:bottom w:val="single" w:color="auto" w:sz="4" w:space="0"/>
              <w:right w:val="single" w:color="auto" w:sz="4" w:space="0"/>
            </w:tcBorders>
            <w:vAlign w:val="center"/>
          </w:tcPr>
          <w:p w14:paraId="59C59725">
            <w:pPr>
              <w:snapToGrid w:val="0"/>
              <w:jc w:val="center"/>
              <w:rPr>
                <w:rFonts w:hint="eastAsia" w:hAnsi="宋体"/>
                <w:b/>
                <w:color w:val="auto"/>
                <w:sz w:val="21"/>
                <w:szCs w:val="21"/>
                <w:highlight w:val="none"/>
              </w:rPr>
            </w:pPr>
            <w:r>
              <w:rPr>
                <w:rFonts w:hint="eastAsia" w:hAnsi="宋体"/>
                <w:b/>
                <w:color w:val="auto"/>
                <w:sz w:val="21"/>
                <w:szCs w:val="21"/>
                <w:highlight w:val="none"/>
              </w:rPr>
              <w:t>执行时间</w:t>
            </w:r>
          </w:p>
        </w:tc>
        <w:tc>
          <w:tcPr>
            <w:tcW w:w="832" w:type="dxa"/>
            <w:tcBorders>
              <w:top w:val="single" w:color="auto" w:sz="4" w:space="0"/>
              <w:left w:val="single" w:color="auto" w:sz="4" w:space="0"/>
              <w:bottom w:val="single" w:color="auto" w:sz="4" w:space="0"/>
              <w:right w:val="single" w:color="auto" w:sz="4" w:space="0"/>
            </w:tcBorders>
            <w:vAlign w:val="center"/>
          </w:tcPr>
          <w:p w14:paraId="0C444E4C">
            <w:pPr>
              <w:snapToGrid w:val="0"/>
              <w:jc w:val="center"/>
              <w:rPr>
                <w:rFonts w:hint="eastAsia" w:hAnsi="宋体"/>
                <w:b/>
                <w:color w:val="auto"/>
                <w:sz w:val="21"/>
                <w:szCs w:val="21"/>
                <w:highlight w:val="none"/>
              </w:rPr>
            </w:pPr>
            <w:r>
              <w:rPr>
                <w:rFonts w:hint="eastAsia" w:hAnsi="宋体"/>
                <w:b/>
                <w:color w:val="auto"/>
                <w:sz w:val="21"/>
                <w:szCs w:val="21"/>
                <w:highlight w:val="none"/>
              </w:rPr>
              <w:t>页码</w:t>
            </w:r>
          </w:p>
        </w:tc>
      </w:tr>
      <w:tr w14:paraId="1817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460786F6">
            <w:pPr>
              <w:pStyle w:val="31"/>
              <w:jc w:val="center"/>
              <w:rPr>
                <w:rFonts w:hint="eastAsia" w:hAnsi="宋体"/>
                <w:color w:val="auto"/>
                <w:szCs w:val="21"/>
                <w:highlight w:val="none"/>
              </w:rPr>
            </w:pPr>
            <w:r>
              <w:rPr>
                <w:rFonts w:hint="eastAsia" w:hAnsi="宋体"/>
                <w:color w:val="auto"/>
                <w:szCs w:val="21"/>
                <w:highlight w:val="none"/>
              </w:rPr>
              <w:t>1</w:t>
            </w:r>
          </w:p>
        </w:tc>
        <w:tc>
          <w:tcPr>
            <w:tcW w:w="3225" w:type="dxa"/>
            <w:tcBorders>
              <w:top w:val="single" w:color="auto" w:sz="4" w:space="0"/>
              <w:left w:val="single" w:color="auto" w:sz="4" w:space="0"/>
              <w:bottom w:val="single" w:color="auto" w:sz="4" w:space="0"/>
              <w:right w:val="single" w:color="auto" w:sz="4" w:space="0"/>
            </w:tcBorders>
          </w:tcPr>
          <w:p w14:paraId="29D152ED">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5E67137B">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3363372B">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00482C2A">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6BD2FBEE">
            <w:pPr>
              <w:snapToGrid w:val="0"/>
              <w:spacing w:line="360" w:lineRule="auto"/>
              <w:rPr>
                <w:rFonts w:hint="eastAsia" w:hAnsi="宋体"/>
                <w:color w:val="auto"/>
                <w:sz w:val="21"/>
                <w:szCs w:val="21"/>
                <w:highlight w:val="none"/>
                <w:u w:val="single"/>
              </w:rPr>
            </w:pPr>
          </w:p>
        </w:tc>
      </w:tr>
      <w:tr w14:paraId="7796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6442E31E">
            <w:pPr>
              <w:pStyle w:val="31"/>
              <w:jc w:val="center"/>
              <w:rPr>
                <w:rFonts w:hint="eastAsia" w:hAnsi="宋体"/>
                <w:color w:val="auto"/>
                <w:szCs w:val="21"/>
                <w:highlight w:val="none"/>
              </w:rPr>
            </w:pPr>
            <w:r>
              <w:rPr>
                <w:rFonts w:hint="eastAsia" w:hAnsi="宋体"/>
                <w:color w:val="auto"/>
                <w:szCs w:val="21"/>
                <w:highlight w:val="none"/>
              </w:rPr>
              <w:t>2</w:t>
            </w:r>
          </w:p>
        </w:tc>
        <w:tc>
          <w:tcPr>
            <w:tcW w:w="3225" w:type="dxa"/>
            <w:tcBorders>
              <w:top w:val="single" w:color="auto" w:sz="4" w:space="0"/>
              <w:left w:val="single" w:color="auto" w:sz="4" w:space="0"/>
              <w:bottom w:val="single" w:color="auto" w:sz="4" w:space="0"/>
              <w:right w:val="single" w:color="auto" w:sz="4" w:space="0"/>
            </w:tcBorders>
          </w:tcPr>
          <w:p w14:paraId="750FEBAF">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7ED18717">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47387A8F">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5CC2ADDE">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33950965">
            <w:pPr>
              <w:snapToGrid w:val="0"/>
              <w:spacing w:line="360" w:lineRule="auto"/>
              <w:rPr>
                <w:rFonts w:hint="eastAsia" w:hAnsi="宋体"/>
                <w:color w:val="auto"/>
                <w:sz w:val="21"/>
                <w:szCs w:val="21"/>
                <w:highlight w:val="none"/>
                <w:u w:val="single"/>
              </w:rPr>
            </w:pPr>
          </w:p>
        </w:tc>
      </w:tr>
      <w:tr w14:paraId="7BBB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5B8202E3">
            <w:pPr>
              <w:pStyle w:val="31"/>
              <w:jc w:val="center"/>
              <w:rPr>
                <w:rFonts w:hint="eastAsia" w:hAnsi="宋体"/>
                <w:color w:val="auto"/>
                <w:szCs w:val="21"/>
                <w:highlight w:val="none"/>
              </w:rPr>
            </w:pPr>
            <w:r>
              <w:rPr>
                <w:rFonts w:hint="eastAsia" w:hAnsi="宋体"/>
                <w:color w:val="auto"/>
                <w:szCs w:val="21"/>
                <w:highlight w:val="none"/>
              </w:rPr>
              <w:t>3</w:t>
            </w:r>
          </w:p>
        </w:tc>
        <w:tc>
          <w:tcPr>
            <w:tcW w:w="3225" w:type="dxa"/>
            <w:tcBorders>
              <w:top w:val="single" w:color="auto" w:sz="4" w:space="0"/>
              <w:left w:val="single" w:color="auto" w:sz="4" w:space="0"/>
              <w:bottom w:val="single" w:color="auto" w:sz="4" w:space="0"/>
              <w:right w:val="single" w:color="auto" w:sz="4" w:space="0"/>
            </w:tcBorders>
          </w:tcPr>
          <w:p w14:paraId="25B59981">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42CEB7F0">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0F73565F">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56C5285E">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64AA7E48">
            <w:pPr>
              <w:snapToGrid w:val="0"/>
              <w:spacing w:line="360" w:lineRule="auto"/>
              <w:rPr>
                <w:rFonts w:hint="eastAsia" w:hAnsi="宋体"/>
                <w:color w:val="auto"/>
                <w:sz w:val="21"/>
                <w:szCs w:val="21"/>
                <w:highlight w:val="none"/>
                <w:u w:val="single"/>
              </w:rPr>
            </w:pPr>
          </w:p>
        </w:tc>
      </w:tr>
      <w:tr w14:paraId="3354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60204A55">
            <w:pPr>
              <w:pStyle w:val="31"/>
              <w:jc w:val="center"/>
              <w:rPr>
                <w:rFonts w:hint="eastAsia" w:hAnsi="宋体"/>
                <w:color w:val="auto"/>
                <w:szCs w:val="21"/>
                <w:highlight w:val="none"/>
              </w:rPr>
            </w:pPr>
            <w:r>
              <w:rPr>
                <w:rFonts w:hint="eastAsia" w:hAnsi="宋体"/>
                <w:color w:val="auto"/>
                <w:szCs w:val="21"/>
                <w:highlight w:val="none"/>
              </w:rPr>
              <w:t>…</w:t>
            </w:r>
          </w:p>
        </w:tc>
        <w:tc>
          <w:tcPr>
            <w:tcW w:w="3225" w:type="dxa"/>
            <w:tcBorders>
              <w:top w:val="single" w:color="auto" w:sz="4" w:space="0"/>
              <w:left w:val="single" w:color="auto" w:sz="4" w:space="0"/>
              <w:bottom w:val="single" w:color="auto" w:sz="4" w:space="0"/>
              <w:right w:val="single" w:color="auto" w:sz="4" w:space="0"/>
            </w:tcBorders>
          </w:tcPr>
          <w:p w14:paraId="51D08CA6">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48B09A1D">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3A153442">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5A82AD21">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6238AD11">
            <w:pPr>
              <w:snapToGrid w:val="0"/>
              <w:spacing w:line="360" w:lineRule="auto"/>
              <w:rPr>
                <w:rFonts w:hint="eastAsia" w:hAnsi="宋体"/>
                <w:color w:val="auto"/>
                <w:sz w:val="21"/>
                <w:szCs w:val="21"/>
                <w:highlight w:val="none"/>
                <w:u w:val="single"/>
              </w:rPr>
            </w:pPr>
          </w:p>
        </w:tc>
      </w:tr>
      <w:tr w14:paraId="705C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466BFB4D">
            <w:pPr>
              <w:pStyle w:val="31"/>
              <w:jc w:val="center"/>
              <w:rPr>
                <w:rFonts w:hint="eastAsia" w:hAnsi="宋体"/>
                <w:color w:val="auto"/>
                <w:szCs w:val="21"/>
                <w:highlight w:val="none"/>
              </w:rPr>
            </w:pPr>
          </w:p>
        </w:tc>
        <w:tc>
          <w:tcPr>
            <w:tcW w:w="3225" w:type="dxa"/>
            <w:tcBorders>
              <w:top w:val="single" w:color="auto" w:sz="4" w:space="0"/>
              <w:left w:val="single" w:color="auto" w:sz="4" w:space="0"/>
              <w:bottom w:val="single" w:color="auto" w:sz="4" w:space="0"/>
              <w:right w:val="single" w:color="auto" w:sz="4" w:space="0"/>
            </w:tcBorders>
          </w:tcPr>
          <w:p w14:paraId="37948A0C">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5880B65D">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5CE0FCFA">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3E55F1F0">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022F6C58">
            <w:pPr>
              <w:snapToGrid w:val="0"/>
              <w:spacing w:line="360" w:lineRule="auto"/>
              <w:rPr>
                <w:rFonts w:hint="eastAsia" w:hAnsi="宋体"/>
                <w:color w:val="auto"/>
                <w:sz w:val="21"/>
                <w:szCs w:val="21"/>
                <w:highlight w:val="none"/>
                <w:u w:val="single"/>
              </w:rPr>
            </w:pPr>
          </w:p>
        </w:tc>
      </w:tr>
      <w:tr w14:paraId="16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16328C7E">
            <w:pPr>
              <w:pStyle w:val="31"/>
              <w:jc w:val="center"/>
              <w:rPr>
                <w:rFonts w:hint="eastAsia" w:hAnsi="宋体"/>
                <w:color w:val="auto"/>
                <w:szCs w:val="21"/>
                <w:highlight w:val="none"/>
              </w:rPr>
            </w:pPr>
          </w:p>
        </w:tc>
        <w:tc>
          <w:tcPr>
            <w:tcW w:w="3225" w:type="dxa"/>
            <w:tcBorders>
              <w:top w:val="single" w:color="auto" w:sz="4" w:space="0"/>
              <w:left w:val="single" w:color="auto" w:sz="4" w:space="0"/>
              <w:bottom w:val="single" w:color="auto" w:sz="4" w:space="0"/>
              <w:right w:val="single" w:color="auto" w:sz="4" w:space="0"/>
            </w:tcBorders>
          </w:tcPr>
          <w:p w14:paraId="2C44778B">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59AAEB0F">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0D0876F1">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18C7C2E3">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428C2EF2">
            <w:pPr>
              <w:snapToGrid w:val="0"/>
              <w:spacing w:line="360" w:lineRule="auto"/>
              <w:rPr>
                <w:rFonts w:hint="eastAsia" w:hAnsi="宋体"/>
                <w:color w:val="auto"/>
                <w:sz w:val="21"/>
                <w:szCs w:val="21"/>
                <w:highlight w:val="none"/>
                <w:u w:val="single"/>
              </w:rPr>
            </w:pPr>
          </w:p>
        </w:tc>
      </w:tr>
      <w:tr w14:paraId="4F9E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53952478">
            <w:pPr>
              <w:pStyle w:val="31"/>
              <w:jc w:val="center"/>
              <w:rPr>
                <w:rFonts w:hint="eastAsia" w:hAnsi="宋体"/>
                <w:color w:val="auto"/>
                <w:szCs w:val="21"/>
                <w:highlight w:val="none"/>
              </w:rPr>
            </w:pPr>
          </w:p>
        </w:tc>
        <w:tc>
          <w:tcPr>
            <w:tcW w:w="3225" w:type="dxa"/>
            <w:tcBorders>
              <w:top w:val="single" w:color="auto" w:sz="4" w:space="0"/>
              <w:left w:val="single" w:color="auto" w:sz="4" w:space="0"/>
              <w:bottom w:val="single" w:color="auto" w:sz="4" w:space="0"/>
              <w:right w:val="single" w:color="auto" w:sz="4" w:space="0"/>
            </w:tcBorders>
          </w:tcPr>
          <w:p w14:paraId="1BA4F533">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225F64B2">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40A6B8DC">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570EB29A">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69E6A040">
            <w:pPr>
              <w:snapToGrid w:val="0"/>
              <w:spacing w:line="360" w:lineRule="auto"/>
              <w:rPr>
                <w:rFonts w:hint="eastAsia" w:hAnsi="宋体"/>
                <w:color w:val="auto"/>
                <w:sz w:val="21"/>
                <w:szCs w:val="21"/>
                <w:highlight w:val="none"/>
                <w:u w:val="single"/>
              </w:rPr>
            </w:pPr>
          </w:p>
        </w:tc>
      </w:tr>
      <w:tr w14:paraId="634A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Borders>
              <w:top w:val="single" w:color="auto" w:sz="4" w:space="0"/>
              <w:left w:val="single" w:color="auto" w:sz="4" w:space="0"/>
              <w:bottom w:val="single" w:color="auto" w:sz="4" w:space="0"/>
              <w:right w:val="single" w:color="auto" w:sz="4" w:space="0"/>
            </w:tcBorders>
            <w:vAlign w:val="center"/>
          </w:tcPr>
          <w:p w14:paraId="12FCDC57">
            <w:pPr>
              <w:pStyle w:val="31"/>
              <w:jc w:val="center"/>
              <w:rPr>
                <w:rFonts w:hint="eastAsia" w:hAnsi="宋体"/>
                <w:color w:val="auto"/>
                <w:szCs w:val="21"/>
                <w:highlight w:val="none"/>
              </w:rPr>
            </w:pPr>
          </w:p>
        </w:tc>
        <w:tc>
          <w:tcPr>
            <w:tcW w:w="3225" w:type="dxa"/>
            <w:tcBorders>
              <w:top w:val="single" w:color="auto" w:sz="4" w:space="0"/>
              <w:left w:val="single" w:color="auto" w:sz="4" w:space="0"/>
              <w:bottom w:val="single" w:color="auto" w:sz="4" w:space="0"/>
              <w:right w:val="single" w:color="auto" w:sz="4" w:space="0"/>
            </w:tcBorders>
          </w:tcPr>
          <w:p w14:paraId="099DA171">
            <w:pPr>
              <w:snapToGrid w:val="0"/>
              <w:spacing w:line="360" w:lineRule="auto"/>
              <w:rPr>
                <w:rFonts w:hint="eastAsia" w:hAnsi="宋体"/>
                <w:color w:val="auto"/>
                <w:sz w:val="21"/>
                <w:szCs w:val="21"/>
                <w:highlight w:val="none"/>
                <w:u w:val="single"/>
              </w:rPr>
            </w:pPr>
          </w:p>
        </w:tc>
        <w:tc>
          <w:tcPr>
            <w:tcW w:w="1365" w:type="dxa"/>
            <w:tcBorders>
              <w:top w:val="single" w:color="auto" w:sz="4" w:space="0"/>
              <w:left w:val="single" w:color="auto" w:sz="4" w:space="0"/>
              <w:bottom w:val="single" w:color="auto" w:sz="4" w:space="0"/>
              <w:right w:val="single" w:color="auto" w:sz="4" w:space="0"/>
            </w:tcBorders>
          </w:tcPr>
          <w:p w14:paraId="7F47297D">
            <w:pPr>
              <w:snapToGrid w:val="0"/>
              <w:spacing w:line="360" w:lineRule="auto"/>
              <w:rPr>
                <w:rFonts w:hint="eastAsia" w:hAnsi="宋体"/>
                <w:color w:val="auto"/>
                <w:sz w:val="21"/>
                <w:szCs w:val="21"/>
                <w:highlight w:val="none"/>
                <w:u w:val="single"/>
              </w:rPr>
            </w:pPr>
          </w:p>
        </w:tc>
        <w:tc>
          <w:tcPr>
            <w:tcW w:w="1721" w:type="dxa"/>
            <w:tcBorders>
              <w:top w:val="single" w:color="auto" w:sz="4" w:space="0"/>
              <w:left w:val="single" w:color="auto" w:sz="4" w:space="0"/>
              <w:bottom w:val="single" w:color="auto" w:sz="4" w:space="0"/>
              <w:right w:val="single" w:color="auto" w:sz="4" w:space="0"/>
            </w:tcBorders>
          </w:tcPr>
          <w:p w14:paraId="680F9E83">
            <w:pPr>
              <w:snapToGrid w:val="0"/>
              <w:spacing w:line="360" w:lineRule="auto"/>
              <w:rPr>
                <w:rFonts w:hint="eastAsia" w:hAnsi="宋体"/>
                <w:color w:val="auto"/>
                <w:sz w:val="21"/>
                <w:szCs w:val="21"/>
                <w:highlight w:val="none"/>
                <w:u w:val="single"/>
              </w:rPr>
            </w:pPr>
          </w:p>
        </w:tc>
        <w:tc>
          <w:tcPr>
            <w:tcW w:w="835" w:type="dxa"/>
            <w:tcBorders>
              <w:top w:val="single" w:color="auto" w:sz="4" w:space="0"/>
              <w:left w:val="single" w:color="auto" w:sz="4" w:space="0"/>
              <w:bottom w:val="single" w:color="auto" w:sz="4" w:space="0"/>
              <w:right w:val="single" w:color="auto" w:sz="4" w:space="0"/>
            </w:tcBorders>
          </w:tcPr>
          <w:p w14:paraId="3A40FC67">
            <w:pPr>
              <w:snapToGrid w:val="0"/>
              <w:spacing w:line="360" w:lineRule="auto"/>
              <w:rPr>
                <w:rFonts w:hint="eastAsia" w:hAnsi="宋体"/>
                <w:color w:val="auto"/>
                <w:sz w:val="21"/>
                <w:szCs w:val="21"/>
                <w:highlight w:val="none"/>
                <w:u w:val="single"/>
              </w:rPr>
            </w:pPr>
          </w:p>
        </w:tc>
        <w:tc>
          <w:tcPr>
            <w:tcW w:w="832" w:type="dxa"/>
            <w:tcBorders>
              <w:top w:val="single" w:color="auto" w:sz="4" w:space="0"/>
              <w:left w:val="single" w:color="auto" w:sz="4" w:space="0"/>
              <w:bottom w:val="single" w:color="auto" w:sz="4" w:space="0"/>
              <w:right w:val="single" w:color="auto" w:sz="4" w:space="0"/>
            </w:tcBorders>
          </w:tcPr>
          <w:p w14:paraId="6A1FDC13">
            <w:pPr>
              <w:snapToGrid w:val="0"/>
              <w:spacing w:line="360" w:lineRule="auto"/>
              <w:rPr>
                <w:rFonts w:hint="eastAsia" w:hAnsi="宋体"/>
                <w:color w:val="auto"/>
                <w:sz w:val="21"/>
                <w:szCs w:val="21"/>
                <w:highlight w:val="none"/>
                <w:u w:val="single"/>
              </w:rPr>
            </w:pPr>
          </w:p>
        </w:tc>
      </w:tr>
    </w:tbl>
    <w:p w14:paraId="428A5BBF">
      <w:pPr>
        <w:pStyle w:val="31"/>
        <w:spacing w:line="480" w:lineRule="exact"/>
        <w:rPr>
          <w:rFonts w:hint="eastAsia" w:hAnsi="宋体"/>
          <w:color w:val="auto"/>
          <w:sz w:val="22"/>
          <w:szCs w:val="22"/>
          <w:highlight w:val="none"/>
        </w:rPr>
      </w:pPr>
    </w:p>
    <w:p w14:paraId="50EE7857">
      <w:pPr>
        <w:overflowPunct w:val="0"/>
        <w:spacing w:line="460" w:lineRule="exact"/>
        <w:rPr>
          <w:rFonts w:hint="eastAsia" w:hAnsi="宋体"/>
          <w:color w:val="auto"/>
          <w:sz w:val="21"/>
          <w:szCs w:val="21"/>
          <w:highlight w:val="none"/>
        </w:rPr>
      </w:pPr>
      <w:r>
        <w:rPr>
          <w:rFonts w:hint="eastAsia" w:hAnsi="宋体"/>
          <w:color w:val="auto"/>
          <w:sz w:val="21"/>
          <w:szCs w:val="21"/>
          <w:highlight w:val="none"/>
        </w:rPr>
        <w:t>要求：</w:t>
      </w:r>
    </w:p>
    <w:p w14:paraId="678B8628">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供应商应当如实、完整地填写本表格，内容包括所有同类或近似项目业绩。根据评分标准提供相应的证明材料。在填写过程中请按年份顺序填写。</w:t>
      </w:r>
    </w:p>
    <w:p w14:paraId="6EA6A397">
      <w:pPr>
        <w:overflowPunct w:val="0"/>
        <w:snapToGrid w:val="0"/>
        <w:spacing w:line="460" w:lineRule="exact"/>
        <w:ind w:firstLine="420" w:firstLineChars="200"/>
        <w:rPr>
          <w:rFonts w:hint="eastAsia" w:hAnsi="宋体"/>
          <w:color w:val="auto"/>
          <w:sz w:val="21"/>
          <w:szCs w:val="21"/>
          <w:highlight w:val="none"/>
        </w:rPr>
      </w:pPr>
    </w:p>
    <w:p w14:paraId="09DEC9C0">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供应商名称（加盖公章）：</w:t>
      </w:r>
    </w:p>
    <w:p w14:paraId="42EE81D3">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52F74289">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日期：  年  月  日 </w:t>
      </w:r>
    </w:p>
    <w:p w14:paraId="72C05529">
      <w:pPr>
        <w:pStyle w:val="63"/>
        <w:ind w:firstLine="0" w:firstLineChars="0"/>
        <w:rPr>
          <w:rFonts w:hint="eastAsia" w:ascii="宋体" w:hAnsi="宋体" w:cs="宋体"/>
          <w:color w:val="auto"/>
          <w:highlight w:val="none"/>
        </w:rPr>
      </w:pPr>
    </w:p>
    <w:p w14:paraId="57900C77">
      <w:pPr>
        <w:pStyle w:val="6"/>
        <w:numPr>
          <w:ilvl w:val="0"/>
          <w:numId w:val="12"/>
        </w:numPr>
        <w:jc w:val="center"/>
        <w:rPr>
          <w:rFonts w:hint="eastAsia"/>
          <w:b w:val="0"/>
          <w:bCs/>
          <w:color w:val="auto"/>
          <w:sz w:val="28"/>
          <w:highlight w:val="none"/>
        </w:rPr>
      </w:pPr>
      <w:r>
        <w:rPr>
          <w:rFonts w:hint="eastAsia"/>
          <w:color w:val="auto"/>
          <w:sz w:val="22"/>
          <w:szCs w:val="22"/>
          <w:highlight w:val="none"/>
        </w:rPr>
        <w:br w:type="page"/>
      </w:r>
      <w:bookmarkStart w:id="252" w:name="_Toc17432"/>
      <w:bookmarkStart w:id="253" w:name="_Toc7897897"/>
      <w:bookmarkStart w:id="254" w:name="_Toc6882"/>
      <w:bookmarkStart w:id="255" w:name="_Toc23633"/>
      <w:r>
        <w:rPr>
          <w:rFonts w:hint="eastAsia"/>
          <w:bCs/>
          <w:color w:val="auto"/>
          <w:sz w:val="28"/>
          <w:szCs w:val="28"/>
          <w:highlight w:val="none"/>
        </w:rPr>
        <w:t>在经营活动中没有重大违法记录的书面声明</w:t>
      </w:r>
      <w:bookmarkEnd w:id="252"/>
      <w:bookmarkEnd w:id="253"/>
      <w:bookmarkEnd w:id="254"/>
      <w:bookmarkEnd w:id="255"/>
    </w:p>
    <w:p w14:paraId="4C3B13C3">
      <w:pPr>
        <w:pStyle w:val="79"/>
        <w:ind w:firstLine="0" w:firstLineChars="0"/>
        <w:jc w:val="center"/>
        <w:rPr>
          <w:rFonts w:hint="eastAsia" w:ascii="宋体" w:eastAsia="宋体"/>
          <w:b/>
          <w:color w:val="auto"/>
          <w:sz w:val="28"/>
          <w:highlight w:val="none"/>
        </w:rPr>
      </w:pPr>
    </w:p>
    <w:p w14:paraId="1171F436">
      <w:pPr>
        <w:spacing w:line="480" w:lineRule="auto"/>
        <w:rPr>
          <w:rFonts w:hint="eastAsia" w:hAnsi="宋体"/>
          <w:color w:val="auto"/>
          <w:sz w:val="21"/>
          <w:szCs w:val="21"/>
          <w:highlight w:val="none"/>
        </w:rPr>
      </w:pPr>
      <w:r>
        <w:rPr>
          <w:rFonts w:hint="eastAsia" w:hAnsi="宋体"/>
          <w:color w:val="auto"/>
          <w:sz w:val="21"/>
          <w:szCs w:val="21"/>
          <w:highlight w:val="none"/>
        </w:rPr>
        <w:t>东莞市安居建设投资有限公司：</w:t>
      </w:r>
    </w:p>
    <w:p w14:paraId="5BB28352">
      <w:pPr>
        <w:spacing w:line="480" w:lineRule="auto"/>
        <w:ind w:firstLine="420" w:firstLineChars="200"/>
        <w:rPr>
          <w:rFonts w:hint="eastAsia" w:hAnsi="宋体"/>
          <w:color w:val="auto"/>
          <w:sz w:val="21"/>
          <w:szCs w:val="21"/>
          <w:highlight w:val="none"/>
        </w:rPr>
      </w:pPr>
      <w:r>
        <w:rPr>
          <w:rFonts w:hint="eastAsia" w:hAnsi="宋体"/>
          <w:color w:val="auto"/>
          <w:sz w:val="21"/>
          <w:szCs w:val="21"/>
          <w:highlight w:val="none"/>
        </w:rPr>
        <w:t>我公司郑重承诺：在参加“</w:t>
      </w:r>
      <w:r>
        <w:rPr>
          <w:rFonts w:hint="eastAsia" w:hAnsi="宋体"/>
          <w:color w:val="auto"/>
          <w:sz w:val="21"/>
          <w:szCs w:val="21"/>
          <w:highlight w:val="none"/>
          <w:u w:val="single"/>
        </w:rPr>
        <w:t xml:space="preserve">       （采购项目名称）</w:t>
      </w:r>
      <w:r>
        <w:rPr>
          <w:rFonts w:hint="eastAsia" w:hAnsi="宋体"/>
          <w:color w:val="auto"/>
          <w:sz w:val="21"/>
          <w:szCs w:val="21"/>
          <w:highlight w:val="none"/>
        </w:rPr>
        <w:t>” （项目编号:</w:t>
      </w:r>
      <w:r>
        <w:rPr>
          <w:rFonts w:hint="eastAsia" w:hAnsi="宋体"/>
          <w:color w:val="auto"/>
          <w:sz w:val="21"/>
          <w:szCs w:val="21"/>
          <w:highlight w:val="none"/>
          <w:u w:val="single"/>
        </w:rPr>
        <w:t xml:space="preserve">           </w:t>
      </w:r>
      <w:r>
        <w:rPr>
          <w:rFonts w:hint="eastAsia" w:hAnsi="宋体"/>
          <w:color w:val="auto"/>
          <w:sz w:val="21"/>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6A64DA78">
      <w:pPr>
        <w:spacing w:line="480" w:lineRule="auto"/>
        <w:ind w:firstLine="420" w:firstLineChars="200"/>
        <w:rPr>
          <w:rFonts w:hint="eastAsia" w:hAnsi="宋体"/>
          <w:color w:val="auto"/>
          <w:sz w:val="21"/>
          <w:szCs w:val="21"/>
          <w:highlight w:val="none"/>
        </w:rPr>
      </w:pPr>
      <w:r>
        <w:rPr>
          <w:rFonts w:hint="eastAsia" w:hAnsi="宋体"/>
          <w:color w:val="auto"/>
          <w:sz w:val="21"/>
          <w:szCs w:val="21"/>
          <w:highlight w:val="none"/>
        </w:rPr>
        <w:t>我公司以上承诺均为真实有效，绝无任何虚假、伪造的成份，否则，愿承担相应的后果和法律责任。</w:t>
      </w:r>
    </w:p>
    <w:p w14:paraId="3A1E2D33">
      <w:pPr>
        <w:rPr>
          <w:rFonts w:hint="eastAsia" w:hAnsi="宋体"/>
          <w:color w:val="auto"/>
          <w:sz w:val="21"/>
          <w:szCs w:val="21"/>
          <w:highlight w:val="none"/>
        </w:rPr>
      </w:pPr>
    </w:p>
    <w:p w14:paraId="32B8BDD1">
      <w:pPr>
        <w:rPr>
          <w:rFonts w:hint="eastAsia" w:hAnsi="宋体"/>
          <w:color w:val="auto"/>
          <w:sz w:val="21"/>
          <w:szCs w:val="21"/>
          <w:highlight w:val="none"/>
        </w:rPr>
      </w:pPr>
    </w:p>
    <w:p w14:paraId="7456CEEB">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供应商名称（加盖公章）：</w:t>
      </w:r>
    </w:p>
    <w:p w14:paraId="414CFEF6">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41DE0B4B">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 xml:space="preserve">日期：  年  月  日 </w:t>
      </w:r>
    </w:p>
    <w:bookmarkEnd w:id="214"/>
    <w:bookmarkEnd w:id="215"/>
    <w:bookmarkEnd w:id="216"/>
    <w:bookmarkEnd w:id="217"/>
    <w:bookmarkEnd w:id="218"/>
    <w:bookmarkEnd w:id="219"/>
    <w:bookmarkEnd w:id="220"/>
    <w:p w14:paraId="7E64139C">
      <w:pPr>
        <w:pStyle w:val="6"/>
        <w:numPr>
          <w:ilvl w:val="0"/>
          <w:numId w:val="12"/>
        </w:numPr>
        <w:jc w:val="center"/>
        <w:rPr>
          <w:rFonts w:hint="eastAsia"/>
          <w:b w:val="0"/>
          <w:color w:val="auto"/>
          <w:sz w:val="28"/>
          <w:szCs w:val="28"/>
          <w:highlight w:val="none"/>
        </w:rPr>
      </w:pPr>
      <w:bookmarkStart w:id="256" w:name="_Toc110953865"/>
      <w:bookmarkStart w:id="257" w:name="_Toc480020290"/>
      <w:bookmarkStart w:id="258" w:name="_Toc35233726"/>
      <w:bookmarkStart w:id="259" w:name="_Toc467236774"/>
      <w:bookmarkStart w:id="260" w:name="_Toc468606065"/>
      <w:bookmarkStart w:id="261" w:name="_Toc467987857"/>
      <w:bookmarkStart w:id="262" w:name="_Toc479991617"/>
      <w:bookmarkStart w:id="263" w:name="_Toc454701411"/>
      <w:bookmarkStart w:id="264" w:name="_Toc480021086"/>
      <w:bookmarkStart w:id="265" w:name="_Toc468157570"/>
      <w:bookmarkStart w:id="266" w:name="_Toc480171915"/>
      <w:bookmarkStart w:id="267" w:name="_Toc480010743"/>
      <w:bookmarkStart w:id="268" w:name="_Toc458262644"/>
      <w:r>
        <w:rPr>
          <w:rFonts w:hint="eastAsia"/>
          <w:color w:val="auto"/>
          <w:sz w:val="22"/>
          <w:szCs w:val="22"/>
          <w:highlight w:val="none"/>
        </w:rPr>
        <w:br w:type="page"/>
      </w:r>
      <w:bookmarkEnd w:id="256"/>
      <w:bookmarkStart w:id="269" w:name="_Toc7897900"/>
      <w:bookmarkStart w:id="270" w:name="_Toc8181"/>
      <w:bookmarkStart w:id="271" w:name="_Toc2461"/>
      <w:bookmarkStart w:id="272" w:name="_Toc18024"/>
      <w:r>
        <w:rPr>
          <w:rFonts w:hint="eastAsia"/>
          <w:color w:val="auto"/>
          <w:sz w:val="28"/>
          <w:szCs w:val="28"/>
          <w:highlight w:val="none"/>
        </w:rPr>
        <w:t>针对本项目拟派人员及其技术资格一览表</w:t>
      </w:r>
      <w:bookmarkEnd w:id="269"/>
      <w:bookmarkEnd w:id="270"/>
      <w:bookmarkEnd w:id="271"/>
      <w:bookmarkEnd w:id="272"/>
    </w:p>
    <w:p w14:paraId="60513FEE">
      <w:pPr>
        <w:pStyle w:val="31"/>
        <w:spacing w:line="480" w:lineRule="exact"/>
        <w:ind w:left="-202" w:leftChars="-84" w:firstLine="241" w:firstLineChars="100"/>
        <w:rPr>
          <w:rFonts w:hint="eastAsia" w:hAnsi="宋体"/>
          <w:b/>
          <w:color w:val="auto"/>
          <w:sz w:val="24"/>
          <w:szCs w:val="21"/>
          <w:highlight w:val="none"/>
        </w:rPr>
      </w:pPr>
    </w:p>
    <w:p w14:paraId="280E7BD5">
      <w:pPr>
        <w:pStyle w:val="31"/>
        <w:spacing w:line="480" w:lineRule="exact"/>
        <w:ind w:left="-202" w:leftChars="-84" w:firstLine="221" w:firstLineChars="100"/>
        <w:rPr>
          <w:rFonts w:hint="eastAsia" w:hAnsi="宋体"/>
          <w:b/>
          <w:color w:val="auto"/>
          <w:sz w:val="22"/>
          <w:szCs w:val="22"/>
          <w:highlight w:val="none"/>
          <w:u w:val="single"/>
        </w:rPr>
      </w:pPr>
    </w:p>
    <w:tbl>
      <w:tblPr>
        <w:tblStyle w:val="54"/>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26"/>
        <w:gridCol w:w="877"/>
        <w:gridCol w:w="1533"/>
        <w:gridCol w:w="1357"/>
        <w:gridCol w:w="1200"/>
        <w:gridCol w:w="1403"/>
        <w:gridCol w:w="1403"/>
      </w:tblGrid>
      <w:tr w14:paraId="3ACC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Align w:val="center"/>
          </w:tcPr>
          <w:p w14:paraId="4EB16335">
            <w:pPr>
              <w:pStyle w:val="31"/>
              <w:spacing w:line="480" w:lineRule="exact"/>
              <w:jc w:val="center"/>
              <w:rPr>
                <w:rFonts w:hint="eastAsia" w:hAnsi="宋体"/>
                <w:b/>
                <w:color w:val="auto"/>
                <w:szCs w:val="21"/>
                <w:highlight w:val="none"/>
              </w:rPr>
            </w:pPr>
            <w:r>
              <w:rPr>
                <w:rFonts w:hint="eastAsia" w:hAnsi="宋体"/>
                <w:b/>
                <w:color w:val="auto"/>
                <w:szCs w:val="21"/>
                <w:highlight w:val="none"/>
              </w:rPr>
              <w:t>序号</w:t>
            </w:r>
          </w:p>
        </w:tc>
        <w:tc>
          <w:tcPr>
            <w:tcW w:w="1026" w:type="dxa"/>
            <w:vAlign w:val="center"/>
          </w:tcPr>
          <w:p w14:paraId="0637D760">
            <w:pPr>
              <w:pStyle w:val="31"/>
              <w:spacing w:line="480" w:lineRule="exact"/>
              <w:jc w:val="center"/>
              <w:rPr>
                <w:rFonts w:hint="eastAsia" w:hAnsi="宋体"/>
                <w:b/>
                <w:color w:val="auto"/>
                <w:szCs w:val="21"/>
                <w:highlight w:val="none"/>
              </w:rPr>
            </w:pPr>
            <w:r>
              <w:rPr>
                <w:rFonts w:hint="eastAsia" w:hAnsi="宋体"/>
                <w:b/>
                <w:color w:val="auto"/>
                <w:szCs w:val="21"/>
                <w:highlight w:val="none"/>
              </w:rPr>
              <w:t>姓名</w:t>
            </w:r>
          </w:p>
        </w:tc>
        <w:tc>
          <w:tcPr>
            <w:tcW w:w="877" w:type="dxa"/>
            <w:vAlign w:val="center"/>
          </w:tcPr>
          <w:p w14:paraId="274E3FAA">
            <w:pPr>
              <w:pStyle w:val="31"/>
              <w:spacing w:line="480" w:lineRule="exact"/>
              <w:jc w:val="center"/>
              <w:rPr>
                <w:rFonts w:hint="eastAsia" w:hAnsi="宋体"/>
                <w:b/>
                <w:color w:val="auto"/>
                <w:szCs w:val="21"/>
                <w:highlight w:val="none"/>
              </w:rPr>
            </w:pPr>
            <w:r>
              <w:rPr>
                <w:rFonts w:hint="eastAsia" w:hAnsi="宋体"/>
                <w:b/>
                <w:color w:val="auto"/>
                <w:szCs w:val="21"/>
                <w:highlight w:val="none"/>
              </w:rPr>
              <w:t>职位</w:t>
            </w:r>
          </w:p>
        </w:tc>
        <w:tc>
          <w:tcPr>
            <w:tcW w:w="1533" w:type="dxa"/>
          </w:tcPr>
          <w:p w14:paraId="7FED22AA">
            <w:pPr>
              <w:pStyle w:val="31"/>
              <w:spacing w:line="480" w:lineRule="exact"/>
              <w:jc w:val="center"/>
              <w:rPr>
                <w:rFonts w:hint="eastAsia" w:hAnsi="宋体"/>
                <w:b/>
                <w:color w:val="auto"/>
                <w:szCs w:val="21"/>
                <w:highlight w:val="none"/>
              </w:rPr>
            </w:pPr>
            <w:r>
              <w:rPr>
                <w:rFonts w:hint="eastAsia" w:hAnsi="宋体"/>
                <w:b/>
                <w:color w:val="auto"/>
                <w:szCs w:val="21"/>
                <w:highlight w:val="none"/>
              </w:rPr>
              <w:t>拟在本项目担任职务</w:t>
            </w:r>
          </w:p>
        </w:tc>
        <w:tc>
          <w:tcPr>
            <w:tcW w:w="1357" w:type="dxa"/>
            <w:vAlign w:val="center"/>
          </w:tcPr>
          <w:p w14:paraId="4757BFA8">
            <w:pPr>
              <w:pStyle w:val="31"/>
              <w:spacing w:line="480" w:lineRule="exact"/>
              <w:jc w:val="center"/>
              <w:rPr>
                <w:rFonts w:hint="eastAsia" w:hAnsi="宋体"/>
                <w:b/>
                <w:color w:val="auto"/>
                <w:szCs w:val="21"/>
                <w:highlight w:val="none"/>
              </w:rPr>
            </w:pPr>
            <w:r>
              <w:rPr>
                <w:rFonts w:hint="eastAsia" w:hAnsi="宋体"/>
                <w:b/>
                <w:color w:val="auto"/>
                <w:szCs w:val="21"/>
                <w:highlight w:val="none"/>
              </w:rPr>
              <w:t>专业、资格证件</w:t>
            </w:r>
          </w:p>
        </w:tc>
        <w:tc>
          <w:tcPr>
            <w:tcW w:w="1200" w:type="dxa"/>
            <w:vAlign w:val="center"/>
          </w:tcPr>
          <w:p w14:paraId="0C605917">
            <w:pPr>
              <w:pStyle w:val="31"/>
              <w:spacing w:line="480" w:lineRule="exact"/>
              <w:jc w:val="center"/>
              <w:rPr>
                <w:rFonts w:hint="eastAsia" w:hAnsi="宋体"/>
                <w:b/>
                <w:color w:val="auto"/>
                <w:szCs w:val="21"/>
                <w:highlight w:val="none"/>
              </w:rPr>
            </w:pPr>
            <w:r>
              <w:rPr>
                <w:rFonts w:hint="eastAsia" w:hAnsi="宋体"/>
                <w:b/>
                <w:color w:val="auto"/>
                <w:szCs w:val="21"/>
                <w:highlight w:val="none"/>
              </w:rPr>
              <w:t>发证时间</w:t>
            </w:r>
          </w:p>
        </w:tc>
        <w:tc>
          <w:tcPr>
            <w:tcW w:w="1403" w:type="dxa"/>
            <w:vAlign w:val="center"/>
          </w:tcPr>
          <w:p w14:paraId="67467EA7">
            <w:pPr>
              <w:pStyle w:val="31"/>
              <w:spacing w:line="480" w:lineRule="exact"/>
              <w:jc w:val="center"/>
              <w:rPr>
                <w:rFonts w:hint="eastAsia" w:hAnsi="宋体"/>
                <w:b/>
                <w:color w:val="auto"/>
                <w:szCs w:val="21"/>
                <w:highlight w:val="none"/>
              </w:rPr>
            </w:pPr>
            <w:r>
              <w:rPr>
                <w:rFonts w:hint="eastAsia" w:hAnsi="宋体"/>
                <w:b/>
                <w:color w:val="auto"/>
                <w:szCs w:val="21"/>
                <w:highlight w:val="none"/>
              </w:rPr>
              <w:t>经验年限</w:t>
            </w:r>
          </w:p>
        </w:tc>
        <w:tc>
          <w:tcPr>
            <w:tcW w:w="1403" w:type="dxa"/>
          </w:tcPr>
          <w:p w14:paraId="1675A875">
            <w:pPr>
              <w:pStyle w:val="31"/>
              <w:spacing w:line="480" w:lineRule="exact"/>
              <w:jc w:val="center"/>
              <w:rPr>
                <w:rFonts w:hint="eastAsia" w:hAnsi="宋体"/>
                <w:b/>
                <w:color w:val="auto"/>
                <w:szCs w:val="21"/>
                <w:highlight w:val="none"/>
              </w:rPr>
            </w:pPr>
            <w:r>
              <w:rPr>
                <w:rFonts w:hint="eastAsia" w:hAnsi="宋体"/>
                <w:b/>
                <w:color w:val="auto"/>
                <w:szCs w:val="21"/>
                <w:highlight w:val="none"/>
              </w:rPr>
              <w:t>主要承担过的项目</w:t>
            </w:r>
          </w:p>
        </w:tc>
      </w:tr>
      <w:tr w14:paraId="0659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4C47041A">
            <w:pPr>
              <w:pStyle w:val="31"/>
              <w:spacing w:line="480" w:lineRule="exact"/>
              <w:jc w:val="center"/>
              <w:rPr>
                <w:rFonts w:hint="eastAsia" w:hAnsi="宋体"/>
                <w:color w:val="auto"/>
                <w:szCs w:val="21"/>
                <w:highlight w:val="none"/>
              </w:rPr>
            </w:pPr>
          </w:p>
        </w:tc>
        <w:tc>
          <w:tcPr>
            <w:tcW w:w="1026" w:type="dxa"/>
            <w:vAlign w:val="center"/>
          </w:tcPr>
          <w:p w14:paraId="5B753169">
            <w:pPr>
              <w:pStyle w:val="31"/>
              <w:spacing w:line="480" w:lineRule="exact"/>
              <w:jc w:val="center"/>
              <w:rPr>
                <w:rFonts w:hint="eastAsia" w:hAnsi="宋体"/>
                <w:color w:val="auto"/>
                <w:szCs w:val="21"/>
                <w:highlight w:val="none"/>
              </w:rPr>
            </w:pPr>
          </w:p>
        </w:tc>
        <w:tc>
          <w:tcPr>
            <w:tcW w:w="877" w:type="dxa"/>
            <w:vAlign w:val="center"/>
          </w:tcPr>
          <w:p w14:paraId="39F56C6D">
            <w:pPr>
              <w:pStyle w:val="31"/>
              <w:spacing w:line="480" w:lineRule="exact"/>
              <w:jc w:val="center"/>
              <w:rPr>
                <w:rFonts w:hint="eastAsia" w:hAnsi="宋体"/>
                <w:color w:val="auto"/>
                <w:szCs w:val="21"/>
                <w:highlight w:val="none"/>
              </w:rPr>
            </w:pPr>
          </w:p>
        </w:tc>
        <w:tc>
          <w:tcPr>
            <w:tcW w:w="1533" w:type="dxa"/>
          </w:tcPr>
          <w:p w14:paraId="174D5EED">
            <w:pPr>
              <w:pStyle w:val="31"/>
              <w:spacing w:line="480" w:lineRule="exact"/>
              <w:jc w:val="center"/>
              <w:rPr>
                <w:rFonts w:hint="eastAsia" w:hAnsi="宋体"/>
                <w:color w:val="auto"/>
                <w:szCs w:val="21"/>
                <w:highlight w:val="none"/>
              </w:rPr>
            </w:pPr>
            <w:r>
              <w:rPr>
                <w:rFonts w:hint="eastAsia" w:hAnsi="宋体"/>
                <w:color w:val="auto"/>
                <w:szCs w:val="21"/>
                <w:highlight w:val="none"/>
              </w:rPr>
              <w:t>项目负责人</w:t>
            </w:r>
          </w:p>
        </w:tc>
        <w:tc>
          <w:tcPr>
            <w:tcW w:w="1357" w:type="dxa"/>
            <w:vAlign w:val="center"/>
          </w:tcPr>
          <w:p w14:paraId="0E3F6EF6">
            <w:pPr>
              <w:pStyle w:val="31"/>
              <w:spacing w:line="480" w:lineRule="exact"/>
              <w:jc w:val="center"/>
              <w:rPr>
                <w:rFonts w:hint="eastAsia" w:hAnsi="宋体"/>
                <w:color w:val="auto"/>
                <w:szCs w:val="21"/>
                <w:highlight w:val="none"/>
              </w:rPr>
            </w:pPr>
          </w:p>
        </w:tc>
        <w:tc>
          <w:tcPr>
            <w:tcW w:w="1200" w:type="dxa"/>
            <w:vAlign w:val="center"/>
          </w:tcPr>
          <w:p w14:paraId="32908412">
            <w:pPr>
              <w:pStyle w:val="31"/>
              <w:spacing w:line="480" w:lineRule="exact"/>
              <w:jc w:val="center"/>
              <w:rPr>
                <w:rFonts w:hint="eastAsia" w:hAnsi="宋体"/>
                <w:color w:val="auto"/>
                <w:szCs w:val="21"/>
                <w:highlight w:val="none"/>
              </w:rPr>
            </w:pPr>
          </w:p>
        </w:tc>
        <w:tc>
          <w:tcPr>
            <w:tcW w:w="1403" w:type="dxa"/>
            <w:vAlign w:val="center"/>
          </w:tcPr>
          <w:p w14:paraId="6D2782EC">
            <w:pPr>
              <w:pStyle w:val="31"/>
              <w:spacing w:line="480" w:lineRule="exact"/>
              <w:jc w:val="center"/>
              <w:rPr>
                <w:rFonts w:hint="eastAsia" w:hAnsi="宋体"/>
                <w:color w:val="auto"/>
                <w:szCs w:val="21"/>
                <w:highlight w:val="none"/>
              </w:rPr>
            </w:pPr>
          </w:p>
        </w:tc>
        <w:tc>
          <w:tcPr>
            <w:tcW w:w="1403" w:type="dxa"/>
          </w:tcPr>
          <w:p w14:paraId="1FD69684">
            <w:pPr>
              <w:pStyle w:val="31"/>
              <w:spacing w:line="480" w:lineRule="exact"/>
              <w:jc w:val="center"/>
              <w:rPr>
                <w:rFonts w:hint="eastAsia" w:hAnsi="宋体"/>
                <w:color w:val="auto"/>
                <w:szCs w:val="21"/>
                <w:highlight w:val="none"/>
              </w:rPr>
            </w:pPr>
          </w:p>
        </w:tc>
      </w:tr>
      <w:tr w14:paraId="0231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20542C64">
            <w:pPr>
              <w:pStyle w:val="31"/>
              <w:spacing w:line="480" w:lineRule="exact"/>
              <w:jc w:val="center"/>
              <w:rPr>
                <w:rFonts w:hint="eastAsia" w:hAnsi="宋体"/>
                <w:color w:val="auto"/>
                <w:szCs w:val="21"/>
                <w:highlight w:val="none"/>
              </w:rPr>
            </w:pPr>
          </w:p>
        </w:tc>
        <w:tc>
          <w:tcPr>
            <w:tcW w:w="1026" w:type="dxa"/>
            <w:vAlign w:val="center"/>
          </w:tcPr>
          <w:p w14:paraId="5837BF6F">
            <w:pPr>
              <w:pStyle w:val="31"/>
              <w:spacing w:line="480" w:lineRule="exact"/>
              <w:jc w:val="center"/>
              <w:rPr>
                <w:rFonts w:hint="eastAsia" w:hAnsi="宋体"/>
                <w:color w:val="auto"/>
                <w:szCs w:val="21"/>
                <w:highlight w:val="none"/>
              </w:rPr>
            </w:pPr>
          </w:p>
        </w:tc>
        <w:tc>
          <w:tcPr>
            <w:tcW w:w="877" w:type="dxa"/>
            <w:vAlign w:val="center"/>
          </w:tcPr>
          <w:p w14:paraId="6DB7ED9F">
            <w:pPr>
              <w:pStyle w:val="31"/>
              <w:spacing w:line="480" w:lineRule="exact"/>
              <w:jc w:val="center"/>
              <w:rPr>
                <w:rFonts w:hint="eastAsia" w:hAnsi="宋体"/>
                <w:color w:val="auto"/>
                <w:szCs w:val="21"/>
                <w:highlight w:val="none"/>
              </w:rPr>
            </w:pPr>
          </w:p>
        </w:tc>
        <w:tc>
          <w:tcPr>
            <w:tcW w:w="1533" w:type="dxa"/>
            <w:vAlign w:val="center"/>
          </w:tcPr>
          <w:p w14:paraId="4423E6F8">
            <w:pPr>
              <w:jc w:val="center"/>
              <w:rPr>
                <w:rFonts w:hint="eastAsia" w:hAnsi="宋体"/>
                <w:color w:val="auto"/>
                <w:sz w:val="21"/>
                <w:szCs w:val="21"/>
                <w:highlight w:val="none"/>
              </w:rPr>
            </w:pPr>
            <w:r>
              <w:rPr>
                <w:rFonts w:hint="eastAsia" w:hAnsi="宋体"/>
                <w:color w:val="auto"/>
                <w:sz w:val="21"/>
                <w:szCs w:val="21"/>
                <w:highlight w:val="none"/>
              </w:rPr>
              <w:t>项目人员</w:t>
            </w:r>
          </w:p>
        </w:tc>
        <w:tc>
          <w:tcPr>
            <w:tcW w:w="1357" w:type="dxa"/>
            <w:vAlign w:val="center"/>
          </w:tcPr>
          <w:p w14:paraId="30609BD3">
            <w:pPr>
              <w:pStyle w:val="31"/>
              <w:spacing w:line="480" w:lineRule="exact"/>
              <w:jc w:val="center"/>
              <w:rPr>
                <w:rFonts w:hint="eastAsia" w:hAnsi="宋体"/>
                <w:color w:val="auto"/>
                <w:szCs w:val="21"/>
                <w:highlight w:val="none"/>
              </w:rPr>
            </w:pPr>
          </w:p>
        </w:tc>
        <w:tc>
          <w:tcPr>
            <w:tcW w:w="1200" w:type="dxa"/>
            <w:vAlign w:val="center"/>
          </w:tcPr>
          <w:p w14:paraId="0546BE6E">
            <w:pPr>
              <w:pStyle w:val="31"/>
              <w:spacing w:line="480" w:lineRule="exact"/>
              <w:jc w:val="center"/>
              <w:rPr>
                <w:rFonts w:hint="eastAsia" w:hAnsi="宋体"/>
                <w:color w:val="auto"/>
                <w:szCs w:val="21"/>
                <w:highlight w:val="none"/>
              </w:rPr>
            </w:pPr>
          </w:p>
        </w:tc>
        <w:tc>
          <w:tcPr>
            <w:tcW w:w="1403" w:type="dxa"/>
            <w:vAlign w:val="center"/>
          </w:tcPr>
          <w:p w14:paraId="06042E19">
            <w:pPr>
              <w:pStyle w:val="31"/>
              <w:spacing w:line="480" w:lineRule="exact"/>
              <w:jc w:val="center"/>
              <w:rPr>
                <w:rFonts w:hint="eastAsia" w:hAnsi="宋体"/>
                <w:color w:val="auto"/>
                <w:szCs w:val="21"/>
                <w:highlight w:val="none"/>
              </w:rPr>
            </w:pPr>
          </w:p>
        </w:tc>
        <w:tc>
          <w:tcPr>
            <w:tcW w:w="1403" w:type="dxa"/>
          </w:tcPr>
          <w:p w14:paraId="69692808">
            <w:pPr>
              <w:pStyle w:val="31"/>
              <w:spacing w:line="480" w:lineRule="exact"/>
              <w:jc w:val="center"/>
              <w:rPr>
                <w:rFonts w:hint="eastAsia" w:hAnsi="宋体"/>
                <w:color w:val="auto"/>
                <w:szCs w:val="21"/>
                <w:highlight w:val="none"/>
              </w:rPr>
            </w:pPr>
          </w:p>
        </w:tc>
      </w:tr>
      <w:tr w14:paraId="3FA7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461B12EB">
            <w:pPr>
              <w:pStyle w:val="31"/>
              <w:spacing w:line="480" w:lineRule="exact"/>
              <w:jc w:val="center"/>
              <w:rPr>
                <w:rFonts w:hint="eastAsia" w:hAnsi="宋体"/>
                <w:color w:val="auto"/>
                <w:szCs w:val="21"/>
                <w:highlight w:val="none"/>
              </w:rPr>
            </w:pPr>
          </w:p>
        </w:tc>
        <w:tc>
          <w:tcPr>
            <w:tcW w:w="1026" w:type="dxa"/>
            <w:vAlign w:val="center"/>
          </w:tcPr>
          <w:p w14:paraId="17B18CFB">
            <w:pPr>
              <w:pStyle w:val="31"/>
              <w:spacing w:line="480" w:lineRule="exact"/>
              <w:jc w:val="center"/>
              <w:rPr>
                <w:rFonts w:hint="eastAsia" w:hAnsi="宋体"/>
                <w:color w:val="auto"/>
                <w:szCs w:val="21"/>
                <w:highlight w:val="none"/>
              </w:rPr>
            </w:pPr>
          </w:p>
        </w:tc>
        <w:tc>
          <w:tcPr>
            <w:tcW w:w="877" w:type="dxa"/>
            <w:vAlign w:val="center"/>
          </w:tcPr>
          <w:p w14:paraId="117A27DE">
            <w:pPr>
              <w:pStyle w:val="31"/>
              <w:spacing w:line="480" w:lineRule="exact"/>
              <w:jc w:val="center"/>
              <w:rPr>
                <w:rFonts w:hint="eastAsia" w:hAnsi="宋体"/>
                <w:color w:val="auto"/>
                <w:szCs w:val="21"/>
                <w:highlight w:val="none"/>
              </w:rPr>
            </w:pPr>
          </w:p>
        </w:tc>
        <w:tc>
          <w:tcPr>
            <w:tcW w:w="1533" w:type="dxa"/>
          </w:tcPr>
          <w:p w14:paraId="16582959">
            <w:pPr>
              <w:pStyle w:val="31"/>
              <w:spacing w:line="480" w:lineRule="exact"/>
              <w:jc w:val="center"/>
              <w:rPr>
                <w:rFonts w:hint="eastAsia" w:hAnsi="宋体"/>
                <w:color w:val="auto"/>
                <w:szCs w:val="21"/>
                <w:highlight w:val="none"/>
              </w:rPr>
            </w:pPr>
            <w:r>
              <w:rPr>
                <w:rFonts w:hint="eastAsia" w:hAnsi="宋体"/>
                <w:color w:val="auto"/>
                <w:szCs w:val="21"/>
                <w:highlight w:val="none"/>
              </w:rPr>
              <w:t>…</w:t>
            </w:r>
          </w:p>
        </w:tc>
        <w:tc>
          <w:tcPr>
            <w:tcW w:w="1357" w:type="dxa"/>
            <w:vAlign w:val="center"/>
          </w:tcPr>
          <w:p w14:paraId="4F36E990">
            <w:pPr>
              <w:pStyle w:val="31"/>
              <w:spacing w:line="480" w:lineRule="exact"/>
              <w:jc w:val="center"/>
              <w:rPr>
                <w:rFonts w:hint="eastAsia" w:hAnsi="宋体"/>
                <w:color w:val="auto"/>
                <w:szCs w:val="21"/>
                <w:highlight w:val="none"/>
              </w:rPr>
            </w:pPr>
          </w:p>
        </w:tc>
        <w:tc>
          <w:tcPr>
            <w:tcW w:w="1200" w:type="dxa"/>
            <w:vAlign w:val="center"/>
          </w:tcPr>
          <w:p w14:paraId="08AB15ED">
            <w:pPr>
              <w:pStyle w:val="31"/>
              <w:spacing w:line="480" w:lineRule="exact"/>
              <w:jc w:val="center"/>
              <w:rPr>
                <w:rFonts w:hint="eastAsia" w:hAnsi="宋体"/>
                <w:color w:val="auto"/>
                <w:szCs w:val="21"/>
                <w:highlight w:val="none"/>
              </w:rPr>
            </w:pPr>
          </w:p>
        </w:tc>
        <w:tc>
          <w:tcPr>
            <w:tcW w:w="1403" w:type="dxa"/>
            <w:vAlign w:val="center"/>
          </w:tcPr>
          <w:p w14:paraId="2674EC0E">
            <w:pPr>
              <w:pStyle w:val="31"/>
              <w:spacing w:line="480" w:lineRule="exact"/>
              <w:jc w:val="center"/>
              <w:rPr>
                <w:rFonts w:hint="eastAsia" w:hAnsi="宋体"/>
                <w:color w:val="auto"/>
                <w:szCs w:val="21"/>
                <w:highlight w:val="none"/>
              </w:rPr>
            </w:pPr>
          </w:p>
        </w:tc>
        <w:tc>
          <w:tcPr>
            <w:tcW w:w="1403" w:type="dxa"/>
          </w:tcPr>
          <w:p w14:paraId="6E90AF72">
            <w:pPr>
              <w:pStyle w:val="31"/>
              <w:spacing w:line="480" w:lineRule="exact"/>
              <w:jc w:val="center"/>
              <w:rPr>
                <w:rFonts w:hint="eastAsia" w:hAnsi="宋体"/>
                <w:color w:val="auto"/>
                <w:szCs w:val="21"/>
                <w:highlight w:val="none"/>
              </w:rPr>
            </w:pPr>
          </w:p>
        </w:tc>
      </w:tr>
      <w:tr w14:paraId="7E82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1E52C345">
            <w:pPr>
              <w:pStyle w:val="31"/>
              <w:spacing w:line="480" w:lineRule="exact"/>
              <w:jc w:val="center"/>
              <w:rPr>
                <w:rFonts w:hint="eastAsia" w:hAnsi="宋体"/>
                <w:color w:val="auto"/>
                <w:szCs w:val="21"/>
                <w:highlight w:val="none"/>
              </w:rPr>
            </w:pPr>
          </w:p>
        </w:tc>
        <w:tc>
          <w:tcPr>
            <w:tcW w:w="1026" w:type="dxa"/>
            <w:vAlign w:val="center"/>
          </w:tcPr>
          <w:p w14:paraId="6819DF84">
            <w:pPr>
              <w:pStyle w:val="31"/>
              <w:spacing w:line="480" w:lineRule="exact"/>
              <w:jc w:val="center"/>
              <w:rPr>
                <w:rFonts w:hint="eastAsia" w:hAnsi="宋体"/>
                <w:color w:val="auto"/>
                <w:szCs w:val="21"/>
                <w:highlight w:val="none"/>
              </w:rPr>
            </w:pPr>
          </w:p>
        </w:tc>
        <w:tc>
          <w:tcPr>
            <w:tcW w:w="877" w:type="dxa"/>
            <w:vAlign w:val="center"/>
          </w:tcPr>
          <w:p w14:paraId="43A0C6A9">
            <w:pPr>
              <w:pStyle w:val="31"/>
              <w:spacing w:line="480" w:lineRule="exact"/>
              <w:jc w:val="center"/>
              <w:rPr>
                <w:rFonts w:hint="eastAsia" w:hAnsi="宋体"/>
                <w:color w:val="auto"/>
                <w:szCs w:val="21"/>
                <w:highlight w:val="none"/>
              </w:rPr>
            </w:pPr>
          </w:p>
        </w:tc>
        <w:tc>
          <w:tcPr>
            <w:tcW w:w="1533" w:type="dxa"/>
          </w:tcPr>
          <w:p w14:paraId="09F216F7">
            <w:pPr>
              <w:pStyle w:val="31"/>
              <w:spacing w:line="480" w:lineRule="exact"/>
              <w:jc w:val="center"/>
              <w:rPr>
                <w:rFonts w:hint="eastAsia" w:hAnsi="宋体"/>
                <w:color w:val="auto"/>
                <w:szCs w:val="21"/>
                <w:highlight w:val="none"/>
              </w:rPr>
            </w:pPr>
          </w:p>
        </w:tc>
        <w:tc>
          <w:tcPr>
            <w:tcW w:w="1357" w:type="dxa"/>
            <w:vAlign w:val="center"/>
          </w:tcPr>
          <w:p w14:paraId="2767C5D8">
            <w:pPr>
              <w:pStyle w:val="31"/>
              <w:spacing w:line="480" w:lineRule="exact"/>
              <w:jc w:val="center"/>
              <w:rPr>
                <w:rFonts w:hint="eastAsia" w:hAnsi="宋体"/>
                <w:color w:val="auto"/>
                <w:szCs w:val="21"/>
                <w:highlight w:val="none"/>
              </w:rPr>
            </w:pPr>
          </w:p>
        </w:tc>
        <w:tc>
          <w:tcPr>
            <w:tcW w:w="1200" w:type="dxa"/>
            <w:vAlign w:val="center"/>
          </w:tcPr>
          <w:p w14:paraId="531DA737">
            <w:pPr>
              <w:pStyle w:val="31"/>
              <w:spacing w:line="480" w:lineRule="exact"/>
              <w:jc w:val="center"/>
              <w:rPr>
                <w:rFonts w:hint="eastAsia" w:hAnsi="宋体"/>
                <w:color w:val="auto"/>
                <w:szCs w:val="21"/>
                <w:highlight w:val="none"/>
              </w:rPr>
            </w:pPr>
          </w:p>
        </w:tc>
        <w:tc>
          <w:tcPr>
            <w:tcW w:w="1403" w:type="dxa"/>
            <w:vAlign w:val="center"/>
          </w:tcPr>
          <w:p w14:paraId="33A4C837">
            <w:pPr>
              <w:pStyle w:val="31"/>
              <w:spacing w:line="480" w:lineRule="exact"/>
              <w:jc w:val="center"/>
              <w:rPr>
                <w:rFonts w:hint="eastAsia" w:hAnsi="宋体"/>
                <w:color w:val="auto"/>
                <w:szCs w:val="21"/>
                <w:highlight w:val="none"/>
              </w:rPr>
            </w:pPr>
          </w:p>
        </w:tc>
        <w:tc>
          <w:tcPr>
            <w:tcW w:w="1403" w:type="dxa"/>
          </w:tcPr>
          <w:p w14:paraId="53A1BAA6">
            <w:pPr>
              <w:pStyle w:val="31"/>
              <w:spacing w:line="480" w:lineRule="exact"/>
              <w:jc w:val="center"/>
              <w:rPr>
                <w:rFonts w:hint="eastAsia" w:hAnsi="宋体"/>
                <w:color w:val="auto"/>
                <w:szCs w:val="21"/>
                <w:highlight w:val="none"/>
              </w:rPr>
            </w:pPr>
          </w:p>
        </w:tc>
      </w:tr>
      <w:tr w14:paraId="24EE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6925A84C">
            <w:pPr>
              <w:pStyle w:val="31"/>
              <w:spacing w:line="480" w:lineRule="exact"/>
              <w:jc w:val="center"/>
              <w:rPr>
                <w:rFonts w:hint="eastAsia" w:hAnsi="宋体"/>
                <w:color w:val="auto"/>
                <w:szCs w:val="21"/>
                <w:highlight w:val="none"/>
              </w:rPr>
            </w:pPr>
          </w:p>
        </w:tc>
        <w:tc>
          <w:tcPr>
            <w:tcW w:w="1026" w:type="dxa"/>
            <w:vAlign w:val="center"/>
          </w:tcPr>
          <w:p w14:paraId="64B66CB5">
            <w:pPr>
              <w:pStyle w:val="31"/>
              <w:spacing w:line="480" w:lineRule="exact"/>
              <w:jc w:val="center"/>
              <w:rPr>
                <w:rFonts w:hint="eastAsia" w:hAnsi="宋体"/>
                <w:color w:val="auto"/>
                <w:szCs w:val="21"/>
                <w:highlight w:val="none"/>
              </w:rPr>
            </w:pPr>
          </w:p>
        </w:tc>
        <w:tc>
          <w:tcPr>
            <w:tcW w:w="877" w:type="dxa"/>
            <w:vAlign w:val="center"/>
          </w:tcPr>
          <w:p w14:paraId="45755AAF">
            <w:pPr>
              <w:pStyle w:val="31"/>
              <w:spacing w:line="480" w:lineRule="exact"/>
              <w:jc w:val="center"/>
              <w:rPr>
                <w:rFonts w:hint="eastAsia" w:hAnsi="宋体"/>
                <w:color w:val="auto"/>
                <w:szCs w:val="21"/>
                <w:highlight w:val="none"/>
              </w:rPr>
            </w:pPr>
          </w:p>
        </w:tc>
        <w:tc>
          <w:tcPr>
            <w:tcW w:w="1533" w:type="dxa"/>
          </w:tcPr>
          <w:p w14:paraId="4224B9E0">
            <w:pPr>
              <w:pStyle w:val="31"/>
              <w:spacing w:line="480" w:lineRule="exact"/>
              <w:jc w:val="center"/>
              <w:rPr>
                <w:rFonts w:hint="eastAsia" w:hAnsi="宋体"/>
                <w:color w:val="auto"/>
                <w:szCs w:val="21"/>
                <w:highlight w:val="none"/>
              </w:rPr>
            </w:pPr>
          </w:p>
        </w:tc>
        <w:tc>
          <w:tcPr>
            <w:tcW w:w="1357" w:type="dxa"/>
            <w:vAlign w:val="center"/>
          </w:tcPr>
          <w:p w14:paraId="15FB9919">
            <w:pPr>
              <w:pStyle w:val="31"/>
              <w:spacing w:line="480" w:lineRule="exact"/>
              <w:jc w:val="center"/>
              <w:rPr>
                <w:rFonts w:hint="eastAsia" w:hAnsi="宋体"/>
                <w:color w:val="auto"/>
                <w:szCs w:val="21"/>
                <w:highlight w:val="none"/>
              </w:rPr>
            </w:pPr>
          </w:p>
        </w:tc>
        <w:tc>
          <w:tcPr>
            <w:tcW w:w="1200" w:type="dxa"/>
            <w:vAlign w:val="center"/>
          </w:tcPr>
          <w:p w14:paraId="702D1BF0">
            <w:pPr>
              <w:pStyle w:val="31"/>
              <w:spacing w:line="480" w:lineRule="exact"/>
              <w:jc w:val="center"/>
              <w:rPr>
                <w:rFonts w:hint="eastAsia" w:hAnsi="宋体"/>
                <w:color w:val="auto"/>
                <w:szCs w:val="21"/>
                <w:highlight w:val="none"/>
              </w:rPr>
            </w:pPr>
          </w:p>
        </w:tc>
        <w:tc>
          <w:tcPr>
            <w:tcW w:w="1403" w:type="dxa"/>
            <w:vAlign w:val="center"/>
          </w:tcPr>
          <w:p w14:paraId="0D95A773">
            <w:pPr>
              <w:pStyle w:val="31"/>
              <w:spacing w:line="480" w:lineRule="exact"/>
              <w:jc w:val="center"/>
              <w:rPr>
                <w:rFonts w:hint="eastAsia" w:hAnsi="宋体"/>
                <w:color w:val="auto"/>
                <w:szCs w:val="21"/>
                <w:highlight w:val="none"/>
              </w:rPr>
            </w:pPr>
          </w:p>
        </w:tc>
        <w:tc>
          <w:tcPr>
            <w:tcW w:w="1403" w:type="dxa"/>
          </w:tcPr>
          <w:p w14:paraId="41459190">
            <w:pPr>
              <w:pStyle w:val="31"/>
              <w:spacing w:line="480" w:lineRule="exact"/>
              <w:jc w:val="center"/>
              <w:rPr>
                <w:rFonts w:hint="eastAsia" w:hAnsi="宋体"/>
                <w:color w:val="auto"/>
                <w:szCs w:val="21"/>
                <w:highlight w:val="none"/>
              </w:rPr>
            </w:pPr>
          </w:p>
        </w:tc>
      </w:tr>
      <w:tr w14:paraId="0E7C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5BF3AB97">
            <w:pPr>
              <w:pStyle w:val="31"/>
              <w:spacing w:line="480" w:lineRule="exact"/>
              <w:jc w:val="center"/>
              <w:rPr>
                <w:rFonts w:hint="eastAsia" w:hAnsi="宋体"/>
                <w:color w:val="auto"/>
                <w:szCs w:val="21"/>
                <w:highlight w:val="none"/>
              </w:rPr>
            </w:pPr>
          </w:p>
        </w:tc>
        <w:tc>
          <w:tcPr>
            <w:tcW w:w="1026" w:type="dxa"/>
            <w:vAlign w:val="center"/>
          </w:tcPr>
          <w:p w14:paraId="2E0AAF5A">
            <w:pPr>
              <w:pStyle w:val="31"/>
              <w:spacing w:line="480" w:lineRule="exact"/>
              <w:jc w:val="center"/>
              <w:rPr>
                <w:rFonts w:hint="eastAsia" w:hAnsi="宋体"/>
                <w:color w:val="auto"/>
                <w:szCs w:val="21"/>
                <w:highlight w:val="none"/>
              </w:rPr>
            </w:pPr>
          </w:p>
        </w:tc>
        <w:tc>
          <w:tcPr>
            <w:tcW w:w="877" w:type="dxa"/>
            <w:vAlign w:val="center"/>
          </w:tcPr>
          <w:p w14:paraId="6AF5CDF5">
            <w:pPr>
              <w:pStyle w:val="31"/>
              <w:spacing w:line="480" w:lineRule="exact"/>
              <w:jc w:val="center"/>
              <w:rPr>
                <w:rFonts w:hint="eastAsia" w:hAnsi="宋体"/>
                <w:color w:val="auto"/>
                <w:szCs w:val="21"/>
                <w:highlight w:val="none"/>
              </w:rPr>
            </w:pPr>
          </w:p>
        </w:tc>
        <w:tc>
          <w:tcPr>
            <w:tcW w:w="1533" w:type="dxa"/>
          </w:tcPr>
          <w:p w14:paraId="72EB2E08">
            <w:pPr>
              <w:pStyle w:val="31"/>
              <w:spacing w:line="480" w:lineRule="exact"/>
              <w:jc w:val="center"/>
              <w:rPr>
                <w:rFonts w:hint="eastAsia" w:hAnsi="宋体"/>
                <w:color w:val="auto"/>
                <w:szCs w:val="21"/>
                <w:highlight w:val="none"/>
              </w:rPr>
            </w:pPr>
          </w:p>
        </w:tc>
        <w:tc>
          <w:tcPr>
            <w:tcW w:w="1357" w:type="dxa"/>
            <w:vAlign w:val="center"/>
          </w:tcPr>
          <w:p w14:paraId="4351D6D4">
            <w:pPr>
              <w:pStyle w:val="31"/>
              <w:spacing w:line="480" w:lineRule="exact"/>
              <w:jc w:val="center"/>
              <w:rPr>
                <w:rFonts w:hint="eastAsia" w:hAnsi="宋体"/>
                <w:color w:val="auto"/>
                <w:szCs w:val="21"/>
                <w:highlight w:val="none"/>
              </w:rPr>
            </w:pPr>
          </w:p>
        </w:tc>
        <w:tc>
          <w:tcPr>
            <w:tcW w:w="1200" w:type="dxa"/>
            <w:vAlign w:val="center"/>
          </w:tcPr>
          <w:p w14:paraId="35AB487A">
            <w:pPr>
              <w:pStyle w:val="31"/>
              <w:spacing w:line="480" w:lineRule="exact"/>
              <w:jc w:val="center"/>
              <w:rPr>
                <w:rFonts w:hint="eastAsia" w:hAnsi="宋体"/>
                <w:color w:val="auto"/>
                <w:szCs w:val="21"/>
                <w:highlight w:val="none"/>
              </w:rPr>
            </w:pPr>
          </w:p>
        </w:tc>
        <w:tc>
          <w:tcPr>
            <w:tcW w:w="1403" w:type="dxa"/>
            <w:vAlign w:val="center"/>
          </w:tcPr>
          <w:p w14:paraId="07083269">
            <w:pPr>
              <w:pStyle w:val="31"/>
              <w:spacing w:line="480" w:lineRule="exact"/>
              <w:jc w:val="center"/>
              <w:rPr>
                <w:rFonts w:hint="eastAsia" w:hAnsi="宋体"/>
                <w:color w:val="auto"/>
                <w:szCs w:val="21"/>
                <w:highlight w:val="none"/>
              </w:rPr>
            </w:pPr>
          </w:p>
        </w:tc>
        <w:tc>
          <w:tcPr>
            <w:tcW w:w="1403" w:type="dxa"/>
          </w:tcPr>
          <w:p w14:paraId="6082A190">
            <w:pPr>
              <w:pStyle w:val="31"/>
              <w:spacing w:line="480" w:lineRule="exact"/>
              <w:jc w:val="center"/>
              <w:rPr>
                <w:rFonts w:hint="eastAsia" w:hAnsi="宋体"/>
                <w:color w:val="auto"/>
                <w:szCs w:val="21"/>
                <w:highlight w:val="none"/>
              </w:rPr>
            </w:pPr>
          </w:p>
        </w:tc>
      </w:tr>
      <w:tr w14:paraId="04B3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534" w:type="dxa"/>
            <w:vAlign w:val="center"/>
          </w:tcPr>
          <w:p w14:paraId="6992661F">
            <w:pPr>
              <w:pStyle w:val="31"/>
              <w:spacing w:line="480" w:lineRule="exact"/>
              <w:jc w:val="center"/>
              <w:rPr>
                <w:rFonts w:hint="eastAsia" w:hAnsi="宋体"/>
                <w:color w:val="auto"/>
                <w:szCs w:val="21"/>
                <w:highlight w:val="none"/>
              </w:rPr>
            </w:pPr>
          </w:p>
        </w:tc>
        <w:tc>
          <w:tcPr>
            <w:tcW w:w="1026" w:type="dxa"/>
            <w:vAlign w:val="center"/>
          </w:tcPr>
          <w:p w14:paraId="3064A933">
            <w:pPr>
              <w:pStyle w:val="31"/>
              <w:spacing w:line="480" w:lineRule="exact"/>
              <w:jc w:val="center"/>
              <w:rPr>
                <w:rFonts w:hint="eastAsia" w:hAnsi="宋体"/>
                <w:color w:val="auto"/>
                <w:szCs w:val="21"/>
                <w:highlight w:val="none"/>
              </w:rPr>
            </w:pPr>
          </w:p>
        </w:tc>
        <w:tc>
          <w:tcPr>
            <w:tcW w:w="877" w:type="dxa"/>
            <w:vAlign w:val="center"/>
          </w:tcPr>
          <w:p w14:paraId="20BBDF9F">
            <w:pPr>
              <w:pStyle w:val="31"/>
              <w:spacing w:line="480" w:lineRule="exact"/>
              <w:jc w:val="center"/>
              <w:rPr>
                <w:rFonts w:hint="eastAsia" w:hAnsi="宋体"/>
                <w:color w:val="auto"/>
                <w:szCs w:val="21"/>
                <w:highlight w:val="none"/>
              </w:rPr>
            </w:pPr>
          </w:p>
        </w:tc>
        <w:tc>
          <w:tcPr>
            <w:tcW w:w="1533" w:type="dxa"/>
          </w:tcPr>
          <w:p w14:paraId="627EA549">
            <w:pPr>
              <w:pStyle w:val="31"/>
              <w:spacing w:line="480" w:lineRule="exact"/>
              <w:jc w:val="center"/>
              <w:rPr>
                <w:rFonts w:hint="eastAsia" w:hAnsi="宋体"/>
                <w:color w:val="auto"/>
                <w:szCs w:val="21"/>
                <w:highlight w:val="none"/>
              </w:rPr>
            </w:pPr>
          </w:p>
        </w:tc>
        <w:tc>
          <w:tcPr>
            <w:tcW w:w="1357" w:type="dxa"/>
            <w:vAlign w:val="center"/>
          </w:tcPr>
          <w:p w14:paraId="2F97C926">
            <w:pPr>
              <w:pStyle w:val="31"/>
              <w:spacing w:line="480" w:lineRule="exact"/>
              <w:jc w:val="center"/>
              <w:rPr>
                <w:rFonts w:hint="eastAsia" w:hAnsi="宋体"/>
                <w:color w:val="auto"/>
                <w:szCs w:val="21"/>
                <w:highlight w:val="none"/>
              </w:rPr>
            </w:pPr>
          </w:p>
        </w:tc>
        <w:tc>
          <w:tcPr>
            <w:tcW w:w="1200" w:type="dxa"/>
            <w:vAlign w:val="center"/>
          </w:tcPr>
          <w:p w14:paraId="6D0C724C">
            <w:pPr>
              <w:pStyle w:val="31"/>
              <w:spacing w:line="480" w:lineRule="exact"/>
              <w:jc w:val="center"/>
              <w:rPr>
                <w:rFonts w:hint="eastAsia" w:hAnsi="宋体"/>
                <w:color w:val="auto"/>
                <w:szCs w:val="21"/>
                <w:highlight w:val="none"/>
              </w:rPr>
            </w:pPr>
          </w:p>
        </w:tc>
        <w:tc>
          <w:tcPr>
            <w:tcW w:w="1403" w:type="dxa"/>
            <w:vAlign w:val="center"/>
          </w:tcPr>
          <w:p w14:paraId="1189AFFE">
            <w:pPr>
              <w:pStyle w:val="31"/>
              <w:spacing w:line="480" w:lineRule="exact"/>
              <w:jc w:val="center"/>
              <w:rPr>
                <w:rFonts w:hint="eastAsia" w:hAnsi="宋体"/>
                <w:color w:val="auto"/>
                <w:szCs w:val="21"/>
                <w:highlight w:val="none"/>
              </w:rPr>
            </w:pPr>
          </w:p>
        </w:tc>
        <w:tc>
          <w:tcPr>
            <w:tcW w:w="1403" w:type="dxa"/>
          </w:tcPr>
          <w:p w14:paraId="6A3169C7">
            <w:pPr>
              <w:pStyle w:val="31"/>
              <w:spacing w:line="480" w:lineRule="exact"/>
              <w:jc w:val="center"/>
              <w:rPr>
                <w:rFonts w:hint="eastAsia" w:hAnsi="宋体"/>
                <w:color w:val="auto"/>
                <w:szCs w:val="21"/>
                <w:highlight w:val="none"/>
              </w:rPr>
            </w:pPr>
          </w:p>
        </w:tc>
      </w:tr>
      <w:tr w14:paraId="6A76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06BA79DB">
            <w:pPr>
              <w:pStyle w:val="31"/>
              <w:spacing w:line="480" w:lineRule="exact"/>
              <w:jc w:val="center"/>
              <w:rPr>
                <w:rFonts w:hint="eastAsia" w:hAnsi="宋体"/>
                <w:color w:val="auto"/>
                <w:szCs w:val="21"/>
                <w:highlight w:val="none"/>
              </w:rPr>
            </w:pPr>
          </w:p>
        </w:tc>
        <w:tc>
          <w:tcPr>
            <w:tcW w:w="1026" w:type="dxa"/>
            <w:vAlign w:val="center"/>
          </w:tcPr>
          <w:p w14:paraId="3AE180DA">
            <w:pPr>
              <w:pStyle w:val="31"/>
              <w:spacing w:line="480" w:lineRule="exact"/>
              <w:jc w:val="center"/>
              <w:rPr>
                <w:rFonts w:hint="eastAsia" w:hAnsi="宋体"/>
                <w:color w:val="auto"/>
                <w:szCs w:val="21"/>
                <w:highlight w:val="none"/>
              </w:rPr>
            </w:pPr>
          </w:p>
        </w:tc>
        <w:tc>
          <w:tcPr>
            <w:tcW w:w="877" w:type="dxa"/>
            <w:vAlign w:val="center"/>
          </w:tcPr>
          <w:p w14:paraId="7819112B">
            <w:pPr>
              <w:pStyle w:val="31"/>
              <w:spacing w:line="480" w:lineRule="exact"/>
              <w:jc w:val="center"/>
              <w:rPr>
                <w:rFonts w:hint="eastAsia" w:hAnsi="宋体"/>
                <w:color w:val="auto"/>
                <w:szCs w:val="21"/>
                <w:highlight w:val="none"/>
              </w:rPr>
            </w:pPr>
          </w:p>
        </w:tc>
        <w:tc>
          <w:tcPr>
            <w:tcW w:w="1533" w:type="dxa"/>
          </w:tcPr>
          <w:p w14:paraId="74B4A6FD">
            <w:pPr>
              <w:pStyle w:val="31"/>
              <w:spacing w:line="480" w:lineRule="exact"/>
              <w:jc w:val="center"/>
              <w:rPr>
                <w:rFonts w:hint="eastAsia" w:hAnsi="宋体"/>
                <w:color w:val="auto"/>
                <w:szCs w:val="21"/>
                <w:highlight w:val="none"/>
              </w:rPr>
            </w:pPr>
          </w:p>
        </w:tc>
        <w:tc>
          <w:tcPr>
            <w:tcW w:w="1357" w:type="dxa"/>
            <w:vAlign w:val="center"/>
          </w:tcPr>
          <w:p w14:paraId="5177283A">
            <w:pPr>
              <w:pStyle w:val="31"/>
              <w:spacing w:line="480" w:lineRule="exact"/>
              <w:jc w:val="center"/>
              <w:rPr>
                <w:rFonts w:hint="eastAsia" w:hAnsi="宋体"/>
                <w:color w:val="auto"/>
                <w:szCs w:val="21"/>
                <w:highlight w:val="none"/>
              </w:rPr>
            </w:pPr>
          </w:p>
        </w:tc>
        <w:tc>
          <w:tcPr>
            <w:tcW w:w="1200" w:type="dxa"/>
            <w:vAlign w:val="center"/>
          </w:tcPr>
          <w:p w14:paraId="634F1DB2">
            <w:pPr>
              <w:pStyle w:val="31"/>
              <w:spacing w:line="480" w:lineRule="exact"/>
              <w:jc w:val="center"/>
              <w:rPr>
                <w:rFonts w:hint="eastAsia" w:hAnsi="宋体"/>
                <w:color w:val="auto"/>
                <w:szCs w:val="21"/>
                <w:highlight w:val="none"/>
              </w:rPr>
            </w:pPr>
          </w:p>
        </w:tc>
        <w:tc>
          <w:tcPr>
            <w:tcW w:w="1403" w:type="dxa"/>
            <w:vAlign w:val="center"/>
          </w:tcPr>
          <w:p w14:paraId="6D3333B1">
            <w:pPr>
              <w:pStyle w:val="31"/>
              <w:spacing w:line="480" w:lineRule="exact"/>
              <w:jc w:val="center"/>
              <w:rPr>
                <w:rFonts w:hint="eastAsia" w:hAnsi="宋体"/>
                <w:color w:val="auto"/>
                <w:szCs w:val="21"/>
                <w:highlight w:val="none"/>
              </w:rPr>
            </w:pPr>
          </w:p>
        </w:tc>
        <w:tc>
          <w:tcPr>
            <w:tcW w:w="1403" w:type="dxa"/>
          </w:tcPr>
          <w:p w14:paraId="6052FB12">
            <w:pPr>
              <w:pStyle w:val="31"/>
              <w:spacing w:line="480" w:lineRule="exact"/>
              <w:jc w:val="center"/>
              <w:rPr>
                <w:rFonts w:hint="eastAsia" w:hAnsi="宋体"/>
                <w:color w:val="auto"/>
                <w:szCs w:val="21"/>
                <w:highlight w:val="none"/>
              </w:rPr>
            </w:pPr>
          </w:p>
        </w:tc>
      </w:tr>
      <w:tr w14:paraId="68A1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689A82ED">
            <w:pPr>
              <w:pStyle w:val="31"/>
              <w:spacing w:line="480" w:lineRule="exact"/>
              <w:jc w:val="center"/>
              <w:rPr>
                <w:rFonts w:hint="eastAsia" w:hAnsi="宋体"/>
                <w:color w:val="auto"/>
                <w:szCs w:val="21"/>
                <w:highlight w:val="none"/>
              </w:rPr>
            </w:pPr>
          </w:p>
        </w:tc>
        <w:tc>
          <w:tcPr>
            <w:tcW w:w="1026" w:type="dxa"/>
            <w:vAlign w:val="center"/>
          </w:tcPr>
          <w:p w14:paraId="0A9D9F22">
            <w:pPr>
              <w:pStyle w:val="31"/>
              <w:spacing w:line="480" w:lineRule="exact"/>
              <w:jc w:val="center"/>
              <w:rPr>
                <w:rFonts w:hint="eastAsia" w:hAnsi="宋体"/>
                <w:color w:val="auto"/>
                <w:szCs w:val="21"/>
                <w:highlight w:val="none"/>
              </w:rPr>
            </w:pPr>
          </w:p>
        </w:tc>
        <w:tc>
          <w:tcPr>
            <w:tcW w:w="877" w:type="dxa"/>
            <w:vAlign w:val="center"/>
          </w:tcPr>
          <w:p w14:paraId="5BEE9771">
            <w:pPr>
              <w:pStyle w:val="31"/>
              <w:spacing w:line="480" w:lineRule="exact"/>
              <w:jc w:val="center"/>
              <w:rPr>
                <w:rFonts w:hint="eastAsia" w:hAnsi="宋体"/>
                <w:color w:val="auto"/>
                <w:szCs w:val="21"/>
                <w:highlight w:val="none"/>
              </w:rPr>
            </w:pPr>
          </w:p>
        </w:tc>
        <w:tc>
          <w:tcPr>
            <w:tcW w:w="1533" w:type="dxa"/>
          </w:tcPr>
          <w:p w14:paraId="6B34BDD0">
            <w:pPr>
              <w:pStyle w:val="31"/>
              <w:spacing w:line="480" w:lineRule="exact"/>
              <w:jc w:val="center"/>
              <w:rPr>
                <w:rFonts w:hint="eastAsia" w:hAnsi="宋体"/>
                <w:color w:val="auto"/>
                <w:szCs w:val="21"/>
                <w:highlight w:val="none"/>
              </w:rPr>
            </w:pPr>
          </w:p>
        </w:tc>
        <w:tc>
          <w:tcPr>
            <w:tcW w:w="1357" w:type="dxa"/>
            <w:vAlign w:val="center"/>
          </w:tcPr>
          <w:p w14:paraId="6162C6C0">
            <w:pPr>
              <w:pStyle w:val="31"/>
              <w:spacing w:line="480" w:lineRule="exact"/>
              <w:jc w:val="center"/>
              <w:rPr>
                <w:rFonts w:hint="eastAsia" w:hAnsi="宋体"/>
                <w:color w:val="auto"/>
                <w:szCs w:val="21"/>
                <w:highlight w:val="none"/>
              </w:rPr>
            </w:pPr>
          </w:p>
        </w:tc>
        <w:tc>
          <w:tcPr>
            <w:tcW w:w="1200" w:type="dxa"/>
            <w:vAlign w:val="center"/>
          </w:tcPr>
          <w:p w14:paraId="256FAD10">
            <w:pPr>
              <w:pStyle w:val="31"/>
              <w:spacing w:line="480" w:lineRule="exact"/>
              <w:jc w:val="center"/>
              <w:rPr>
                <w:rFonts w:hint="eastAsia" w:hAnsi="宋体"/>
                <w:color w:val="auto"/>
                <w:szCs w:val="21"/>
                <w:highlight w:val="none"/>
              </w:rPr>
            </w:pPr>
          </w:p>
        </w:tc>
        <w:tc>
          <w:tcPr>
            <w:tcW w:w="1403" w:type="dxa"/>
            <w:vAlign w:val="center"/>
          </w:tcPr>
          <w:p w14:paraId="484EF536">
            <w:pPr>
              <w:pStyle w:val="31"/>
              <w:spacing w:line="480" w:lineRule="exact"/>
              <w:jc w:val="center"/>
              <w:rPr>
                <w:rFonts w:hint="eastAsia" w:hAnsi="宋体"/>
                <w:color w:val="auto"/>
                <w:szCs w:val="21"/>
                <w:highlight w:val="none"/>
              </w:rPr>
            </w:pPr>
          </w:p>
        </w:tc>
        <w:tc>
          <w:tcPr>
            <w:tcW w:w="1403" w:type="dxa"/>
          </w:tcPr>
          <w:p w14:paraId="1821ED84">
            <w:pPr>
              <w:pStyle w:val="31"/>
              <w:spacing w:line="480" w:lineRule="exact"/>
              <w:jc w:val="center"/>
              <w:rPr>
                <w:rFonts w:hint="eastAsia" w:hAnsi="宋体"/>
                <w:color w:val="auto"/>
                <w:szCs w:val="21"/>
                <w:highlight w:val="none"/>
              </w:rPr>
            </w:pPr>
          </w:p>
        </w:tc>
      </w:tr>
      <w:tr w14:paraId="7C41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189FFEF5">
            <w:pPr>
              <w:pStyle w:val="31"/>
              <w:spacing w:line="480" w:lineRule="exact"/>
              <w:jc w:val="center"/>
              <w:rPr>
                <w:rFonts w:hint="eastAsia" w:hAnsi="宋体"/>
                <w:color w:val="auto"/>
                <w:szCs w:val="21"/>
                <w:highlight w:val="none"/>
              </w:rPr>
            </w:pPr>
          </w:p>
        </w:tc>
        <w:tc>
          <w:tcPr>
            <w:tcW w:w="1026" w:type="dxa"/>
            <w:vAlign w:val="center"/>
          </w:tcPr>
          <w:p w14:paraId="4D04B281">
            <w:pPr>
              <w:pStyle w:val="31"/>
              <w:spacing w:line="480" w:lineRule="exact"/>
              <w:jc w:val="center"/>
              <w:rPr>
                <w:rFonts w:hint="eastAsia" w:hAnsi="宋体"/>
                <w:color w:val="auto"/>
                <w:szCs w:val="21"/>
                <w:highlight w:val="none"/>
              </w:rPr>
            </w:pPr>
          </w:p>
        </w:tc>
        <w:tc>
          <w:tcPr>
            <w:tcW w:w="877" w:type="dxa"/>
            <w:vAlign w:val="center"/>
          </w:tcPr>
          <w:p w14:paraId="4840CCDD">
            <w:pPr>
              <w:pStyle w:val="31"/>
              <w:spacing w:line="480" w:lineRule="exact"/>
              <w:jc w:val="center"/>
              <w:rPr>
                <w:rFonts w:hint="eastAsia" w:hAnsi="宋体"/>
                <w:color w:val="auto"/>
                <w:szCs w:val="21"/>
                <w:highlight w:val="none"/>
              </w:rPr>
            </w:pPr>
          </w:p>
        </w:tc>
        <w:tc>
          <w:tcPr>
            <w:tcW w:w="1533" w:type="dxa"/>
          </w:tcPr>
          <w:p w14:paraId="7900177E">
            <w:pPr>
              <w:pStyle w:val="31"/>
              <w:spacing w:line="480" w:lineRule="exact"/>
              <w:jc w:val="center"/>
              <w:rPr>
                <w:rFonts w:hint="eastAsia" w:hAnsi="宋体"/>
                <w:color w:val="auto"/>
                <w:szCs w:val="21"/>
                <w:highlight w:val="none"/>
              </w:rPr>
            </w:pPr>
          </w:p>
        </w:tc>
        <w:tc>
          <w:tcPr>
            <w:tcW w:w="1357" w:type="dxa"/>
            <w:vAlign w:val="center"/>
          </w:tcPr>
          <w:p w14:paraId="13923B7B">
            <w:pPr>
              <w:pStyle w:val="31"/>
              <w:spacing w:line="480" w:lineRule="exact"/>
              <w:jc w:val="center"/>
              <w:rPr>
                <w:rFonts w:hint="eastAsia" w:hAnsi="宋体"/>
                <w:color w:val="auto"/>
                <w:szCs w:val="21"/>
                <w:highlight w:val="none"/>
              </w:rPr>
            </w:pPr>
          </w:p>
        </w:tc>
        <w:tc>
          <w:tcPr>
            <w:tcW w:w="1200" w:type="dxa"/>
            <w:vAlign w:val="center"/>
          </w:tcPr>
          <w:p w14:paraId="6C009727">
            <w:pPr>
              <w:pStyle w:val="31"/>
              <w:spacing w:line="480" w:lineRule="exact"/>
              <w:jc w:val="center"/>
              <w:rPr>
                <w:rFonts w:hint="eastAsia" w:hAnsi="宋体"/>
                <w:color w:val="auto"/>
                <w:szCs w:val="21"/>
                <w:highlight w:val="none"/>
              </w:rPr>
            </w:pPr>
          </w:p>
        </w:tc>
        <w:tc>
          <w:tcPr>
            <w:tcW w:w="1403" w:type="dxa"/>
            <w:vAlign w:val="center"/>
          </w:tcPr>
          <w:p w14:paraId="6DB39938">
            <w:pPr>
              <w:pStyle w:val="31"/>
              <w:spacing w:line="480" w:lineRule="exact"/>
              <w:jc w:val="center"/>
              <w:rPr>
                <w:rFonts w:hint="eastAsia" w:hAnsi="宋体"/>
                <w:color w:val="auto"/>
                <w:szCs w:val="21"/>
                <w:highlight w:val="none"/>
              </w:rPr>
            </w:pPr>
          </w:p>
        </w:tc>
        <w:tc>
          <w:tcPr>
            <w:tcW w:w="1403" w:type="dxa"/>
          </w:tcPr>
          <w:p w14:paraId="1E09E278">
            <w:pPr>
              <w:pStyle w:val="31"/>
              <w:spacing w:line="480" w:lineRule="exact"/>
              <w:jc w:val="center"/>
              <w:rPr>
                <w:rFonts w:hint="eastAsia" w:hAnsi="宋体"/>
                <w:color w:val="auto"/>
                <w:szCs w:val="21"/>
                <w:highlight w:val="none"/>
              </w:rPr>
            </w:pPr>
          </w:p>
        </w:tc>
      </w:tr>
    </w:tbl>
    <w:p w14:paraId="07A55159">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hAnsi="宋体"/>
          <w:color w:val="auto"/>
          <w:sz w:val="22"/>
          <w:szCs w:val="22"/>
          <w:highlight w:val="none"/>
        </w:rPr>
      </w:pPr>
    </w:p>
    <w:p w14:paraId="6C2E66EC">
      <w:pPr>
        <w:tabs>
          <w:tab w:val="left" w:pos="654"/>
          <w:tab w:val="left" w:pos="1734"/>
          <w:tab w:val="left" w:pos="2814"/>
          <w:tab w:val="left" w:pos="3894"/>
          <w:tab w:val="left" w:pos="5334"/>
          <w:tab w:val="left" w:pos="6414"/>
          <w:tab w:val="left" w:pos="7254"/>
          <w:tab w:val="left" w:pos="8574"/>
          <w:tab w:val="left" w:pos="9654"/>
        </w:tabs>
        <w:spacing w:line="480" w:lineRule="exact"/>
        <w:rPr>
          <w:rFonts w:hint="eastAsia" w:hAnsi="宋体"/>
          <w:color w:val="auto"/>
          <w:sz w:val="21"/>
          <w:szCs w:val="21"/>
          <w:highlight w:val="none"/>
        </w:rPr>
      </w:pPr>
      <w:r>
        <w:rPr>
          <w:rFonts w:hint="eastAsia" w:hAnsi="宋体"/>
          <w:color w:val="auto"/>
          <w:sz w:val="21"/>
          <w:szCs w:val="21"/>
          <w:highlight w:val="none"/>
        </w:rPr>
        <w:t>要求：</w:t>
      </w:r>
    </w:p>
    <w:p w14:paraId="4B2F504A">
      <w:pP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1.供应商可以根据本表格内容和实际情况制作本表格。</w:t>
      </w:r>
    </w:p>
    <w:p w14:paraId="7127F7BA">
      <w:pP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hAnsi="宋体"/>
          <w:color w:val="auto"/>
          <w:sz w:val="21"/>
          <w:szCs w:val="21"/>
          <w:highlight w:val="none"/>
        </w:rPr>
      </w:pPr>
      <w:r>
        <w:rPr>
          <w:rFonts w:hint="eastAsia" w:hAnsi="宋体"/>
          <w:color w:val="auto"/>
          <w:sz w:val="21"/>
          <w:szCs w:val="21"/>
          <w:highlight w:val="none"/>
        </w:rPr>
        <w:t>2.供应商应当在响应文件中提供评分标准中要求提供的资料。（上述文件均加盖供应商公章）</w:t>
      </w:r>
    </w:p>
    <w:p w14:paraId="25579A66">
      <w:pPr>
        <w:pStyle w:val="23"/>
        <w:rPr>
          <w:rFonts w:hint="eastAsia" w:hAnsi="宋体"/>
          <w:color w:val="auto"/>
          <w:sz w:val="21"/>
          <w:szCs w:val="21"/>
          <w:highlight w:val="none"/>
        </w:rPr>
      </w:pPr>
    </w:p>
    <w:p w14:paraId="2CCB1066">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供应商名称（加盖公章）：</w:t>
      </w:r>
    </w:p>
    <w:p w14:paraId="0540EEA0">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供应商法定代表人或受委托人（签名或盖私章）：</w:t>
      </w:r>
    </w:p>
    <w:p w14:paraId="270F343D">
      <w:pPr>
        <w:overflowPunct w:val="0"/>
        <w:snapToGrid w:val="0"/>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日期：  年  月  日</w:t>
      </w:r>
    </w:p>
    <w:p w14:paraId="0D53BFE9">
      <w:pPr>
        <w:spacing w:line="480" w:lineRule="exact"/>
        <w:rPr>
          <w:rFonts w:hint="eastAsia" w:hAnsi="宋体"/>
          <w:b/>
          <w:bCs/>
          <w:color w:val="auto"/>
          <w:szCs w:val="21"/>
          <w:highlight w:val="none"/>
          <w:u w:val="single"/>
        </w:rPr>
      </w:pPr>
    </w:p>
    <w:p w14:paraId="60F60683">
      <w:pPr>
        <w:pStyle w:val="6"/>
        <w:numPr>
          <w:ilvl w:val="0"/>
          <w:numId w:val="12"/>
        </w:numPr>
        <w:jc w:val="center"/>
        <w:rPr>
          <w:rFonts w:hint="eastAsia"/>
          <w:bCs/>
          <w:color w:val="auto"/>
          <w:sz w:val="28"/>
          <w:szCs w:val="28"/>
          <w:highlight w:val="none"/>
        </w:rPr>
      </w:pPr>
      <w:r>
        <w:rPr>
          <w:rFonts w:hint="eastAsia"/>
          <w:bCs/>
          <w:color w:val="auto"/>
          <w:szCs w:val="21"/>
          <w:highlight w:val="none"/>
        </w:rPr>
        <w:br w:type="page"/>
      </w:r>
      <w:bookmarkEnd w:id="257"/>
      <w:bookmarkEnd w:id="258"/>
      <w:bookmarkEnd w:id="259"/>
      <w:bookmarkEnd w:id="260"/>
      <w:bookmarkEnd w:id="261"/>
      <w:bookmarkEnd w:id="262"/>
      <w:bookmarkEnd w:id="263"/>
      <w:bookmarkEnd w:id="264"/>
      <w:bookmarkEnd w:id="265"/>
      <w:bookmarkEnd w:id="266"/>
      <w:bookmarkEnd w:id="267"/>
      <w:bookmarkEnd w:id="268"/>
      <w:bookmarkStart w:id="273" w:name="_Toc13441"/>
      <w:bookmarkStart w:id="274" w:name="_Toc16598"/>
      <w:r>
        <w:rPr>
          <w:rFonts w:hint="eastAsia"/>
          <w:bCs/>
          <w:color w:val="auto"/>
          <w:sz w:val="28"/>
          <w:szCs w:val="28"/>
          <w:highlight w:val="none"/>
        </w:rPr>
        <w:t>磋商保证金汇入情况说明（适用于转账、电汇方式）</w:t>
      </w:r>
      <w:bookmarkEnd w:id="273"/>
      <w:bookmarkEnd w:id="274"/>
    </w:p>
    <w:p w14:paraId="5964CA9F">
      <w:pPr>
        <w:spacing w:line="460" w:lineRule="exact"/>
        <w:rPr>
          <w:rFonts w:hint="eastAsia" w:hAnsi="宋体"/>
          <w:b/>
          <w:bCs/>
          <w:color w:val="auto"/>
          <w:sz w:val="22"/>
          <w:szCs w:val="22"/>
          <w:highlight w:val="none"/>
        </w:rPr>
      </w:pPr>
    </w:p>
    <w:p w14:paraId="0ABE1958">
      <w:pPr>
        <w:spacing w:line="460" w:lineRule="exact"/>
        <w:rPr>
          <w:rFonts w:hint="eastAsia" w:hAnsi="宋体"/>
          <w:color w:val="auto"/>
          <w:sz w:val="21"/>
          <w:szCs w:val="21"/>
          <w:highlight w:val="none"/>
        </w:rPr>
      </w:pPr>
      <w:r>
        <w:rPr>
          <w:rFonts w:hint="eastAsia" w:hAnsi="宋体"/>
          <w:color w:val="auto"/>
          <w:sz w:val="21"/>
          <w:szCs w:val="21"/>
          <w:highlight w:val="none"/>
        </w:rPr>
        <w:t xml:space="preserve">广东中科招标有限公司： </w:t>
      </w:r>
    </w:p>
    <w:p w14:paraId="39DF07CE">
      <w:pPr>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本单位已按</w:t>
      </w:r>
      <w:r>
        <w:rPr>
          <w:rFonts w:hint="eastAsia" w:hAnsi="宋体"/>
          <w:color w:val="auto"/>
          <w:sz w:val="21"/>
          <w:szCs w:val="21"/>
          <w:highlight w:val="none"/>
          <w:u w:val="single"/>
        </w:rPr>
        <w:t xml:space="preserve">  （项目名称）   （</w:t>
      </w:r>
      <w:r>
        <w:rPr>
          <w:rFonts w:hint="eastAsia" w:hAnsi="宋体"/>
          <w:color w:val="auto"/>
          <w:sz w:val="21"/>
          <w:szCs w:val="21"/>
          <w:highlight w:val="none"/>
        </w:rPr>
        <w:t>采购编号：</w:t>
      </w:r>
      <w:r>
        <w:rPr>
          <w:rFonts w:hint="eastAsia" w:hAnsi="宋体"/>
          <w:color w:val="auto"/>
          <w:sz w:val="21"/>
          <w:szCs w:val="21"/>
          <w:highlight w:val="none"/>
          <w:u w:val="single"/>
        </w:rPr>
        <w:t xml:space="preserve">     ）</w:t>
      </w:r>
      <w:r>
        <w:rPr>
          <w:rFonts w:hint="eastAsia" w:hAnsi="宋体"/>
          <w:color w:val="auto"/>
          <w:sz w:val="21"/>
          <w:szCs w:val="21"/>
          <w:highlight w:val="none"/>
        </w:rPr>
        <w:t>的磋商文件要求，于    年  月  日前以（付款形式）方式汇入指定账户（账户名称：           ，帐号：           ,开户银行：            ）。</w:t>
      </w:r>
    </w:p>
    <w:p w14:paraId="3C3B4493">
      <w:pPr>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供应商磋商保证金的汇款情况：（详见附件－磋商保证金进帐单）汇出时间：    年  月  日；</w:t>
      </w:r>
    </w:p>
    <w:p w14:paraId="48C293F8">
      <w:pPr>
        <w:spacing w:line="460" w:lineRule="exact"/>
        <w:ind w:firstLine="420" w:firstLineChars="200"/>
        <w:rPr>
          <w:rFonts w:hint="eastAsia" w:hAnsi="宋体"/>
          <w:color w:val="auto"/>
          <w:sz w:val="21"/>
          <w:szCs w:val="21"/>
          <w:highlight w:val="none"/>
          <w:u w:val="single"/>
        </w:rPr>
      </w:pPr>
      <w:r>
        <w:rPr>
          <w:rFonts w:hint="eastAsia" w:hAnsi="宋体"/>
          <w:color w:val="auto"/>
          <w:sz w:val="21"/>
          <w:szCs w:val="21"/>
          <w:highlight w:val="none"/>
        </w:rPr>
        <w:t>汇款金额：（大写）人民币</w:t>
      </w:r>
      <w:r>
        <w:rPr>
          <w:rFonts w:hint="eastAsia" w:hAnsi="宋体"/>
          <w:color w:val="auto"/>
          <w:sz w:val="21"/>
          <w:szCs w:val="21"/>
          <w:highlight w:val="none"/>
          <w:u w:val="single"/>
        </w:rPr>
        <w:t xml:space="preserve">               元整</w:t>
      </w:r>
    </w:p>
    <w:p w14:paraId="6BB35F64">
      <w:pPr>
        <w:spacing w:line="460" w:lineRule="exact"/>
        <w:ind w:firstLine="1365" w:firstLineChars="650"/>
        <w:rPr>
          <w:rFonts w:hint="eastAsia" w:hAnsi="宋体"/>
          <w:color w:val="auto"/>
          <w:sz w:val="21"/>
          <w:szCs w:val="21"/>
          <w:highlight w:val="none"/>
          <w:u w:val="single"/>
        </w:rPr>
      </w:pPr>
      <w:r>
        <w:rPr>
          <w:rFonts w:hint="eastAsia" w:hAnsi="宋体"/>
          <w:color w:val="auto"/>
          <w:sz w:val="21"/>
          <w:szCs w:val="21"/>
          <w:highlight w:val="none"/>
        </w:rPr>
        <w:t>（小写）￥元。</w:t>
      </w:r>
    </w:p>
    <w:p w14:paraId="5B5F7869">
      <w:pPr>
        <w:spacing w:line="460" w:lineRule="exact"/>
        <w:ind w:firstLine="420" w:firstLineChars="200"/>
        <w:rPr>
          <w:rFonts w:hint="eastAsia" w:hAnsi="宋体"/>
          <w:color w:val="auto"/>
          <w:sz w:val="21"/>
          <w:szCs w:val="21"/>
          <w:highlight w:val="none"/>
          <w:u w:val="single"/>
        </w:rPr>
      </w:pPr>
      <w:r>
        <w:rPr>
          <w:rFonts w:hint="eastAsia" w:hAnsi="宋体"/>
          <w:color w:val="auto"/>
          <w:sz w:val="21"/>
          <w:szCs w:val="21"/>
          <w:highlight w:val="none"/>
        </w:rPr>
        <w:t>汇款账户名称：</w:t>
      </w:r>
      <w:r>
        <w:rPr>
          <w:rFonts w:hint="eastAsia" w:hAnsi="宋体"/>
          <w:color w:val="auto"/>
          <w:sz w:val="21"/>
          <w:szCs w:val="21"/>
          <w:highlight w:val="none"/>
          <w:u w:val="single"/>
        </w:rPr>
        <w:t xml:space="preserve">  （必须是磋商时使用的单位名称）   </w:t>
      </w:r>
    </w:p>
    <w:p w14:paraId="789B425C">
      <w:pPr>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帐    号：</w:t>
      </w:r>
      <w:r>
        <w:rPr>
          <w:rFonts w:hint="eastAsia" w:hAnsi="宋体"/>
          <w:color w:val="auto"/>
          <w:sz w:val="21"/>
          <w:szCs w:val="21"/>
          <w:highlight w:val="none"/>
          <w:u w:val="single"/>
        </w:rPr>
        <w:t xml:space="preserve">  （必须是磋商时使用的账号）     </w:t>
      </w:r>
    </w:p>
    <w:p w14:paraId="774DCB0A">
      <w:pPr>
        <w:spacing w:line="460" w:lineRule="exact"/>
        <w:ind w:firstLine="420" w:firstLineChars="200"/>
        <w:rPr>
          <w:rFonts w:hint="eastAsia" w:hAnsi="宋体"/>
          <w:color w:val="auto"/>
          <w:sz w:val="21"/>
          <w:szCs w:val="21"/>
          <w:highlight w:val="none"/>
          <w:u w:val="single"/>
        </w:rPr>
      </w:pPr>
      <w:r>
        <w:rPr>
          <w:rFonts w:hint="eastAsia" w:hAnsi="宋体"/>
          <w:color w:val="auto"/>
          <w:sz w:val="21"/>
          <w:szCs w:val="21"/>
          <w:highlight w:val="none"/>
        </w:rPr>
        <w:t>开户银行：</w:t>
      </w:r>
      <w:r>
        <w:rPr>
          <w:rFonts w:hint="eastAsia" w:hAnsi="宋体"/>
          <w:color w:val="auto"/>
          <w:sz w:val="21"/>
          <w:szCs w:val="21"/>
          <w:highlight w:val="none"/>
          <w:u w:val="single"/>
        </w:rPr>
        <w:t xml:space="preserve">    银行   省    市          (分行/支行)    </w:t>
      </w:r>
    </w:p>
    <w:p w14:paraId="7E733624">
      <w:pPr>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本单位谨承诺上述资料是正确、真实的，如因上述证明与事实不符导致的一切损失，本单位保证承担赔偿等一切法律责任。</w:t>
      </w:r>
    </w:p>
    <w:p w14:paraId="24F0F87E">
      <w:pPr>
        <w:spacing w:line="460" w:lineRule="exact"/>
        <w:ind w:firstLine="420" w:firstLineChars="200"/>
        <w:rPr>
          <w:rFonts w:hint="eastAsia" w:hAnsi="宋体"/>
          <w:color w:val="auto"/>
          <w:sz w:val="21"/>
          <w:szCs w:val="21"/>
          <w:highlight w:val="none"/>
        </w:rPr>
      </w:pPr>
      <w:r>
        <w:rPr>
          <w:rFonts w:hint="eastAsia" w:hAnsi="宋体"/>
          <w:color w:val="auto"/>
          <w:sz w:val="21"/>
          <w:szCs w:val="21"/>
          <w:highlight w:val="none"/>
        </w:rPr>
        <w:t>磋商保证金退回时，请按上述资料退回。</w:t>
      </w:r>
    </w:p>
    <w:p w14:paraId="4B79C587">
      <w:pPr>
        <w:spacing w:line="460" w:lineRule="exact"/>
        <w:rPr>
          <w:rFonts w:hint="eastAsia" w:hAnsi="宋体"/>
          <w:b/>
          <w:bCs/>
          <w:color w:val="auto"/>
          <w:sz w:val="21"/>
          <w:szCs w:val="21"/>
          <w:highlight w:val="none"/>
        </w:rPr>
      </w:pPr>
    </w:p>
    <w:p w14:paraId="199B9806">
      <w:pPr>
        <w:spacing w:line="460" w:lineRule="exact"/>
        <w:rPr>
          <w:rFonts w:hint="eastAsia" w:hAnsi="宋体"/>
          <w:b/>
          <w:bCs/>
          <w:color w:val="auto"/>
          <w:sz w:val="21"/>
          <w:szCs w:val="21"/>
          <w:highlight w:val="none"/>
        </w:rPr>
      </w:pPr>
      <w:r>
        <w:rPr>
          <w:rFonts w:hint="eastAsia" w:hAnsi="宋体"/>
          <w:b/>
          <w:bCs/>
          <w:color w:val="auto"/>
          <w:sz w:val="21"/>
          <w:szCs w:val="21"/>
          <w:highlight w:val="none"/>
        </w:rPr>
        <w:t>附件：磋商保证金进帐单复印件（加盖公章）</w:t>
      </w:r>
    </w:p>
    <w:p w14:paraId="0123D8B4">
      <w:pPr>
        <w:spacing w:line="460" w:lineRule="exact"/>
        <w:ind w:right="965" w:rightChars="402"/>
        <w:jc w:val="right"/>
        <w:rPr>
          <w:rFonts w:hint="eastAsia" w:hAnsi="宋体"/>
          <w:color w:val="auto"/>
          <w:sz w:val="21"/>
          <w:szCs w:val="21"/>
          <w:highlight w:val="none"/>
        </w:rPr>
      </w:pPr>
      <w:r>
        <w:rPr>
          <w:rFonts w:hint="eastAsia" w:hAnsi="宋体"/>
          <w:color w:val="auto"/>
          <w:sz w:val="21"/>
          <w:szCs w:val="21"/>
          <w:highlight w:val="none"/>
        </w:rPr>
        <w:t>（公章）</w:t>
      </w:r>
    </w:p>
    <w:p w14:paraId="573D1F8C">
      <w:pPr>
        <w:spacing w:line="460" w:lineRule="exact"/>
        <w:ind w:right="718" w:rightChars="299"/>
        <w:jc w:val="right"/>
        <w:rPr>
          <w:rFonts w:hint="eastAsia" w:hAnsi="宋体"/>
          <w:color w:val="auto"/>
          <w:sz w:val="21"/>
          <w:szCs w:val="21"/>
          <w:highlight w:val="none"/>
        </w:rPr>
      </w:pPr>
      <w:r>
        <w:rPr>
          <w:rFonts w:hint="eastAsia" w:hAnsi="宋体"/>
          <w:color w:val="auto"/>
          <w:sz w:val="21"/>
          <w:szCs w:val="21"/>
          <w:highlight w:val="none"/>
        </w:rPr>
        <w:t>年   月   日</w:t>
      </w:r>
    </w:p>
    <w:p w14:paraId="5EF01381">
      <w:pPr>
        <w:spacing w:line="460" w:lineRule="exact"/>
        <w:rPr>
          <w:rFonts w:hint="eastAsia" w:hAnsi="宋体"/>
          <w:color w:val="auto"/>
          <w:sz w:val="21"/>
          <w:szCs w:val="21"/>
          <w:highlight w:val="none"/>
        </w:rPr>
      </w:pPr>
      <w:r>
        <w:rPr>
          <w:rFonts w:hint="eastAsia" w:hAnsi="宋体"/>
          <w:color w:val="auto"/>
          <w:sz w:val="21"/>
          <w:szCs w:val="21"/>
          <w:highlight w:val="none"/>
        </w:rPr>
        <w:t xml:space="preserve">单位名称：           </w:t>
      </w:r>
    </w:p>
    <w:p w14:paraId="3B291268">
      <w:pPr>
        <w:spacing w:line="460" w:lineRule="exact"/>
        <w:rPr>
          <w:rFonts w:hint="eastAsia" w:hAnsi="宋体"/>
          <w:color w:val="auto"/>
          <w:sz w:val="21"/>
          <w:szCs w:val="21"/>
          <w:highlight w:val="none"/>
        </w:rPr>
      </w:pPr>
      <w:r>
        <w:rPr>
          <w:rFonts w:hint="eastAsia" w:hAnsi="宋体"/>
          <w:color w:val="auto"/>
          <w:sz w:val="21"/>
          <w:szCs w:val="21"/>
          <w:highlight w:val="none"/>
        </w:rPr>
        <w:t xml:space="preserve">单位地址：           </w:t>
      </w:r>
    </w:p>
    <w:p w14:paraId="31B3F1C1">
      <w:pPr>
        <w:spacing w:line="460" w:lineRule="exact"/>
        <w:rPr>
          <w:rFonts w:hint="eastAsia" w:hAnsi="宋体"/>
          <w:color w:val="auto"/>
          <w:sz w:val="21"/>
          <w:szCs w:val="21"/>
          <w:highlight w:val="none"/>
        </w:rPr>
      </w:pPr>
      <w:r>
        <w:rPr>
          <w:rFonts w:hint="eastAsia" w:hAnsi="宋体"/>
          <w:color w:val="auto"/>
          <w:sz w:val="21"/>
          <w:szCs w:val="21"/>
          <w:highlight w:val="none"/>
        </w:rPr>
        <w:t xml:space="preserve">联系人：                   </w:t>
      </w:r>
    </w:p>
    <w:p w14:paraId="5F4E4803">
      <w:pPr>
        <w:spacing w:line="460" w:lineRule="exact"/>
        <w:rPr>
          <w:rFonts w:hint="eastAsia" w:hAnsi="宋体"/>
          <w:color w:val="auto"/>
          <w:sz w:val="21"/>
          <w:szCs w:val="21"/>
          <w:highlight w:val="none"/>
        </w:rPr>
      </w:pPr>
      <w:r>
        <w:rPr>
          <w:rFonts w:hint="eastAsia" w:hAnsi="宋体"/>
          <w:color w:val="auto"/>
          <w:sz w:val="21"/>
          <w:szCs w:val="21"/>
          <w:highlight w:val="none"/>
        </w:rPr>
        <w:t xml:space="preserve">单位电话：                 联系人手机：              </w:t>
      </w:r>
    </w:p>
    <w:p w14:paraId="592D7F31">
      <w:pPr>
        <w:spacing w:line="360" w:lineRule="auto"/>
        <w:rPr>
          <w:rFonts w:hint="eastAsia" w:hAnsi="宋体"/>
          <w:b/>
          <w:color w:val="auto"/>
          <w:sz w:val="21"/>
          <w:szCs w:val="21"/>
          <w:highlight w:val="none"/>
        </w:rPr>
      </w:pPr>
    </w:p>
    <w:p w14:paraId="41756E6A">
      <w:pPr>
        <w:rPr>
          <w:rFonts w:hint="eastAsia" w:hAnsi="宋体"/>
          <w:color w:val="auto"/>
          <w:sz w:val="21"/>
          <w:szCs w:val="21"/>
          <w:highlight w:val="none"/>
        </w:rPr>
      </w:pPr>
      <w:r>
        <w:rPr>
          <w:rFonts w:hint="eastAsia" w:hAnsi="宋体"/>
          <w:color w:val="auto"/>
          <w:sz w:val="21"/>
          <w:szCs w:val="21"/>
          <w:highlight w:val="none"/>
        </w:rPr>
        <w:t>注：本说明的所有内容（包括所填写内容）均需打印；</w:t>
      </w:r>
      <w:bookmarkStart w:id="275" w:name="_Toc3023"/>
      <w:bookmarkStart w:id="276" w:name="_Toc25023"/>
      <w:bookmarkStart w:id="277" w:name="_Toc28312"/>
      <w:bookmarkStart w:id="278" w:name="_Toc24921"/>
      <w:bookmarkStart w:id="279" w:name="_Toc23871"/>
      <w:bookmarkStart w:id="280" w:name="_Toc5810"/>
      <w:bookmarkStart w:id="281" w:name="_Toc10038"/>
      <w:bookmarkStart w:id="282" w:name="_Toc9804"/>
      <w:bookmarkStart w:id="283" w:name="_Toc1711"/>
      <w:bookmarkStart w:id="284" w:name="_Toc3469"/>
      <w:bookmarkStart w:id="285" w:name="_Toc32258"/>
    </w:p>
    <w:p w14:paraId="5119BCC3">
      <w:pPr>
        <w:rPr>
          <w:rFonts w:hint="eastAsia" w:hAnsi="宋体"/>
          <w:b/>
          <w:bCs/>
          <w:color w:val="auto"/>
          <w:highlight w:val="none"/>
        </w:rPr>
      </w:pPr>
      <w:r>
        <w:rPr>
          <w:rFonts w:hint="eastAsia" w:hAnsi="宋体"/>
          <w:b/>
          <w:bCs/>
          <w:color w:val="auto"/>
          <w:highlight w:val="none"/>
        </w:rPr>
        <w:br w:type="page"/>
      </w:r>
    </w:p>
    <w:bookmarkEnd w:id="275"/>
    <w:bookmarkEnd w:id="276"/>
    <w:bookmarkEnd w:id="277"/>
    <w:bookmarkEnd w:id="278"/>
    <w:bookmarkEnd w:id="279"/>
    <w:bookmarkEnd w:id="280"/>
    <w:bookmarkEnd w:id="281"/>
    <w:bookmarkEnd w:id="282"/>
    <w:bookmarkEnd w:id="283"/>
    <w:bookmarkEnd w:id="284"/>
    <w:bookmarkEnd w:id="285"/>
    <w:p w14:paraId="636B6007">
      <w:pPr>
        <w:pStyle w:val="6"/>
        <w:pageBreakBefore/>
        <w:spacing w:line="360" w:lineRule="auto"/>
        <w:jc w:val="center"/>
        <w:rPr>
          <w:rFonts w:hint="eastAsia"/>
          <w:bCs/>
          <w:color w:val="auto"/>
          <w:sz w:val="28"/>
          <w:szCs w:val="28"/>
          <w:highlight w:val="none"/>
        </w:rPr>
      </w:pPr>
      <w:bookmarkStart w:id="286" w:name="_Toc20966"/>
      <w:bookmarkStart w:id="287" w:name="_Toc19888"/>
      <w:r>
        <w:rPr>
          <w:rFonts w:hint="eastAsia"/>
          <w:bCs/>
          <w:color w:val="auto"/>
          <w:sz w:val="28"/>
          <w:szCs w:val="28"/>
          <w:highlight w:val="none"/>
        </w:rPr>
        <w:t>第三部分 技术文件</w:t>
      </w:r>
      <w:bookmarkEnd w:id="286"/>
      <w:bookmarkEnd w:id="287"/>
      <w:r>
        <w:rPr>
          <w:rFonts w:hint="eastAsia"/>
          <w:color w:val="auto"/>
          <w:sz w:val="28"/>
          <w:szCs w:val="28"/>
          <w:highlight w:val="none"/>
        </w:rPr>
        <w:t>（单独编制装订成册）</w:t>
      </w:r>
    </w:p>
    <w:p w14:paraId="294FC88E">
      <w:pPr>
        <w:jc w:val="center"/>
        <w:rPr>
          <w:rFonts w:hint="eastAsia" w:hAnsi="宋体"/>
          <w:color w:val="auto"/>
          <w:highlight w:val="none"/>
        </w:rPr>
      </w:pPr>
    </w:p>
    <w:p w14:paraId="74CDCB85">
      <w:pPr>
        <w:pStyle w:val="6"/>
        <w:numPr>
          <w:ilvl w:val="0"/>
          <w:numId w:val="13"/>
        </w:numPr>
        <w:jc w:val="center"/>
        <w:rPr>
          <w:rFonts w:hint="eastAsia"/>
          <w:color w:val="auto"/>
          <w:highlight w:val="none"/>
        </w:rPr>
      </w:pPr>
      <w:bookmarkStart w:id="288" w:name="_Toc24064"/>
      <w:bookmarkStart w:id="289" w:name="_Toc9540"/>
      <w:bookmarkStart w:id="290" w:name="_Toc7161"/>
      <w:bookmarkStart w:id="291" w:name="_Toc15167"/>
      <w:bookmarkStart w:id="292" w:name="_Toc9579"/>
      <w:bookmarkStart w:id="293" w:name="_Toc31683"/>
      <w:bookmarkStart w:id="294" w:name="_Toc28884"/>
      <w:bookmarkStart w:id="295" w:name="_Toc1852"/>
      <w:bookmarkStart w:id="296" w:name="_Toc25949"/>
      <w:r>
        <w:rPr>
          <w:rFonts w:hint="eastAsia"/>
          <w:color w:val="auto"/>
          <w:highlight w:val="none"/>
        </w:rPr>
        <w:t>技术方案</w:t>
      </w:r>
      <w:bookmarkEnd w:id="288"/>
      <w:bookmarkEnd w:id="289"/>
      <w:bookmarkEnd w:id="290"/>
      <w:bookmarkEnd w:id="291"/>
      <w:bookmarkEnd w:id="292"/>
      <w:bookmarkEnd w:id="293"/>
      <w:bookmarkEnd w:id="294"/>
      <w:bookmarkEnd w:id="295"/>
      <w:bookmarkEnd w:id="296"/>
    </w:p>
    <w:p w14:paraId="1605A8A7">
      <w:pPr>
        <w:snapToGrid w:val="0"/>
        <w:spacing w:line="360" w:lineRule="auto"/>
        <w:rPr>
          <w:rFonts w:hint="eastAsia" w:hAnsi="宋体"/>
          <w:color w:val="auto"/>
          <w:sz w:val="21"/>
          <w:szCs w:val="21"/>
          <w:highlight w:val="none"/>
        </w:rPr>
      </w:pPr>
    </w:p>
    <w:p w14:paraId="7223C18B">
      <w:pPr>
        <w:snapToGrid w:val="0"/>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根据用户需求书编写。</w:t>
      </w:r>
    </w:p>
    <w:p w14:paraId="60C4D825">
      <w:pPr>
        <w:snapToGrid w:val="0"/>
        <w:spacing w:line="360" w:lineRule="auto"/>
        <w:rPr>
          <w:rFonts w:hint="eastAsia" w:hAnsi="宋体"/>
          <w:color w:val="auto"/>
          <w:sz w:val="21"/>
          <w:szCs w:val="21"/>
          <w:highlight w:val="none"/>
        </w:rPr>
      </w:pPr>
    </w:p>
    <w:p w14:paraId="7AA4FDF2">
      <w:pPr>
        <w:pStyle w:val="15"/>
        <w:rPr>
          <w:rFonts w:hint="eastAsia" w:ascii="宋体" w:hAnsi="宋体"/>
          <w:color w:val="auto"/>
          <w:sz w:val="21"/>
          <w:szCs w:val="21"/>
          <w:highlight w:val="none"/>
        </w:rPr>
      </w:pPr>
    </w:p>
    <w:p w14:paraId="26AF2C72">
      <w:pPr>
        <w:pStyle w:val="15"/>
        <w:rPr>
          <w:rFonts w:hint="eastAsia" w:ascii="宋体" w:hAnsi="宋体"/>
          <w:color w:val="auto"/>
          <w:sz w:val="21"/>
          <w:szCs w:val="21"/>
          <w:highlight w:val="none"/>
        </w:rPr>
      </w:pPr>
    </w:p>
    <w:p w14:paraId="2948CAE3">
      <w:pPr>
        <w:pStyle w:val="15"/>
        <w:rPr>
          <w:rFonts w:hint="eastAsia" w:ascii="宋体" w:hAnsi="宋体"/>
          <w:color w:val="auto"/>
          <w:sz w:val="21"/>
          <w:szCs w:val="21"/>
          <w:highlight w:val="none"/>
        </w:rPr>
      </w:pPr>
    </w:p>
    <w:p w14:paraId="689C2627">
      <w:pPr>
        <w:pStyle w:val="15"/>
        <w:rPr>
          <w:rFonts w:hint="eastAsia" w:ascii="宋体" w:hAnsi="宋体"/>
          <w:color w:val="auto"/>
          <w:sz w:val="21"/>
          <w:szCs w:val="21"/>
          <w:highlight w:val="none"/>
        </w:rPr>
      </w:pPr>
    </w:p>
    <w:p w14:paraId="49708F24">
      <w:pPr>
        <w:pStyle w:val="15"/>
        <w:rPr>
          <w:rFonts w:hint="eastAsia" w:ascii="宋体" w:hAnsi="宋体"/>
          <w:color w:val="auto"/>
          <w:sz w:val="21"/>
          <w:szCs w:val="21"/>
          <w:highlight w:val="none"/>
        </w:rPr>
      </w:pPr>
    </w:p>
    <w:p w14:paraId="7E304445">
      <w:pPr>
        <w:pStyle w:val="15"/>
        <w:rPr>
          <w:rFonts w:hint="eastAsia" w:ascii="宋体" w:hAnsi="宋体"/>
          <w:color w:val="auto"/>
          <w:sz w:val="21"/>
          <w:szCs w:val="21"/>
          <w:highlight w:val="none"/>
        </w:rPr>
      </w:pPr>
    </w:p>
    <w:p w14:paraId="1CB8165C">
      <w:pPr>
        <w:pStyle w:val="15"/>
        <w:rPr>
          <w:rFonts w:hint="eastAsia" w:ascii="宋体" w:hAnsi="宋体"/>
          <w:color w:val="auto"/>
          <w:sz w:val="21"/>
          <w:szCs w:val="21"/>
          <w:highlight w:val="none"/>
        </w:rPr>
      </w:pPr>
    </w:p>
    <w:p w14:paraId="5D3E94AC">
      <w:pPr>
        <w:pStyle w:val="15"/>
        <w:rPr>
          <w:rFonts w:hint="eastAsia" w:ascii="宋体" w:hAnsi="宋体"/>
          <w:color w:val="auto"/>
          <w:sz w:val="21"/>
          <w:szCs w:val="21"/>
          <w:highlight w:val="none"/>
        </w:rPr>
      </w:pPr>
    </w:p>
    <w:p w14:paraId="44DA6EBD">
      <w:pPr>
        <w:pStyle w:val="15"/>
        <w:rPr>
          <w:rFonts w:hint="eastAsia" w:ascii="宋体" w:hAnsi="宋体"/>
          <w:color w:val="auto"/>
          <w:sz w:val="21"/>
          <w:szCs w:val="21"/>
          <w:highlight w:val="none"/>
        </w:rPr>
      </w:pPr>
    </w:p>
    <w:p w14:paraId="0AD723DA">
      <w:pPr>
        <w:pStyle w:val="15"/>
        <w:rPr>
          <w:rFonts w:hint="eastAsia" w:ascii="宋体" w:hAnsi="宋体"/>
          <w:color w:val="auto"/>
          <w:sz w:val="21"/>
          <w:szCs w:val="21"/>
          <w:highlight w:val="none"/>
        </w:rPr>
      </w:pPr>
    </w:p>
    <w:p w14:paraId="7A8717D7">
      <w:pPr>
        <w:pStyle w:val="15"/>
        <w:rPr>
          <w:rFonts w:hint="eastAsia" w:ascii="宋体" w:hAnsi="宋体"/>
          <w:color w:val="auto"/>
          <w:sz w:val="21"/>
          <w:szCs w:val="21"/>
          <w:highlight w:val="none"/>
        </w:rPr>
      </w:pPr>
    </w:p>
    <w:p w14:paraId="2BAA9568">
      <w:pPr>
        <w:pStyle w:val="15"/>
        <w:rPr>
          <w:rFonts w:hint="eastAsia" w:ascii="宋体" w:hAnsi="宋体"/>
          <w:color w:val="auto"/>
          <w:sz w:val="21"/>
          <w:szCs w:val="21"/>
          <w:highlight w:val="none"/>
        </w:rPr>
      </w:pPr>
    </w:p>
    <w:p w14:paraId="4A328BD3">
      <w:pPr>
        <w:pStyle w:val="15"/>
        <w:rPr>
          <w:rFonts w:hint="eastAsia" w:ascii="宋体" w:hAnsi="宋体"/>
          <w:color w:val="auto"/>
          <w:sz w:val="21"/>
          <w:szCs w:val="21"/>
          <w:highlight w:val="none"/>
        </w:rPr>
      </w:pPr>
    </w:p>
    <w:p w14:paraId="102AFDB7">
      <w:pPr>
        <w:pStyle w:val="15"/>
        <w:rPr>
          <w:rFonts w:hint="eastAsia" w:ascii="宋体" w:hAnsi="宋体"/>
          <w:color w:val="auto"/>
          <w:sz w:val="21"/>
          <w:szCs w:val="21"/>
          <w:highlight w:val="none"/>
        </w:rPr>
      </w:pPr>
    </w:p>
    <w:p w14:paraId="5C5403B6">
      <w:pPr>
        <w:pStyle w:val="15"/>
        <w:rPr>
          <w:rFonts w:hint="eastAsia" w:ascii="宋体" w:hAnsi="宋体"/>
          <w:color w:val="auto"/>
          <w:sz w:val="21"/>
          <w:szCs w:val="21"/>
          <w:highlight w:val="none"/>
        </w:rPr>
      </w:pPr>
    </w:p>
    <w:p w14:paraId="1E1F39BB">
      <w:pPr>
        <w:pStyle w:val="15"/>
        <w:rPr>
          <w:rFonts w:hint="eastAsia" w:ascii="宋体" w:hAnsi="宋体"/>
          <w:color w:val="auto"/>
          <w:sz w:val="21"/>
          <w:szCs w:val="21"/>
          <w:highlight w:val="none"/>
        </w:rPr>
      </w:pPr>
    </w:p>
    <w:p w14:paraId="2EF681E4">
      <w:pPr>
        <w:pStyle w:val="15"/>
        <w:rPr>
          <w:rFonts w:hint="eastAsia" w:ascii="宋体" w:hAnsi="宋体"/>
          <w:color w:val="auto"/>
          <w:sz w:val="21"/>
          <w:szCs w:val="21"/>
          <w:highlight w:val="none"/>
        </w:rPr>
      </w:pPr>
    </w:p>
    <w:p w14:paraId="41E1E231">
      <w:pPr>
        <w:pStyle w:val="15"/>
        <w:rPr>
          <w:rFonts w:hint="eastAsia" w:ascii="宋体" w:hAnsi="宋体"/>
          <w:color w:val="auto"/>
          <w:sz w:val="21"/>
          <w:szCs w:val="21"/>
          <w:highlight w:val="none"/>
        </w:rPr>
      </w:pPr>
    </w:p>
    <w:p w14:paraId="11AF4DE4">
      <w:pPr>
        <w:pStyle w:val="15"/>
        <w:rPr>
          <w:rFonts w:hint="eastAsia" w:ascii="宋体" w:hAnsi="宋体"/>
          <w:color w:val="auto"/>
          <w:sz w:val="21"/>
          <w:szCs w:val="21"/>
          <w:highlight w:val="none"/>
        </w:rPr>
      </w:pPr>
    </w:p>
    <w:p w14:paraId="0D4BE060">
      <w:pPr>
        <w:pStyle w:val="15"/>
        <w:rPr>
          <w:rFonts w:hint="eastAsia" w:ascii="宋体" w:hAnsi="宋体"/>
          <w:color w:val="auto"/>
          <w:sz w:val="21"/>
          <w:szCs w:val="21"/>
          <w:highlight w:val="none"/>
        </w:rPr>
      </w:pPr>
    </w:p>
    <w:p w14:paraId="32EB6D5C">
      <w:pPr>
        <w:pStyle w:val="15"/>
        <w:rPr>
          <w:rFonts w:hint="eastAsia" w:ascii="宋体" w:hAnsi="宋体"/>
          <w:color w:val="auto"/>
          <w:sz w:val="21"/>
          <w:szCs w:val="21"/>
          <w:highlight w:val="none"/>
        </w:rPr>
      </w:pPr>
    </w:p>
    <w:p w14:paraId="0CCF3BE4">
      <w:pPr>
        <w:pStyle w:val="15"/>
        <w:rPr>
          <w:rFonts w:hint="eastAsia" w:ascii="宋体" w:hAnsi="宋体"/>
          <w:color w:val="auto"/>
          <w:sz w:val="21"/>
          <w:szCs w:val="21"/>
          <w:highlight w:val="none"/>
        </w:rPr>
      </w:pPr>
    </w:p>
    <w:p w14:paraId="053948AA">
      <w:pPr>
        <w:pStyle w:val="15"/>
        <w:rPr>
          <w:rFonts w:hint="eastAsia" w:ascii="宋体" w:hAnsi="宋体"/>
          <w:color w:val="auto"/>
          <w:sz w:val="21"/>
          <w:szCs w:val="21"/>
          <w:highlight w:val="none"/>
        </w:rPr>
      </w:pPr>
    </w:p>
    <w:p w14:paraId="01A54308">
      <w:pPr>
        <w:rPr>
          <w:rFonts w:hint="eastAsia" w:hAnsi="宋体"/>
          <w:color w:val="auto"/>
          <w:highlight w:val="none"/>
        </w:rPr>
      </w:pPr>
      <w:bookmarkStart w:id="297" w:name="_Toc9982"/>
      <w:bookmarkStart w:id="298" w:name="_Toc23849"/>
      <w:bookmarkStart w:id="299" w:name="_Toc15530"/>
      <w:bookmarkStart w:id="300" w:name="_Toc11036"/>
      <w:bookmarkStart w:id="301" w:name="_Toc24947"/>
      <w:bookmarkStart w:id="302" w:name="_Toc30049"/>
      <w:bookmarkStart w:id="303" w:name="_Toc28953"/>
      <w:bookmarkStart w:id="304" w:name="_Toc9619"/>
      <w:bookmarkStart w:id="305" w:name="_Toc12278"/>
      <w:r>
        <w:rPr>
          <w:rFonts w:hint="eastAsia" w:hAnsi="宋体"/>
          <w:color w:val="auto"/>
          <w:highlight w:val="none"/>
        </w:rPr>
        <w:br w:type="page"/>
      </w:r>
    </w:p>
    <w:p w14:paraId="3C092FE5">
      <w:pPr>
        <w:pStyle w:val="6"/>
        <w:numPr>
          <w:ilvl w:val="0"/>
          <w:numId w:val="13"/>
        </w:numPr>
        <w:jc w:val="center"/>
        <w:rPr>
          <w:rFonts w:hint="eastAsia"/>
          <w:color w:val="auto"/>
          <w:highlight w:val="none"/>
        </w:rPr>
      </w:pPr>
      <w:r>
        <w:rPr>
          <w:rFonts w:hint="eastAsia"/>
          <w:color w:val="auto"/>
          <w:highlight w:val="none"/>
        </w:rPr>
        <w:t>其他资料</w:t>
      </w:r>
      <w:bookmarkEnd w:id="297"/>
      <w:bookmarkEnd w:id="298"/>
      <w:bookmarkEnd w:id="299"/>
      <w:bookmarkEnd w:id="300"/>
      <w:bookmarkEnd w:id="301"/>
      <w:bookmarkEnd w:id="302"/>
      <w:bookmarkEnd w:id="303"/>
      <w:bookmarkEnd w:id="304"/>
      <w:bookmarkEnd w:id="305"/>
    </w:p>
    <w:p w14:paraId="477F418E">
      <w:pPr>
        <w:pStyle w:val="31"/>
        <w:spacing w:line="360" w:lineRule="auto"/>
        <w:ind w:firstLine="420"/>
        <w:rPr>
          <w:rFonts w:hint="eastAsia" w:hAnsi="宋体"/>
          <w:color w:val="auto"/>
          <w:highlight w:val="none"/>
        </w:rPr>
      </w:pPr>
    </w:p>
    <w:p w14:paraId="7802AFF6">
      <w:pPr>
        <w:spacing w:line="360" w:lineRule="auto"/>
        <w:rPr>
          <w:rFonts w:hint="eastAsia" w:hAnsi="宋体"/>
          <w:color w:val="auto"/>
          <w:sz w:val="21"/>
          <w:szCs w:val="21"/>
          <w:highlight w:val="none"/>
        </w:rPr>
      </w:pPr>
      <w:r>
        <w:rPr>
          <w:rFonts w:hint="eastAsia" w:hAnsi="宋体"/>
          <w:color w:val="auto"/>
          <w:sz w:val="21"/>
          <w:szCs w:val="21"/>
          <w:highlight w:val="none"/>
        </w:rPr>
        <w:t>1、磋商文件要求提供的其他资料（如有）</w:t>
      </w:r>
    </w:p>
    <w:p w14:paraId="1A25663B">
      <w:pPr>
        <w:spacing w:line="360" w:lineRule="auto"/>
        <w:rPr>
          <w:rFonts w:hint="eastAsia" w:hAnsi="宋体"/>
          <w:color w:val="auto"/>
          <w:sz w:val="21"/>
          <w:szCs w:val="21"/>
          <w:highlight w:val="none"/>
        </w:rPr>
      </w:pPr>
      <w:r>
        <w:rPr>
          <w:rFonts w:hint="eastAsia" w:hAnsi="宋体"/>
          <w:color w:val="auto"/>
          <w:sz w:val="21"/>
          <w:szCs w:val="21"/>
          <w:highlight w:val="none"/>
        </w:rPr>
        <w:t>2、供应商认为需要提供的其他资料（如有）</w:t>
      </w:r>
    </w:p>
    <w:p w14:paraId="27CFB4A2">
      <w:pPr>
        <w:pStyle w:val="15"/>
        <w:rPr>
          <w:rFonts w:hint="eastAsia" w:ascii="宋体" w:hAnsi="宋体"/>
          <w:color w:val="auto"/>
          <w:sz w:val="21"/>
          <w:szCs w:val="21"/>
          <w:highlight w:val="none"/>
        </w:rPr>
      </w:pPr>
    </w:p>
    <w:p w14:paraId="66518477">
      <w:pPr>
        <w:pStyle w:val="15"/>
        <w:rPr>
          <w:rFonts w:hint="eastAsia" w:ascii="宋体" w:hAnsi="宋体"/>
          <w:color w:val="auto"/>
          <w:sz w:val="21"/>
          <w:szCs w:val="21"/>
          <w:highlight w:val="none"/>
        </w:rPr>
      </w:pPr>
    </w:p>
    <w:p w14:paraId="6053AC5C">
      <w:pPr>
        <w:pStyle w:val="15"/>
        <w:rPr>
          <w:rFonts w:hint="eastAsia" w:ascii="宋体" w:hAnsi="宋体"/>
          <w:color w:val="auto"/>
          <w:sz w:val="21"/>
          <w:szCs w:val="21"/>
          <w:highlight w:val="none"/>
        </w:rPr>
      </w:pPr>
    </w:p>
    <w:p w14:paraId="05082B2E">
      <w:pPr>
        <w:pStyle w:val="15"/>
        <w:rPr>
          <w:rFonts w:hint="eastAsia" w:ascii="宋体" w:hAnsi="宋体"/>
          <w:color w:val="auto"/>
          <w:sz w:val="21"/>
          <w:szCs w:val="21"/>
          <w:highlight w:val="none"/>
        </w:rPr>
      </w:pPr>
    </w:p>
    <w:p w14:paraId="256D2A73">
      <w:pPr>
        <w:pStyle w:val="15"/>
        <w:rPr>
          <w:rFonts w:hint="eastAsia" w:ascii="宋体" w:hAnsi="宋体"/>
          <w:color w:val="auto"/>
          <w:sz w:val="21"/>
          <w:szCs w:val="21"/>
          <w:highlight w:val="none"/>
        </w:rPr>
      </w:pPr>
    </w:p>
    <w:p w14:paraId="68025418">
      <w:pPr>
        <w:pStyle w:val="15"/>
        <w:rPr>
          <w:rFonts w:hint="eastAsia" w:ascii="宋体" w:hAnsi="宋体"/>
          <w:color w:val="auto"/>
          <w:sz w:val="21"/>
          <w:szCs w:val="21"/>
          <w:highlight w:val="none"/>
        </w:rPr>
      </w:pPr>
    </w:p>
    <w:p w14:paraId="3C610026">
      <w:pPr>
        <w:pStyle w:val="15"/>
        <w:rPr>
          <w:rFonts w:hint="eastAsia" w:ascii="宋体" w:hAnsi="宋体"/>
          <w:color w:val="auto"/>
          <w:sz w:val="21"/>
          <w:szCs w:val="21"/>
          <w:highlight w:val="none"/>
        </w:rPr>
      </w:pPr>
    </w:p>
    <w:p w14:paraId="704F8D11">
      <w:pPr>
        <w:pStyle w:val="15"/>
        <w:rPr>
          <w:rFonts w:hint="eastAsia" w:ascii="宋体" w:hAnsi="宋体"/>
          <w:color w:val="auto"/>
          <w:sz w:val="21"/>
          <w:szCs w:val="21"/>
          <w:highlight w:val="none"/>
        </w:rPr>
      </w:pPr>
    </w:p>
    <w:p w14:paraId="36E3A828">
      <w:pPr>
        <w:rPr>
          <w:rFonts w:hint="eastAsia" w:hAnsi="宋体"/>
          <w:color w:val="auto"/>
          <w:sz w:val="28"/>
          <w:szCs w:val="28"/>
          <w:highlight w:val="none"/>
        </w:rPr>
      </w:pPr>
      <w:bookmarkStart w:id="306" w:name="_Toc17492"/>
      <w:r>
        <w:rPr>
          <w:rFonts w:hint="eastAsia" w:hAnsi="宋体"/>
          <w:color w:val="auto"/>
          <w:sz w:val="28"/>
          <w:szCs w:val="28"/>
          <w:highlight w:val="none"/>
        </w:rPr>
        <w:br w:type="page"/>
      </w:r>
    </w:p>
    <w:bookmarkEnd w:id="306"/>
    <w:p w14:paraId="56B6DE6C">
      <w:pPr>
        <w:pStyle w:val="6"/>
        <w:jc w:val="center"/>
        <w:rPr>
          <w:rFonts w:hint="eastAsia"/>
          <w:color w:val="auto"/>
          <w:sz w:val="28"/>
          <w:szCs w:val="28"/>
          <w:highlight w:val="none"/>
        </w:rPr>
      </w:pPr>
      <w:r>
        <w:rPr>
          <w:rFonts w:hint="eastAsia"/>
          <w:color w:val="auto"/>
          <w:sz w:val="28"/>
          <w:szCs w:val="28"/>
          <w:highlight w:val="none"/>
        </w:rPr>
        <w:t>第四部分 其他格式</w:t>
      </w:r>
    </w:p>
    <w:p w14:paraId="407FB18C">
      <w:pPr>
        <w:pStyle w:val="8"/>
        <w:numPr>
          <w:ilvl w:val="255"/>
          <w:numId w:val="0"/>
        </w:numPr>
        <w:tabs>
          <w:tab w:val="left" w:pos="720"/>
          <w:tab w:val="left" w:pos="3840"/>
        </w:tabs>
        <w:ind w:left="283"/>
        <w:jc w:val="both"/>
        <w:rPr>
          <w:rFonts w:hint="eastAsia" w:ascii="宋体" w:hAnsi="宋体" w:eastAsia="宋体"/>
          <w:color w:val="auto"/>
          <w:sz w:val="21"/>
          <w:szCs w:val="21"/>
          <w:highlight w:val="none"/>
        </w:rPr>
      </w:pPr>
      <w:bookmarkStart w:id="307" w:name="_Toc28623"/>
      <w:bookmarkStart w:id="308" w:name="_Toc19947"/>
      <w:bookmarkStart w:id="309" w:name="_Toc25861"/>
      <w:bookmarkStart w:id="310" w:name="_Toc17028"/>
      <w:bookmarkStart w:id="311" w:name="_Toc4866"/>
      <w:bookmarkStart w:id="312" w:name="_Toc2144"/>
      <w:bookmarkStart w:id="313" w:name="_Toc18296"/>
      <w:bookmarkStart w:id="314" w:name="_Toc2801"/>
      <w:bookmarkStart w:id="315" w:name="_Toc14605"/>
      <w:bookmarkStart w:id="316" w:name="_Toc29855"/>
      <w:bookmarkStart w:id="317" w:name="_Toc1562"/>
      <w:r>
        <w:rPr>
          <w:rFonts w:hint="eastAsia" w:ascii="宋体" w:hAnsi="宋体" w:eastAsia="宋体"/>
          <w:color w:val="auto"/>
          <w:sz w:val="21"/>
          <w:szCs w:val="21"/>
          <w:highlight w:val="none"/>
        </w:rPr>
        <w:t>附件1.不可撤销履约保函</w:t>
      </w:r>
      <w:bookmarkEnd w:id="307"/>
      <w:bookmarkEnd w:id="308"/>
      <w:bookmarkEnd w:id="309"/>
      <w:bookmarkEnd w:id="310"/>
      <w:bookmarkEnd w:id="311"/>
      <w:bookmarkEnd w:id="312"/>
      <w:bookmarkEnd w:id="313"/>
      <w:bookmarkEnd w:id="314"/>
      <w:bookmarkEnd w:id="315"/>
      <w:bookmarkEnd w:id="316"/>
      <w:bookmarkEnd w:id="317"/>
    </w:p>
    <w:p w14:paraId="7DCB194E">
      <w:pPr>
        <w:jc w:val="center"/>
        <w:rPr>
          <w:rFonts w:hint="eastAsia" w:hAnsi="宋体"/>
          <w:color w:val="auto"/>
          <w:highlight w:val="none"/>
        </w:rPr>
      </w:pPr>
      <w:r>
        <w:rPr>
          <w:rFonts w:hint="eastAsia" w:hAnsi="宋体"/>
          <w:color w:val="auto"/>
          <w:highlight w:val="none"/>
        </w:rPr>
        <w:t>银行编号：</w:t>
      </w:r>
    </w:p>
    <w:p w14:paraId="7396B02E">
      <w:pPr>
        <w:rPr>
          <w:rFonts w:hint="eastAsia" w:hAnsi="宋体"/>
          <w:color w:val="auto"/>
          <w:highlight w:val="none"/>
        </w:rPr>
      </w:pPr>
      <w:r>
        <w:rPr>
          <w:rFonts w:hint="eastAsia" w:hAnsi="宋体"/>
          <w:color w:val="auto"/>
          <w:highlight w:val="none"/>
        </w:rPr>
        <w:t>致：</w:t>
      </w:r>
      <w:r>
        <w:rPr>
          <w:rFonts w:hint="eastAsia" w:hAnsi="宋体"/>
          <w:color w:val="auto"/>
          <w:highlight w:val="none"/>
          <w:u w:val="single"/>
        </w:rPr>
        <w:t xml:space="preserve">                        </w:t>
      </w:r>
      <w:r>
        <w:rPr>
          <w:rFonts w:hint="eastAsia" w:hAnsi="宋体"/>
          <w:color w:val="auto"/>
          <w:highlight w:val="none"/>
        </w:rPr>
        <w:t>（甲方）</w:t>
      </w:r>
    </w:p>
    <w:p w14:paraId="76F1D5CF">
      <w:pPr>
        <w:ind w:firstLine="480" w:firstLineChars="200"/>
        <w:rPr>
          <w:rFonts w:hint="eastAsia" w:hAnsi="宋体"/>
          <w:color w:val="auto"/>
          <w:highlight w:val="none"/>
        </w:rPr>
      </w:pPr>
      <w:r>
        <w:rPr>
          <w:rFonts w:hint="eastAsia" w:hAnsi="宋体"/>
          <w:color w:val="auto"/>
          <w:highlight w:val="none"/>
        </w:rPr>
        <w:t>鉴于</w:t>
      </w:r>
      <w:r>
        <w:rPr>
          <w:rFonts w:hint="eastAsia" w:hAnsi="宋体"/>
          <w:color w:val="auto"/>
          <w:highlight w:val="none"/>
          <w:u w:val="single"/>
        </w:rPr>
        <w:t xml:space="preserve">         （地址：          ，下称 “乙方” ）</w:t>
      </w:r>
      <w:r>
        <w:rPr>
          <w:rFonts w:hint="eastAsia" w:hAnsi="宋体"/>
          <w:color w:val="auto"/>
          <w:highlight w:val="none"/>
        </w:rPr>
        <w:t>已保证按</w:t>
      </w:r>
      <w:r>
        <w:rPr>
          <w:rFonts w:hint="eastAsia" w:hAnsi="宋体"/>
          <w:color w:val="auto"/>
          <w:highlight w:val="none"/>
          <w:u w:val="single"/>
        </w:rPr>
        <w:t xml:space="preserve">         合同（合同编号：    ）</w:t>
      </w:r>
      <w:r>
        <w:rPr>
          <w:rFonts w:hint="eastAsia" w:hAnsi="宋体"/>
          <w:color w:val="auto"/>
          <w:highlight w:val="none"/>
        </w:rPr>
        <w:t>中规定的义务履行合同。</w:t>
      </w:r>
    </w:p>
    <w:p w14:paraId="36A46534">
      <w:pPr>
        <w:ind w:firstLine="480" w:firstLineChars="200"/>
        <w:rPr>
          <w:rFonts w:hint="eastAsia" w:hAnsi="宋体"/>
          <w:color w:val="auto"/>
          <w:highlight w:val="none"/>
        </w:rPr>
      </w:pPr>
      <w:r>
        <w:rPr>
          <w:rFonts w:hint="eastAsia" w:hAnsi="宋体"/>
          <w:color w:val="auto"/>
          <w:highlight w:val="none"/>
        </w:rPr>
        <w:t>根据上述合同约定，乙方应向甲方提供一份金额为合同总价的10%即</w:t>
      </w:r>
      <w:r>
        <w:rPr>
          <w:rFonts w:hint="eastAsia" w:hAnsi="宋体"/>
          <w:color w:val="auto"/>
          <w:highlight w:val="none"/>
          <w:u w:val="single"/>
        </w:rPr>
        <w:t>人民币      （RMB    元）</w:t>
      </w:r>
      <w:r>
        <w:rPr>
          <w:rFonts w:hint="eastAsia" w:hAnsi="宋体"/>
          <w:color w:val="auto"/>
          <w:highlight w:val="none"/>
        </w:rPr>
        <w:t>的</w:t>
      </w:r>
      <w:r>
        <w:rPr>
          <w:rFonts w:hint="eastAsia" w:hAnsi="宋体"/>
          <w:bCs/>
          <w:color w:val="auto"/>
          <w:highlight w:val="none"/>
        </w:rPr>
        <w:t>不可撤销</w:t>
      </w:r>
      <w:r>
        <w:rPr>
          <w:rFonts w:hint="eastAsia" w:hAnsi="宋体"/>
          <w:color w:val="auto"/>
          <w:highlight w:val="none"/>
        </w:rPr>
        <w:t>银行履约保函，作为乙方履行上述合同的担保。</w:t>
      </w:r>
    </w:p>
    <w:p w14:paraId="5BCB513C">
      <w:pPr>
        <w:ind w:firstLine="480" w:firstLineChars="200"/>
        <w:rPr>
          <w:rFonts w:hint="eastAsia" w:hAnsi="宋体"/>
          <w:color w:val="auto"/>
          <w:highlight w:val="none"/>
        </w:rPr>
      </w:pPr>
      <w:r>
        <w:rPr>
          <w:rFonts w:hint="eastAsia" w:hAnsi="宋体"/>
          <w:color w:val="auto"/>
          <w:highlight w:val="none"/>
        </w:rPr>
        <w:t>我方</w:t>
      </w:r>
      <w:r>
        <w:rPr>
          <w:rFonts w:hint="eastAsia" w:hAnsi="宋体"/>
          <w:color w:val="auto"/>
          <w:highlight w:val="none"/>
          <w:u w:val="single"/>
        </w:rPr>
        <w:t xml:space="preserve">            （银行名称）</w:t>
      </w:r>
      <w:r>
        <w:rPr>
          <w:rFonts w:hint="eastAsia" w:hAnsi="宋体"/>
          <w:color w:val="auto"/>
          <w:highlight w:val="none"/>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hAnsi="宋体"/>
          <w:color w:val="auto"/>
          <w:highlight w:val="none"/>
          <w:u w:val="single"/>
        </w:rPr>
        <w:t>人民币          （RMB       元）</w:t>
      </w:r>
      <w:r>
        <w:rPr>
          <w:rFonts w:hint="eastAsia" w:hAnsi="宋体"/>
          <w:color w:val="auto"/>
          <w:highlight w:val="none"/>
        </w:rPr>
        <w:t>的保证金。</w:t>
      </w:r>
    </w:p>
    <w:p w14:paraId="21F8405E">
      <w:pPr>
        <w:ind w:firstLine="480" w:firstLineChars="200"/>
        <w:rPr>
          <w:rFonts w:hint="eastAsia" w:hAnsi="宋体"/>
          <w:color w:val="auto"/>
          <w:highlight w:val="none"/>
        </w:rPr>
      </w:pPr>
      <w:r>
        <w:rPr>
          <w:rFonts w:hint="eastAsia" w:hAnsi="宋体"/>
          <w:color w:val="auto"/>
          <w:highlight w:val="none"/>
        </w:rPr>
        <w:t>我方还同意，任何甲方与乙方之间可能对合同条款的修改、规范或其他合同文件的变动补充，都不能免除我方按本保函所承担的责任。因此，有关上述变动、补充和修改无须通知我方。</w:t>
      </w:r>
    </w:p>
    <w:p w14:paraId="4BCA1A42">
      <w:pPr>
        <w:ind w:firstLine="480" w:firstLineChars="200"/>
        <w:rPr>
          <w:rFonts w:hint="eastAsia" w:hAnsi="宋体"/>
          <w:color w:val="auto"/>
          <w:highlight w:val="none"/>
        </w:rPr>
      </w:pPr>
      <w:r>
        <w:rPr>
          <w:rFonts w:hint="eastAsia" w:hAnsi="宋体"/>
          <w:color w:val="auto"/>
          <w:highlight w:val="none"/>
        </w:rPr>
        <w:t>本保函从上述</w:t>
      </w:r>
      <w:r>
        <w:rPr>
          <w:rFonts w:hint="eastAsia" w:hAnsi="宋体"/>
          <w:color w:val="auto"/>
          <w:szCs w:val="21"/>
          <w:highlight w:val="none"/>
        </w:rPr>
        <w:t>合同签订之日起至项目完工验收合格并结算完毕后，经双方签字</w:t>
      </w:r>
      <w:r>
        <w:rPr>
          <w:rFonts w:hint="eastAsia" w:hAnsi="宋体"/>
          <w:color w:val="auto"/>
          <w:szCs w:val="21"/>
          <w:highlight w:val="none"/>
          <w:u w:val="single"/>
        </w:rPr>
        <w:t>30</w:t>
      </w:r>
      <w:r>
        <w:rPr>
          <w:rFonts w:hint="eastAsia" w:hAnsi="宋体"/>
          <w:color w:val="auto"/>
          <w:szCs w:val="21"/>
          <w:highlight w:val="none"/>
        </w:rPr>
        <w:t>天内保持有效</w:t>
      </w:r>
      <w:r>
        <w:rPr>
          <w:rFonts w:hint="eastAsia" w:hAnsi="宋体"/>
          <w:color w:val="auto"/>
          <w:highlight w:val="none"/>
        </w:rPr>
        <w:t>。</w:t>
      </w:r>
    </w:p>
    <w:p w14:paraId="235E3417">
      <w:pPr>
        <w:ind w:firstLine="3228" w:firstLineChars="1345"/>
        <w:rPr>
          <w:rFonts w:hint="eastAsia" w:hAnsi="宋体"/>
          <w:color w:val="auto"/>
          <w:highlight w:val="none"/>
        </w:rPr>
      </w:pPr>
    </w:p>
    <w:p w14:paraId="70010F39">
      <w:pPr>
        <w:ind w:firstLine="5760" w:firstLineChars="2400"/>
        <w:rPr>
          <w:rFonts w:hint="eastAsia" w:hAnsi="宋体"/>
          <w:color w:val="auto"/>
          <w:highlight w:val="none"/>
        </w:rPr>
      </w:pPr>
      <w:r>
        <w:rPr>
          <w:rFonts w:hint="eastAsia" w:hAnsi="宋体"/>
          <w:color w:val="auto"/>
          <w:highlight w:val="none"/>
        </w:rPr>
        <w:t>保证人：（盖章）</w:t>
      </w:r>
      <w:r>
        <w:rPr>
          <w:rFonts w:hint="eastAsia" w:hAnsi="宋体"/>
          <w:color w:val="auto"/>
          <w:highlight w:val="none"/>
          <w:u w:val="single"/>
        </w:rPr>
        <w:t xml:space="preserve">                        </w:t>
      </w:r>
    </w:p>
    <w:p w14:paraId="73B1F8BD">
      <w:pPr>
        <w:ind w:firstLine="5760" w:firstLineChars="2400"/>
        <w:rPr>
          <w:rFonts w:hint="eastAsia" w:hAnsi="宋体"/>
          <w:color w:val="auto"/>
          <w:highlight w:val="none"/>
        </w:rPr>
      </w:pPr>
      <w:r>
        <w:rPr>
          <w:rFonts w:hint="eastAsia" w:hAnsi="宋体"/>
          <w:color w:val="auto"/>
          <w:highlight w:val="none"/>
        </w:rPr>
        <w:t>负责人：（签字）</w:t>
      </w:r>
      <w:r>
        <w:rPr>
          <w:rFonts w:hint="eastAsia" w:hAnsi="宋体"/>
          <w:color w:val="auto"/>
          <w:highlight w:val="none"/>
          <w:u w:val="single"/>
        </w:rPr>
        <w:t xml:space="preserve">                        </w:t>
      </w:r>
    </w:p>
    <w:p w14:paraId="0DA04E65">
      <w:pPr>
        <w:ind w:firstLine="5760" w:firstLineChars="2400"/>
        <w:rPr>
          <w:rFonts w:hint="eastAsia" w:hAnsi="宋体"/>
          <w:color w:val="auto"/>
          <w:highlight w:val="none"/>
        </w:rPr>
      </w:pPr>
      <w:r>
        <w:rPr>
          <w:rFonts w:hint="eastAsia" w:hAnsi="宋体"/>
          <w:color w:val="auto"/>
          <w:highlight w:val="none"/>
        </w:rPr>
        <w:t>联系人：</w:t>
      </w:r>
      <w:r>
        <w:rPr>
          <w:rFonts w:hint="eastAsia" w:hAnsi="宋体"/>
          <w:color w:val="auto"/>
          <w:highlight w:val="none"/>
          <w:u w:val="single"/>
        </w:rPr>
        <w:t xml:space="preserve">                               </w:t>
      </w:r>
      <w:r>
        <w:rPr>
          <w:rFonts w:hint="eastAsia" w:hAnsi="宋体"/>
          <w:color w:val="auto"/>
          <w:highlight w:val="none"/>
        </w:rPr>
        <w:t xml:space="preserve">   </w:t>
      </w:r>
    </w:p>
    <w:p w14:paraId="59EC232D">
      <w:pPr>
        <w:ind w:firstLine="5760" w:firstLineChars="2400"/>
        <w:rPr>
          <w:rFonts w:hint="eastAsia" w:hAnsi="宋体"/>
          <w:color w:val="auto"/>
          <w:highlight w:val="none"/>
        </w:rPr>
      </w:pPr>
      <w:r>
        <w:rPr>
          <w:rFonts w:hint="eastAsia" w:hAnsi="宋体"/>
          <w:color w:val="auto"/>
          <w:highlight w:val="none"/>
        </w:rPr>
        <w:t>联系电话：</w:t>
      </w:r>
      <w:r>
        <w:rPr>
          <w:rFonts w:hint="eastAsia" w:hAnsi="宋体"/>
          <w:color w:val="auto"/>
          <w:highlight w:val="none"/>
          <w:u w:val="single"/>
        </w:rPr>
        <w:t xml:space="preserve">                             </w:t>
      </w:r>
    </w:p>
    <w:p w14:paraId="530E4ED0">
      <w:pPr>
        <w:ind w:firstLine="5760" w:firstLineChars="2400"/>
        <w:rPr>
          <w:rFonts w:hint="eastAsia" w:hAnsi="宋体"/>
          <w:color w:val="auto"/>
          <w:highlight w:val="none"/>
        </w:rPr>
      </w:pPr>
      <w:r>
        <w:rPr>
          <w:rFonts w:hint="eastAsia" w:hAnsi="宋体"/>
          <w:color w:val="auto"/>
          <w:highlight w:val="none"/>
        </w:rPr>
        <w:t>日期：</w:t>
      </w:r>
      <w:r>
        <w:rPr>
          <w:rFonts w:hint="eastAsia" w:hAnsi="宋体"/>
          <w:color w:val="auto"/>
          <w:highlight w:val="none"/>
          <w:u w:val="single"/>
        </w:rPr>
        <w:t xml:space="preserve">                               </w:t>
      </w:r>
    </w:p>
    <w:p w14:paraId="66F256C1">
      <w:pPr>
        <w:pStyle w:val="3"/>
        <w:ind w:left="648"/>
        <w:rPr>
          <w:rFonts w:hint="eastAsia" w:ascii="宋体"/>
          <w:color w:val="auto"/>
          <w:szCs w:val="24"/>
          <w:highlight w:val="none"/>
        </w:rPr>
      </w:pPr>
      <w:r>
        <w:rPr>
          <w:rFonts w:hint="eastAsia" w:ascii="宋体"/>
          <w:color w:val="auto"/>
          <w:szCs w:val="24"/>
          <w:highlight w:val="none"/>
        </w:rPr>
        <w:t>说明：投标人在投标时不需提交正式保函，在响应文件中盖投标人公章确认保函格式即可，乙方</w:t>
      </w:r>
      <w:r>
        <w:rPr>
          <w:rFonts w:hint="eastAsia" w:ascii="宋体"/>
          <w:color w:val="auto"/>
          <w:highlight w:val="none"/>
        </w:rPr>
        <w:t>在签订合同时</w:t>
      </w:r>
      <w:r>
        <w:rPr>
          <w:rFonts w:hint="eastAsia" w:ascii="宋体"/>
          <w:color w:val="auto"/>
          <w:szCs w:val="24"/>
          <w:highlight w:val="none"/>
        </w:rPr>
        <w:t>提交正式保函。</w:t>
      </w:r>
    </w:p>
    <w:p w14:paraId="79F7181B">
      <w:pPr>
        <w:pStyle w:val="37"/>
        <w:rPr>
          <w:rFonts w:hint="eastAsia" w:hAnsi="宋体"/>
          <w:color w:val="auto"/>
          <w:highlight w:val="none"/>
        </w:rPr>
      </w:pPr>
    </w:p>
    <w:p w14:paraId="1764B687">
      <w:pPr>
        <w:pStyle w:val="37"/>
        <w:rPr>
          <w:rFonts w:hint="eastAsia" w:hAnsi="宋体"/>
          <w:color w:val="auto"/>
          <w:highlight w:val="none"/>
        </w:rPr>
      </w:pPr>
    </w:p>
    <w:p w14:paraId="0DBB101E">
      <w:pPr>
        <w:pStyle w:val="37"/>
        <w:rPr>
          <w:rFonts w:hint="eastAsia" w:hAnsi="宋体"/>
          <w:color w:val="auto"/>
          <w:highlight w:val="none"/>
        </w:rPr>
      </w:pPr>
    </w:p>
    <w:p w14:paraId="5C6615C7">
      <w:pPr>
        <w:rPr>
          <w:rFonts w:hint="eastAsia" w:hAnsi="宋体"/>
          <w:color w:val="auto"/>
          <w:sz w:val="21"/>
          <w:szCs w:val="21"/>
          <w:highlight w:val="none"/>
        </w:rPr>
      </w:pPr>
      <w:bookmarkStart w:id="318" w:name="_Toc29098"/>
      <w:r>
        <w:rPr>
          <w:rFonts w:hint="eastAsia" w:hAnsi="宋体"/>
          <w:color w:val="auto"/>
          <w:sz w:val="21"/>
          <w:szCs w:val="21"/>
          <w:highlight w:val="none"/>
        </w:rPr>
        <w:br w:type="page"/>
      </w:r>
    </w:p>
    <w:p w14:paraId="535E6D0D">
      <w:pPr>
        <w:pStyle w:val="8"/>
        <w:numPr>
          <w:ilvl w:val="255"/>
          <w:numId w:val="0"/>
        </w:numPr>
        <w:tabs>
          <w:tab w:val="left" w:pos="720"/>
          <w:tab w:val="left" w:pos="3840"/>
        </w:tabs>
        <w:ind w:left="283"/>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附件2.预付款保函（适用于预付款支付）</w:t>
      </w:r>
      <w:bookmarkEnd w:id="318"/>
    </w:p>
    <w:p w14:paraId="688A6BEE">
      <w:pPr>
        <w:pStyle w:val="3"/>
        <w:ind w:left="648"/>
        <w:rPr>
          <w:rFonts w:hint="eastAsia" w:ascii="宋体"/>
          <w:color w:val="auto"/>
          <w:szCs w:val="24"/>
          <w:highlight w:val="none"/>
        </w:rPr>
      </w:pPr>
    </w:p>
    <w:p w14:paraId="215B6BFE">
      <w:pPr>
        <w:jc w:val="center"/>
        <w:rPr>
          <w:rFonts w:hint="eastAsia" w:hAnsi="宋体"/>
          <w:color w:val="auto"/>
          <w:sz w:val="28"/>
          <w:szCs w:val="28"/>
          <w:highlight w:val="none"/>
        </w:rPr>
      </w:pPr>
      <w:bookmarkStart w:id="319" w:name="_Toc7374"/>
      <w:bookmarkStart w:id="320" w:name="_Toc10315"/>
      <w:bookmarkStart w:id="321" w:name="_Toc3295"/>
      <w:bookmarkStart w:id="322" w:name="_Toc25494"/>
      <w:bookmarkStart w:id="323" w:name="_Toc5034"/>
      <w:bookmarkStart w:id="324" w:name="_Toc1039"/>
      <w:bookmarkStart w:id="325" w:name="_Toc27545"/>
      <w:bookmarkStart w:id="326" w:name="_Toc29728"/>
      <w:bookmarkStart w:id="327" w:name="_Toc6877"/>
      <w:bookmarkStart w:id="328" w:name="_Toc29054"/>
      <w:bookmarkStart w:id="329" w:name="_Toc31418"/>
      <w:bookmarkStart w:id="330" w:name="_Toc20669"/>
      <w:r>
        <w:rPr>
          <w:rFonts w:hint="eastAsia" w:hAnsi="宋体"/>
          <w:color w:val="auto"/>
          <w:sz w:val="28"/>
          <w:szCs w:val="28"/>
          <w:highlight w:val="none"/>
        </w:rPr>
        <w:t>不可撤销预付款保函</w:t>
      </w:r>
      <w:bookmarkEnd w:id="319"/>
      <w:bookmarkEnd w:id="320"/>
      <w:bookmarkEnd w:id="321"/>
      <w:bookmarkEnd w:id="322"/>
      <w:bookmarkEnd w:id="323"/>
      <w:bookmarkEnd w:id="324"/>
      <w:bookmarkEnd w:id="325"/>
      <w:bookmarkEnd w:id="326"/>
      <w:bookmarkEnd w:id="327"/>
      <w:bookmarkEnd w:id="328"/>
      <w:bookmarkEnd w:id="329"/>
      <w:bookmarkEnd w:id="330"/>
    </w:p>
    <w:p w14:paraId="4B4AC3A4">
      <w:pPr>
        <w:ind w:firstLine="6300"/>
        <w:rPr>
          <w:rFonts w:hint="eastAsia" w:hAnsi="宋体"/>
          <w:color w:val="auto"/>
          <w:szCs w:val="21"/>
          <w:highlight w:val="none"/>
          <w:u w:val="single"/>
        </w:rPr>
      </w:pPr>
      <w:r>
        <w:rPr>
          <w:rFonts w:hint="eastAsia" w:hAnsi="宋体"/>
          <w:color w:val="auto"/>
          <w:szCs w:val="21"/>
          <w:highlight w:val="none"/>
        </w:rPr>
        <w:t>银行编号：</w:t>
      </w:r>
      <w:r>
        <w:rPr>
          <w:rFonts w:hint="eastAsia" w:hAnsi="宋体"/>
          <w:color w:val="auto"/>
          <w:szCs w:val="21"/>
          <w:highlight w:val="none"/>
          <w:u w:val="single"/>
        </w:rPr>
        <w:t xml:space="preserve">             </w:t>
      </w:r>
    </w:p>
    <w:p w14:paraId="0E4058A7">
      <w:pPr>
        <w:ind w:firstLine="6300"/>
        <w:rPr>
          <w:rFonts w:hint="eastAsia" w:hAnsi="宋体"/>
          <w:color w:val="auto"/>
          <w:szCs w:val="21"/>
          <w:highlight w:val="none"/>
        </w:rPr>
      </w:pPr>
    </w:p>
    <w:p w14:paraId="5595ABA0">
      <w:pPr>
        <w:rPr>
          <w:rFonts w:hint="eastAsia"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 xml:space="preserve">                    </w:t>
      </w:r>
      <w:r>
        <w:rPr>
          <w:rFonts w:hint="eastAsia" w:hAnsi="宋体"/>
          <w:color w:val="auto"/>
          <w:szCs w:val="21"/>
          <w:highlight w:val="none"/>
        </w:rPr>
        <w:t>（下称“采购人”）</w:t>
      </w:r>
    </w:p>
    <w:p w14:paraId="69E5F25D">
      <w:pPr>
        <w:ind w:firstLine="437"/>
        <w:rPr>
          <w:rFonts w:hint="eastAsia" w:hAnsi="宋体"/>
          <w:color w:val="auto"/>
          <w:szCs w:val="21"/>
          <w:highlight w:val="none"/>
        </w:rPr>
      </w:pPr>
      <w:r>
        <w:rPr>
          <w:rFonts w:hint="eastAsia" w:hAnsi="宋体"/>
          <w:color w:val="auto"/>
          <w:szCs w:val="21"/>
          <w:highlight w:val="none"/>
        </w:rPr>
        <w:t>鉴于</w:t>
      </w:r>
      <w:r>
        <w:rPr>
          <w:rFonts w:hint="eastAsia" w:hAnsi="宋体"/>
          <w:color w:val="auto"/>
          <w:szCs w:val="21"/>
          <w:highlight w:val="none"/>
          <w:u w:val="single"/>
        </w:rPr>
        <w:t xml:space="preserve">            </w:t>
      </w:r>
      <w:r>
        <w:rPr>
          <w:rFonts w:hint="eastAsia" w:hAnsi="宋体"/>
          <w:color w:val="auto"/>
          <w:highlight w:val="none"/>
          <w:u w:val="single"/>
        </w:rPr>
        <w:t>（地址：          ，下称 “成交人” ）</w:t>
      </w:r>
      <w:r>
        <w:rPr>
          <w:rFonts w:hint="eastAsia" w:hAnsi="宋体"/>
          <w:color w:val="auto"/>
          <w:szCs w:val="21"/>
          <w:highlight w:val="none"/>
        </w:rPr>
        <w:t>，已保证按</w:t>
      </w:r>
      <w:r>
        <w:rPr>
          <w:rFonts w:hint="eastAsia" w:hAnsi="宋体"/>
          <w:color w:val="auto"/>
          <w:szCs w:val="21"/>
          <w:highlight w:val="none"/>
          <w:u w:val="single"/>
        </w:rPr>
        <w:t xml:space="preserve">          承包合同书（合同编号：    ）</w:t>
      </w:r>
      <w:r>
        <w:rPr>
          <w:rFonts w:hint="eastAsia" w:hAnsi="宋体"/>
          <w:color w:val="auto"/>
          <w:szCs w:val="21"/>
          <w:highlight w:val="none"/>
        </w:rPr>
        <w:t>中规定的义务履行合同。</w:t>
      </w:r>
    </w:p>
    <w:p w14:paraId="358FC070">
      <w:pPr>
        <w:ind w:firstLine="437"/>
        <w:rPr>
          <w:rFonts w:hint="eastAsia" w:hAnsi="宋体"/>
          <w:color w:val="auto"/>
          <w:szCs w:val="21"/>
          <w:highlight w:val="none"/>
        </w:rPr>
      </w:pPr>
      <w:r>
        <w:rPr>
          <w:rFonts w:hint="eastAsia" w:hAnsi="宋体"/>
          <w:color w:val="auto"/>
          <w:highlight w:val="none"/>
        </w:rPr>
        <w:t>根据上述合同（招标文件）规定，成交人应向采购人提供一份金额为合同总价的</w:t>
      </w:r>
      <w:r>
        <w:rPr>
          <w:rFonts w:hint="eastAsia" w:hAnsi="宋体"/>
          <w:color w:val="auto"/>
          <w:highlight w:val="none"/>
          <w:u w:val="single"/>
        </w:rPr>
        <w:t xml:space="preserve">   </w:t>
      </w:r>
      <w:r>
        <w:rPr>
          <w:rFonts w:hint="eastAsia" w:hAnsi="宋体"/>
          <w:color w:val="auto"/>
          <w:highlight w:val="none"/>
        </w:rPr>
        <w:t>% 即人民币</w:t>
      </w:r>
      <w:r>
        <w:rPr>
          <w:rFonts w:hint="eastAsia" w:hAnsi="宋体"/>
          <w:color w:val="auto"/>
          <w:szCs w:val="21"/>
          <w:highlight w:val="none"/>
          <w:u w:val="single"/>
        </w:rPr>
        <w:t xml:space="preserve">      （RMB      元）</w:t>
      </w:r>
      <w:r>
        <w:rPr>
          <w:rFonts w:hint="eastAsia" w:hAnsi="宋体"/>
          <w:color w:val="auto"/>
          <w:szCs w:val="21"/>
          <w:highlight w:val="none"/>
        </w:rPr>
        <w:t>的不可撤销银行预付款保函，以保证成交人履行合同的相关条款。</w:t>
      </w:r>
    </w:p>
    <w:p w14:paraId="66D65CAE">
      <w:pPr>
        <w:ind w:firstLine="437"/>
        <w:rPr>
          <w:rFonts w:hint="eastAsia" w:hAnsi="宋体"/>
          <w:color w:val="auto"/>
          <w:szCs w:val="21"/>
          <w:highlight w:val="none"/>
        </w:rPr>
      </w:pPr>
      <w:r>
        <w:rPr>
          <w:rFonts w:hint="eastAsia" w:hAnsi="宋体"/>
          <w:color w:val="auto"/>
          <w:szCs w:val="21"/>
          <w:highlight w:val="none"/>
        </w:rPr>
        <w:t>我方</w:t>
      </w:r>
      <w:r>
        <w:rPr>
          <w:rFonts w:hint="eastAsia" w:hAnsi="宋体"/>
          <w:color w:val="auto"/>
          <w:szCs w:val="21"/>
          <w:highlight w:val="none"/>
          <w:u w:val="single"/>
        </w:rPr>
        <w:t xml:space="preserve">  （银行名称）  </w:t>
      </w:r>
      <w:r>
        <w:rPr>
          <w:rFonts w:hint="eastAsia" w:hAnsi="宋体"/>
          <w:color w:val="auto"/>
          <w:szCs w:val="21"/>
          <w:highlight w:val="none"/>
        </w:rPr>
        <w:t>，受成交人的委托，作为连带责任保证人，无条件和不可撤销地同意在采购人提出因成交人没有履行上述合同规定，而要求收回上述金额内任何付款的书面要求后，于7个工作日内为采购人予以支付并保证到达采购人账户，以保证在成交人没有履行或部分履行合同条款的责任时，采购人可以向成交人收回全部或部分预付款。</w:t>
      </w:r>
    </w:p>
    <w:p w14:paraId="48AE70CD">
      <w:pPr>
        <w:ind w:firstLine="437"/>
        <w:rPr>
          <w:rFonts w:hint="eastAsia" w:hAnsi="宋体"/>
          <w:color w:val="auto"/>
          <w:szCs w:val="21"/>
          <w:highlight w:val="none"/>
        </w:rPr>
      </w:pPr>
      <w:r>
        <w:rPr>
          <w:rFonts w:hint="eastAsia" w:hAnsi="宋体"/>
          <w:color w:val="auto"/>
          <w:szCs w:val="21"/>
          <w:highlight w:val="none"/>
        </w:rPr>
        <w:t>我方还同意，任何采购人与成交人之间可能对合同条款的修改、规范或其他合同文件的变动补充，都不能免除我方按本保函所承担的责任。因此，有关上述变动、补充和修改无须通知我方。</w:t>
      </w:r>
    </w:p>
    <w:p w14:paraId="672A5065">
      <w:pPr>
        <w:ind w:firstLine="437"/>
        <w:rPr>
          <w:rFonts w:hint="eastAsia" w:hAnsi="宋体"/>
          <w:color w:val="auto"/>
          <w:szCs w:val="21"/>
          <w:highlight w:val="none"/>
        </w:rPr>
      </w:pPr>
      <w:r>
        <w:rPr>
          <w:rFonts w:hint="eastAsia" w:hAnsi="宋体"/>
          <w:color w:val="auto"/>
          <w:szCs w:val="21"/>
          <w:highlight w:val="none"/>
        </w:rPr>
        <w:t>本保函有效期从保函开立之日起至采购人向成交人抵扣完所有预付款之日止。</w:t>
      </w:r>
    </w:p>
    <w:p w14:paraId="5D5B306B">
      <w:pPr>
        <w:rPr>
          <w:rFonts w:hint="eastAsia" w:hAnsi="宋体"/>
          <w:color w:val="auto"/>
          <w:szCs w:val="21"/>
          <w:highlight w:val="none"/>
        </w:rPr>
      </w:pPr>
    </w:p>
    <w:p w14:paraId="0E5D7122">
      <w:pPr>
        <w:ind w:firstLine="437"/>
        <w:rPr>
          <w:rFonts w:hint="eastAsia" w:hAnsi="宋体"/>
          <w:color w:val="auto"/>
          <w:szCs w:val="21"/>
          <w:highlight w:val="none"/>
        </w:rPr>
      </w:pPr>
    </w:p>
    <w:p w14:paraId="31C9ED49">
      <w:pPr>
        <w:ind w:firstLine="4860"/>
        <w:rPr>
          <w:rFonts w:hint="eastAsia" w:hAnsi="宋体"/>
          <w:color w:val="auto"/>
          <w:szCs w:val="21"/>
          <w:highlight w:val="none"/>
        </w:rPr>
      </w:pPr>
      <w:r>
        <w:rPr>
          <w:rFonts w:hint="eastAsia" w:hAnsi="宋体"/>
          <w:color w:val="auto"/>
          <w:szCs w:val="21"/>
          <w:highlight w:val="none"/>
        </w:rPr>
        <w:t>保证人：（公章）</w:t>
      </w:r>
      <w:r>
        <w:rPr>
          <w:rFonts w:hint="eastAsia" w:hAnsi="宋体"/>
          <w:color w:val="auto"/>
          <w:szCs w:val="21"/>
          <w:highlight w:val="none"/>
          <w:u w:val="single"/>
        </w:rPr>
        <w:t xml:space="preserve">                     </w:t>
      </w:r>
    </w:p>
    <w:p w14:paraId="2AA0CB62">
      <w:pPr>
        <w:ind w:firstLine="4860"/>
        <w:rPr>
          <w:rFonts w:hint="eastAsia" w:hAnsi="宋体"/>
          <w:color w:val="auto"/>
          <w:szCs w:val="21"/>
          <w:highlight w:val="none"/>
          <w:u w:val="single"/>
        </w:rPr>
      </w:pPr>
      <w:r>
        <w:rPr>
          <w:rFonts w:hint="eastAsia" w:hAnsi="宋体"/>
          <w:color w:val="auto"/>
          <w:szCs w:val="21"/>
          <w:highlight w:val="none"/>
        </w:rPr>
        <w:t>负责人：（签字）</w:t>
      </w:r>
      <w:r>
        <w:rPr>
          <w:rFonts w:hint="eastAsia" w:hAnsi="宋体"/>
          <w:color w:val="auto"/>
          <w:szCs w:val="21"/>
          <w:highlight w:val="none"/>
          <w:u w:val="single"/>
        </w:rPr>
        <w:t xml:space="preserve">                     </w:t>
      </w:r>
    </w:p>
    <w:p w14:paraId="75A73B7A">
      <w:pPr>
        <w:ind w:firstLine="4860"/>
        <w:rPr>
          <w:rFonts w:hint="eastAsia" w:hAnsi="宋体"/>
          <w:color w:val="auto"/>
          <w:szCs w:val="21"/>
          <w:highlight w:val="none"/>
          <w:u w:val="single"/>
        </w:rPr>
      </w:pPr>
      <w:r>
        <w:rPr>
          <w:rFonts w:hint="eastAsia" w:hAnsi="宋体"/>
          <w:color w:val="auto"/>
          <w:szCs w:val="21"/>
          <w:highlight w:val="none"/>
        </w:rPr>
        <w:t>联系电话：</w:t>
      </w:r>
      <w:r>
        <w:rPr>
          <w:rFonts w:hint="eastAsia" w:hAnsi="宋体"/>
          <w:color w:val="auto"/>
          <w:szCs w:val="21"/>
          <w:highlight w:val="none"/>
          <w:u w:val="single"/>
        </w:rPr>
        <w:t xml:space="preserve">                          </w:t>
      </w:r>
    </w:p>
    <w:p w14:paraId="2BA19F19">
      <w:pPr>
        <w:ind w:firstLine="486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p>
    <w:p w14:paraId="72614B95">
      <w:pPr>
        <w:ind w:firstLine="4860"/>
        <w:rPr>
          <w:rFonts w:hint="eastAsia" w:hAnsi="宋体"/>
          <w:color w:val="auto"/>
          <w:szCs w:val="21"/>
          <w:highlight w:val="none"/>
          <w:u w:val="single"/>
        </w:rPr>
      </w:pPr>
      <w:r>
        <w:rPr>
          <w:rFonts w:hint="eastAsia" w:hAnsi="宋体"/>
          <w:color w:val="auto"/>
          <w:szCs w:val="21"/>
          <w:highlight w:val="none"/>
        </w:rPr>
        <w:t>日期：</w:t>
      </w:r>
      <w:r>
        <w:rPr>
          <w:rFonts w:hint="eastAsia" w:hAnsi="宋体"/>
          <w:color w:val="auto"/>
          <w:szCs w:val="21"/>
          <w:highlight w:val="none"/>
          <w:u w:val="single"/>
        </w:rPr>
        <w:t xml:space="preserve">                              </w:t>
      </w:r>
    </w:p>
    <w:p w14:paraId="199D9A9A">
      <w:pPr>
        <w:pStyle w:val="3"/>
        <w:ind w:left="648"/>
        <w:rPr>
          <w:rFonts w:hint="eastAsia" w:ascii="宋体"/>
          <w:color w:val="auto"/>
          <w:szCs w:val="21"/>
          <w:highlight w:val="none"/>
        </w:rPr>
      </w:pPr>
    </w:p>
    <w:p w14:paraId="4E40C901">
      <w:pPr>
        <w:pStyle w:val="3"/>
        <w:ind w:left="648"/>
        <w:rPr>
          <w:rFonts w:hint="eastAsia" w:ascii="宋体"/>
          <w:color w:val="auto"/>
          <w:szCs w:val="21"/>
          <w:highlight w:val="none"/>
        </w:rPr>
      </w:pPr>
    </w:p>
    <w:p w14:paraId="266C1B02">
      <w:pPr>
        <w:ind w:firstLine="472" w:firstLineChars="196"/>
        <w:rPr>
          <w:rFonts w:hint="eastAsia" w:hAnsi="宋体"/>
          <w:color w:val="auto"/>
          <w:highlight w:val="none"/>
          <w:lang w:val="zh-CN"/>
        </w:rPr>
      </w:pPr>
      <w:r>
        <w:rPr>
          <w:rFonts w:hint="eastAsia" w:hAnsi="宋体"/>
          <w:b/>
          <w:color w:val="auto"/>
          <w:szCs w:val="21"/>
          <w:highlight w:val="none"/>
        </w:rPr>
        <w:t>说明：投标人在响应文件中盖投标人公章确认保函内容即可，如成交再由银行出具保函。</w:t>
      </w:r>
    </w:p>
    <w:sectPr>
      <w:headerReference r:id="rId7" w:type="default"/>
      <w:footerReference r:id="rId8" w:type="default"/>
      <w:pgSz w:w="11907" w:h="16840"/>
      <w:pgMar w:top="1440" w:right="1803" w:bottom="1440" w:left="1803" w:header="850" w:footer="720"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93"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Arial Black">
    <w:panose1 w:val="020B0A04020102020204"/>
    <w:charset w:val="00"/>
    <w:family w:val="swiss"/>
    <w:pitch w:val="default"/>
    <w:sig w:usb0="A00002AF" w:usb1="400078FB" w:usb2="00000000" w:usb3="00000000" w:csb0="6000009F" w:csb1="DFD70000"/>
  </w:font>
  <w:font w:name="思源黑体 CN Regular">
    <w:altName w:val="黑体"/>
    <w:panose1 w:val="00000000000000000000"/>
    <w:charset w:val="00"/>
    <w:family w:val="auto"/>
    <w:pitch w:val="default"/>
    <w:sig w:usb0="00000000" w:usb1="00000000" w:usb2="00000000" w:usb3="00000000" w:csb0="00040001" w:csb1="00000000"/>
  </w:font>
  <w:font w:name="Segoe UI">
    <w:panose1 w:val="020B0502040204020203"/>
    <w:charset w:val="00"/>
    <w:family w:val="swiss"/>
    <w:pitch w:val="default"/>
    <w:sig w:usb0="E4002EFF" w:usb1="C000E47F" w:usb2="00000009" w:usb3="00000000" w:csb0="200001FF" w:csb1="00000000"/>
    <w:embedRegular r:id="rId1" w:fontKey="{6BD58357-A2CA-45DD-85FE-619727B8AEF9}"/>
  </w:font>
  <w:font w:name="Microsoft YaHei UI">
    <w:panose1 w:val="020B0503020204020204"/>
    <w:charset w:val="86"/>
    <w:family w:val="auto"/>
    <w:pitch w:val="default"/>
    <w:sig w:usb0="80000287" w:usb1="2ACF3C50" w:usb2="00000016" w:usb3="00000000" w:csb0="0004001F" w:csb1="00000000"/>
  </w:font>
  <w:font w:name="KSOF28C8D4D9">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FE111">
    <w:pPr>
      <w:pStyle w:val="3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38215">
    <w:pPr>
      <w:pStyle w:val="36"/>
      <w:framePr w:wrap="around" w:vAnchor="text" w:hAnchor="margin" w:xAlign="right" w:y="1"/>
      <w:rPr>
        <w:rStyle w:val="58"/>
      </w:rPr>
    </w:pPr>
    <w:r>
      <w:fldChar w:fldCharType="begin"/>
    </w:r>
    <w:r>
      <w:rPr>
        <w:rStyle w:val="58"/>
      </w:rPr>
      <w:instrText xml:space="preserve">PAGE  </w:instrText>
    </w:r>
    <w:r>
      <w:fldChar w:fldCharType="separate"/>
    </w:r>
    <w:r>
      <w:rPr>
        <w:rStyle w:val="58"/>
      </w:rPr>
      <w:t>5</w:t>
    </w:r>
    <w:r>
      <w:fldChar w:fldCharType="end"/>
    </w:r>
  </w:p>
  <w:p w14:paraId="1E425DCF">
    <w:pPr>
      <w:pStyle w:val="3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616180"/>
      <w:docPartObj>
        <w:docPartGallery w:val="autotext"/>
      </w:docPartObj>
    </w:sdtPr>
    <w:sdtContent>
      <w:p w14:paraId="02E1B9BD">
        <w:pPr>
          <w:pStyle w:val="36"/>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23FE">
    <w:pPr>
      <w:pStyle w:val="38"/>
      <w:pBdr>
        <w:bottom w:val="none" w:color="auto" w:sz="0" w:space="1"/>
      </w:pBdr>
      <w:tabs>
        <w:tab w:val="left" w:pos="5049"/>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8DE82">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F36B0">
    <w:pPr>
      <w:pStyle w:val="3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EAC35"/>
    <w:multiLevelType w:val="singleLevel"/>
    <w:tmpl w:val="92EEAC35"/>
    <w:lvl w:ilvl="0" w:tentative="0">
      <w:start w:val="1"/>
      <w:numFmt w:val="chineseCounting"/>
      <w:suff w:val="nothing"/>
      <w:lvlText w:val="%1、"/>
      <w:lvlJc w:val="left"/>
      <w:pPr>
        <w:ind w:left="0" w:firstLine="420"/>
      </w:pPr>
      <w:rPr>
        <w:rFonts w:hint="eastAsia"/>
      </w:rPr>
    </w:lvl>
  </w:abstractNum>
  <w:abstractNum w:abstractNumId="1">
    <w:nsid w:val="EC01E890"/>
    <w:multiLevelType w:val="singleLevel"/>
    <w:tmpl w:val="EC01E890"/>
    <w:lvl w:ilvl="0" w:tentative="0">
      <w:start w:val="1"/>
      <w:numFmt w:val="chineseCounting"/>
      <w:suff w:val="nothing"/>
      <w:lvlText w:val="%1、"/>
      <w:lvlJc w:val="left"/>
      <w:pPr>
        <w:ind w:left="0" w:firstLine="420"/>
      </w:pPr>
      <w:rPr>
        <w:rFonts w:hint="eastAsia"/>
      </w:rPr>
    </w:lvl>
  </w:abstractNum>
  <w:abstractNum w:abstractNumId="2">
    <w:nsid w:val="00000010"/>
    <w:multiLevelType w:val="multilevel"/>
    <w:tmpl w:val="00000010"/>
    <w:lvl w:ilvl="0" w:tentative="0">
      <w:start w:val="1"/>
      <w:numFmt w:val="decimal"/>
      <w:lvlText w:val="%1"/>
      <w:lvlJc w:val="left"/>
      <w:pPr>
        <w:tabs>
          <w:tab w:val="left" w:pos="425"/>
        </w:tabs>
        <w:ind w:left="425" w:hanging="425"/>
      </w:pPr>
    </w:lvl>
    <w:lvl w:ilvl="1" w:tentative="0">
      <w:start w:val="1"/>
      <w:numFmt w:val="decimal"/>
      <w:pStyle w:val="106"/>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0000012"/>
    <w:multiLevelType w:val="multilevel"/>
    <w:tmpl w:val="00000012"/>
    <w:lvl w:ilvl="0" w:tentative="0">
      <w:start w:val="1"/>
      <w:numFmt w:val="bullet"/>
      <w:pStyle w:val="96"/>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13"/>
    <w:multiLevelType w:val="multilevel"/>
    <w:tmpl w:val="00000013"/>
    <w:lvl w:ilvl="0" w:tentative="0">
      <w:start w:val="1"/>
      <w:numFmt w:val="decimal"/>
      <w:pStyle w:val="114"/>
      <w:lvlText w:val="%1、"/>
      <w:lvlJc w:val="left"/>
      <w:pPr>
        <w:tabs>
          <w:tab w:val="left" w:pos="786"/>
        </w:tabs>
        <w:ind w:left="786" w:hanging="360"/>
      </w:pPr>
    </w:lvl>
    <w:lvl w:ilvl="1" w:tentative="0">
      <w:start w:val="1"/>
      <w:numFmt w:val="decimal"/>
      <w:lvlText w:val="%2、"/>
      <w:lvlJc w:val="left"/>
      <w:pPr>
        <w:tabs>
          <w:tab w:val="left" w:pos="1206"/>
        </w:tabs>
        <w:ind w:left="1206" w:hanging="360"/>
      </w:pPr>
    </w:lvl>
    <w:lvl w:ilvl="2" w:tentative="0">
      <w:start w:val="1"/>
      <w:numFmt w:val="lowerRoman"/>
      <w:lvlText w:val="%3."/>
      <w:lvlJc w:val="right"/>
      <w:pPr>
        <w:tabs>
          <w:tab w:val="left" w:pos="1686"/>
        </w:tabs>
        <w:ind w:left="1686" w:hanging="420"/>
      </w:pPr>
    </w:lvl>
    <w:lvl w:ilvl="3" w:tentative="0">
      <w:start w:val="2"/>
      <w:numFmt w:val="decimal"/>
      <w:lvlText w:val="%4）"/>
      <w:lvlJc w:val="left"/>
      <w:pPr>
        <w:tabs>
          <w:tab w:val="left" w:pos="2046"/>
        </w:tabs>
        <w:ind w:left="2046"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0000016"/>
    <w:multiLevelType w:val="multilevel"/>
    <w:tmpl w:val="00000016"/>
    <w:lvl w:ilvl="0" w:tentative="0">
      <w:start w:val="1"/>
      <w:numFmt w:val="decimal"/>
      <w:pStyle w:val="17"/>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20"/>
    <w:multiLevelType w:val="multilevel"/>
    <w:tmpl w:val="00000020"/>
    <w:lvl w:ilvl="0" w:tentative="0">
      <w:start w:val="1"/>
      <w:numFmt w:val="bullet"/>
      <w:pStyle w:val="9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000028"/>
    <w:multiLevelType w:val="multilevel"/>
    <w:tmpl w:val="00000028"/>
    <w:lvl w:ilvl="0" w:tentative="0">
      <w:start w:val="1"/>
      <w:numFmt w:val="japaneseCounting"/>
      <w:lvlText w:val="第%1篇"/>
      <w:lvlJc w:val="left"/>
      <w:pPr>
        <w:ind w:left="1080" w:hanging="1080"/>
      </w:pPr>
      <w:rPr>
        <w:rFonts w:hint="default"/>
      </w:rPr>
    </w:lvl>
    <w:lvl w:ilvl="1" w:tentative="0">
      <w:start w:val="1"/>
      <w:numFmt w:val="japaneseCounting"/>
      <w:lvlText w:val="（%2）"/>
      <w:lvlJc w:val="left"/>
      <w:pPr>
        <w:ind w:left="1185" w:hanging="76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29"/>
    <w:multiLevelType w:val="multilevel"/>
    <w:tmpl w:val="00000029"/>
    <w:lvl w:ilvl="0" w:tentative="0">
      <w:start w:val="1"/>
      <w:numFmt w:val="bullet"/>
      <w:pStyle w:val="52"/>
      <w:lvlText w:val=""/>
      <w:lvlJc w:val="left"/>
      <w:pPr>
        <w:tabs>
          <w:tab w:val="left" w:pos="2121"/>
        </w:tabs>
        <w:ind w:left="2121" w:hanging="420"/>
      </w:pPr>
      <w:rPr>
        <w:rFonts w:hint="default" w:ascii="Wingdings" w:hAnsi="Wingdings"/>
      </w:rPr>
    </w:lvl>
    <w:lvl w:ilvl="1" w:tentative="0">
      <w:start w:val="1"/>
      <w:numFmt w:val="bullet"/>
      <w:lvlText w:val=""/>
      <w:lvlJc w:val="left"/>
      <w:pPr>
        <w:tabs>
          <w:tab w:val="left" w:pos="2541"/>
        </w:tabs>
        <w:ind w:left="2541" w:hanging="420"/>
      </w:pPr>
      <w:rPr>
        <w:rFonts w:hint="default" w:ascii="Wingdings" w:hAnsi="Wingdings"/>
      </w:rPr>
    </w:lvl>
    <w:lvl w:ilvl="2" w:tentative="0">
      <w:start w:val="1"/>
      <w:numFmt w:val="bullet"/>
      <w:lvlText w:val=""/>
      <w:lvlJc w:val="left"/>
      <w:pPr>
        <w:tabs>
          <w:tab w:val="left" w:pos="2961"/>
        </w:tabs>
        <w:ind w:left="2961" w:hanging="420"/>
      </w:pPr>
      <w:rPr>
        <w:rFonts w:hint="default" w:ascii="Wingdings" w:hAnsi="Wingdings"/>
      </w:rPr>
    </w:lvl>
    <w:lvl w:ilvl="3" w:tentative="0">
      <w:start w:val="1"/>
      <w:numFmt w:val="bullet"/>
      <w:lvlText w:val=""/>
      <w:lvlJc w:val="left"/>
      <w:pPr>
        <w:tabs>
          <w:tab w:val="left" w:pos="3381"/>
        </w:tabs>
        <w:ind w:left="3381" w:hanging="420"/>
      </w:pPr>
      <w:rPr>
        <w:rFonts w:hint="default" w:ascii="Wingdings" w:hAnsi="Wingdings"/>
      </w:rPr>
    </w:lvl>
    <w:lvl w:ilvl="4" w:tentative="0">
      <w:start w:val="1"/>
      <w:numFmt w:val="bullet"/>
      <w:lvlText w:val=""/>
      <w:lvlJc w:val="left"/>
      <w:pPr>
        <w:tabs>
          <w:tab w:val="left" w:pos="3801"/>
        </w:tabs>
        <w:ind w:left="3801" w:hanging="420"/>
      </w:pPr>
      <w:rPr>
        <w:rFonts w:hint="default" w:ascii="Wingdings" w:hAnsi="Wingdings"/>
      </w:rPr>
    </w:lvl>
    <w:lvl w:ilvl="5" w:tentative="0">
      <w:start w:val="1"/>
      <w:numFmt w:val="bullet"/>
      <w:lvlText w:val=""/>
      <w:lvlJc w:val="left"/>
      <w:pPr>
        <w:tabs>
          <w:tab w:val="left" w:pos="4221"/>
        </w:tabs>
        <w:ind w:left="4221" w:hanging="420"/>
      </w:pPr>
      <w:rPr>
        <w:rFonts w:hint="default" w:ascii="Wingdings" w:hAnsi="Wingdings"/>
      </w:rPr>
    </w:lvl>
    <w:lvl w:ilvl="6" w:tentative="0">
      <w:start w:val="1"/>
      <w:numFmt w:val="bullet"/>
      <w:lvlText w:val=""/>
      <w:lvlJc w:val="left"/>
      <w:pPr>
        <w:tabs>
          <w:tab w:val="left" w:pos="4641"/>
        </w:tabs>
        <w:ind w:left="4641" w:hanging="420"/>
      </w:pPr>
      <w:rPr>
        <w:rFonts w:hint="default" w:ascii="Wingdings" w:hAnsi="Wingdings"/>
      </w:rPr>
    </w:lvl>
    <w:lvl w:ilvl="7" w:tentative="0">
      <w:start w:val="1"/>
      <w:numFmt w:val="bullet"/>
      <w:lvlText w:val=""/>
      <w:lvlJc w:val="left"/>
      <w:pPr>
        <w:tabs>
          <w:tab w:val="left" w:pos="5061"/>
        </w:tabs>
        <w:ind w:left="5061" w:hanging="420"/>
      </w:pPr>
      <w:rPr>
        <w:rFonts w:hint="default" w:ascii="Wingdings" w:hAnsi="Wingdings"/>
      </w:rPr>
    </w:lvl>
    <w:lvl w:ilvl="8" w:tentative="0">
      <w:start w:val="1"/>
      <w:numFmt w:val="bullet"/>
      <w:lvlText w:val=""/>
      <w:lvlJc w:val="left"/>
      <w:pPr>
        <w:tabs>
          <w:tab w:val="left" w:pos="5481"/>
        </w:tabs>
        <w:ind w:left="5481" w:hanging="420"/>
      </w:pPr>
      <w:rPr>
        <w:rFonts w:hint="default" w:ascii="Wingdings" w:hAnsi="Wingdings"/>
      </w:rPr>
    </w:lvl>
  </w:abstractNum>
  <w:abstractNum w:abstractNumId="9">
    <w:nsid w:val="00000031"/>
    <w:multiLevelType w:val="multilevel"/>
    <w:tmpl w:val="00000031"/>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727DD9B"/>
    <w:multiLevelType w:val="multilevel"/>
    <w:tmpl w:val="2727DD9B"/>
    <w:lvl w:ilvl="0" w:tentative="0">
      <w:start w:val="1"/>
      <w:numFmt w:val="decimal"/>
      <w:pStyle w:val="18"/>
      <w:lvlText w:val="%1、"/>
      <w:lvlJc w:val="left"/>
      <w:pPr>
        <w:tabs>
          <w:tab w:val="left" w:pos="420"/>
        </w:tabs>
        <w:ind w:left="840" w:hanging="420"/>
      </w:pPr>
      <w:rPr>
        <w:rFonts w:ascii="Times New Roman" w:hAnsi="Times New Roman" w:eastAsia="Times New Roman" w:cs="Times New Roman"/>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1">
    <w:nsid w:val="37402185"/>
    <w:multiLevelType w:val="singleLevel"/>
    <w:tmpl w:val="37402185"/>
    <w:lvl w:ilvl="0" w:tentative="0">
      <w:start w:val="1"/>
      <w:numFmt w:val="decimal"/>
      <w:pStyle w:val="26"/>
      <w:lvlText w:val="%1."/>
      <w:lvlJc w:val="left"/>
      <w:pPr>
        <w:tabs>
          <w:tab w:val="left" w:pos="1200"/>
        </w:tabs>
        <w:ind w:left="1200" w:hanging="360"/>
      </w:pPr>
    </w:lvl>
  </w:abstractNum>
  <w:abstractNum w:abstractNumId="12">
    <w:nsid w:val="52F421C6"/>
    <w:multiLevelType w:val="singleLevel"/>
    <w:tmpl w:val="52F421C6"/>
    <w:lvl w:ilvl="0" w:tentative="0">
      <w:start w:val="1"/>
      <w:numFmt w:val="chineseCounting"/>
      <w:suff w:val="nothing"/>
      <w:lvlText w:val="%1、"/>
      <w:lvlJc w:val="left"/>
      <w:pPr>
        <w:ind w:left="0" w:firstLine="420"/>
      </w:pPr>
      <w:rPr>
        <w:rFonts w:hint="eastAsia"/>
      </w:rPr>
    </w:lvl>
  </w:abstractNum>
  <w:num w:numId="1">
    <w:abstractNumId w:val="5"/>
  </w:num>
  <w:num w:numId="2">
    <w:abstractNumId w:val="10"/>
  </w:num>
  <w:num w:numId="3">
    <w:abstractNumId w:val="11"/>
  </w:num>
  <w:num w:numId="4">
    <w:abstractNumId w:val="8"/>
  </w:num>
  <w:num w:numId="5">
    <w:abstractNumId w:val="6"/>
  </w:num>
  <w:num w:numId="6">
    <w:abstractNumId w:val="3"/>
  </w:num>
  <w:num w:numId="7">
    <w:abstractNumId w:val="2"/>
  </w:num>
  <w:num w:numId="8">
    <w:abstractNumId w:val="4"/>
  </w:num>
  <w:num w:numId="9">
    <w:abstractNumId w:val="9"/>
  </w:num>
  <w:num w:numId="10">
    <w:abstractNumId w:val="7"/>
  </w:num>
  <w:num w:numId="11">
    <w:abstractNumId w:val="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drawingGridHorizontalSpacing w:val="120"/>
  <w:drawingGridVerticalSpacing w:val="16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lNDFiYWJlOTYyYjBkNzE3NzhjZWZjNmJhMzliMDMifQ=="/>
  </w:docVars>
  <w:rsids>
    <w:rsidRoot w:val="00172A27"/>
    <w:rsid w:val="00003320"/>
    <w:rsid w:val="00010435"/>
    <w:rsid w:val="00013B37"/>
    <w:rsid w:val="00021FC2"/>
    <w:rsid w:val="0002249C"/>
    <w:rsid w:val="00027890"/>
    <w:rsid w:val="000310C4"/>
    <w:rsid w:val="00036141"/>
    <w:rsid w:val="00055CD6"/>
    <w:rsid w:val="00060BFF"/>
    <w:rsid w:val="000656BF"/>
    <w:rsid w:val="00075200"/>
    <w:rsid w:val="000823D9"/>
    <w:rsid w:val="000E3D5A"/>
    <w:rsid w:val="000F69BF"/>
    <w:rsid w:val="00106809"/>
    <w:rsid w:val="00113D74"/>
    <w:rsid w:val="00114009"/>
    <w:rsid w:val="0011420A"/>
    <w:rsid w:val="0011439F"/>
    <w:rsid w:val="00114927"/>
    <w:rsid w:val="00124125"/>
    <w:rsid w:val="00135223"/>
    <w:rsid w:val="00145E79"/>
    <w:rsid w:val="00152EFD"/>
    <w:rsid w:val="00157850"/>
    <w:rsid w:val="001617C8"/>
    <w:rsid w:val="00172A27"/>
    <w:rsid w:val="001749FA"/>
    <w:rsid w:val="001B549E"/>
    <w:rsid w:val="001B72E4"/>
    <w:rsid w:val="001C49E6"/>
    <w:rsid w:val="001C51E0"/>
    <w:rsid w:val="001D3390"/>
    <w:rsid w:val="001D4260"/>
    <w:rsid w:val="001E2687"/>
    <w:rsid w:val="001E68CA"/>
    <w:rsid w:val="002002A4"/>
    <w:rsid w:val="00201FF9"/>
    <w:rsid w:val="00216ABC"/>
    <w:rsid w:val="002172C9"/>
    <w:rsid w:val="00217AB8"/>
    <w:rsid w:val="002326CA"/>
    <w:rsid w:val="0025621E"/>
    <w:rsid w:val="00265319"/>
    <w:rsid w:val="00265A37"/>
    <w:rsid w:val="00267764"/>
    <w:rsid w:val="00270A95"/>
    <w:rsid w:val="002877C1"/>
    <w:rsid w:val="002908F6"/>
    <w:rsid w:val="00291FAB"/>
    <w:rsid w:val="002C0888"/>
    <w:rsid w:val="002C53F2"/>
    <w:rsid w:val="002D14E4"/>
    <w:rsid w:val="002D4AB1"/>
    <w:rsid w:val="002D687C"/>
    <w:rsid w:val="002E58AE"/>
    <w:rsid w:val="002E75DF"/>
    <w:rsid w:val="003537B6"/>
    <w:rsid w:val="00354336"/>
    <w:rsid w:val="003613BD"/>
    <w:rsid w:val="00376337"/>
    <w:rsid w:val="003824C3"/>
    <w:rsid w:val="00391ED7"/>
    <w:rsid w:val="00393E42"/>
    <w:rsid w:val="003A2560"/>
    <w:rsid w:val="003C228D"/>
    <w:rsid w:val="003C2F31"/>
    <w:rsid w:val="0040348D"/>
    <w:rsid w:val="00414870"/>
    <w:rsid w:val="004167E4"/>
    <w:rsid w:val="004207FB"/>
    <w:rsid w:val="00434D3C"/>
    <w:rsid w:val="0044257A"/>
    <w:rsid w:val="0045071E"/>
    <w:rsid w:val="0046288B"/>
    <w:rsid w:val="00465BC3"/>
    <w:rsid w:val="00473DA1"/>
    <w:rsid w:val="004D1919"/>
    <w:rsid w:val="004D2652"/>
    <w:rsid w:val="005471BA"/>
    <w:rsid w:val="00552373"/>
    <w:rsid w:val="00553F3A"/>
    <w:rsid w:val="00555F92"/>
    <w:rsid w:val="00563F71"/>
    <w:rsid w:val="005663EA"/>
    <w:rsid w:val="00585BAB"/>
    <w:rsid w:val="005A06DF"/>
    <w:rsid w:val="005A5A0D"/>
    <w:rsid w:val="005B5C14"/>
    <w:rsid w:val="005C3A06"/>
    <w:rsid w:val="005C7F93"/>
    <w:rsid w:val="005E0DBE"/>
    <w:rsid w:val="005F37C4"/>
    <w:rsid w:val="006023DD"/>
    <w:rsid w:val="006071A1"/>
    <w:rsid w:val="006206C9"/>
    <w:rsid w:val="00636A66"/>
    <w:rsid w:val="00637720"/>
    <w:rsid w:val="006421D2"/>
    <w:rsid w:val="00643C95"/>
    <w:rsid w:val="006529BE"/>
    <w:rsid w:val="00661DDF"/>
    <w:rsid w:val="00662A8A"/>
    <w:rsid w:val="00675141"/>
    <w:rsid w:val="006B678C"/>
    <w:rsid w:val="006C4ED2"/>
    <w:rsid w:val="006E2C33"/>
    <w:rsid w:val="006F7565"/>
    <w:rsid w:val="00722579"/>
    <w:rsid w:val="007266BA"/>
    <w:rsid w:val="00737573"/>
    <w:rsid w:val="0075111E"/>
    <w:rsid w:val="00766AFF"/>
    <w:rsid w:val="0079444F"/>
    <w:rsid w:val="007A6701"/>
    <w:rsid w:val="007B21FC"/>
    <w:rsid w:val="007B3581"/>
    <w:rsid w:val="007D280B"/>
    <w:rsid w:val="007F1FF8"/>
    <w:rsid w:val="007F2B89"/>
    <w:rsid w:val="00803F10"/>
    <w:rsid w:val="00813E25"/>
    <w:rsid w:val="00821042"/>
    <w:rsid w:val="00821BD7"/>
    <w:rsid w:val="0082343E"/>
    <w:rsid w:val="00823A4E"/>
    <w:rsid w:val="00831E15"/>
    <w:rsid w:val="00835AD1"/>
    <w:rsid w:val="00847835"/>
    <w:rsid w:val="008A0878"/>
    <w:rsid w:val="008A3562"/>
    <w:rsid w:val="008B5078"/>
    <w:rsid w:val="008B52E4"/>
    <w:rsid w:val="008C4084"/>
    <w:rsid w:val="008C4968"/>
    <w:rsid w:val="008D2C58"/>
    <w:rsid w:val="008E129D"/>
    <w:rsid w:val="008E37B0"/>
    <w:rsid w:val="008E464C"/>
    <w:rsid w:val="008E4970"/>
    <w:rsid w:val="009009BC"/>
    <w:rsid w:val="00904619"/>
    <w:rsid w:val="00915614"/>
    <w:rsid w:val="00915F7F"/>
    <w:rsid w:val="00921F1A"/>
    <w:rsid w:val="009229CB"/>
    <w:rsid w:val="00926978"/>
    <w:rsid w:val="009368EA"/>
    <w:rsid w:val="009422CE"/>
    <w:rsid w:val="00944D1A"/>
    <w:rsid w:val="00951A8F"/>
    <w:rsid w:val="009628FD"/>
    <w:rsid w:val="009B27B4"/>
    <w:rsid w:val="009C6B18"/>
    <w:rsid w:val="009E2C75"/>
    <w:rsid w:val="009E6598"/>
    <w:rsid w:val="009F7268"/>
    <w:rsid w:val="00A03228"/>
    <w:rsid w:val="00A1101A"/>
    <w:rsid w:val="00A11A47"/>
    <w:rsid w:val="00A36EC6"/>
    <w:rsid w:val="00A37D41"/>
    <w:rsid w:val="00A52F6D"/>
    <w:rsid w:val="00A53F2F"/>
    <w:rsid w:val="00A613B6"/>
    <w:rsid w:val="00A71C09"/>
    <w:rsid w:val="00A72DA8"/>
    <w:rsid w:val="00A752A6"/>
    <w:rsid w:val="00A82229"/>
    <w:rsid w:val="00A943C3"/>
    <w:rsid w:val="00A95831"/>
    <w:rsid w:val="00A975B4"/>
    <w:rsid w:val="00AA7D8C"/>
    <w:rsid w:val="00AB4015"/>
    <w:rsid w:val="00AC148A"/>
    <w:rsid w:val="00AF6912"/>
    <w:rsid w:val="00B04B0E"/>
    <w:rsid w:val="00B16495"/>
    <w:rsid w:val="00B225FD"/>
    <w:rsid w:val="00B248DA"/>
    <w:rsid w:val="00B50EA0"/>
    <w:rsid w:val="00B71A50"/>
    <w:rsid w:val="00B74DE3"/>
    <w:rsid w:val="00B763A0"/>
    <w:rsid w:val="00B80D89"/>
    <w:rsid w:val="00B818AE"/>
    <w:rsid w:val="00B96173"/>
    <w:rsid w:val="00BB48AD"/>
    <w:rsid w:val="00BB6F89"/>
    <w:rsid w:val="00BC02E2"/>
    <w:rsid w:val="00BE183C"/>
    <w:rsid w:val="00BE779E"/>
    <w:rsid w:val="00BF09ED"/>
    <w:rsid w:val="00BF27E1"/>
    <w:rsid w:val="00C00F5A"/>
    <w:rsid w:val="00C03F08"/>
    <w:rsid w:val="00C12379"/>
    <w:rsid w:val="00C16CB7"/>
    <w:rsid w:val="00C25C61"/>
    <w:rsid w:val="00C40AF8"/>
    <w:rsid w:val="00C41180"/>
    <w:rsid w:val="00C5753E"/>
    <w:rsid w:val="00C61390"/>
    <w:rsid w:val="00C62932"/>
    <w:rsid w:val="00C760CD"/>
    <w:rsid w:val="00C9047D"/>
    <w:rsid w:val="00C9061D"/>
    <w:rsid w:val="00C97323"/>
    <w:rsid w:val="00CB45F9"/>
    <w:rsid w:val="00CC3CDE"/>
    <w:rsid w:val="00CD0AE3"/>
    <w:rsid w:val="00CD3B80"/>
    <w:rsid w:val="00CE7558"/>
    <w:rsid w:val="00D17FB1"/>
    <w:rsid w:val="00D31F0D"/>
    <w:rsid w:val="00D34EDF"/>
    <w:rsid w:val="00D35C22"/>
    <w:rsid w:val="00D954DE"/>
    <w:rsid w:val="00DB7E8A"/>
    <w:rsid w:val="00DC735D"/>
    <w:rsid w:val="00DE49C8"/>
    <w:rsid w:val="00DF0CE0"/>
    <w:rsid w:val="00E023D0"/>
    <w:rsid w:val="00E419FA"/>
    <w:rsid w:val="00E438D2"/>
    <w:rsid w:val="00E53F8C"/>
    <w:rsid w:val="00E61200"/>
    <w:rsid w:val="00E63FBE"/>
    <w:rsid w:val="00E678C7"/>
    <w:rsid w:val="00E80F9B"/>
    <w:rsid w:val="00E82600"/>
    <w:rsid w:val="00E90F29"/>
    <w:rsid w:val="00EB1ABE"/>
    <w:rsid w:val="00EB4346"/>
    <w:rsid w:val="00ED1779"/>
    <w:rsid w:val="00EE7CA8"/>
    <w:rsid w:val="00EF189B"/>
    <w:rsid w:val="00EF6736"/>
    <w:rsid w:val="00EF6B76"/>
    <w:rsid w:val="00F014C7"/>
    <w:rsid w:val="00F02C24"/>
    <w:rsid w:val="00F04A9D"/>
    <w:rsid w:val="00F07594"/>
    <w:rsid w:val="00F31719"/>
    <w:rsid w:val="00F32C3A"/>
    <w:rsid w:val="00F53394"/>
    <w:rsid w:val="00F54AFB"/>
    <w:rsid w:val="00F67D80"/>
    <w:rsid w:val="00F718C6"/>
    <w:rsid w:val="00FC4DD8"/>
    <w:rsid w:val="00FC6B2E"/>
    <w:rsid w:val="00FD40C9"/>
    <w:rsid w:val="01016788"/>
    <w:rsid w:val="010B18A0"/>
    <w:rsid w:val="01101FD4"/>
    <w:rsid w:val="013511BC"/>
    <w:rsid w:val="01547328"/>
    <w:rsid w:val="01630778"/>
    <w:rsid w:val="01857C73"/>
    <w:rsid w:val="01964C25"/>
    <w:rsid w:val="01A12C3F"/>
    <w:rsid w:val="01B050F8"/>
    <w:rsid w:val="01CD1195"/>
    <w:rsid w:val="01D142D7"/>
    <w:rsid w:val="01EB797B"/>
    <w:rsid w:val="021F4C81"/>
    <w:rsid w:val="02414B92"/>
    <w:rsid w:val="028339A0"/>
    <w:rsid w:val="028366E4"/>
    <w:rsid w:val="02A56B80"/>
    <w:rsid w:val="02B5383F"/>
    <w:rsid w:val="02C560C8"/>
    <w:rsid w:val="02F741FF"/>
    <w:rsid w:val="03077BF2"/>
    <w:rsid w:val="03240B2D"/>
    <w:rsid w:val="03404A6C"/>
    <w:rsid w:val="035324D3"/>
    <w:rsid w:val="036719BE"/>
    <w:rsid w:val="03772BBD"/>
    <w:rsid w:val="038413BE"/>
    <w:rsid w:val="038C71B9"/>
    <w:rsid w:val="0396442E"/>
    <w:rsid w:val="03C53166"/>
    <w:rsid w:val="03E3700D"/>
    <w:rsid w:val="04082941"/>
    <w:rsid w:val="04324CDA"/>
    <w:rsid w:val="0437435F"/>
    <w:rsid w:val="043948C2"/>
    <w:rsid w:val="0441683D"/>
    <w:rsid w:val="04755FE3"/>
    <w:rsid w:val="04897AAE"/>
    <w:rsid w:val="048D3C72"/>
    <w:rsid w:val="04946A57"/>
    <w:rsid w:val="049E01CA"/>
    <w:rsid w:val="04A67F3F"/>
    <w:rsid w:val="04AA7A54"/>
    <w:rsid w:val="04DC1E95"/>
    <w:rsid w:val="05056F9C"/>
    <w:rsid w:val="053B507A"/>
    <w:rsid w:val="056B6415"/>
    <w:rsid w:val="056F7E9D"/>
    <w:rsid w:val="05A04252"/>
    <w:rsid w:val="05B531D5"/>
    <w:rsid w:val="05D17368"/>
    <w:rsid w:val="05D64E8C"/>
    <w:rsid w:val="05D70893"/>
    <w:rsid w:val="05D879EE"/>
    <w:rsid w:val="05E66954"/>
    <w:rsid w:val="05EF3BF5"/>
    <w:rsid w:val="061B4DCC"/>
    <w:rsid w:val="0631131C"/>
    <w:rsid w:val="065C4ACB"/>
    <w:rsid w:val="0684556E"/>
    <w:rsid w:val="06B72B51"/>
    <w:rsid w:val="06D773BE"/>
    <w:rsid w:val="07005EC6"/>
    <w:rsid w:val="070248D3"/>
    <w:rsid w:val="07144968"/>
    <w:rsid w:val="071F2807"/>
    <w:rsid w:val="07231446"/>
    <w:rsid w:val="074D0B91"/>
    <w:rsid w:val="075E19CB"/>
    <w:rsid w:val="07667537"/>
    <w:rsid w:val="076F789A"/>
    <w:rsid w:val="0784472B"/>
    <w:rsid w:val="079B0031"/>
    <w:rsid w:val="079F5559"/>
    <w:rsid w:val="07B00267"/>
    <w:rsid w:val="07B55B45"/>
    <w:rsid w:val="07E16810"/>
    <w:rsid w:val="08091249"/>
    <w:rsid w:val="08133B02"/>
    <w:rsid w:val="08213B81"/>
    <w:rsid w:val="084C0B9D"/>
    <w:rsid w:val="0873640D"/>
    <w:rsid w:val="08783888"/>
    <w:rsid w:val="087D7A26"/>
    <w:rsid w:val="08AE00F7"/>
    <w:rsid w:val="08C30F20"/>
    <w:rsid w:val="08D1467C"/>
    <w:rsid w:val="08D23011"/>
    <w:rsid w:val="08DD3BDB"/>
    <w:rsid w:val="08EA2A85"/>
    <w:rsid w:val="08ED6EB4"/>
    <w:rsid w:val="093F4ABD"/>
    <w:rsid w:val="09583AE9"/>
    <w:rsid w:val="09717CB2"/>
    <w:rsid w:val="097B2BFE"/>
    <w:rsid w:val="099F3397"/>
    <w:rsid w:val="09A37C42"/>
    <w:rsid w:val="09B71979"/>
    <w:rsid w:val="09CA4C87"/>
    <w:rsid w:val="09E110E8"/>
    <w:rsid w:val="09EC0032"/>
    <w:rsid w:val="0A1846AD"/>
    <w:rsid w:val="0A334DE9"/>
    <w:rsid w:val="0A3673D1"/>
    <w:rsid w:val="0A391C61"/>
    <w:rsid w:val="0A747C95"/>
    <w:rsid w:val="0A7E31A9"/>
    <w:rsid w:val="0A99628C"/>
    <w:rsid w:val="0AA12C61"/>
    <w:rsid w:val="0AD50B07"/>
    <w:rsid w:val="0B0D3780"/>
    <w:rsid w:val="0B192E69"/>
    <w:rsid w:val="0B1B7A70"/>
    <w:rsid w:val="0B1E5674"/>
    <w:rsid w:val="0B2B6432"/>
    <w:rsid w:val="0B481D54"/>
    <w:rsid w:val="0B504CAD"/>
    <w:rsid w:val="0B567FBC"/>
    <w:rsid w:val="0B6073FE"/>
    <w:rsid w:val="0BA32867"/>
    <w:rsid w:val="0C405D06"/>
    <w:rsid w:val="0C417DC3"/>
    <w:rsid w:val="0C5C5240"/>
    <w:rsid w:val="0C5F45C4"/>
    <w:rsid w:val="0C6352C9"/>
    <w:rsid w:val="0C694A19"/>
    <w:rsid w:val="0C6E22F8"/>
    <w:rsid w:val="0C752414"/>
    <w:rsid w:val="0C7767CB"/>
    <w:rsid w:val="0C781DA4"/>
    <w:rsid w:val="0C8259FF"/>
    <w:rsid w:val="0CA4014A"/>
    <w:rsid w:val="0CC23CB2"/>
    <w:rsid w:val="0CD86DE7"/>
    <w:rsid w:val="0CE51F42"/>
    <w:rsid w:val="0CF9441B"/>
    <w:rsid w:val="0CFE63A4"/>
    <w:rsid w:val="0D0807FC"/>
    <w:rsid w:val="0D1A2F3A"/>
    <w:rsid w:val="0D282054"/>
    <w:rsid w:val="0D33119A"/>
    <w:rsid w:val="0D4A2577"/>
    <w:rsid w:val="0D4D7EA2"/>
    <w:rsid w:val="0D596969"/>
    <w:rsid w:val="0D6D348A"/>
    <w:rsid w:val="0D8F1F77"/>
    <w:rsid w:val="0D9C0739"/>
    <w:rsid w:val="0DC77E1F"/>
    <w:rsid w:val="0DC87629"/>
    <w:rsid w:val="0DE500C7"/>
    <w:rsid w:val="0DFF5312"/>
    <w:rsid w:val="0E30061A"/>
    <w:rsid w:val="0E565A26"/>
    <w:rsid w:val="0E6759EA"/>
    <w:rsid w:val="0E693E94"/>
    <w:rsid w:val="0E88287D"/>
    <w:rsid w:val="0EAB15DF"/>
    <w:rsid w:val="0EB71B66"/>
    <w:rsid w:val="0EBD4ECC"/>
    <w:rsid w:val="0EC12B61"/>
    <w:rsid w:val="0ECB16D0"/>
    <w:rsid w:val="0EDE34C9"/>
    <w:rsid w:val="0EFE7C6E"/>
    <w:rsid w:val="0F0F3E67"/>
    <w:rsid w:val="0F36681E"/>
    <w:rsid w:val="0F4B3B77"/>
    <w:rsid w:val="0F513C81"/>
    <w:rsid w:val="0F554B61"/>
    <w:rsid w:val="0F684139"/>
    <w:rsid w:val="0F7B6853"/>
    <w:rsid w:val="0FA658B8"/>
    <w:rsid w:val="0FA725F9"/>
    <w:rsid w:val="0FB125A0"/>
    <w:rsid w:val="0FD32B55"/>
    <w:rsid w:val="0FF75B36"/>
    <w:rsid w:val="1007384E"/>
    <w:rsid w:val="107962EB"/>
    <w:rsid w:val="107A17BD"/>
    <w:rsid w:val="107D7A08"/>
    <w:rsid w:val="108C6692"/>
    <w:rsid w:val="109E5300"/>
    <w:rsid w:val="10BF5108"/>
    <w:rsid w:val="10C4053D"/>
    <w:rsid w:val="10D064F7"/>
    <w:rsid w:val="10D24A7B"/>
    <w:rsid w:val="10D763F7"/>
    <w:rsid w:val="10DA580F"/>
    <w:rsid w:val="10DF7BBC"/>
    <w:rsid w:val="111A2A3D"/>
    <w:rsid w:val="11244D2A"/>
    <w:rsid w:val="11257F25"/>
    <w:rsid w:val="114253E0"/>
    <w:rsid w:val="11461A94"/>
    <w:rsid w:val="115D274C"/>
    <w:rsid w:val="115E3727"/>
    <w:rsid w:val="11B472DB"/>
    <w:rsid w:val="11EC1420"/>
    <w:rsid w:val="11EE2FAE"/>
    <w:rsid w:val="11FA2120"/>
    <w:rsid w:val="1207493D"/>
    <w:rsid w:val="120D27E9"/>
    <w:rsid w:val="124364E9"/>
    <w:rsid w:val="12835C65"/>
    <w:rsid w:val="129E014D"/>
    <w:rsid w:val="12AC1D0D"/>
    <w:rsid w:val="12BA6A0A"/>
    <w:rsid w:val="12C2266E"/>
    <w:rsid w:val="12CB160F"/>
    <w:rsid w:val="12D77FEC"/>
    <w:rsid w:val="12DB00BA"/>
    <w:rsid w:val="12F90EE0"/>
    <w:rsid w:val="1306089F"/>
    <w:rsid w:val="13276FF6"/>
    <w:rsid w:val="134F0DA1"/>
    <w:rsid w:val="13693296"/>
    <w:rsid w:val="13724978"/>
    <w:rsid w:val="1394783B"/>
    <w:rsid w:val="139726F4"/>
    <w:rsid w:val="139B4F53"/>
    <w:rsid w:val="13CE5FC4"/>
    <w:rsid w:val="13F53443"/>
    <w:rsid w:val="144C6770"/>
    <w:rsid w:val="147778EA"/>
    <w:rsid w:val="14943CCC"/>
    <w:rsid w:val="14BA4603"/>
    <w:rsid w:val="14CD7B2A"/>
    <w:rsid w:val="14F16B6F"/>
    <w:rsid w:val="14F865C3"/>
    <w:rsid w:val="14FD2DF1"/>
    <w:rsid w:val="1504322B"/>
    <w:rsid w:val="150F189B"/>
    <w:rsid w:val="1517294D"/>
    <w:rsid w:val="153642D6"/>
    <w:rsid w:val="15457698"/>
    <w:rsid w:val="154A5906"/>
    <w:rsid w:val="155558C2"/>
    <w:rsid w:val="15753037"/>
    <w:rsid w:val="158A75E1"/>
    <w:rsid w:val="1592511B"/>
    <w:rsid w:val="159C567E"/>
    <w:rsid w:val="15A520DA"/>
    <w:rsid w:val="15BA178C"/>
    <w:rsid w:val="15C0221F"/>
    <w:rsid w:val="15C6709A"/>
    <w:rsid w:val="15D77617"/>
    <w:rsid w:val="15D85E33"/>
    <w:rsid w:val="15E6513C"/>
    <w:rsid w:val="15E819C1"/>
    <w:rsid w:val="15F81571"/>
    <w:rsid w:val="161124BB"/>
    <w:rsid w:val="16483E1A"/>
    <w:rsid w:val="16554F68"/>
    <w:rsid w:val="165B5F0F"/>
    <w:rsid w:val="166320D6"/>
    <w:rsid w:val="166C4896"/>
    <w:rsid w:val="167B7AAC"/>
    <w:rsid w:val="169140C1"/>
    <w:rsid w:val="169B4AF9"/>
    <w:rsid w:val="16DB0595"/>
    <w:rsid w:val="16DF2F08"/>
    <w:rsid w:val="16E051E8"/>
    <w:rsid w:val="16ED26EB"/>
    <w:rsid w:val="1700420E"/>
    <w:rsid w:val="17066EDE"/>
    <w:rsid w:val="1713214D"/>
    <w:rsid w:val="17945C52"/>
    <w:rsid w:val="17970727"/>
    <w:rsid w:val="17DD1C51"/>
    <w:rsid w:val="17FA6EAF"/>
    <w:rsid w:val="18092CD5"/>
    <w:rsid w:val="180D00A7"/>
    <w:rsid w:val="181A6207"/>
    <w:rsid w:val="18214341"/>
    <w:rsid w:val="18336B8F"/>
    <w:rsid w:val="1874792B"/>
    <w:rsid w:val="18C00D35"/>
    <w:rsid w:val="18D13A9A"/>
    <w:rsid w:val="18DE453C"/>
    <w:rsid w:val="18E514CE"/>
    <w:rsid w:val="190312A2"/>
    <w:rsid w:val="190848C5"/>
    <w:rsid w:val="190A3B3E"/>
    <w:rsid w:val="191474B7"/>
    <w:rsid w:val="191911EB"/>
    <w:rsid w:val="192616BB"/>
    <w:rsid w:val="192C0FEE"/>
    <w:rsid w:val="19331160"/>
    <w:rsid w:val="19496281"/>
    <w:rsid w:val="196F6FC1"/>
    <w:rsid w:val="19711A8D"/>
    <w:rsid w:val="19992BD1"/>
    <w:rsid w:val="19AB5ACC"/>
    <w:rsid w:val="19C3351E"/>
    <w:rsid w:val="19CA0483"/>
    <w:rsid w:val="1A107593"/>
    <w:rsid w:val="1A1D464D"/>
    <w:rsid w:val="1A4F3CB5"/>
    <w:rsid w:val="1A5F77D3"/>
    <w:rsid w:val="1A6E6871"/>
    <w:rsid w:val="1A844C1D"/>
    <w:rsid w:val="1A8635C8"/>
    <w:rsid w:val="1AB56D4E"/>
    <w:rsid w:val="1ADA1355"/>
    <w:rsid w:val="1AE54D2C"/>
    <w:rsid w:val="1B006539"/>
    <w:rsid w:val="1B194961"/>
    <w:rsid w:val="1B195DEC"/>
    <w:rsid w:val="1B285C20"/>
    <w:rsid w:val="1B4A6BAE"/>
    <w:rsid w:val="1B4B370A"/>
    <w:rsid w:val="1B537FF8"/>
    <w:rsid w:val="1B767B01"/>
    <w:rsid w:val="1B860FD9"/>
    <w:rsid w:val="1BB05E26"/>
    <w:rsid w:val="1BC40E99"/>
    <w:rsid w:val="1BC8314E"/>
    <w:rsid w:val="1BCA7890"/>
    <w:rsid w:val="1BCB6A47"/>
    <w:rsid w:val="1BD0660B"/>
    <w:rsid w:val="1BFB1779"/>
    <w:rsid w:val="1BFD00F2"/>
    <w:rsid w:val="1C1327C3"/>
    <w:rsid w:val="1C3670C8"/>
    <w:rsid w:val="1C43363D"/>
    <w:rsid w:val="1C4628F7"/>
    <w:rsid w:val="1C5E28E7"/>
    <w:rsid w:val="1C79295A"/>
    <w:rsid w:val="1CA03602"/>
    <w:rsid w:val="1CC16689"/>
    <w:rsid w:val="1CCC24BC"/>
    <w:rsid w:val="1CE512E6"/>
    <w:rsid w:val="1CEF2480"/>
    <w:rsid w:val="1D061139"/>
    <w:rsid w:val="1D155742"/>
    <w:rsid w:val="1D870AB9"/>
    <w:rsid w:val="1D8A0E3C"/>
    <w:rsid w:val="1D8F4459"/>
    <w:rsid w:val="1D9254CD"/>
    <w:rsid w:val="1DA15E50"/>
    <w:rsid w:val="1DB01096"/>
    <w:rsid w:val="1DB27B15"/>
    <w:rsid w:val="1DB87E85"/>
    <w:rsid w:val="1DC85751"/>
    <w:rsid w:val="1DC934BA"/>
    <w:rsid w:val="1DEB61F5"/>
    <w:rsid w:val="1E0A627C"/>
    <w:rsid w:val="1E16086E"/>
    <w:rsid w:val="1E3A6AB1"/>
    <w:rsid w:val="1E80319B"/>
    <w:rsid w:val="1E885A3B"/>
    <w:rsid w:val="1E927FD6"/>
    <w:rsid w:val="1E9860A5"/>
    <w:rsid w:val="1EA838E7"/>
    <w:rsid w:val="1ED20877"/>
    <w:rsid w:val="1ED94E4B"/>
    <w:rsid w:val="1EDE5D5E"/>
    <w:rsid w:val="1EF532EF"/>
    <w:rsid w:val="1EF77DC5"/>
    <w:rsid w:val="1F383ACC"/>
    <w:rsid w:val="1F394458"/>
    <w:rsid w:val="1F596305"/>
    <w:rsid w:val="1F730AA4"/>
    <w:rsid w:val="1F8811C7"/>
    <w:rsid w:val="1F8D31BC"/>
    <w:rsid w:val="1F9062F5"/>
    <w:rsid w:val="1FEB5C6A"/>
    <w:rsid w:val="1FFF5A5F"/>
    <w:rsid w:val="202209B9"/>
    <w:rsid w:val="20280066"/>
    <w:rsid w:val="202C0E96"/>
    <w:rsid w:val="20304AD2"/>
    <w:rsid w:val="203B6599"/>
    <w:rsid w:val="204F6722"/>
    <w:rsid w:val="206B325C"/>
    <w:rsid w:val="20782C9F"/>
    <w:rsid w:val="20902778"/>
    <w:rsid w:val="20AF30C4"/>
    <w:rsid w:val="20C20F88"/>
    <w:rsid w:val="20FD5C7C"/>
    <w:rsid w:val="21096CBA"/>
    <w:rsid w:val="21142ADE"/>
    <w:rsid w:val="2115662C"/>
    <w:rsid w:val="211E06F8"/>
    <w:rsid w:val="21361A04"/>
    <w:rsid w:val="214418DF"/>
    <w:rsid w:val="21B95143"/>
    <w:rsid w:val="21C04FD1"/>
    <w:rsid w:val="21D51B3D"/>
    <w:rsid w:val="21FE0CB2"/>
    <w:rsid w:val="2201295E"/>
    <w:rsid w:val="220D6242"/>
    <w:rsid w:val="22196712"/>
    <w:rsid w:val="226118D9"/>
    <w:rsid w:val="2272212A"/>
    <w:rsid w:val="22EC4950"/>
    <w:rsid w:val="22ED5F44"/>
    <w:rsid w:val="230A33CD"/>
    <w:rsid w:val="23197F12"/>
    <w:rsid w:val="231A56E2"/>
    <w:rsid w:val="231F7C19"/>
    <w:rsid w:val="232B5FAF"/>
    <w:rsid w:val="233439EB"/>
    <w:rsid w:val="233F76E0"/>
    <w:rsid w:val="23481CC9"/>
    <w:rsid w:val="235F1272"/>
    <w:rsid w:val="23AE10BA"/>
    <w:rsid w:val="23B70904"/>
    <w:rsid w:val="23E56B32"/>
    <w:rsid w:val="24142B46"/>
    <w:rsid w:val="24183F62"/>
    <w:rsid w:val="241D037F"/>
    <w:rsid w:val="2433149D"/>
    <w:rsid w:val="246270E4"/>
    <w:rsid w:val="24703D25"/>
    <w:rsid w:val="24772C2B"/>
    <w:rsid w:val="248B2E3F"/>
    <w:rsid w:val="24D46473"/>
    <w:rsid w:val="24DF22D5"/>
    <w:rsid w:val="25241FCD"/>
    <w:rsid w:val="2527218E"/>
    <w:rsid w:val="25314C51"/>
    <w:rsid w:val="254A4C11"/>
    <w:rsid w:val="257008BE"/>
    <w:rsid w:val="25780414"/>
    <w:rsid w:val="258A0443"/>
    <w:rsid w:val="259461AF"/>
    <w:rsid w:val="259B6286"/>
    <w:rsid w:val="25D017B0"/>
    <w:rsid w:val="25E86FC2"/>
    <w:rsid w:val="260C3AE7"/>
    <w:rsid w:val="261B35E2"/>
    <w:rsid w:val="261D7A35"/>
    <w:rsid w:val="263A612D"/>
    <w:rsid w:val="26483965"/>
    <w:rsid w:val="26684108"/>
    <w:rsid w:val="268B0B22"/>
    <w:rsid w:val="26BB607A"/>
    <w:rsid w:val="26BB7E4E"/>
    <w:rsid w:val="26C10F08"/>
    <w:rsid w:val="26D075A8"/>
    <w:rsid w:val="26D17DBC"/>
    <w:rsid w:val="26D24757"/>
    <w:rsid w:val="274D17E4"/>
    <w:rsid w:val="27506176"/>
    <w:rsid w:val="275D4096"/>
    <w:rsid w:val="276C3DD0"/>
    <w:rsid w:val="277B4947"/>
    <w:rsid w:val="27A03F53"/>
    <w:rsid w:val="27A57C3A"/>
    <w:rsid w:val="27D20BC1"/>
    <w:rsid w:val="27EB7AF0"/>
    <w:rsid w:val="27FC457D"/>
    <w:rsid w:val="280553D3"/>
    <w:rsid w:val="280F6C60"/>
    <w:rsid w:val="281253C2"/>
    <w:rsid w:val="28163476"/>
    <w:rsid w:val="282455AC"/>
    <w:rsid w:val="28261D0F"/>
    <w:rsid w:val="282E4EB4"/>
    <w:rsid w:val="2838738D"/>
    <w:rsid w:val="286F250E"/>
    <w:rsid w:val="287D2504"/>
    <w:rsid w:val="2886147E"/>
    <w:rsid w:val="28A87389"/>
    <w:rsid w:val="28AB0694"/>
    <w:rsid w:val="28AE6A69"/>
    <w:rsid w:val="28B81772"/>
    <w:rsid w:val="28E6171F"/>
    <w:rsid w:val="290049D6"/>
    <w:rsid w:val="290A4DA8"/>
    <w:rsid w:val="291176CC"/>
    <w:rsid w:val="291B6CB7"/>
    <w:rsid w:val="291C67BC"/>
    <w:rsid w:val="2944347B"/>
    <w:rsid w:val="29503AAE"/>
    <w:rsid w:val="29573123"/>
    <w:rsid w:val="2976071A"/>
    <w:rsid w:val="297F7A53"/>
    <w:rsid w:val="2992095F"/>
    <w:rsid w:val="29AC6651"/>
    <w:rsid w:val="29C4608A"/>
    <w:rsid w:val="29E769C8"/>
    <w:rsid w:val="29F21662"/>
    <w:rsid w:val="29F51AC1"/>
    <w:rsid w:val="29F51D07"/>
    <w:rsid w:val="29FC30C2"/>
    <w:rsid w:val="2A406B43"/>
    <w:rsid w:val="2A481CFC"/>
    <w:rsid w:val="2A6D3E9B"/>
    <w:rsid w:val="2A706411"/>
    <w:rsid w:val="2A783D0E"/>
    <w:rsid w:val="2A9C0461"/>
    <w:rsid w:val="2AD0515C"/>
    <w:rsid w:val="2AE8528D"/>
    <w:rsid w:val="2AF16E8B"/>
    <w:rsid w:val="2B0B7CEC"/>
    <w:rsid w:val="2B27452A"/>
    <w:rsid w:val="2B2D4BDC"/>
    <w:rsid w:val="2B4503EF"/>
    <w:rsid w:val="2B767712"/>
    <w:rsid w:val="2BBA7AC6"/>
    <w:rsid w:val="2BFC26B9"/>
    <w:rsid w:val="2BFF2965"/>
    <w:rsid w:val="2C08362E"/>
    <w:rsid w:val="2C0F0976"/>
    <w:rsid w:val="2C3038C2"/>
    <w:rsid w:val="2C3C0A88"/>
    <w:rsid w:val="2C51001B"/>
    <w:rsid w:val="2C596FFF"/>
    <w:rsid w:val="2C906216"/>
    <w:rsid w:val="2C9A17D6"/>
    <w:rsid w:val="2CA6566A"/>
    <w:rsid w:val="2CAE7599"/>
    <w:rsid w:val="2CB749B3"/>
    <w:rsid w:val="2CBB6294"/>
    <w:rsid w:val="2CBF39BD"/>
    <w:rsid w:val="2D016EDC"/>
    <w:rsid w:val="2D2E04D4"/>
    <w:rsid w:val="2D3878C4"/>
    <w:rsid w:val="2D3A4057"/>
    <w:rsid w:val="2D5343E6"/>
    <w:rsid w:val="2D994DBE"/>
    <w:rsid w:val="2DC23772"/>
    <w:rsid w:val="2DD53F02"/>
    <w:rsid w:val="2E0A0263"/>
    <w:rsid w:val="2E6932C2"/>
    <w:rsid w:val="2E73484D"/>
    <w:rsid w:val="2E734C4D"/>
    <w:rsid w:val="2E797FB3"/>
    <w:rsid w:val="2E9A7164"/>
    <w:rsid w:val="2ED21188"/>
    <w:rsid w:val="2EDF73C8"/>
    <w:rsid w:val="2EE1137A"/>
    <w:rsid w:val="2EE6759F"/>
    <w:rsid w:val="2EEB0819"/>
    <w:rsid w:val="2EF44200"/>
    <w:rsid w:val="2F010E90"/>
    <w:rsid w:val="2F0C69E6"/>
    <w:rsid w:val="2F0D5CED"/>
    <w:rsid w:val="2F110235"/>
    <w:rsid w:val="2F16689C"/>
    <w:rsid w:val="2F1C6FC0"/>
    <w:rsid w:val="2F236129"/>
    <w:rsid w:val="2F2C56BA"/>
    <w:rsid w:val="2F2D0218"/>
    <w:rsid w:val="2F356A16"/>
    <w:rsid w:val="2F4614DA"/>
    <w:rsid w:val="2F636A54"/>
    <w:rsid w:val="2F796556"/>
    <w:rsid w:val="2FA00DAE"/>
    <w:rsid w:val="30081603"/>
    <w:rsid w:val="30200C5B"/>
    <w:rsid w:val="30420830"/>
    <w:rsid w:val="309C224F"/>
    <w:rsid w:val="31190489"/>
    <w:rsid w:val="311C13F7"/>
    <w:rsid w:val="311C3987"/>
    <w:rsid w:val="31232963"/>
    <w:rsid w:val="312C101E"/>
    <w:rsid w:val="313071E7"/>
    <w:rsid w:val="314C7D21"/>
    <w:rsid w:val="31540C79"/>
    <w:rsid w:val="315857B1"/>
    <w:rsid w:val="31650177"/>
    <w:rsid w:val="31A43DC9"/>
    <w:rsid w:val="31AB6658"/>
    <w:rsid w:val="31BC3F1B"/>
    <w:rsid w:val="31C37B9C"/>
    <w:rsid w:val="31EA7F55"/>
    <w:rsid w:val="32137CF0"/>
    <w:rsid w:val="321E50BD"/>
    <w:rsid w:val="32224344"/>
    <w:rsid w:val="32297303"/>
    <w:rsid w:val="32340C69"/>
    <w:rsid w:val="32363F32"/>
    <w:rsid w:val="32471F5A"/>
    <w:rsid w:val="3253078F"/>
    <w:rsid w:val="325E3A96"/>
    <w:rsid w:val="328800D1"/>
    <w:rsid w:val="328C35DF"/>
    <w:rsid w:val="32B7356F"/>
    <w:rsid w:val="33054C09"/>
    <w:rsid w:val="330C088A"/>
    <w:rsid w:val="330D0F43"/>
    <w:rsid w:val="332A5E08"/>
    <w:rsid w:val="33310C6F"/>
    <w:rsid w:val="333E728C"/>
    <w:rsid w:val="334F202E"/>
    <w:rsid w:val="338666AF"/>
    <w:rsid w:val="339B23CC"/>
    <w:rsid w:val="33A03A4B"/>
    <w:rsid w:val="33A04007"/>
    <w:rsid w:val="33A60671"/>
    <w:rsid w:val="33AF4FB4"/>
    <w:rsid w:val="33CF2119"/>
    <w:rsid w:val="33D4015C"/>
    <w:rsid w:val="33DE4357"/>
    <w:rsid w:val="341D5AAB"/>
    <w:rsid w:val="342732F1"/>
    <w:rsid w:val="342B2E3E"/>
    <w:rsid w:val="344517CB"/>
    <w:rsid w:val="3454463B"/>
    <w:rsid w:val="346B507B"/>
    <w:rsid w:val="347A0A28"/>
    <w:rsid w:val="347B293F"/>
    <w:rsid w:val="348C37FE"/>
    <w:rsid w:val="349B5AE7"/>
    <w:rsid w:val="349D017A"/>
    <w:rsid w:val="34AA4F73"/>
    <w:rsid w:val="34CE6938"/>
    <w:rsid w:val="34F52FDD"/>
    <w:rsid w:val="352B6C5A"/>
    <w:rsid w:val="35520294"/>
    <w:rsid w:val="357A04F1"/>
    <w:rsid w:val="357C1D84"/>
    <w:rsid w:val="35887A53"/>
    <w:rsid w:val="35AF4576"/>
    <w:rsid w:val="35B4397E"/>
    <w:rsid w:val="360300F8"/>
    <w:rsid w:val="36034EE1"/>
    <w:rsid w:val="3604240C"/>
    <w:rsid w:val="36237D2D"/>
    <w:rsid w:val="363503EB"/>
    <w:rsid w:val="3647637B"/>
    <w:rsid w:val="367F686D"/>
    <w:rsid w:val="36A14C50"/>
    <w:rsid w:val="36B349A1"/>
    <w:rsid w:val="36B412F5"/>
    <w:rsid w:val="36B66A91"/>
    <w:rsid w:val="36CC7A6D"/>
    <w:rsid w:val="36E17616"/>
    <w:rsid w:val="37076693"/>
    <w:rsid w:val="372B30FF"/>
    <w:rsid w:val="372F768E"/>
    <w:rsid w:val="375E41FD"/>
    <w:rsid w:val="3765223E"/>
    <w:rsid w:val="376A4278"/>
    <w:rsid w:val="377870B5"/>
    <w:rsid w:val="377D54A5"/>
    <w:rsid w:val="377D5E16"/>
    <w:rsid w:val="377E65D4"/>
    <w:rsid w:val="37872B44"/>
    <w:rsid w:val="379A0642"/>
    <w:rsid w:val="379F77DA"/>
    <w:rsid w:val="37A7041E"/>
    <w:rsid w:val="37A80A27"/>
    <w:rsid w:val="37C914D9"/>
    <w:rsid w:val="37D63EC9"/>
    <w:rsid w:val="37F02038"/>
    <w:rsid w:val="38280519"/>
    <w:rsid w:val="38304C4D"/>
    <w:rsid w:val="38321297"/>
    <w:rsid w:val="386D019E"/>
    <w:rsid w:val="38894B13"/>
    <w:rsid w:val="38A42A5B"/>
    <w:rsid w:val="38C10BFB"/>
    <w:rsid w:val="38DD791D"/>
    <w:rsid w:val="38FE69BA"/>
    <w:rsid w:val="3920221B"/>
    <w:rsid w:val="39334BFF"/>
    <w:rsid w:val="393667C3"/>
    <w:rsid w:val="39457CAF"/>
    <w:rsid w:val="3948048E"/>
    <w:rsid w:val="39812B9C"/>
    <w:rsid w:val="399208A7"/>
    <w:rsid w:val="39B565E1"/>
    <w:rsid w:val="39D4235F"/>
    <w:rsid w:val="39FD6163"/>
    <w:rsid w:val="3A257802"/>
    <w:rsid w:val="3A606A76"/>
    <w:rsid w:val="3A8231F1"/>
    <w:rsid w:val="3A921749"/>
    <w:rsid w:val="3AA81B41"/>
    <w:rsid w:val="3ADD242D"/>
    <w:rsid w:val="3B143086"/>
    <w:rsid w:val="3B147A5B"/>
    <w:rsid w:val="3B1A2D8C"/>
    <w:rsid w:val="3B4042AB"/>
    <w:rsid w:val="3B4E6CEA"/>
    <w:rsid w:val="3B66210B"/>
    <w:rsid w:val="3B814E71"/>
    <w:rsid w:val="3B964D74"/>
    <w:rsid w:val="3B972AF7"/>
    <w:rsid w:val="3BB62FA9"/>
    <w:rsid w:val="3BB70D15"/>
    <w:rsid w:val="3BBB09FC"/>
    <w:rsid w:val="3BC91BB9"/>
    <w:rsid w:val="3C077987"/>
    <w:rsid w:val="3C120308"/>
    <w:rsid w:val="3C42650A"/>
    <w:rsid w:val="3C762DF2"/>
    <w:rsid w:val="3C7D1D40"/>
    <w:rsid w:val="3C9B51F8"/>
    <w:rsid w:val="3CD32AA5"/>
    <w:rsid w:val="3CDD0DBD"/>
    <w:rsid w:val="3D101034"/>
    <w:rsid w:val="3D2B28D8"/>
    <w:rsid w:val="3D4A5E08"/>
    <w:rsid w:val="3D544EBB"/>
    <w:rsid w:val="3D882CF1"/>
    <w:rsid w:val="3D8F1977"/>
    <w:rsid w:val="3D94164C"/>
    <w:rsid w:val="3D9814F2"/>
    <w:rsid w:val="3DAF40CD"/>
    <w:rsid w:val="3DE32AFA"/>
    <w:rsid w:val="3DE454C2"/>
    <w:rsid w:val="3DFC2DD2"/>
    <w:rsid w:val="3E0456CC"/>
    <w:rsid w:val="3E115C36"/>
    <w:rsid w:val="3E136ED4"/>
    <w:rsid w:val="3E2418CD"/>
    <w:rsid w:val="3E2726B6"/>
    <w:rsid w:val="3E3A6B14"/>
    <w:rsid w:val="3E58349B"/>
    <w:rsid w:val="3E8A1A02"/>
    <w:rsid w:val="3E8E765E"/>
    <w:rsid w:val="3EA9393D"/>
    <w:rsid w:val="3EAD0498"/>
    <w:rsid w:val="3EC56D78"/>
    <w:rsid w:val="3EC7715A"/>
    <w:rsid w:val="3ED16A4F"/>
    <w:rsid w:val="3ED17EBE"/>
    <w:rsid w:val="3EDC543E"/>
    <w:rsid w:val="3EED5016"/>
    <w:rsid w:val="3EF124B9"/>
    <w:rsid w:val="3EF52FF7"/>
    <w:rsid w:val="3EF62F89"/>
    <w:rsid w:val="3EF75B65"/>
    <w:rsid w:val="3EFB570C"/>
    <w:rsid w:val="3F204493"/>
    <w:rsid w:val="3F2B7413"/>
    <w:rsid w:val="3F5871FB"/>
    <w:rsid w:val="3F8E35DC"/>
    <w:rsid w:val="3F8F5DC2"/>
    <w:rsid w:val="3FA46F4F"/>
    <w:rsid w:val="3FA624AC"/>
    <w:rsid w:val="3FB00475"/>
    <w:rsid w:val="3FBF5991"/>
    <w:rsid w:val="3FE10717"/>
    <w:rsid w:val="40023F34"/>
    <w:rsid w:val="40090025"/>
    <w:rsid w:val="40181902"/>
    <w:rsid w:val="402F5A4D"/>
    <w:rsid w:val="40411288"/>
    <w:rsid w:val="404742BD"/>
    <w:rsid w:val="40600DD5"/>
    <w:rsid w:val="40660F91"/>
    <w:rsid w:val="407A1958"/>
    <w:rsid w:val="407D57C8"/>
    <w:rsid w:val="40B26892"/>
    <w:rsid w:val="40BC38D0"/>
    <w:rsid w:val="40D9145A"/>
    <w:rsid w:val="40E21CB8"/>
    <w:rsid w:val="410F31C3"/>
    <w:rsid w:val="4112553B"/>
    <w:rsid w:val="41344AAB"/>
    <w:rsid w:val="41550C30"/>
    <w:rsid w:val="41875FCE"/>
    <w:rsid w:val="4190424D"/>
    <w:rsid w:val="41BA6E78"/>
    <w:rsid w:val="41E43D07"/>
    <w:rsid w:val="41F6399A"/>
    <w:rsid w:val="41F94DC7"/>
    <w:rsid w:val="41FA3A29"/>
    <w:rsid w:val="42137C42"/>
    <w:rsid w:val="422E57D7"/>
    <w:rsid w:val="42555DF7"/>
    <w:rsid w:val="42A27001"/>
    <w:rsid w:val="42C507A4"/>
    <w:rsid w:val="42F07508"/>
    <w:rsid w:val="43270B23"/>
    <w:rsid w:val="43366434"/>
    <w:rsid w:val="434A0913"/>
    <w:rsid w:val="436A64E9"/>
    <w:rsid w:val="4370434B"/>
    <w:rsid w:val="43711057"/>
    <w:rsid w:val="43891ADB"/>
    <w:rsid w:val="439C4F5E"/>
    <w:rsid w:val="43A97B33"/>
    <w:rsid w:val="43B65B15"/>
    <w:rsid w:val="43E630D7"/>
    <w:rsid w:val="43EF2D9F"/>
    <w:rsid w:val="43F02783"/>
    <w:rsid w:val="445552E9"/>
    <w:rsid w:val="44656E26"/>
    <w:rsid w:val="4468183E"/>
    <w:rsid w:val="44786783"/>
    <w:rsid w:val="449457D3"/>
    <w:rsid w:val="44A25A9F"/>
    <w:rsid w:val="44A61055"/>
    <w:rsid w:val="44BE5C95"/>
    <w:rsid w:val="44DD6EB7"/>
    <w:rsid w:val="44E01145"/>
    <w:rsid w:val="450018DF"/>
    <w:rsid w:val="450F2BC2"/>
    <w:rsid w:val="451D2C75"/>
    <w:rsid w:val="45203860"/>
    <w:rsid w:val="454746DD"/>
    <w:rsid w:val="455367B2"/>
    <w:rsid w:val="45555732"/>
    <w:rsid w:val="455F10D7"/>
    <w:rsid w:val="456355DA"/>
    <w:rsid w:val="45741675"/>
    <w:rsid w:val="459C4648"/>
    <w:rsid w:val="45A02EDD"/>
    <w:rsid w:val="45E61BCA"/>
    <w:rsid w:val="45EE32D7"/>
    <w:rsid w:val="46054AED"/>
    <w:rsid w:val="460A6FE4"/>
    <w:rsid w:val="461A323C"/>
    <w:rsid w:val="4638018C"/>
    <w:rsid w:val="46416C3D"/>
    <w:rsid w:val="46433285"/>
    <w:rsid w:val="46472DC5"/>
    <w:rsid w:val="46526D41"/>
    <w:rsid w:val="46584865"/>
    <w:rsid w:val="46681B67"/>
    <w:rsid w:val="468200E4"/>
    <w:rsid w:val="4685435B"/>
    <w:rsid w:val="46903F4D"/>
    <w:rsid w:val="469815BE"/>
    <w:rsid w:val="46A14FC5"/>
    <w:rsid w:val="46B27CB1"/>
    <w:rsid w:val="46C17329"/>
    <w:rsid w:val="46D34E98"/>
    <w:rsid w:val="46F70781"/>
    <w:rsid w:val="47001117"/>
    <w:rsid w:val="47246805"/>
    <w:rsid w:val="47492E75"/>
    <w:rsid w:val="474F7F9F"/>
    <w:rsid w:val="475F3AC1"/>
    <w:rsid w:val="47844901"/>
    <w:rsid w:val="479A2ED2"/>
    <w:rsid w:val="47B328B4"/>
    <w:rsid w:val="47B41956"/>
    <w:rsid w:val="47C13542"/>
    <w:rsid w:val="48113D01"/>
    <w:rsid w:val="484C7B11"/>
    <w:rsid w:val="485E0A04"/>
    <w:rsid w:val="48740F1D"/>
    <w:rsid w:val="48761BE3"/>
    <w:rsid w:val="489E0EB1"/>
    <w:rsid w:val="48A4548A"/>
    <w:rsid w:val="48A57E1F"/>
    <w:rsid w:val="48AA6739"/>
    <w:rsid w:val="48B50D92"/>
    <w:rsid w:val="48D80297"/>
    <w:rsid w:val="48DE3BBF"/>
    <w:rsid w:val="48E77164"/>
    <w:rsid w:val="491D19DF"/>
    <w:rsid w:val="49304CB2"/>
    <w:rsid w:val="495D6F47"/>
    <w:rsid w:val="49620FF1"/>
    <w:rsid w:val="496F6EBE"/>
    <w:rsid w:val="49814F4C"/>
    <w:rsid w:val="49836E4C"/>
    <w:rsid w:val="49A364F7"/>
    <w:rsid w:val="49B42429"/>
    <w:rsid w:val="49C4569B"/>
    <w:rsid w:val="4A074043"/>
    <w:rsid w:val="4A090DC7"/>
    <w:rsid w:val="4A091441"/>
    <w:rsid w:val="4A14567E"/>
    <w:rsid w:val="4A1C1271"/>
    <w:rsid w:val="4A1E6180"/>
    <w:rsid w:val="4A215F60"/>
    <w:rsid w:val="4A2308FE"/>
    <w:rsid w:val="4A2412C3"/>
    <w:rsid w:val="4A287AB1"/>
    <w:rsid w:val="4A5133EE"/>
    <w:rsid w:val="4A5D4EF8"/>
    <w:rsid w:val="4A791824"/>
    <w:rsid w:val="4A915C19"/>
    <w:rsid w:val="4A955A49"/>
    <w:rsid w:val="4A9C5501"/>
    <w:rsid w:val="4AAF7BD4"/>
    <w:rsid w:val="4AD80F53"/>
    <w:rsid w:val="4AD86EA7"/>
    <w:rsid w:val="4B2C75A6"/>
    <w:rsid w:val="4B2F25FD"/>
    <w:rsid w:val="4B47023E"/>
    <w:rsid w:val="4B812672"/>
    <w:rsid w:val="4B8E52B1"/>
    <w:rsid w:val="4BB15678"/>
    <w:rsid w:val="4BB635D2"/>
    <w:rsid w:val="4BB76960"/>
    <w:rsid w:val="4BC655C8"/>
    <w:rsid w:val="4BD03593"/>
    <w:rsid w:val="4BD63363"/>
    <w:rsid w:val="4BD87666"/>
    <w:rsid w:val="4BE63621"/>
    <w:rsid w:val="4BE6691C"/>
    <w:rsid w:val="4BF467F9"/>
    <w:rsid w:val="4BF83E44"/>
    <w:rsid w:val="4C276C17"/>
    <w:rsid w:val="4C2E3C81"/>
    <w:rsid w:val="4C73767A"/>
    <w:rsid w:val="4C7C0669"/>
    <w:rsid w:val="4C7D0871"/>
    <w:rsid w:val="4C850277"/>
    <w:rsid w:val="4C9904F2"/>
    <w:rsid w:val="4CC52EB8"/>
    <w:rsid w:val="4D2572CD"/>
    <w:rsid w:val="4D354FF0"/>
    <w:rsid w:val="4D4827A0"/>
    <w:rsid w:val="4D4C32B8"/>
    <w:rsid w:val="4DBB048A"/>
    <w:rsid w:val="4DCE336E"/>
    <w:rsid w:val="4DE07DE4"/>
    <w:rsid w:val="4DFD583D"/>
    <w:rsid w:val="4E0D5D14"/>
    <w:rsid w:val="4E1D3941"/>
    <w:rsid w:val="4E2809CC"/>
    <w:rsid w:val="4E2F45C0"/>
    <w:rsid w:val="4E363F2F"/>
    <w:rsid w:val="4E616639"/>
    <w:rsid w:val="4E682F97"/>
    <w:rsid w:val="4EA42281"/>
    <w:rsid w:val="4EA546F0"/>
    <w:rsid w:val="4EAF3AED"/>
    <w:rsid w:val="4EB0019E"/>
    <w:rsid w:val="4ECB1385"/>
    <w:rsid w:val="4ED32851"/>
    <w:rsid w:val="4ED35762"/>
    <w:rsid w:val="4EDF1745"/>
    <w:rsid w:val="4EF5014E"/>
    <w:rsid w:val="4EFA3C4E"/>
    <w:rsid w:val="4F095164"/>
    <w:rsid w:val="4F235A8E"/>
    <w:rsid w:val="4F25434D"/>
    <w:rsid w:val="4F26262A"/>
    <w:rsid w:val="4F33554E"/>
    <w:rsid w:val="4F612BE4"/>
    <w:rsid w:val="4F6461D6"/>
    <w:rsid w:val="4F7B292B"/>
    <w:rsid w:val="4F865749"/>
    <w:rsid w:val="4F9E59ED"/>
    <w:rsid w:val="4FDC58FD"/>
    <w:rsid w:val="4FDE1C0C"/>
    <w:rsid w:val="4FE54A2D"/>
    <w:rsid w:val="4FF958E6"/>
    <w:rsid w:val="50202BC7"/>
    <w:rsid w:val="50216FE4"/>
    <w:rsid w:val="502D2C76"/>
    <w:rsid w:val="50505EC7"/>
    <w:rsid w:val="50614DD7"/>
    <w:rsid w:val="506B628A"/>
    <w:rsid w:val="507663CE"/>
    <w:rsid w:val="50787CFE"/>
    <w:rsid w:val="50AE1AE4"/>
    <w:rsid w:val="50DE21C3"/>
    <w:rsid w:val="50FE2631"/>
    <w:rsid w:val="51151D83"/>
    <w:rsid w:val="51167E7F"/>
    <w:rsid w:val="51390032"/>
    <w:rsid w:val="515426DE"/>
    <w:rsid w:val="515C74D2"/>
    <w:rsid w:val="51652C0F"/>
    <w:rsid w:val="518D4538"/>
    <w:rsid w:val="51960DFD"/>
    <w:rsid w:val="51BA148B"/>
    <w:rsid w:val="51BB2BF3"/>
    <w:rsid w:val="51C87FCE"/>
    <w:rsid w:val="51CB03C9"/>
    <w:rsid w:val="51FD0367"/>
    <w:rsid w:val="52377D55"/>
    <w:rsid w:val="525F7483"/>
    <w:rsid w:val="527F16B8"/>
    <w:rsid w:val="52862351"/>
    <w:rsid w:val="52984624"/>
    <w:rsid w:val="52DE294E"/>
    <w:rsid w:val="52F10B24"/>
    <w:rsid w:val="534A2585"/>
    <w:rsid w:val="53921453"/>
    <w:rsid w:val="539D3FE2"/>
    <w:rsid w:val="53A03056"/>
    <w:rsid w:val="53A31787"/>
    <w:rsid w:val="53D7503B"/>
    <w:rsid w:val="53E637C7"/>
    <w:rsid w:val="53E8647E"/>
    <w:rsid w:val="53F45929"/>
    <w:rsid w:val="53FC0907"/>
    <w:rsid w:val="5468198B"/>
    <w:rsid w:val="54951AB4"/>
    <w:rsid w:val="549A0B06"/>
    <w:rsid w:val="54A655A6"/>
    <w:rsid w:val="54AC5365"/>
    <w:rsid w:val="54D53B13"/>
    <w:rsid w:val="54EB74E4"/>
    <w:rsid w:val="552007A9"/>
    <w:rsid w:val="55284AD7"/>
    <w:rsid w:val="5530324E"/>
    <w:rsid w:val="55457E29"/>
    <w:rsid w:val="55490F3F"/>
    <w:rsid w:val="555B0657"/>
    <w:rsid w:val="556032BE"/>
    <w:rsid w:val="55B86023"/>
    <w:rsid w:val="55C151DC"/>
    <w:rsid w:val="55E556DC"/>
    <w:rsid w:val="55FF3036"/>
    <w:rsid w:val="56213505"/>
    <w:rsid w:val="56292705"/>
    <w:rsid w:val="5632227A"/>
    <w:rsid w:val="56482C0E"/>
    <w:rsid w:val="564E3203"/>
    <w:rsid w:val="566D7077"/>
    <w:rsid w:val="568C03E5"/>
    <w:rsid w:val="56E60496"/>
    <w:rsid w:val="572B2806"/>
    <w:rsid w:val="57321D00"/>
    <w:rsid w:val="57360834"/>
    <w:rsid w:val="57374E0B"/>
    <w:rsid w:val="57444728"/>
    <w:rsid w:val="575B090B"/>
    <w:rsid w:val="577439B5"/>
    <w:rsid w:val="57926FF9"/>
    <w:rsid w:val="57A355F8"/>
    <w:rsid w:val="57E6509B"/>
    <w:rsid w:val="57E738F8"/>
    <w:rsid w:val="57E94CAC"/>
    <w:rsid w:val="57EA0EE4"/>
    <w:rsid w:val="57EB5B27"/>
    <w:rsid w:val="57EC2D60"/>
    <w:rsid w:val="58263426"/>
    <w:rsid w:val="583C0E12"/>
    <w:rsid w:val="5856757B"/>
    <w:rsid w:val="58630650"/>
    <w:rsid w:val="58A14304"/>
    <w:rsid w:val="58A3772F"/>
    <w:rsid w:val="58C36C52"/>
    <w:rsid w:val="58CC5EFE"/>
    <w:rsid w:val="58E3487B"/>
    <w:rsid w:val="58FB3B6A"/>
    <w:rsid w:val="59026288"/>
    <w:rsid w:val="590668BB"/>
    <w:rsid w:val="59205FDE"/>
    <w:rsid w:val="59336ED5"/>
    <w:rsid w:val="59393A95"/>
    <w:rsid w:val="59402E05"/>
    <w:rsid w:val="59432CA0"/>
    <w:rsid w:val="594A3241"/>
    <w:rsid w:val="594D3E46"/>
    <w:rsid w:val="595C3DA0"/>
    <w:rsid w:val="595E62F2"/>
    <w:rsid w:val="596658B9"/>
    <w:rsid w:val="59693F87"/>
    <w:rsid w:val="59851D75"/>
    <w:rsid w:val="59B42F07"/>
    <w:rsid w:val="59B83EF9"/>
    <w:rsid w:val="59BB77BA"/>
    <w:rsid w:val="59CA1574"/>
    <w:rsid w:val="5A2C4220"/>
    <w:rsid w:val="5A316507"/>
    <w:rsid w:val="5A497C34"/>
    <w:rsid w:val="5A4C0E52"/>
    <w:rsid w:val="5A7B33E5"/>
    <w:rsid w:val="5A8C664D"/>
    <w:rsid w:val="5ABD43B1"/>
    <w:rsid w:val="5AC20EBF"/>
    <w:rsid w:val="5ACC7E12"/>
    <w:rsid w:val="5ACD5B73"/>
    <w:rsid w:val="5ADF42CD"/>
    <w:rsid w:val="5B050809"/>
    <w:rsid w:val="5B1038C0"/>
    <w:rsid w:val="5B366061"/>
    <w:rsid w:val="5B3846E5"/>
    <w:rsid w:val="5B440B6E"/>
    <w:rsid w:val="5B553BEC"/>
    <w:rsid w:val="5B5B4ABD"/>
    <w:rsid w:val="5B5C5E93"/>
    <w:rsid w:val="5B5E3394"/>
    <w:rsid w:val="5B74024A"/>
    <w:rsid w:val="5B792560"/>
    <w:rsid w:val="5B8A7735"/>
    <w:rsid w:val="5B9D0E06"/>
    <w:rsid w:val="5B9F2FA8"/>
    <w:rsid w:val="5BA172F8"/>
    <w:rsid w:val="5BB151A5"/>
    <w:rsid w:val="5BB6027C"/>
    <w:rsid w:val="5BBA7FEF"/>
    <w:rsid w:val="5BBB47C2"/>
    <w:rsid w:val="5BE568D3"/>
    <w:rsid w:val="5BF62976"/>
    <w:rsid w:val="5C16597D"/>
    <w:rsid w:val="5C30620B"/>
    <w:rsid w:val="5C576F8B"/>
    <w:rsid w:val="5C707C6C"/>
    <w:rsid w:val="5C8D5239"/>
    <w:rsid w:val="5C8E0CD7"/>
    <w:rsid w:val="5C9E2C36"/>
    <w:rsid w:val="5CB21C23"/>
    <w:rsid w:val="5CB6579C"/>
    <w:rsid w:val="5CBB2347"/>
    <w:rsid w:val="5CC6320E"/>
    <w:rsid w:val="5CC76C7C"/>
    <w:rsid w:val="5CF36024"/>
    <w:rsid w:val="5CFF01AA"/>
    <w:rsid w:val="5D1344DD"/>
    <w:rsid w:val="5D251863"/>
    <w:rsid w:val="5D3D5FC2"/>
    <w:rsid w:val="5D7726AE"/>
    <w:rsid w:val="5D7B6EDD"/>
    <w:rsid w:val="5D806796"/>
    <w:rsid w:val="5D827D40"/>
    <w:rsid w:val="5DC43C07"/>
    <w:rsid w:val="5DCA3A55"/>
    <w:rsid w:val="5DCD3255"/>
    <w:rsid w:val="5DE640E1"/>
    <w:rsid w:val="5E1D7AD7"/>
    <w:rsid w:val="5E297761"/>
    <w:rsid w:val="5E33770D"/>
    <w:rsid w:val="5E532ADD"/>
    <w:rsid w:val="5E610B28"/>
    <w:rsid w:val="5E66579C"/>
    <w:rsid w:val="5E7A638B"/>
    <w:rsid w:val="5E91320F"/>
    <w:rsid w:val="5E915A7A"/>
    <w:rsid w:val="5E9345FF"/>
    <w:rsid w:val="5EA33A97"/>
    <w:rsid w:val="5EBA6BB4"/>
    <w:rsid w:val="5ED134B6"/>
    <w:rsid w:val="5EF55DBA"/>
    <w:rsid w:val="5F6B1358"/>
    <w:rsid w:val="5F803CFA"/>
    <w:rsid w:val="5FC51458"/>
    <w:rsid w:val="5FC866E5"/>
    <w:rsid w:val="5FDC13D8"/>
    <w:rsid w:val="600824C1"/>
    <w:rsid w:val="60090629"/>
    <w:rsid w:val="60357E5C"/>
    <w:rsid w:val="60413F7F"/>
    <w:rsid w:val="60660F52"/>
    <w:rsid w:val="606A3C6B"/>
    <w:rsid w:val="609B5019"/>
    <w:rsid w:val="60B4769E"/>
    <w:rsid w:val="60B55083"/>
    <w:rsid w:val="60C35F92"/>
    <w:rsid w:val="60F26CCE"/>
    <w:rsid w:val="610242F6"/>
    <w:rsid w:val="610924CD"/>
    <w:rsid w:val="6119401A"/>
    <w:rsid w:val="611D2CA6"/>
    <w:rsid w:val="61200642"/>
    <w:rsid w:val="612C581B"/>
    <w:rsid w:val="61652DB1"/>
    <w:rsid w:val="61970BE7"/>
    <w:rsid w:val="61A20E5D"/>
    <w:rsid w:val="61B8332B"/>
    <w:rsid w:val="61E85609"/>
    <w:rsid w:val="61F17268"/>
    <w:rsid w:val="61FC7432"/>
    <w:rsid w:val="620A3859"/>
    <w:rsid w:val="62204E0F"/>
    <w:rsid w:val="62207D5C"/>
    <w:rsid w:val="624063A3"/>
    <w:rsid w:val="62533606"/>
    <w:rsid w:val="626967AB"/>
    <w:rsid w:val="62845968"/>
    <w:rsid w:val="628E2B97"/>
    <w:rsid w:val="62A86B6F"/>
    <w:rsid w:val="62B35B81"/>
    <w:rsid w:val="62B75EDD"/>
    <w:rsid w:val="62BA2CE3"/>
    <w:rsid w:val="62C01D55"/>
    <w:rsid w:val="62C92F2D"/>
    <w:rsid w:val="62D93169"/>
    <w:rsid w:val="62E40282"/>
    <w:rsid w:val="631D5B18"/>
    <w:rsid w:val="631E201F"/>
    <w:rsid w:val="63231110"/>
    <w:rsid w:val="63320961"/>
    <w:rsid w:val="634E6C76"/>
    <w:rsid w:val="63577D60"/>
    <w:rsid w:val="636514C6"/>
    <w:rsid w:val="636F701B"/>
    <w:rsid w:val="6382662F"/>
    <w:rsid w:val="63843811"/>
    <w:rsid w:val="63B23C71"/>
    <w:rsid w:val="63C03D09"/>
    <w:rsid w:val="63C95202"/>
    <w:rsid w:val="63CB4107"/>
    <w:rsid w:val="63DB551D"/>
    <w:rsid w:val="63EB7D0F"/>
    <w:rsid w:val="63ED3A09"/>
    <w:rsid w:val="64090834"/>
    <w:rsid w:val="64116EAE"/>
    <w:rsid w:val="64272A3B"/>
    <w:rsid w:val="645255C4"/>
    <w:rsid w:val="6458131B"/>
    <w:rsid w:val="6467063D"/>
    <w:rsid w:val="648F4A0E"/>
    <w:rsid w:val="64937E71"/>
    <w:rsid w:val="6495646A"/>
    <w:rsid w:val="64C02EBC"/>
    <w:rsid w:val="64D94902"/>
    <w:rsid w:val="64FA320D"/>
    <w:rsid w:val="6528000E"/>
    <w:rsid w:val="654A75D3"/>
    <w:rsid w:val="65797FD4"/>
    <w:rsid w:val="658D5E16"/>
    <w:rsid w:val="65953363"/>
    <w:rsid w:val="65B81838"/>
    <w:rsid w:val="65B841DE"/>
    <w:rsid w:val="65BD0B13"/>
    <w:rsid w:val="65CA03C9"/>
    <w:rsid w:val="65E1661E"/>
    <w:rsid w:val="65E36C18"/>
    <w:rsid w:val="660918F9"/>
    <w:rsid w:val="663C1302"/>
    <w:rsid w:val="665F0112"/>
    <w:rsid w:val="666E3D14"/>
    <w:rsid w:val="667829D9"/>
    <w:rsid w:val="667F18FA"/>
    <w:rsid w:val="668D1D23"/>
    <w:rsid w:val="6698443C"/>
    <w:rsid w:val="669A5886"/>
    <w:rsid w:val="66BF54E4"/>
    <w:rsid w:val="67101119"/>
    <w:rsid w:val="67151BB5"/>
    <w:rsid w:val="671C67EA"/>
    <w:rsid w:val="672A5368"/>
    <w:rsid w:val="67400D4D"/>
    <w:rsid w:val="67566AFF"/>
    <w:rsid w:val="677A414A"/>
    <w:rsid w:val="67C952B3"/>
    <w:rsid w:val="67CB697C"/>
    <w:rsid w:val="67DB4341"/>
    <w:rsid w:val="6857580E"/>
    <w:rsid w:val="68720AE2"/>
    <w:rsid w:val="689554F5"/>
    <w:rsid w:val="68AA7215"/>
    <w:rsid w:val="68E82C8B"/>
    <w:rsid w:val="68ED6911"/>
    <w:rsid w:val="6903642B"/>
    <w:rsid w:val="690F1870"/>
    <w:rsid w:val="692F5E27"/>
    <w:rsid w:val="6934046F"/>
    <w:rsid w:val="69466675"/>
    <w:rsid w:val="69853FAC"/>
    <w:rsid w:val="698C2B7F"/>
    <w:rsid w:val="69A231E6"/>
    <w:rsid w:val="69AB5D7A"/>
    <w:rsid w:val="69D867D5"/>
    <w:rsid w:val="69DF7BDF"/>
    <w:rsid w:val="69F21353"/>
    <w:rsid w:val="69F575F2"/>
    <w:rsid w:val="6A1E730C"/>
    <w:rsid w:val="6A4C7335"/>
    <w:rsid w:val="6A531E39"/>
    <w:rsid w:val="6A545ADB"/>
    <w:rsid w:val="6A5D05BD"/>
    <w:rsid w:val="6A6B273C"/>
    <w:rsid w:val="6A703222"/>
    <w:rsid w:val="6AAA18E6"/>
    <w:rsid w:val="6AB66294"/>
    <w:rsid w:val="6AC60849"/>
    <w:rsid w:val="6AC938A9"/>
    <w:rsid w:val="6B2F05BC"/>
    <w:rsid w:val="6B435167"/>
    <w:rsid w:val="6BB237C9"/>
    <w:rsid w:val="6BB37104"/>
    <w:rsid w:val="6BDF1336"/>
    <w:rsid w:val="6C046761"/>
    <w:rsid w:val="6C2C41BE"/>
    <w:rsid w:val="6C3161F1"/>
    <w:rsid w:val="6C3745DF"/>
    <w:rsid w:val="6C3D4127"/>
    <w:rsid w:val="6C3E4FE5"/>
    <w:rsid w:val="6C6253EB"/>
    <w:rsid w:val="6C666B72"/>
    <w:rsid w:val="6C6D2D24"/>
    <w:rsid w:val="6C8F3EF6"/>
    <w:rsid w:val="6C9F49BB"/>
    <w:rsid w:val="6CAD55CC"/>
    <w:rsid w:val="6CBE1616"/>
    <w:rsid w:val="6CC15D2B"/>
    <w:rsid w:val="6CC15F94"/>
    <w:rsid w:val="6CDA118A"/>
    <w:rsid w:val="6CFA66B1"/>
    <w:rsid w:val="6D0C01A9"/>
    <w:rsid w:val="6D27105B"/>
    <w:rsid w:val="6D2A44DD"/>
    <w:rsid w:val="6D493A0A"/>
    <w:rsid w:val="6D551BE3"/>
    <w:rsid w:val="6D5C2995"/>
    <w:rsid w:val="6D8E2C9C"/>
    <w:rsid w:val="6DAD51A4"/>
    <w:rsid w:val="6DEB1D46"/>
    <w:rsid w:val="6E017D0E"/>
    <w:rsid w:val="6E053E0B"/>
    <w:rsid w:val="6E1E1DB6"/>
    <w:rsid w:val="6E201C15"/>
    <w:rsid w:val="6E3F4BAC"/>
    <w:rsid w:val="6E524DE3"/>
    <w:rsid w:val="6E735A03"/>
    <w:rsid w:val="6E7D3005"/>
    <w:rsid w:val="6EA04E08"/>
    <w:rsid w:val="6EAA18F7"/>
    <w:rsid w:val="6EBB6601"/>
    <w:rsid w:val="6EC23623"/>
    <w:rsid w:val="6EC44700"/>
    <w:rsid w:val="6ECF710B"/>
    <w:rsid w:val="6EE25800"/>
    <w:rsid w:val="6EEE5D94"/>
    <w:rsid w:val="6F050882"/>
    <w:rsid w:val="6F0B5A13"/>
    <w:rsid w:val="6F1579C7"/>
    <w:rsid w:val="6F62521C"/>
    <w:rsid w:val="6FBC6483"/>
    <w:rsid w:val="6FC130A1"/>
    <w:rsid w:val="6FC26F58"/>
    <w:rsid w:val="6FD761EC"/>
    <w:rsid w:val="6FE52312"/>
    <w:rsid w:val="6FF1085F"/>
    <w:rsid w:val="700F6510"/>
    <w:rsid w:val="70417101"/>
    <w:rsid w:val="70750A7A"/>
    <w:rsid w:val="70991D59"/>
    <w:rsid w:val="709A5C21"/>
    <w:rsid w:val="70C51917"/>
    <w:rsid w:val="70CD7828"/>
    <w:rsid w:val="70D02722"/>
    <w:rsid w:val="70F067F3"/>
    <w:rsid w:val="711A09D1"/>
    <w:rsid w:val="71275E70"/>
    <w:rsid w:val="712F60DB"/>
    <w:rsid w:val="714B6CD7"/>
    <w:rsid w:val="71653B96"/>
    <w:rsid w:val="717743F8"/>
    <w:rsid w:val="71CB4FB9"/>
    <w:rsid w:val="71D8215F"/>
    <w:rsid w:val="71DF1D07"/>
    <w:rsid w:val="71FB7CB1"/>
    <w:rsid w:val="720D209A"/>
    <w:rsid w:val="7221044F"/>
    <w:rsid w:val="72252F84"/>
    <w:rsid w:val="722F089D"/>
    <w:rsid w:val="723126FD"/>
    <w:rsid w:val="723E2E01"/>
    <w:rsid w:val="72404D8A"/>
    <w:rsid w:val="724C22E8"/>
    <w:rsid w:val="725F0F01"/>
    <w:rsid w:val="72996F91"/>
    <w:rsid w:val="729D5E1F"/>
    <w:rsid w:val="72E72EAA"/>
    <w:rsid w:val="72F27051"/>
    <w:rsid w:val="732C2489"/>
    <w:rsid w:val="7331658B"/>
    <w:rsid w:val="733C6C97"/>
    <w:rsid w:val="734B4A4B"/>
    <w:rsid w:val="734C70B6"/>
    <w:rsid w:val="73560C2B"/>
    <w:rsid w:val="735E4E1D"/>
    <w:rsid w:val="737F3F7A"/>
    <w:rsid w:val="7388314F"/>
    <w:rsid w:val="73C30699"/>
    <w:rsid w:val="73CB394C"/>
    <w:rsid w:val="73D51780"/>
    <w:rsid w:val="73E34188"/>
    <w:rsid w:val="73F006A6"/>
    <w:rsid w:val="73F022C4"/>
    <w:rsid w:val="73F63EFE"/>
    <w:rsid w:val="73FF26B3"/>
    <w:rsid w:val="74071758"/>
    <w:rsid w:val="741425AC"/>
    <w:rsid w:val="741D773B"/>
    <w:rsid w:val="74280680"/>
    <w:rsid w:val="743D2D3D"/>
    <w:rsid w:val="744F658E"/>
    <w:rsid w:val="7463178E"/>
    <w:rsid w:val="746371B3"/>
    <w:rsid w:val="746E5228"/>
    <w:rsid w:val="747A43C9"/>
    <w:rsid w:val="74922B66"/>
    <w:rsid w:val="74A5696C"/>
    <w:rsid w:val="74DB20FA"/>
    <w:rsid w:val="7508529D"/>
    <w:rsid w:val="752C3218"/>
    <w:rsid w:val="75397634"/>
    <w:rsid w:val="75537CD8"/>
    <w:rsid w:val="75595BE3"/>
    <w:rsid w:val="755E58D5"/>
    <w:rsid w:val="757606EF"/>
    <w:rsid w:val="75844FC1"/>
    <w:rsid w:val="758C2774"/>
    <w:rsid w:val="75C5557C"/>
    <w:rsid w:val="75EE069B"/>
    <w:rsid w:val="75FC15CE"/>
    <w:rsid w:val="7615419A"/>
    <w:rsid w:val="76172D6A"/>
    <w:rsid w:val="761A409E"/>
    <w:rsid w:val="762F02D7"/>
    <w:rsid w:val="763D7340"/>
    <w:rsid w:val="76512EE8"/>
    <w:rsid w:val="766D03C6"/>
    <w:rsid w:val="76762198"/>
    <w:rsid w:val="767A6C09"/>
    <w:rsid w:val="767F5650"/>
    <w:rsid w:val="7686198A"/>
    <w:rsid w:val="76880BA0"/>
    <w:rsid w:val="76885BC7"/>
    <w:rsid w:val="768C19C1"/>
    <w:rsid w:val="768C2564"/>
    <w:rsid w:val="76991D18"/>
    <w:rsid w:val="76BA43D5"/>
    <w:rsid w:val="76BE21DC"/>
    <w:rsid w:val="76CD5B13"/>
    <w:rsid w:val="76DF3C76"/>
    <w:rsid w:val="76EB41A9"/>
    <w:rsid w:val="76F71295"/>
    <w:rsid w:val="76FC1C39"/>
    <w:rsid w:val="76FC2CE2"/>
    <w:rsid w:val="7706359E"/>
    <w:rsid w:val="771A5653"/>
    <w:rsid w:val="771B5FB2"/>
    <w:rsid w:val="772A75AD"/>
    <w:rsid w:val="7734542F"/>
    <w:rsid w:val="773D0BAE"/>
    <w:rsid w:val="774073C9"/>
    <w:rsid w:val="77460079"/>
    <w:rsid w:val="77567D26"/>
    <w:rsid w:val="77574E5D"/>
    <w:rsid w:val="77592E82"/>
    <w:rsid w:val="775D2B17"/>
    <w:rsid w:val="7760235E"/>
    <w:rsid w:val="777D4FBC"/>
    <w:rsid w:val="77C64121"/>
    <w:rsid w:val="77CD3C5D"/>
    <w:rsid w:val="77FD4667"/>
    <w:rsid w:val="781200C6"/>
    <w:rsid w:val="78150104"/>
    <w:rsid w:val="783F3166"/>
    <w:rsid w:val="786B1829"/>
    <w:rsid w:val="78C7234E"/>
    <w:rsid w:val="791063B8"/>
    <w:rsid w:val="79235A1B"/>
    <w:rsid w:val="793842B6"/>
    <w:rsid w:val="793E7F2E"/>
    <w:rsid w:val="796362D3"/>
    <w:rsid w:val="79774ECD"/>
    <w:rsid w:val="79827C27"/>
    <w:rsid w:val="798834D2"/>
    <w:rsid w:val="7993238B"/>
    <w:rsid w:val="799B7D73"/>
    <w:rsid w:val="79B07BB3"/>
    <w:rsid w:val="79B7369F"/>
    <w:rsid w:val="79C03278"/>
    <w:rsid w:val="79D510F0"/>
    <w:rsid w:val="79ED59B1"/>
    <w:rsid w:val="79F56CDC"/>
    <w:rsid w:val="7A032271"/>
    <w:rsid w:val="7A320BDB"/>
    <w:rsid w:val="7A400520"/>
    <w:rsid w:val="7A491583"/>
    <w:rsid w:val="7A5B6EDF"/>
    <w:rsid w:val="7A5D2F7E"/>
    <w:rsid w:val="7A676444"/>
    <w:rsid w:val="7A680BCB"/>
    <w:rsid w:val="7A72534A"/>
    <w:rsid w:val="7A832DB1"/>
    <w:rsid w:val="7A8F7D69"/>
    <w:rsid w:val="7A9C5FF5"/>
    <w:rsid w:val="7AA27F96"/>
    <w:rsid w:val="7AB320ED"/>
    <w:rsid w:val="7AC2422A"/>
    <w:rsid w:val="7AD44A1D"/>
    <w:rsid w:val="7B045A0E"/>
    <w:rsid w:val="7B137629"/>
    <w:rsid w:val="7B1B29C2"/>
    <w:rsid w:val="7B5D2C25"/>
    <w:rsid w:val="7B832034"/>
    <w:rsid w:val="7BA57F90"/>
    <w:rsid w:val="7BBC18FF"/>
    <w:rsid w:val="7BBF27D7"/>
    <w:rsid w:val="7BDF5AB6"/>
    <w:rsid w:val="7C100290"/>
    <w:rsid w:val="7C151FE3"/>
    <w:rsid w:val="7C1D63E0"/>
    <w:rsid w:val="7C2925EF"/>
    <w:rsid w:val="7C463AF9"/>
    <w:rsid w:val="7C4673AC"/>
    <w:rsid w:val="7C691C0E"/>
    <w:rsid w:val="7C6D0FAF"/>
    <w:rsid w:val="7C7654E0"/>
    <w:rsid w:val="7C9D56FC"/>
    <w:rsid w:val="7C9E2AE3"/>
    <w:rsid w:val="7CA34E3A"/>
    <w:rsid w:val="7CC7797E"/>
    <w:rsid w:val="7CDE5607"/>
    <w:rsid w:val="7CF159D9"/>
    <w:rsid w:val="7D0D23F8"/>
    <w:rsid w:val="7D1819A4"/>
    <w:rsid w:val="7D57537E"/>
    <w:rsid w:val="7D657DFF"/>
    <w:rsid w:val="7D79413D"/>
    <w:rsid w:val="7D7F5BFA"/>
    <w:rsid w:val="7D872924"/>
    <w:rsid w:val="7D8B2DD3"/>
    <w:rsid w:val="7D8F5F9C"/>
    <w:rsid w:val="7D97637C"/>
    <w:rsid w:val="7DE02CEB"/>
    <w:rsid w:val="7DE5359B"/>
    <w:rsid w:val="7DFD6211"/>
    <w:rsid w:val="7E180A37"/>
    <w:rsid w:val="7E252BD1"/>
    <w:rsid w:val="7E2D4483"/>
    <w:rsid w:val="7E324C0E"/>
    <w:rsid w:val="7E327A3B"/>
    <w:rsid w:val="7E4235D3"/>
    <w:rsid w:val="7E621BA9"/>
    <w:rsid w:val="7E665892"/>
    <w:rsid w:val="7E782BA9"/>
    <w:rsid w:val="7E8926E1"/>
    <w:rsid w:val="7E9213CC"/>
    <w:rsid w:val="7EA926FF"/>
    <w:rsid w:val="7EAA18EA"/>
    <w:rsid w:val="7EC93E9C"/>
    <w:rsid w:val="7ED12906"/>
    <w:rsid w:val="7EF33F65"/>
    <w:rsid w:val="7EFA1C61"/>
    <w:rsid w:val="7F021CD8"/>
    <w:rsid w:val="7F0300DD"/>
    <w:rsid w:val="7F2569C6"/>
    <w:rsid w:val="7F350893"/>
    <w:rsid w:val="7F6C7183"/>
    <w:rsid w:val="7F826632"/>
    <w:rsid w:val="7FA31856"/>
    <w:rsid w:val="7FAF2DF8"/>
    <w:rsid w:val="7FB2207D"/>
    <w:rsid w:val="7FDE4E71"/>
    <w:rsid w:val="7FFA71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Calibri" w:eastAsia="宋体" w:cs="宋体"/>
      <w:sz w:val="24"/>
      <w:szCs w:val="24"/>
      <w:lang w:val="en-US" w:eastAsia="zh-CN" w:bidi="ar-SA"/>
    </w:rPr>
  </w:style>
  <w:style w:type="paragraph" w:styleId="5">
    <w:name w:val="heading 1"/>
    <w:basedOn w:val="1"/>
    <w:next w:val="1"/>
    <w:link w:val="74"/>
    <w:qFormat/>
    <w:uiPriority w:val="0"/>
    <w:pPr>
      <w:outlineLvl w:val="0"/>
    </w:pPr>
  </w:style>
  <w:style w:type="paragraph" w:styleId="6">
    <w:name w:val="heading 2"/>
    <w:basedOn w:val="1"/>
    <w:next w:val="1"/>
    <w:qFormat/>
    <w:uiPriority w:val="0"/>
    <w:pPr>
      <w:outlineLvl w:val="1"/>
    </w:pPr>
    <w:rPr>
      <w:rFonts w:hAnsi="宋体"/>
      <w:b/>
    </w:rPr>
  </w:style>
  <w:style w:type="paragraph" w:styleId="7">
    <w:name w:val="heading 3"/>
    <w:basedOn w:val="1"/>
    <w:next w:val="1"/>
    <w:qFormat/>
    <w:uiPriority w:val="0"/>
    <w:pPr>
      <w:outlineLvl w:val="2"/>
    </w:pPr>
  </w:style>
  <w:style w:type="paragraph" w:styleId="8">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qFormat/>
    <w:uiPriority w:val="0"/>
    <w:pPr>
      <w:keepNext/>
      <w:keepLines/>
      <w:widowControl/>
      <w:tabs>
        <w:tab w:val="left" w:pos="1008"/>
      </w:tabs>
      <w:autoSpaceDE/>
      <w:autoSpaceDN/>
      <w:adjustRightInd/>
      <w:spacing w:before="280" w:after="290" w:line="376" w:lineRule="auto"/>
      <w:ind w:left="1008" w:hanging="1008"/>
      <w:outlineLvl w:val="4"/>
    </w:pPr>
    <w:rPr>
      <w:rFonts w:ascii="Times New Roman"/>
      <w:b/>
      <w:bCs/>
      <w:sz w:val="28"/>
      <w:szCs w:val="28"/>
    </w:rPr>
  </w:style>
  <w:style w:type="paragraph" w:styleId="10">
    <w:name w:val="heading 6"/>
    <w:basedOn w:val="1"/>
    <w:next w:val="1"/>
    <w:qFormat/>
    <w:uiPriority w:val="0"/>
    <w:pPr>
      <w:keepNext/>
      <w:keepLines/>
      <w:widowControl/>
      <w:tabs>
        <w:tab w:val="left" w:pos="1152"/>
      </w:tabs>
      <w:autoSpaceDE/>
      <w:autoSpaceDN/>
      <w:adjustRightInd/>
      <w:spacing w:before="240" w:after="64" w:line="320" w:lineRule="auto"/>
      <w:ind w:left="1152" w:hanging="1152"/>
      <w:outlineLvl w:val="5"/>
    </w:pPr>
    <w:rPr>
      <w:rFonts w:ascii="Arial" w:hAnsi="Arial" w:eastAsia="黑体"/>
      <w:b/>
      <w:bCs/>
    </w:rPr>
  </w:style>
  <w:style w:type="paragraph" w:styleId="11">
    <w:name w:val="heading 7"/>
    <w:basedOn w:val="1"/>
    <w:next w:val="1"/>
    <w:qFormat/>
    <w:uiPriority w:val="0"/>
    <w:pPr>
      <w:keepNext/>
      <w:keepLines/>
      <w:widowControl/>
      <w:tabs>
        <w:tab w:val="left" w:pos="1296"/>
      </w:tabs>
      <w:autoSpaceDE/>
      <w:autoSpaceDN/>
      <w:adjustRightInd/>
      <w:spacing w:before="240" w:after="64" w:line="320" w:lineRule="auto"/>
      <w:ind w:left="1296" w:hanging="1296"/>
      <w:outlineLvl w:val="6"/>
    </w:pPr>
    <w:rPr>
      <w:rFonts w:ascii="Times New Roman"/>
      <w:b/>
      <w:bCs/>
    </w:rPr>
  </w:style>
  <w:style w:type="paragraph" w:styleId="12">
    <w:name w:val="heading 8"/>
    <w:basedOn w:val="1"/>
    <w:next w:val="1"/>
    <w:qFormat/>
    <w:uiPriority w:val="0"/>
    <w:pPr>
      <w:keepNext/>
      <w:keepLines/>
      <w:widowControl/>
      <w:tabs>
        <w:tab w:val="left" w:pos="1440"/>
      </w:tabs>
      <w:autoSpaceDE/>
      <w:autoSpaceDN/>
      <w:adjustRightInd/>
      <w:spacing w:before="240" w:after="64" w:line="320" w:lineRule="auto"/>
      <w:ind w:left="1440" w:hanging="1440"/>
      <w:outlineLvl w:val="7"/>
    </w:pPr>
    <w:rPr>
      <w:rFonts w:ascii="Arial" w:hAnsi="Arial" w:eastAsia="黑体"/>
    </w:rPr>
  </w:style>
  <w:style w:type="paragraph" w:styleId="13">
    <w:name w:val="heading 9"/>
    <w:basedOn w:val="1"/>
    <w:next w:val="1"/>
    <w:qFormat/>
    <w:uiPriority w:val="0"/>
    <w:pPr>
      <w:keepNext/>
      <w:keepLines/>
      <w:widowControl/>
      <w:tabs>
        <w:tab w:val="left" w:pos="1584"/>
      </w:tabs>
      <w:autoSpaceDE/>
      <w:autoSpaceDN/>
      <w:adjustRightInd/>
      <w:spacing w:before="240" w:after="64" w:line="320" w:lineRule="auto"/>
      <w:ind w:left="1584" w:hanging="1584"/>
      <w:outlineLvl w:val="8"/>
    </w:pPr>
    <w:rPr>
      <w:rFonts w:ascii="Arial" w:hAnsi="Arial" w:eastAsia="黑体"/>
      <w:sz w:val="21"/>
      <w:szCs w:val="21"/>
    </w:rPr>
  </w:style>
  <w:style w:type="character" w:default="1" w:styleId="56">
    <w:name w:val="Default Paragraph Font"/>
    <w:semiHidden/>
    <w:unhideWhenUsed/>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4"/>
    <w:qFormat/>
    <w:uiPriority w:val="0"/>
    <w:pPr>
      <w:ind w:left="567" w:leftChars="270"/>
    </w:pPr>
    <w:rPr>
      <w:rFonts w:ascii="Times New Roman"/>
      <w:kern w:val="2"/>
      <w:sz w:val="21"/>
    </w:rPr>
  </w:style>
  <w:style w:type="paragraph" w:customStyle="1" w:styleId="4">
    <w:name w:val="Normal_7_0"/>
    <w:qFormat/>
    <w:uiPriority w:val="0"/>
    <w:pPr>
      <w:widowControl w:val="0"/>
      <w:jc w:val="both"/>
    </w:pPr>
    <w:rPr>
      <w:rFonts w:ascii="宋体" w:hAnsi="宋体" w:eastAsia="宋体" w:cs="宋体"/>
      <w:lang w:val="en-US" w:eastAsia="zh-CN" w:bidi="ar-SA"/>
    </w:rPr>
  </w:style>
  <w:style w:type="paragraph" w:styleId="14">
    <w:name w:val="toc 7"/>
    <w:basedOn w:val="1"/>
    <w:next w:val="1"/>
    <w:qFormat/>
    <w:uiPriority w:val="0"/>
    <w:pPr>
      <w:ind w:left="1440"/>
    </w:pPr>
    <w:rPr>
      <w:rFonts w:ascii="Calibri" w:cs="Calibri"/>
      <w:sz w:val="18"/>
      <w:szCs w:val="18"/>
    </w:rPr>
  </w:style>
  <w:style w:type="paragraph" w:styleId="15">
    <w:name w:val="Normal Indent"/>
    <w:basedOn w:val="1"/>
    <w:link w:val="80"/>
    <w:qFormat/>
    <w:uiPriority w:val="0"/>
    <w:pPr>
      <w:widowControl/>
      <w:autoSpaceDE/>
      <w:autoSpaceDN/>
      <w:adjustRightInd/>
      <w:ind w:firstLine="420" w:firstLineChars="200"/>
    </w:pPr>
    <w:rPr>
      <w:rFonts w:ascii="Calibri"/>
      <w:sz w:val="20"/>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List Bullet"/>
    <w:basedOn w:val="18"/>
    <w:qFormat/>
    <w:uiPriority w:val="0"/>
    <w:pPr>
      <w:widowControl/>
      <w:numPr>
        <w:ilvl w:val="0"/>
        <w:numId w:val="1"/>
      </w:numPr>
      <w:tabs>
        <w:tab w:val="left" w:pos="420"/>
      </w:tabs>
      <w:adjustRightInd/>
      <w:snapToGrid/>
      <w:ind w:right="720"/>
    </w:pPr>
    <w:rPr>
      <w:rFonts w:ascii="Garamond" w:hAnsi="Garamond"/>
      <w:kern w:val="0"/>
      <w:sz w:val="24"/>
      <w:szCs w:val="20"/>
    </w:rPr>
  </w:style>
  <w:style w:type="paragraph" w:styleId="18">
    <w:name w:val="List"/>
    <w:basedOn w:val="1"/>
    <w:qFormat/>
    <w:uiPriority w:val="0"/>
    <w:pPr>
      <w:numPr>
        <w:ilvl w:val="0"/>
        <w:numId w:val="2"/>
      </w:numPr>
      <w:autoSpaceDE/>
      <w:autoSpaceDN/>
      <w:snapToGrid w:val="0"/>
      <w:spacing w:line="300" w:lineRule="auto"/>
      <w:jc w:val="both"/>
    </w:pPr>
    <w:rPr>
      <w:rFonts w:ascii="Times New Roman"/>
      <w:kern w:val="2"/>
      <w:sz w:val="21"/>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napToGrid w:val="0"/>
      <w:spacing w:before="120" w:line="360" w:lineRule="auto"/>
      <w:jc w:val="both"/>
    </w:pPr>
    <w:rPr>
      <w:rFonts w:ascii="Arial" w:hAnsi="Arial"/>
      <w:snapToGrid w:val="0"/>
      <w:color w:val="000000"/>
      <w:sz w:val="21"/>
      <w:szCs w:val="20"/>
    </w:rPr>
  </w:style>
  <w:style w:type="paragraph" w:styleId="21">
    <w:name w:val="annotation text"/>
    <w:basedOn w:val="1"/>
    <w:link w:val="187"/>
    <w:qFormat/>
    <w:uiPriority w:val="0"/>
    <w:pPr>
      <w:widowControl/>
      <w:autoSpaceDE/>
      <w:autoSpaceDN/>
      <w:adjustRightInd/>
    </w:pPr>
    <w:rPr>
      <w:rFonts w:ascii="Times New Roman"/>
      <w:sz w:val="21"/>
      <w:szCs w:val="20"/>
    </w:rPr>
  </w:style>
  <w:style w:type="paragraph" w:styleId="22">
    <w:name w:val="Body Text 3"/>
    <w:basedOn w:val="1"/>
    <w:qFormat/>
    <w:uiPriority w:val="0"/>
    <w:pPr>
      <w:ind w:right="-26"/>
      <w:jc w:val="center"/>
    </w:pPr>
    <w:rPr>
      <w:b/>
      <w:bCs/>
      <w:color w:val="3366FF"/>
      <w:kern w:val="2"/>
      <w:sz w:val="52"/>
      <w:szCs w:val="52"/>
      <w:lang w:val="zh-CN"/>
    </w:rPr>
  </w:style>
  <w:style w:type="paragraph" w:styleId="23">
    <w:name w:val="Body Text"/>
    <w:basedOn w:val="1"/>
    <w:next w:val="24"/>
    <w:link w:val="85"/>
    <w:qFormat/>
    <w:uiPriority w:val="0"/>
    <w:pPr>
      <w:ind w:right="-26"/>
      <w:jc w:val="center"/>
    </w:pPr>
    <w:rPr>
      <w:rFonts w:hAnsi="Times New Roman"/>
      <w:b/>
      <w:bCs/>
      <w:kern w:val="2"/>
      <w:sz w:val="84"/>
      <w:szCs w:val="84"/>
      <w:lang w:val="zh-CN"/>
    </w:rPr>
  </w:style>
  <w:style w:type="paragraph" w:styleId="24">
    <w:name w:val="Body Text First Indent"/>
    <w:basedOn w:val="23"/>
    <w:next w:val="25"/>
    <w:qFormat/>
    <w:uiPriority w:val="0"/>
    <w:pPr>
      <w:widowControl/>
      <w:autoSpaceDE/>
      <w:autoSpaceDN/>
      <w:adjustRightInd/>
      <w:spacing w:after="120"/>
      <w:ind w:right="0" w:firstLine="420" w:firstLineChars="100"/>
      <w:jc w:val="left"/>
    </w:pPr>
    <w:rPr>
      <w:rFonts w:ascii="Times New Roman"/>
      <w:b w:val="0"/>
      <w:bCs w:val="0"/>
      <w:kern w:val="0"/>
      <w:sz w:val="21"/>
      <w:szCs w:val="20"/>
      <w:lang w:val="en-US"/>
    </w:rPr>
  </w:style>
  <w:style w:type="paragraph" w:customStyle="1" w:styleId="25">
    <w:name w:val="样式 正文首行缩进 + 首行缩进:  1 字符"/>
    <w:basedOn w:val="1"/>
    <w:next w:val="1"/>
    <w:qFormat/>
    <w:uiPriority w:val="0"/>
    <w:pPr>
      <w:ind w:firstLine="200" w:firstLineChars="200"/>
    </w:pPr>
    <w:rPr>
      <w:szCs w:val="20"/>
    </w:rPr>
  </w:style>
  <w:style w:type="paragraph" w:styleId="26">
    <w:name w:val="List Number 3"/>
    <w:basedOn w:val="1"/>
    <w:qFormat/>
    <w:uiPriority w:val="0"/>
    <w:pPr>
      <w:numPr>
        <w:ilvl w:val="0"/>
        <w:numId w:val="3"/>
      </w:numPr>
    </w:pPr>
  </w:style>
  <w:style w:type="paragraph" w:styleId="27">
    <w:name w:val="List 2"/>
    <w:basedOn w:val="1"/>
    <w:qFormat/>
    <w:uiPriority w:val="0"/>
    <w:pPr>
      <w:widowControl/>
      <w:autoSpaceDE/>
      <w:autoSpaceDN/>
      <w:adjustRightInd/>
      <w:ind w:left="100" w:leftChars="200" w:hanging="200" w:hangingChars="200"/>
    </w:pPr>
    <w:rPr>
      <w:rFonts w:ascii="Times New Roman"/>
      <w:sz w:val="21"/>
      <w:szCs w:val="20"/>
    </w:rPr>
  </w:style>
  <w:style w:type="paragraph" w:styleId="28">
    <w:name w:val="Block Text"/>
    <w:basedOn w:val="1"/>
    <w:qFormat/>
    <w:uiPriority w:val="0"/>
    <w:pPr>
      <w:spacing w:after="120"/>
      <w:ind w:left="1440" w:leftChars="700" w:right="1440" w:rightChars="700"/>
    </w:pPr>
  </w:style>
  <w:style w:type="paragraph" w:styleId="29">
    <w:name w:val="toc 5"/>
    <w:basedOn w:val="1"/>
    <w:next w:val="1"/>
    <w:qFormat/>
    <w:uiPriority w:val="0"/>
    <w:pPr>
      <w:ind w:left="960"/>
    </w:pPr>
    <w:rPr>
      <w:rFonts w:ascii="Calibri" w:cs="Calibri"/>
      <w:sz w:val="18"/>
      <w:szCs w:val="18"/>
    </w:rPr>
  </w:style>
  <w:style w:type="paragraph" w:styleId="30">
    <w:name w:val="toc 3"/>
    <w:basedOn w:val="1"/>
    <w:next w:val="1"/>
    <w:qFormat/>
    <w:uiPriority w:val="0"/>
    <w:pPr>
      <w:ind w:left="480"/>
    </w:pPr>
    <w:rPr>
      <w:rFonts w:ascii="Calibri" w:cs="Calibri"/>
      <w:i/>
      <w:iCs/>
      <w:sz w:val="20"/>
      <w:szCs w:val="20"/>
    </w:rPr>
  </w:style>
  <w:style w:type="paragraph" w:styleId="31">
    <w:name w:val="Plain Text"/>
    <w:basedOn w:val="1"/>
    <w:next w:val="1"/>
    <w:link w:val="81"/>
    <w:qFormat/>
    <w:uiPriority w:val="0"/>
    <w:pPr>
      <w:autoSpaceDE/>
      <w:autoSpaceDN/>
      <w:adjustRightInd/>
      <w:jc w:val="both"/>
    </w:pPr>
    <w:rPr>
      <w:rFonts w:hAnsi="Courier New"/>
      <w:kern w:val="2"/>
      <w:sz w:val="21"/>
      <w:szCs w:val="20"/>
    </w:rPr>
  </w:style>
  <w:style w:type="paragraph" w:styleId="32">
    <w:name w:val="toc 8"/>
    <w:basedOn w:val="1"/>
    <w:next w:val="1"/>
    <w:qFormat/>
    <w:uiPriority w:val="0"/>
    <w:pPr>
      <w:ind w:left="1680"/>
    </w:pPr>
    <w:rPr>
      <w:rFonts w:ascii="Calibri" w:cs="Calibri"/>
      <w:sz w:val="18"/>
      <w:szCs w:val="18"/>
    </w:rPr>
  </w:style>
  <w:style w:type="paragraph" w:styleId="33">
    <w:name w:val="Date"/>
    <w:basedOn w:val="1"/>
    <w:next w:val="1"/>
    <w:qFormat/>
    <w:uiPriority w:val="0"/>
    <w:pPr>
      <w:ind w:left="100" w:leftChars="2500"/>
    </w:pPr>
    <w:rPr>
      <w:b/>
      <w:bCs/>
      <w:kern w:val="2"/>
      <w:sz w:val="21"/>
      <w:szCs w:val="21"/>
      <w:lang w:val="zh-CN"/>
    </w:rPr>
  </w:style>
  <w:style w:type="paragraph" w:styleId="34">
    <w:name w:val="Body Text Indent 2"/>
    <w:basedOn w:val="1"/>
    <w:qFormat/>
    <w:uiPriority w:val="0"/>
    <w:pPr>
      <w:tabs>
        <w:tab w:val="left" w:pos="8640"/>
      </w:tabs>
      <w:autoSpaceDE/>
      <w:autoSpaceDN/>
      <w:adjustRightInd/>
      <w:ind w:left="1260"/>
      <w:jc w:val="both"/>
    </w:pPr>
    <w:rPr>
      <w:kern w:val="2"/>
      <w:sz w:val="21"/>
      <w:szCs w:val="20"/>
    </w:rPr>
  </w:style>
  <w:style w:type="paragraph" w:styleId="35">
    <w:name w:val="Balloon Text"/>
    <w:basedOn w:val="1"/>
    <w:qFormat/>
    <w:uiPriority w:val="0"/>
    <w:pPr>
      <w:autoSpaceDE/>
      <w:autoSpaceDN/>
      <w:adjustRightInd/>
      <w:jc w:val="both"/>
    </w:pPr>
    <w:rPr>
      <w:rFonts w:ascii="Times New Roman"/>
      <w:kern w:val="2"/>
      <w:sz w:val="18"/>
      <w:szCs w:val="18"/>
    </w:rPr>
  </w:style>
  <w:style w:type="paragraph" w:styleId="36">
    <w:name w:val="footer"/>
    <w:basedOn w:val="1"/>
    <w:link w:val="94"/>
    <w:qFormat/>
    <w:uiPriority w:val="99"/>
    <w:pPr>
      <w:tabs>
        <w:tab w:val="center" w:pos="4153"/>
        <w:tab w:val="right" w:pos="8306"/>
      </w:tabs>
      <w:snapToGrid w:val="0"/>
    </w:pPr>
    <w:rPr>
      <w:rFonts w:hAnsi="Times New Roman"/>
      <w:sz w:val="18"/>
      <w:szCs w:val="18"/>
    </w:rPr>
  </w:style>
  <w:style w:type="paragraph" w:styleId="37">
    <w:name w:val="envelope return"/>
    <w:basedOn w:val="1"/>
    <w:unhideWhenUsed/>
    <w:qFormat/>
    <w:uiPriority w:val="99"/>
  </w:style>
  <w:style w:type="paragraph" w:styleId="38">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9">
    <w:name w:val="toc 1"/>
    <w:basedOn w:val="1"/>
    <w:next w:val="1"/>
    <w:qFormat/>
    <w:uiPriority w:val="0"/>
    <w:pPr>
      <w:spacing w:before="120" w:after="120"/>
    </w:pPr>
    <w:rPr>
      <w:rFonts w:ascii="Calibri" w:cs="Calibri"/>
      <w:b/>
      <w:bCs/>
      <w:caps/>
      <w:sz w:val="20"/>
      <w:szCs w:val="20"/>
    </w:rPr>
  </w:style>
  <w:style w:type="paragraph" w:styleId="40">
    <w:name w:val="toc 4"/>
    <w:basedOn w:val="1"/>
    <w:next w:val="1"/>
    <w:qFormat/>
    <w:uiPriority w:val="0"/>
    <w:pPr>
      <w:ind w:left="720"/>
    </w:pPr>
    <w:rPr>
      <w:rFonts w:ascii="Calibri" w:cs="Calibri"/>
      <w:sz w:val="18"/>
      <w:szCs w:val="18"/>
    </w:rPr>
  </w:style>
  <w:style w:type="paragraph" w:styleId="41">
    <w:name w:val="index heading"/>
    <w:basedOn w:val="1"/>
    <w:next w:val="42"/>
    <w:qFormat/>
    <w:uiPriority w:val="0"/>
    <w:pPr>
      <w:autoSpaceDE/>
      <w:autoSpaceDN/>
      <w:adjustRightInd/>
      <w:jc w:val="both"/>
    </w:pPr>
    <w:rPr>
      <w:rFonts w:ascii="Times New Roman"/>
      <w:kern w:val="2"/>
      <w:sz w:val="21"/>
      <w:szCs w:val="20"/>
    </w:rPr>
  </w:style>
  <w:style w:type="paragraph" w:styleId="42">
    <w:name w:val="index 1"/>
    <w:basedOn w:val="1"/>
    <w:next w:val="1"/>
    <w:qFormat/>
    <w:uiPriority w:val="0"/>
    <w:pPr>
      <w:autoSpaceDE/>
      <w:autoSpaceDN/>
      <w:adjustRightInd/>
      <w:ind w:left="540" w:leftChars="257"/>
      <w:jc w:val="both"/>
    </w:pPr>
    <w:rPr>
      <w:rFonts w:ascii="Arial" w:hAnsi="Arial" w:cs="Arial"/>
      <w:kern w:val="2"/>
      <w:sz w:val="21"/>
    </w:rPr>
  </w:style>
  <w:style w:type="paragraph" w:styleId="43">
    <w:name w:val="Subtitle"/>
    <w:basedOn w:val="1"/>
    <w:link w:val="93"/>
    <w:qFormat/>
    <w:uiPriority w:val="11"/>
    <w:pPr>
      <w:autoSpaceDE/>
      <w:autoSpaceDN/>
      <w:adjustRightInd/>
      <w:spacing w:before="240" w:after="60" w:line="312" w:lineRule="auto"/>
      <w:jc w:val="center"/>
      <w:outlineLvl w:val="1"/>
    </w:pPr>
    <w:rPr>
      <w:rFonts w:ascii="Arial" w:hAnsi="Arial"/>
      <w:b/>
      <w:kern w:val="28"/>
      <w:sz w:val="32"/>
      <w:szCs w:val="20"/>
    </w:rPr>
  </w:style>
  <w:style w:type="paragraph" w:styleId="44">
    <w:name w:val="toc 6"/>
    <w:basedOn w:val="1"/>
    <w:next w:val="1"/>
    <w:qFormat/>
    <w:uiPriority w:val="0"/>
    <w:pPr>
      <w:ind w:left="1200"/>
    </w:pPr>
    <w:rPr>
      <w:rFonts w:ascii="Calibri" w:cs="Calibri"/>
      <w:sz w:val="18"/>
      <w:szCs w:val="18"/>
    </w:rPr>
  </w:style>
  <w:style w:type="paragraph" w:styleId="45">
    <w:name w:val="Body Text Indent 3"/>
    <w:basedOn w:val="1"/>
    <w:qFormat/>
    <w:uiPriority w:val="0"/>
    <w:pPr>
      <w:spacing w:line="360" w:lineRule="auto"/>
      <w:ind w:firstLine="480" w:firstLineChars="200"/>
    </w:pPr>
  </w:style>
  <w:style w:type="paragraph" w:styleId="46">
    <w:name w:val="toc 2"/>
    <w:basedOn w:val="1"/>
    <w:next w:val="1"/>
    <w:qFormat/>
    <w:uiPriority w:val="0"/>
    <w:pPr>
      <w:ind w:left="240"/>
    </w:pPr>
    <w:rPr>
      <w:rFonts w:ascii="Calibri" w:cs="Calibri"/>
      <w:smallCaps/>
      <w:sz w:val="20"/>
      <w:szCs w:val="20"/>
    </w:rPr>
  </w:style>
  <w:style w:type="paragraph" w:styleId="47">
    <w:name w:val="toc 9"/>
    <w:basedOn w:val="1"/>
    <w:next w:val="1"/>
    <w:qFormat/>
    <w:uiPriority w:val="0"/>
    <w:pPr>
      <w:ind w:left="1920"/>
    </w:pPr>
    <w:rPr>
      <w:rFonts w:ascii="Calibri" w:cs="Calibri"/>
      <w:sz w:val="18"/>
      <w:szCs w:val="18"/>
    </w:rPr>
  </w:style>
  <w:style w:type="paragraph" w:styleId="48">
    <w:name w:val="Body Text 2"/>
    <w:basedOn w:val="1"/>
    <w:qFormat/>
    <w:uiPriority w:val="0"/>
    <w:pPr>
      <w:tabs>
        <w:tab w:val="left" w:pos="0"/>
      </w:tabs>
      <w:autoSpaceDE/>
      <w:autoSpaceDN/>
      <w:adjustRightInd/>
      <w:spacing w:line="400" w:lineRule="atLeast"/>
      <w:jc w:val="both"/>
    </w:pPr>
    <w:rPr>
      <w:rFonts w:ascii="Arial" w:hAnsi="Arial"/>
      <w:color w:val="000000"/>
      <w:kern w:val="2"/>
      <w:sz w:val="21"/>
    </w:rPr>
  </w:style>
  <w:style w:type="paragraph" w:styleId="49">
    <w:name w:val="List 4"/>
    <w:basedOn w:val="1"/>
    <w:qFormat/>
    <w:uiPriority w:val="0"/>
    <w:pPr>
      <w:tabs>
        <w:tab w:val="left" w:pos="750"/>
      </w:tabs>
      <w:autoSpaceDE/>
      <w:autoSpaceDN/>
      <w:adjustRightInd/>
      <w:ind w:left="750" w:hanging="750"/>
      <w:jc w:val="both"/>
    </w:pPr>
    <w:rPr>
      <w:rFonts w:ascii="Times New Roman" w:hAnsi="Times New Roman" w:cs="Times New Roman"/>
      <w:b/>
      <w:kern w:val="2"/>
      <w:sz w:val="21"/>
      <w:szCs w:val="20"/>
    </w:rPr>
  </w:style>
  <w:style w:type="paragraph" w:styleId="50">
    <w:name w:val="HTML Preformatted"/>
    <w:basedOn w:val="1"/>
    <w:link w:val="9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80" w:lineRule="exact"/>
    </w:pPr>
    <w:rPr>
      <w:rFonts w:ascii="Arial" w:hAnsi="Arial" w:cs="Arial"/>
      <w:sz w:val="21"/>
      <w:szCs w:val="21"/>
    </w:rPr>
  </w:style>
  <w:style w:type="paragraph" w:styleId="51">
    <w:name w:val="Normal (Web)"/>
    <w:basedOn w:val="1"/>
    <w:qFormat/>
    <w:uiPriority w:val="0"/>
    <w:pPr>
      <w:widowControl/>
      <w:autoSpaceDE/>
      <w:autoSpaceDN/>
      <w:adjustRightInd/>
      <w:spacing w:before="100" w:beforeAutospacing="1" w:after="100" w:afterAutospacing="1"/>
    </w:pPr>
    <w:rPr>
      <w:rFonts w:hAnsi="宋体"/>
      <w:sz w:val="15"/>
      <w:szCs w:val="15"/>
    </w:rPr>
  </w:style>
  <w:style w:type="paragraph" w:styleId="52">
    <w:name w:val="Title"/>
    <w:basedOn w:val="1"/>
    <w:next w:val="1"/>
    <w:qFormat/>
    <w:uiPriority w:val="0"/>
    <w:pPr>
      <w:numPr>
        <w:ilvl w:val="0"/>
        <w:numId w:val="4"/>
      </w:numPr>
      <w:tabs>
        <w:tab w:val="clear" w:pos="2121"/>
      </w:tabs>
      <w:autoSpaceDE/>
      <w:autoSpaceDN/>
      <w:snapToGrid w:val="0"/>
      <w:spacing w:beforeLines="50" w:afterLines="50"/>
      <w:ind w:left="0" w:firstLine="0"/>
      <w:jc w:val="center"/>
      <w:outlineLvl w:val="0"/>
    </w:pPr>
    <w:rPr>
      <w:rFonts w:ascii="Arial" w:hAnsi="Arial" w:cs="Arial"/>
      <w:b/>
      <w:bCs/>
      <w:kern w:val="2"/>
      <w:sz w:val="52"/>
      <w:szCs w:val="32"/>
    </w:rPr>
  </w:style>
  <w:style w:type="paragraph" w:styleId="53">
    <w:name w:val="annotation subject"/>
    <w:basedOn w:val="21"/>
    <w:next w:val="21"/>
    <w:qFormat/>
    <w:uiPriority w:val="0"/>
    <w:rPr>
      <w:b/>
      <w:bCs/>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22"/>
    <w:rPr>
      <w:b/>
      <w:bCs/>
    </w:rPr>
  </w:style>
  <w:style w:type="character" w:styleId="58">
    <w:name w:val="page number"/>
    <w:basedOn w:val="56"/>
    <w:qFormat/>
    <w:uiPriority w:val="0"/>
  </w:style>
  <w:style w:type="character" w:styleId="59">
    <w:name w:val="FollowedHyperlink"/>
    <w:qFormat/>
    <w:uiPriority w:val="0"/>
    <w:rPr>
      <w:color w:val="333333"/>
      <w:u w:val="none"/>
    </w:rPr>
  </w:style>
  <w:style w:type="character" w:styleId="60">
    <w:name w:val="Emphasis"/>
    <w:qFormat/>
    <w:uiPriority w:val="0"/>
    <w:rPr>
      <w:i/>
      <w:iCs/>
    </w:rPr>
  </w:style>
  <w:style w:type="character" w:styleId="61">
    <w:name w:val="Hyperlink"/>
    <w:qFormat/>
    <w:uiPriority w:val="0"/>
    <w:rPr>
      <w:color w:val="333333"/>
      <w:u w:val="none"/>
    </w:rPr>
  </w:style>
  <w:style w:type="character" w:styleId="62">
    <w:name w:val="annotation reference"/>
    <w:basedOn w:val="56"/>
    <w:qFormat/>
    <w:uiPriority w:val="0"/>
    <w:rPr>
      <w:sz w:val="21"/>
      <w:szCs w:val="21"/>
    </w:rPr>
  </w:style>
  <w:style w:type="paragraph" w:customStyle="1" w:styleId="63">
    <w:name w:val="正文2"/>
    <w:basedOn w:val="15"/>
    <w:qFormat/>
    <w:uiPriority w:val="0"/>
    <w:pPr>
      <w:jc w:val="both"/>
    </w:pPr>
    <w:rPr>
      <w:rFonts w:ascii="Times New Roman" w:hAnsi="Times New Roman" w:cs="Times New Roman"/>
      <w:kern w:val="2"/>
      <w:sz w:val="21"/>
      <w:szCs w:val="21"/>
    </w:rPr>
  </w:style>
  <w:style w:type="paragraph" w:customStyle="1" w:styleId="64">
    <w:name w:val="表格文字"/>
    <w:basedOn w:val="1"/>
    <w:qFormat/>
    <w:uiPriority w:val="0"/>
    <w:pPr>
      <w:autoSpaceDE/>
      <w:autoSpaceDN/>
      <w:adjustRightInd/>
      <w:spacing w:before="25" w:after="25"/>
    </w:pPr>
    <w:rPr>
      <w:rFonts w:ascii="Times New Roman"/>
      <w:bCs/>
      <w:spacing w:val="10"/>
      <w:szCs w:val="20"/>
    </w:rPr>
  </w:style>
  <w:style w:type="paragraph" w:customStyle="1" w:styleId="65">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66">
    <w:name w:val="首行缩进"/>
    <w:basedOn w:val="1"/>
    <w:qFormat/>
    <w:uiPriority w:val="0"/>
    <w:pPr>
      <w:ind w:firstLine="480" w:firstLineChars="200"/>
    </w:pPr>
    <w:rPr>
      <w:lang w:val="zh-CN"/>
    </w:rPr>
  </w:style>
  <w:style w:type="character" w:customStyle="1" w:styleId="67">
    <w:name w:val="s1"/>
    <w:qFormat/>
    <w:uiPriority w:val="0"/>
    <w:rPr>
      <w:rFonts w:ascii="Helvetica" w:hAnsi="Helvetica" w:eastAsia="Helvetica" w:cs="Helvetica"/>
      <w:sz w:val="24"/>
      <w:szCs w:val="24"/>
    </w:rPr>
  </w:style>
  <w:style w:type="character" w:customStyle="1" w:styleId="68">
    <w:name w:val="keyfeatures1"/>
    <w:qFormat/>
    <w:uiPriority w:val="0"/>
    <w:rPr>
      <w:rFonts w:hint="default" w:ascii="Arial" w:hAnsi="Arial" w:cs="Arial"/>
      <w:color w:val="003366"/>
      <w:sz w:val="17"/>
      <w:szCs w:val="17"/>
      <w:u w:val="none"/>
    </w:rPr>
  </w:style>
  <w:style w:type="character" w:customStyle="1" w:styleId="69">
    <w:name w:val="小 Char"/>
    <w:qFormat/>
    <w:uiPriority w:val="0"/>
    <w:rPr>
      <w:rFonts w:ascii="宋体" w:hAnsi="Courier New" w:eastAsia="宋体" w:cs="Times New Roman"/>
      <w:kern w:val="2"/>
      <w:sz w:val="21"/>
      <w:lang w:val="en-US" w:eastAsia="zh-CN" w:bidi="ar-SA"/>
    </w:rPr>
  </w:style>
  <w:style w:type="character" w:customStyle="1" w:styleId="70">
    <w:name w:val="纯文本 Char Char"/>
    <w:qFormat/>
    <w:uiPriority w:val="0"/>
    <w:rPr>
      <w:rFonts w:ascii="宋体" w:hAnsi="Courier New" w:eastAsia="宋体"/>
      <w:kern w:val="2"/>
      <w:sz w:val="21"/>
      <w:lang w:val="en-US" w:eastAsia="zh-CN" w:bidi="ar-SA"/>
    </w:rPr>
  </w:style>
  <w:style w:type="character" w:customStyle="1" w:styleId="71">
    <w:name w:val="meuncn1"/>
    <w:qFormat/>
    <w:uiPriority w:val="0"/>
    <w:rPr>
      <w:rFonts w:hint="eastAsia" w:ascii="宋体" w:hAnsi="宋体" w:eastAsia="宋体"/>
      <w:color w:val="666666"/>
      <w:sz w:val="18"/>
      <w:u w:val="none"/>
    </w:rPr>
  </w:style>
  <w:style w:type="character" w:customStyle="1" w:styleId="72">
    <w:name w:val="标题 3.1 Char Char"/>
    <w:link w:val="73"/>
    <w:qFormat/>
    <w:uiPriority w:val="0"/>
    <w:rPr>
      <w:rFonts w:ascii="宋体" w:hAnsi="宋体"/>
      <w:b/>
      <w:bCs/>
      <w:kern w:val="2"/>
      <w:sz w:val="32"/>
      <w:szCs w:val="32"/>
    </w:rPr>
  </w:style>
  <w:style w:type="paragraph" w:customStyle="1" w:styleId="73">
    <w:name w:val="标题 3.1"/>
    <w:basedOn w:val="7"/>
    <w:link w:val="72"/>
    <w:qFormat/>
    <w:uiPriority w:val="0"/>
    <w:pPr>
      <w:keepNext/>
      <w:keepLines/>
      <w:tabs>
        <w:tab w:val="left" w:pos="1440"/>
        <w:tab w:val="left" w:pos="1620"/>
      </w:tabs>
      <w:autoSpaceDE/>
      <w:autoSpaceDN/>
      <w:adjustRightInd/>
      <w:spacing w:before="260" w:after="260" w:line="600" w:lineRule="exact"/>
      <w:jc w:val="both"/>
    </w:pPr>
    <w:rPr>
      <w:rFonts w:hAnsi="宋体"/>
      <w:b/>
      <w:bCs/>
      <w:kern w:val="2"/>
      <w:sz w:val="32"/>
      <w:szCs w:val="32"/>
    </w:rPr>
  </w:style>
  <w:style w:type="character" w:customStyle="1" w:styleId="74">
    <w:name w:val="标题 1 字符"/>
    <w:link w:val="5"/>
    <w:qFormat/>
    <w:uiPriority w:val="0"/>
  </w:style>
  <w:style w:type="character" w:customStyle="1" w:styleId="75">
    <w:name w:val="HTML Markup"/>
    <w:qFormat/>
    <w:uiPriority w:val="0"/>
    <w:rPr>
      <w:rFonts w:ascii="Times New Roman" w:hAnsi="Times New Roman" w:eastAsia="宋体" w:cs="Times New Roman"/>
      <w:vanish/>
      <w:color w:val="FF0000"/>
    </w:rPr>
  </w:style>
  <w:style w:type="character" w:customStyle="1" w:styleId="76">
    <w:name w:val="页脚 Char Char"/>
    <w:qFormat/>
    <w:uiPriority w:val="0"/>
    <w:rPr>
      <w:rFonts w:ascii="宋体"/>
      <w:sz w:val="18"/>
      <w:szCs w:val="18"/>
    </w:rPr>
  </w:style>
  <w:style w:type="character" w:customStyle="1" w:styleId="77">
    <w:name w:val="p105"/>
    <w:basedOn w:val="56"/>
    <w:qFormat/>
    <w:uiPriority w:val="0"/>
  </w:style>
  <w:style w:type="character" w:customStyle="1" w:styleId="78">
    <w:name w:val="正文缩进2格 Char Char"/>
    <w:link w:val="79"/>
    <w:qFormat/>
    <w:uiPriority w:val="0"/>
    <w:rPr>
      <w:rFonts w:ascii="仿宋_GB2312" w:hAnsi="宋体" w:eastAsia="仿宋_GB2312"/>
      <w:kern w:val="2"/>
      <w:sz w:val="31"/>
      <w:szCs w:val="28"/>
      <w:lang w:val="en-US" w:eastAsia="zh-CN" w:bidi="ar-SA"/>
    </w:rPr>
  </w:style>
  <w:style w:type="paragraph" w:customStyle="1" w:styleId="79">
    <w:name w:val="正文缩进2格"/>
    <w:basedOn w:val="1"/>
    <w:next w:val="1"/>
    <w:link w:val="78"/>
    <w:qFormat/>
    <w:uiPriority w:val="0"/>
    <w:pPr>
      <w:autoSpaceDE/>
      <w:autoSpaceDN/>
      <w:adjustRightInd/>
      <w:spacing w:line="600" w:lineRule="exact"/>
      <w:ind w:firstLine="639" w:firstLineChars="206"/>
      <w:jc w:val="both"/>
    </w:pPr>
    <w:rPr>
      <w:rFonts w:ascii="仿宋_GB2312" w:hAnsi="宋体" w:eastAsia="仿宋_GB2312"/>
      <w:kern w:val="2"/>
      <w:sz w:val="31"/>
      <w:szCs w:val="28"/>
    </w:rPr>
  </w:style>
  <w:style w:type="character" w:customStyle="1" w:styleId="80">
    <w:name w:val="正文缩进 字符"/>
    <w:link w:val="15"/>
    <w:qFormat/>
    <w:uiPriority w:val="0"/>
    <w:rPr>
      <w:rFonts w:eastAsia="宋体"/>
      <w:lang w:val="en-US" w:eastAsia="zh-CN" w:bidi="ar-SA"/>
    </w:rPr>
  </w:style>
  <w:style w:type="character" w:customStyle="1" w:styleId="81">
    <w:name w:val="纯文本 字符"/>
    <w:link w:val="31"/>
    <w:qFormat/>
    <w:uiPriority w:val="0"/>
    <w:rPr>
      <w:rFonts w:ascii="宋体" w:hAnsi="Courier New" w:eastAsia="宋体" w:cs="Times New Roman"/>
      <w:kern w:val="2"/>
      <w:sz w:val="21"/>
      <w:lang w:val="en-US" w:eastAsia="zh-CN" w:bidi="ar-SA"/>
    </w:rPr>
  </w:style>
  <w:style w:type="character" w:customStyle="1" w:styleId="82">
    <w:name w:val="font01"/>
    <w:qFormat/>
    <w:uiPriority w:val="0"/>
    <w:rPr>
      <w:rFonts w:hint="eastAsia" w:ascii="宋体" w:hAnsi="宋体" w:eastAsia="宋体" w:cs="宋体"/>
      <w:color w:val="000000"/>
      <w:sz w:val="24"/>
      <w:szCs w:val="24"/>
      <w:u w:val="none"/>
    </w:rPr>
  </w:style>
  <w:style w:type="character" w:customStyle="1" w:styleId="83">
    <w:name w:val="wctjfont1"/>
    <w:qFormat/>
    <w:uiPriority w:val="0"/>
    <w:rPr>
      <w:sz w:val="18"/>
    </w:rPr>
  </w:style>
  <w:style w:type="character" w:customStyle="1" w:styleId="84">
    <w:name w:val="bold1"/>
    <w:qFormat/>
    <w:uiPriority w:val="0"/>
    <w:rPr>
      <w:sz w:val="32"/>
    </w:rPr>
  </w:style>
  <w:style w:type="character" w:customStyle="1" w:styleId="85">
    <w:name w:val="正文文本 字符"/>
    <w:link w:val="23"/>
    <w:qFormat/>
    <w:uiPriority w:val="0"/>
    <w:rPr>
      <w:rFonts w:ascii="宋体" w:hAnsi="Times New Roman" w:eastAsia="宋体" w:cs="Times New Roman"/>
      <w:b/>
      <w:bCs/>
      <w:kern w:val="2"/>
      <w:sz w:val="84"/>
      <w:szCs w:val="84"/>
      <w:lang w:val="zh-CN" w:eastAsia="zh-CN" w:bidi="ar-SA"/>
    </w:rPr>
  </w:style>
  <w:style w:type="character" w:customStyle="1" w:styleId="86">
    <w:name w:val="DAS正文 Char Char"/>
    <w:qFormat/>
    <w:uiPriority w:val="0"/>
    <w:rPr>
      <w:rFonts w:ascii="Verdana" w:hAnsi="Verdana" w:eastAsia="宋体"/>
      <w:kern w:val="2"/>
      <w:sz w:val="21"/>
      <w:szCs w:val="21"/>
      <w:lang w:val="en-US" w:eastAsia="zh-CN" w:bidi="ar-SA"/>
    </w:rPr>
  </w:style>
  <w:style w:type="character" w:customStyle="1" w:styleId="87">
    <w:name w:val="Highlighted Variable"/>
    <w:qFormat/>
    <w:uiPriority w:val="0"/>
    <w:rPr>
      <w:color w:val="000000"/>
    </w:rPr>
  </w:style>
  <w:style w:type="character" w:customStyle="1" w:styleId="88">
    <w:name w:val="neir1"/>
    <w:qFormat/>
    <w:uiPriority w:val="0"/>
    <w:rPr>
      <w:rFonts w:hint="default" w:ascii="ˎ̥" w:hAnsi="ˎ̥" w:eastAsia="宋体" w:cs="Times New Roman"/>
      <w:color w:val="333333"/>
      <w:sz w:val="21"/>
      <w:szCs w:val="21"/>
      <w:u w:val="none"/>
    </w:rPr>
  </w:style>
  <w:style w:type="character" w:customStyle="1" w:styleId="89">
    <w:name w:val="style61"/>
    <w:qFormat/>
    <w:uiPriority w:val="0"/>
    <w:rPr>
      <w:b/>
      <w:bCs/>
    </w:rPr>
  </w:style>
  <w:style w:type="character" w:customStyle="1" w:styleId="90">
    <w:name w:val="页眉 字符"/>
    <w:link w:val="38"/>
    <w:qFormat/>
    <w:uiPriority w:val="0"/>
    <w:rPr>
      <w:rFonts w:ascii="宋体"/>
      <w:sz w:val="18"/>
      <w:szCs w:val="18"/>
    </w:rPr>
  </w:style>
  <w:style w:type="character" w:customStyle="1" w:styleId="91">
    <w:name w:val="HTML 预设格式 字符"/>
    <w:link w:val="50"/>
    <w:qFormat/>
    <w:uiPriority w:val="0"/>
    <w:rPr>
      <w:rFonts w:ascii="Arial" w:hAnsi="Arial" w:eastAsia="宋体" w:cs="Arial"/>
      <w:sz w:val="21"/>
      <w:szCs w:val="21"/>
      <w:lang w:val="en-US" w:eastAsia="zh-CN" w:bidi="ar-SA"/>
    </w:rPr>
  </w:style>
  <w:style w:type="character" w:customStyle="1" w:styleId="92">
    <w:name w:val="f141"/>
    <w:qFormat/>
    <w:uiPriority w:val="0"/>
    <w:rPr>
      <w:sz w:val="21"/>
      <w:szCs w:val="21"/>
    </w:rPr>
  </w:style>
  <w:style w:type="character" w:customStyle="1" w:styleId="93">
    <w:name w:val="副标题 字符"/>
    <w:link w:val="43"/>
    <w:qFormat/>
    <w:uiPriority w:val="11"/>
    <w:rPr>
      <w:rFonts w:ascii="Arial" w:hAnsi="Arial"/>
      <w:b/>
      <w:kern w:val="28"/>
      <w:sz w:val="32"/>
    </w:rPr>
  </w:style>
  <w:style w:type="character" w:customStyle="1" w:styleId="94">
    <w:name w:val="页脚 字符"/>
    <w:link w:val="36"/>
    <w:qFormat/>
    <w:uiPriority w:val="99"/>
    <w:rPr>
      <w:rFonts w:ascii="宋体" w:hAnsi="Times New Roman" w:eastAsia="宋体" w:cs="Times New Roman"/>
      <w:sz w:val="18"/>
      <w:szCs w:val="18"/>
      <w:lang w:val="en-US" w:eastAsia="zh-CN" w:bidi="ar-SA"/>
    </w:rPr>
  </w:style>
  <w:style w:type="paragraph" w:customStyle="1" w:styleId="95">
    <w:name w:val="技术响应2"/>
    <w:basedOn w:val="1"/>
    <w:qFormat/>
    <w:uiPriority w:val="0"/>
    <w:pPr>
      <w:numPr>
        <w:ilvl w:val="0"/>
        <w:numId w:val="5"/>
      </w:numPr>
      <w:autoSpaceDE/>
      <w:autoSpaceDN/>
      <w:adjustRightInd/>
      <w:jc w:val="both"/>
    </w:pPr>
    <w:rPr>
      <w:rFonts w:hAnsi="宋体"/>
      <w:b/>
      <w:bCs/>
      <w:kern w:val="2"/>
      <w:sz w:val="21"/>
      <w:szCs w:val="20"/>
    </w:rPr>
  </w:style>
  <w:style w:type="paragraph" w:customStyle="1" w:styleId="96">
    <w:name w:val="Bullet"/>
    <w:basedOn w:val="1"/>
    <w:qFormat/>
    <w:uiPriority w:val="0"/>
    <w:pPr>
      <w:numPr>
        <w:ilvl w:val="0"/>
        <w:numId w:val="6"/>
      </w:numPr>
      <w:autoSpaceDE/>
      <w:autoSpaceDN/>
      <w:adjustRightInd/>
      <w:spacing w:line="360" w:lineRule="exact"/>
      <w:jc w:val="both"/>
    </w:pPr>
    <w:rPr>
      <w:rFonts w:ascii="Times New Roman"/>
      <w:kern w:val="2"/>
      <w:szCs w:val="20"/>
    </w:rPr>
  </w:style>
  <w:style w:type="paragraph" w:customStyle="1" w:styleId="97">
    <w:name w:val="普通 (Web)"/>
    <w:basedOn w:val="1"/>
    <w:qFormat/>
    <w:uiPriority w:val="0"/>
    <w:pPr>
      <w:widowControl/>
      <w:autoSpaceDE/>
      <w:autoSpaceDN/>
      <w:adjustRightInd/>
      <w:spacing w:before="100" w:beforeAutospacing="1" w:after="100" w:afterAutospacing="1"/>
    </w:pPr>
    <w:rPr>
      <w:rFonts w:hAnsi="宋体"/>
    </w:rPr>
  </w:style>
  <w:style w:type="paragraph" w:customStyle="1" w:styleId="98">
    <w:name w:val="正文楷 Char"/>
    <w:basedOn w:val="1"/>
    <w:qFormat/>
    <w:uiPriority w:val="0"/>
    <w:pPr>
      <w:autoSpaceDE/>
      <w:autoSpaceDN/>
      <w:adjustRightInd/>
      <w:spacing w:line="500" w:lineRule="exact"/>
      <w:ind w:firstLine="560" w:firstLineChars="200"/>
      <w:jc w:val="both"/>
    </w:pPr>
    <w:rPr>
      <w:rFonts w:ascii="楷体_GB2312" w:hAnsi="楷体_GB2312" w:eastAsia="楷体_GB2312"/>
      <w:kern w:val="2"/>
      <w:sz w:val="28"/>
      <w:szCs w:val="20"/>
    </w:rPr>
  </w:style>
  <w:style w:type="paragraph" w:customStyle="1" w:styleId="99">
    <w:name w:val="Char Char Char Char Char Char1 Char"/>
    <w:basedOn w:val="1"/>
    <w:qFormat/>
    <w:uiPriority w:val="0"/>
    <w:pPr>
      <w:widowControl/>
      <w:autoSpaceDE/>
      <w:autoSpaceDN/>
      <w:adjustRightInd/>
      <w:spacing w:after="160" w:line="240" w:lineRule="exact"/>
    </w:pPr>
    <w:rPr>
      <w:rFonts w:ascii="Arial" w:hAnsi="Arial" w:eastAsia="楷体_GB2312" w:cs="Verdana"/>
      <w:b/>
      <w:lang w:eastAsia="en-US"/>
    </w:rPr>
  </w:style>
  <w:style w:type="paragraph" w:customStyle="1" w:styleId="100">
    <w:name w:val="样式 我的标题 + 两端对齐"/>
    <w:basedOn w:val="5"/>
    <w:qFormat/>
    <w:uiPriority w:val="0"/>
    <w:pPr>
      <w:keepNext/>
      <w:keepLines/>
      <w:autoSpaceDE/>
      <w:autoSpaceDN/>
      <w:adjustRightInd/>
      <w:spacing w:before="340" w:after="330" w:line="578" w:lineRule="auto"/>
      <w:jc w:val="center"/>
    </w:pPr>
    <w:rPr>
      <w:rFonts w:ascii="Times New Roman"/>
      <w:b/>
      <w:bCs/>
      <w:kern w:val="44"/>
      <w:sz w:val="32"/>
      <w:szCs w:val="20"/>
    </w:rPr>
  </w:style>
  <w:style w:type="paragraph" w:customStyle="1" w:styleId="101">
    <w:name w:val="默认段落字体 Para Char"/>
    <w:basedOn w:val="1"/>
    <w:qFormat/>
    <w:uiPriority w:val="0"/>
    <w:pPr>
      <w:autoSpaceDE/>
      <w:autoSpaceDN/>
      <w:spacing w:line="360" w:lineRule="auto"/>
      <w:jc w:val="both"/>
    </w:pPr>
    <w:rPr>
      <w:rFonts w:ascii="Times New Roman"/>
      <w:szCs w:val="20"/>
    </w:rPr>
  </w:style>
  <w:style w:type="paragraph" w:customStyle="1" w:styleId="102">
    <w:name w:val="Char Char Char Char"/>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03">
    <w:name w:val="TOC 标题1"/>
    <w:basedOn w:val="5"/>
    <w:next w:val="1"/>
    <w:qFormat/>
    <w:uiPriority w:val="0"/>
    <w:pPr>
      <w:keepNext/>
      <w:keepLines/>
      <w:widowControl/>
      <w:autoSpaceDE/>
      <w:autoSpaceDN/>
      <w:adjustRightInd/>
      <w:spacing w:before="480" w:line="276" w:lineRule="auto"/>
      <w:outlineLvl w:val="9"/>
    </w:pPr>
    <w:rPr>
      <w:rFonts w:ascii="Cambria" w:hAnsi="Cambria" w:cs="Times New Roman"/>
      <w:b/>
      <w:bCs/>
      <w:color w:val="365F91"/>
      <w:sz w:val="28"/>
      <w:szCs w:val="28"/>
    </w:rPr>
  </w:style>
  <w:style w:type="paragraph" w:customStyle="1" w:styleId="104">
    <w:name w:val="_Style 3"/>
    <w:basedOn w:val="1"/>
    <w:qFormat/>
    <w:uiPriority w:val="0"/>
    <w:pPr>
      <w:adjustRightInd/>
      <w:ind w:firstLine="420" w:firstLineChars="200"/>
      <w:jc w:val="both"/>
    </w:pPr>
    <w:rPr>
      <w:rFonts w:ascii="Times New Roman" w:hAnsi="Times New Roman" w:cs="Times New Roman"/>
      <w:kern w:val="2"/>
      <w:sz w:val="21"/>
    </w:rPr>
  </w:style>
  <w:style w:type="paragraph" w:customStyle="1" w:styleId="105">
    <w:name w:val="需求书2"/>
    <w:basedOn w:val="1"/>
    <w:qFormat/>
    <w:uiPriority w:val="0"/>
    <w:pPr>
      <w:autoSpaceDE/>
      <w:autoSpaceDN/>
      <w:adjustRightInd/>
      <w:jc w:val="both"/>
    </w:pPr>
    <w:rPr>
      <w:rFonts w:hAnsi="宋体"/>
      <w:spacing w:val="10"/>
      <w:kern w:val="2"/>
      <w:sz w:val="18"/>
      <w:szCs w:val="20"/>
    </w:rPr>
  </w:style>
  <w:style w:type="paragraph" w:customStyle="1" w:styleId="106">
    <w:name w:val="Char Char Char Char1"/>
    <w:basedOn w:val="6"/>
    <w:qFormat/>
    <w:uiPriority w:val="0"/>
    <w:pPr>
      <w:keepNext/>
      <w:keepLines/>
      <w:pageBreakBefore/>
      <w:widowControl/>
      <w:numPr>
        <w:ilvl w:val="1"/>
        <w:numId w:val="7"/>
      </w:numPr>
      <w:autoSpaceDE/>
      <w:autoSpaceDN/>
      <w:adjustRightInd/>
      <w:spacing w:before="180" w:after="160" w:line="240" w:lineRule="exact"/>
    </w:pPr>
    <w:rPr>
      <w:rFonts w:ascii="Verdana" w:hAnsi="Verdana" w:eastAsia="黑体"/>
      <w:bCs/>
      <w:sz w:val="32"/>
      <w:szCs w:val="32"/>
      <w:lang w:eastAsia="en-US"/>
    </w:rPr>
  </w:style>
  <w:style w:type="paragraph" w:customStyle="1" w:styleId="107">
    <w:name w:val="Char1"/>
    <w:basedOn w:val="19"/>
    <w:qFormat/>
    <w:uiPriority w:val="0"/>
    <w:pPr>
      <w:autoSpaceDE/>
      <w:autoSpaceDN/>
      <w:adjustRightInd/>
      <w:jc w:val="both"/>
    </w:pPr>
    <w:rPr>
      <w:rFonts w:ascii="Tahoma" w:hAnsi="Tahoma"/>
      <w:kern w:val="2"/>
    </w:rPr>
  </w:style>
  <w:style w:type="paragraph" w:customStyle="1" w:styleId="108">
    <w:name w:val="xl39"/>
    <w:basedOn w:val="1"/>
    <w:qFormat/>
    <w:uiPriority w:val="0"/>
    <w:pPr>
      <w:widowControl/>
      <w:autoSpaceDE/>
      <w:autoSpaceDN/>
      <w:adjustRightInd/>
      <w:spacing w:before="100" w:beforeAutospacing="1" w:after="100" w:afterAutospacing="1"/>
    </w:pPr>
    <w:rPr>
      <w:rFonts w:ascii="Arial Unicode MS" w:hAnsi="Arial Unicode MS" w:eastAsia="Arial Unicode MS"/>
      <w:sz w:val="20"/>
      <w:szCs w:val="20"/>
    </w:rPr>
  </w:style>
  <w:style w:type="paragraph" w:customStyle="1" w:styleId="109">
    <w:name w:val="Blockquote"/>
    <w:basedOn w:val="1"/>
    <w:qFormat/>
    <w:uiPriority w:val="0"/>
    <w:pPr>
      <w:spacing w:before="100" w:after="100"/>
      <w:ind w:left="360" w:right="360"/>
    </w:pPr>
    <w:rPr>
      <w:rFonts w:ascii="Times New Roman" w:hAnsi="Times New Roman" w:cs="Times New Roman"/>
      <w:szCs w:val="20"/>
    </w:rPr>
  </w:style>
  <w:style w:type="paragraph" w:customStyle="1" w:styleId="110">
    <w:name w:val="样式 标题 2 + Times New Roman 四号 非加粗 段前: 5 磅 段后: 0 磅 行距: 固定值 20..."/>
    <w:basedOn w:val="6"/>
    <w:qFormat/>
    <w:uiPriority w:val="0"/>
    <w:pPr>
      <w:spacing w:before="100" w:line="400" w:lineRule="exact"/>
    </w:pPr>
    <w:rPr>
      <w:rFonts w:ascii="Times New Roman" w:hAnsi="Times New Roman"/>
      <w:b w:val="0"/>
      <w:sz w:val="28"/>
      <w:szCs w:val="20"/>
    </w:rPr>
  </w:style>
  <w:style w:type="paragraph" w:customStyle="1" w:styleId="111">
    <w:name w:val="Char"/>
    <w:basedOn w:val="1"/>
    <w:qFormat/>
    <w:uiPriority w:val="0"/>
    <w:pPr>
      <w:widowControl/>
      <w:autoSpaceDE/>
      <w:autoSpaceDN/>
      <w:adjustRightInd/>
      <w:spacing w:line="400" w:lineRule="exact"/>
      <w:jc w:val="center"/>
    </w:pPr>
    <w:rPr>
      <w:rFonts w:ascii="Times New Roman"/>
      <w:sz w:val="21"/>
      <w:szCs w:val="20"/>
    </w:rPr>
  </w:style>
  <w:style w:type="paragraph" w:customStyle="1" w:styleId="112">
    <w:name w:val="技术响应1"/>
    <w:basedOn w:val="1"/>
    <w:qFormat/>
    <w:uiPriority w:val="0"/>
    <w:pPr>
      <w:widowControl/>
      <w:autoSpaceDE/>
      <w:autoSpaceDN/>
      <w:adjustRightInd/>
      <w:spacing w:line="360" w:lineRule="auto"/>
      <w:ind w:firstLine="588"/>
      <w:jc w:val="center"/>
    </w:pPr>
    <w:rPr>
      <w:b/>
      <w:sz w:val="28"/>
      <w:szCs w:val="20"/>
    </w:rPr>
  </w:style>
  <w:style w:type="paragraph" w:customStyle="1" w:styleId="113">
    <w:name w:val="xl32"/>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textAlignment w:val="center"/>
    </w:pPr>
    <w:rPr>
      <w:rFonts w:ascii="Arial Unicode MS" w:hAnsi="Arial Unicode MS" w:eastAsia="Arial Unicode MS"/>
      <w:sz w:val="20"/>
      <w:szCs w:val="20"/>
    </w:rPr>
  </w:style>
  <w:style w:type="paragraph" w:customStyle="1" w:styleId="114">
    <w:name w:val="D标3"/>
    <w:basedOn w:val="7"/>
    <w:qFormat/>
    <w:uiPriority w:val="0"/>
    <w:pPr>
      <w:numPr>
        <w:ilvl w:val="0"/>
        <w:numId w:val="8"/>
      </w:numPr>
      <w:spacing w:before="120" w:line="480" w:lineRule="atLeast"/>
      <w:jc w:val="both"/>
    </w:pPr>
    <w:rPr>
      <w:rFonts w:ascii="Times New Roman" w:hAnsi="Times New Roman" w:cs="Times New Roman"/>
      <w:szCs w:val="20"/>
    </w:rPr>
  </w:style>
  <w:style w:type="paragraph" w:customStyle="1" w:styleId="115">
    <w:name w:val="xl34"/>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jc w:val="center"/>
    </w:pPr>
    <w:rPr>
      <w:rFonts w:hAnsi="宋体"/>
    </w:rPr>
  </w:style>
  <w:style w:type="paragraph" w:customStyle="1" w:styleId="116">
    <w:name w:val="_Style 202"/>
    <w:basedOn w:val="1"/>
    <w:qFormat/>
    <w:uiPriority w:val="0"/>
    <w:pPr>
      <w:tabs>
        <w:tab w:val="left" w:pos="360"/>
      </w:tabs>
      <w:autoSpaceDE/>
      <w:autoSpaceDN/>
      <w:adjustRightInd/>
      <w:jc w:val="both"/>
    </w:pPr>
    <w:rPr>
      <w:rFonts w:ascii="Times New Roman"/>
      <w:kern w:val="2"/>
      <w:sz w:val="21"/>
    </w:rPr>
  </w:style>
  <w:style w:type="paragraph" w:customStyle="1" w:styleId="117">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C0C0C0"/>
      <w:autoSpaceDE/>
      <w:autoSpaceDN/>
      <w:adjustRightInd/>
      <w:spacing w:before="100" w:beforeAutospacing="1" w:after="100" w:afterAutospacing="1"/>
      <w:jc w:val="center"/>
      <w:textAlignment w:val="center"/>
    </w:pPr>
    <w:rPr>
      <w:rFonts w:ascii="Arial Unicode MS" w:hAnsi="Arial Unicode MS" w:eastAsia="Arial Unicode MS"/>
      <w:b/>
      <w:sz w:val="20"/>
      <w:szCs w:val="20"/>
    </w:rPr>
  </w:style>
  <w:style w:type="paragraph" w:customStyle="1" w:styleId="118">
    <w:name w:val="shall-正文"/>
    <w:basedOn w:val="1"/>
    <w:qFormat/>
    <w:uiPriority w:val="0"/>
    <w:pPr>
      <w:snapToGrid w:val="0"/>
      <w:spacing w:beforeLines="30" w:line="288" w:lineRule="auto"/>
      <w:ind w:firstLine="200" w:firstLineChars="200"/>
    </w:pPr>
    <w:rPr>
      <w:rFonts w:eastAsia="华文细黑"/>
    </w:rPr>
  </w:style>
  <w:style w:type="paragraph" w:customStyle="1" w:styleId="119">
    <w:name w:val="xl38"/>
    <w:basedOn w:val="1"/>
    <w:qFormat/>
    <w:uiPriority w:val="0"/>
    <w:pPr>
      <w:widowControl/>
      <w:pBdr>
        <w:bottom w:val="single" w:color="auto" w:sz="4" w:space="0"/>
      </w:pBdr>
      <w:autoSpaceDE/>
      <w:autoSpaceDN/>
      <w:adjustRightInd/>
      <w:spacing w:before="100" w:beforeAutospacing="1" w:after="100" w:afterAutospacing="1"/>
      <w:jc w:val="center"/>
      <w:textAlignment w:val="center"/>
    </w:pPr>
    <w:rPr>
      <w:rFonts w:ascii="Arial Unicode MS" w:hAnsi="Arial Unicode MS" w:eastAsia="Arial Unicode MS"/>
      <w:b/>
      <w:sz w:val="36"/>
      <w:szCs w:val="20"/>
    </w:rPr>
  </w:style>
  <w:style w:type="paragraph" w:customStyle="1" w:styleId="120">
    <w:name w:val="p2"/>
    <w:basedOn w:val="1"/>
    <w:qFormat/>
    <w:uiPriority w:val="0"/>
    <w:rPr>
      <w:rFonts w:cs="Times New Roman"/>
    </w:rPr>
  </w:style>
  <w:style w:type="paragraph" w:customStyle="1" w:styleId="121">
    <w:name w:val="Char Char Char Char Char Char"/>
    <w:basedOn w:val="1"/>
    <w:qFormat/>
    <w:uiPriority w:val="0"/>
    <w:pPr>
      <w:widowControl/>
      <w:autoSpaceDE/>
      <w:autoSpaceDN/>
      <w:adjustRightInd/>
      <w:spacing w:after="160" w:line="240" w:lineRule="exact"/>
    </w:pPr>
    <w:rPr>
      <w:rFonts w:ascii="Times New Roman"/>
      <w:kern w:val="2"/>
      <w:lang w:eastAsia="en-US"/>
    </w:rPr>
  </w:style>
  <w:style w:type="paragraph" w:customStyle="1" w:styleId="122">
    <w:name w:val="标题4"/>
    <w:basedOn w:val="79"/>
    <w:qFormat/>
    <w:uiPriority w:val="0"/>
    <w:pPr>
      <w:spacing w:line="540" w:lineRule="exact"/>
      <w:ind w:firstLine="0" w:firstLineChars="0"/>
    </w:pPr>
    <w:rPr>
      <w:rFonts w:hAnsi="Times New Roman"/>
      <w:szCs w:val="24"/>
    </w:rPr>
  </w:style>
  <w:style w:type="paragraph" w:styleId="123">
    <w:name w:val="No Spacing"/>
    <w:qFormat/>
    <w:uiPriority w:val="0"/>
    <w:pPr>
      <w:widowControl w:val="0"/>
      <w:jc w:val="both"/>
    </w:pPr>
    <w:rPr>
      <w:rFonts w:ascii="Calibri" w:hAnsi="Calibri" w:eastAsia="宋体" w:cs="宋体"/>
      <w:kern w:val="2"/>
      <w:sz w:val="21"/>
      <w:szCs w:val="24"/>
      <w:lang w:val="en-US" w:eastAsia="zh-CN" w:bidi="ar-SA"/>
    </w:rPr>
  </w:style>
  <w:style w:type="paragraph" w:customStyle="1" w:styleId="124">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CC99FF"/>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25">
    <w:name w:val="列表正文"/>
    <w:basedOn w:val="1"/>
    <w:qFormat/>
    <w:uiPriority w:val="0"/>
    <w:pPr>
      <w:autoSpaceDE/>
      <w:autoSpaceDN/>
      <w:snapToGrid w:val="0"/>
      <w:spacing w:line="300" w:lineRule="auto"/>
      <w:ind w:left="200" w:leftChars="200" w:firstLine="200" w:firstLineChars="200"/>
      <w:jc w:val="both"/>
    </w:pPr>
    <w:rPr>
      <w:rFonts w:ascii="Times New Roman"/>
      <w:kern w:val="2"/>
      <w:sz w:val="21"/>
    </w:rPr>
  </w:style>
  <w:style w:type="paragraph" w:customStyle="1" w:styleId="126">
    <w:name w:val="Char Char2 Char"/>
    <w:basedOn w:val="1"/>
    <w:qFormat/>
    <w:uiPriority w:val="0"/>
    <w:pPr>
      <w:autoSpaceDE/>
      <w:autoSpaceDN/>
      <w:adjustRightInd/>
      <w:jc w:val="both"/>
    </w:pPr>
    <w:rPr>
      <w:rFonts w:hAnsi="宋体"/>
      <w:b/>
      <w:kern w:val="2"/>
      <w:sz w:val="28"/>
      <w:szCs w:val="28"/>
    </w:rPr>
  </w:style>
  <w:style w:type="paragraph" w:customStyle="1" w:styleId="127">
    <w:name w:val="版权"/>
    <w:basedOn w:val="1"/>
    <w:qFormat/>
    <w:uiPriority w:val="0"/>
    <w:pPr>
      <w:autoSpaceDE/>
      <w:autoSpaceDN/>
      <w:adjustRightInd/>
      <w:spacing w:before="312" w:after="312"/>
      <w:ind w:firstLine="480"/>
      <w:jc w:val="center"/>
      <w:outlineLvl w:val="0"/>
    </w:pPr>
    <w:rPr>
      <w:rFonts w:ascii="华文中宋" w:hAnsi="华文中宋"/>
      <w:b/>
      <w:kern w:val="2"/>
      <w:szCs w:val="20"/>
    </w:rPr>
  </w:style>
  <w:style w:type="paragraph" w:customStyle="1" w:styleId="128">
    <w:name w:val="LEGALB Cont 2"/>
    <w:basedOn w:val="1"/>
    <w:qFormat/>
    <w:uiPriority w:val="0"/>
    <w:pPr>
      <w:widowControl/>
      <w:tabs>
        <w:tab w:val="left" w:pos="720"/>
      </w:tabs>
      <w:spacing w:after="240"/>
      <w:ind w:left="720" w:leftChars="300"/>
    </w:pPr>
    <w:rPr>
      <w:rFonts w:ascii="Calibri" w:eastAsia="DFKai-SB" w:cs="Times New Roman"/>
      <w:lang w:eastAsia="en-US"/>
    </w:rPr>
  </w:style>
  <w:style w:type="paragraph" w:customStyle="1" w:styleId="129">
    <w:name w:val="表格栏头"/>
    <w:basedOn w:val="130"/>
    <w:next w:val="130"/>
    <w:qFormat/>
    <w:uiPriority w:val="0"/>
    <w:rPr>
      <w:b/>
    </w:rPr>
  </w:style>
  <w:style w:type="paragraph" w:customStyle="1" w:styleId="130">
    <w:name w:val="表格正文"/>
    <w:basedOn w:val="1"/>
    <w:qFormat/>
    <w:uiPriority w:val="0"/>
    <w:pPr>
      <w:widowControl/>
      <w:overflowPunct w:val="0"/>
      <w:spacing w:before="312" w:after="312" w:line="360" w:lineRule="auto"/>
      <w:textAlignment w:val="baseline"/>
    </w:pPr>
    <w:rPr>
      <w:rFonts w:hAnsi="Tahoma"/>
      <w:szCs w:val="20"/>
    </w:rPr>
  </w:style>
  <w:style w:type="paragraph" w:customStyle="1" w:styleId="131">
    <w:name w:val="正文列表"/>
    <w:basedOn w:val="1"/>
    <w:qFormat/>
    <w:uiPriority w:val="0"/>
    <w:pPr>
      <w:jc w:val="center"/>
      <w:textAlignment w:val="baseline"/>
    </w:pPr>
    <w:rPr>
      <w:rFonts w:hAnsi="宋体"/>
      <w:szCs w:val="20"/>
    </w:rPr>
  </w:style>
  <w:style w:type="paragraph" w:customStyle="1" w:styleId="132">
    <w:name w:val="图"/>
    <w:basedOn w:val="1"/>
    <w:qFormat/>
    <w:uiPriority w:val="0"/>
    <w:pPr>
      <w:keepNext/>
      <w:autoSpaceDE/>
      <w:autoSpaceDN/>
      <w:spacing w:before="60" w:after="60" w:line="300" w:lineRule="auto"/>
      <w:jc w:val="center"/>
      <w:textAlignment w:val="center"/>
    </w:pPr>
    <w:rPr>
      <w:rFonts w:ascii="Times New Roman"/>
      <w:snapToGrid w:val="0"/>
      <w:spacing w:val="20"/>
      <w:szCs w:val="20"/>
    </w:rPr>
  </w:style>
  <w:style w:type="paragraph" w:customStyle="1" w:styleId="133">
    <w:name w:val="题注4"/>
    <w:basedOn w:val="1"/>
    <w:next w:val="16"/>
    <w:qFormat/>
    <w:uiPriority w:val="0"/>
    <w:pPr>
      <w:autoSpaceDE/>
      <w:autoSpaceDN/>
      <w:adjustRightInd/>
      <w:ind w:left="-132" w:leftChars="-64" w:right="-105" w:rightChars="-50" w:hanging="2"/>
      <w:jc w:val="center"/>
    </w:pPr>
    <w:rPr>
      <w:rFonts w:ascii="Times New Roman"/>
      <w:b/>
      <w:color w:val="FF0000"/>
      <w:kern w:val="2"/>
      <w:sz w:val="21"/>
      <w:szCs w:val="21"/>
      <w:lang w:val="en-GB"/>
    </w:rPr>
  </w:style>
  <w:style w:type="paragraph" w:customStyle="1" w:styleId="134">
    <w:name w:val="题目副题"/>
    <w:basedOn w:val="43"/>
    <w:qFormat/>
    <w:uiPriority w:val="0"/>
    <w:pPr>
      <w:spacing w:before="0" w:after="312"/>
      <w:ind w:left="240" w:firstLine="600"/>
      <w:jc w:val="left"/>
      <w:outlineLvl w:val="9"/>
    </w:pPr>
    <w:rPr>
      <w:rFonts w:ascii="宋体" w:hAnsi="宋体"/>
      <w:sz w:val="30"/>
    </w:rPr>
  </w:style>
  <w:style w:type="paragraph" w:customStyle="1" w:styleId="135">
    <w:name w:val="列出段落1"/>
    <w:basedOn w:val="1"/>
    <w:qFormat/>
    <w:uiPriority w:val="34"/>
    <w:pPr>
      <w:ind w:firstLine="420" w:firstLineChars="200"/>
    </w:pPr>
    <w:rPr>
      <w:rFonts w:ascii="Calibri" w:cs="黑体"/>
    </w:rPr>
  </w:style>
  <w:style w:type="paragraph" w:customStyle="1" w:styleId="136">
    <w:name w:val="xl25"/>
    <w:basedOn w:val="1"/>
    <w:qFormat/>
    <w:uiPriority w:val="0"/>
    <w:pPr>
      <w:widowControl/>
      <w:pBdr>
        <w:bottom w:val="single" w:color="auto" w:sz="4" w:space="0"/>
        <w:right w:val="single" w:color="auto" w:sz="4" w:space="0"/>
      </w:pBdr>
      <w:autoSpaceDE/>
      <w:autoSpaceDN/>
      <w:adjustRightInd/>
      <w:spacing w:before="100" w:beforeAutospacing="1" w:after="100" w:afterAutospacing="1"/>
      <w:jc w:val="center"/>
    </w:pPr>
    <w:rPr>
      <w:rFonts w:hAnsi="宋体"/>
      <w:sz w:val="21"/>
      <w:szCs w:val="21"/>
    </w:rPr>
  </w:style>
  <w:style w:type="paragraph" w:customStyle="1" w:styleId="137">
    <w:name w:val="3 Char"/>
    <w:basedOn w:val="1"/>
    <w:qFormat/>
    <w:uiPriority w:val="0"/>
    <w:pPr>
      <w:widowControl/>
      <w:autoSpaceDE/>
      <w:autoSpaceDN/>
      <w:adjustRightInd/>
      <w:spacing w:line="400" w:lineRule="exact"/>
      <w:jc w:val="center"/>
    </w:pPr>
    <w:rPr>
      <w:rFonts w:ascii="Verdana" w:hAnsi="Verdana"/>
      <w:sz w:val="21"/>
      <w:szCs w:val="20"/>
      <w:lang w:eastAsia="en-US"/>
    </w:rPr>
  </w:style>
  <w:style w:type="paragraph" w:customStyle="1" w:styleId="138">
    <w:name w:val="Char Char1 Char Char Char Char Char Char Char Char Char Char Char Char Char"/>
    <w:basedOn w:val="1"/>
    <w:qFormat/>
    <w:uiPriority w:val="0"/>
    <w:pPr>
      <w:widowControl/>
      <w:autoSpaceDE/>
      <w:autoSpaceDN/>
      <w:adjustRightInd/>
      <w:spacing w:after="160" w:line="360" w:lineRule="auto"/>
    </w:pPr>
    <w:rPr>
      <w:rFonts w:ascii="Verdana" w:hAnsi="Verdana" w:cs="Times New Roman"/>
      <w:sz w:val="21"/>
      <w:szCs w:val="20"/>
      <w:lang w:eastAsia="en-US"/>
    </w:rPr>
  </w:style>
  <w:style w:type="paragraph" w:customStyle="1" w:styleId="139">
    <w:name w:val="进度表"/>
    <w:basedOn w:val="15"/>
    <w:qFormat/>
    <w:uiPriority w:val="0"/>
    <w:pPr>
      <w:widowControl w:val="0"/>
      <w:snapToGrid w:val="0"/>
      <w:spacing w:line="440" w:lineRule="atLeast"/>
      <w:ind w:hanging="130" w:firstLineChars="0"/>
      <w:jc w:val="both"/>
    </w:pPr>
    <w:rPr>
      <w:rFonts w:ascii="宋体"/>
      <w:color w:val="000000"/>
      <w:kern w:val="2"/>
      <w:position w:val="-6"/>
      <w:sz w:val="28"/>
    </w:rPr>
  </w:style>
  <w:style w:type="paragraph" w:customStyle="1" w:styleId="140">
    <w:name w:val="大标题"/>
    <w:basedOn w:val="5"/>
    <w:qFormat/>
    <w:uiPriority w:val="0"/>
    <w:rPr>
      <w:snapToGrid w:val="0"/>
      <w:sz w:val="52"/>
      <w:szCs w:val="72"/>
    </w:rPr>
  </w:style>
  <w:style w:type="paragraph" w:customStyle="1" w:styleId="141">
    <w:name w:val="正文无缩进"/>
    <w:basedOn w:val="79"/>
    <w:qFormat/>
    <w:uiPriority w:val="0"/>
    <w:pPr>
      <w:ind w:firstLine="0" w:firstLineChars="0"/>
    </w:pPr>
  </w:style>
  <w:style w:type="paragraph" w:customStyle="1" w:styleId="142">
    <w:name w:val="标题 3.5"/>
    <w:basedOn w:val="7"/>
    <w:qFormat/>
    <w:uiPriority w:val="0"/>
    <w:pPr>
      <w:autoSpaceDE/>
      <w:autoSpaceDN/>
      <w:adjustRightInd/>
      <w:spacing w:line="600" w:lineRule="exact"/>
      <w:jc w:val="both"/>
      <w:outlineLvl w:val="9"/>
    </w:pPr>
    <w:rPr>
      <w:rFonts w:ascii="Times New Roman" w:eastAsia="仿宋_GB2312"/>
      <w:kern w:val="2"/>
      <w:sz w:val="31"/>
    </w:rPr>
  </w:style>
  <w:style w:type="paragraph" w:customStyle="1" w:styleId="143">
    <w:name w:val="题注5"/>
    <w:basedOn w:val="1"/>
    <w:next w:val="16"/>
    <w:qFormat/>
    <w:uiPriority w:val="0"/>
    <w:pPr>
      <w:autoSpaceDE/>
      <w:autoSpaceDN/>
      <w:adjustRightInd/>
      <w:jc w:val="center"/>
    </w:pPr>
    <w:rPr>
      <w:rFonts w:ascii="Times New Roman"/>
      <w:b/>
      <w:color w:val="000000"/>
      <w:kern w:val="2"/>
      <w:szCs w:val="21"/>
    </w:rPr>
  </w:style>
  <w:style w:type="paragraph" w:customStyle="1" w:styleId="144">
    <w:name w:val="xl44"/>
    <w:basedOn w:val="1"/>
    <w:qFormat/>
    <w:uiPriority w:val="0"/>
    <w:pPr>
      <w:widowControl/>
      <w:pBdr>
        <w:left w:val="single" w:color="auto" w:sz="4" w:space="0"/>
        <w:right w:val="single" w:color="auto" w:sz="4" w:space="0"/>
      </w:pBdr>
      <w:spacing w:before="100" w:beforeAutospacing="1" w:after="100" w:afterAutospacing="1"/>
      <w:jc w:val="center"/>
    </w:pPr>
    <w:rPr>
      <w:rFonts w:hint="eastAsia" w:hAnsi="宋体"/>
    </w:rPr>
  </w:style>
  <w:style w:type="paragraph" w:customStyle="1" w:styleId="145">
    <w:name w:val="Char Char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46">
    <w:name w:val="xl33"/>
    <w:basedOn w:val="1"/>
    <w:qFormat/>
    <w:uiPriority w:val="0"/>
    <w:pPr>
      <w:widowControl/>
      <w:autoSpaceDE/>
      <w:autoSpaceDN/>
      <w:adjustRightInd/>
      <w:spacing w:before="100" w:beforeAutospacing="1" w:after="100" w:afterAutospacing="1"/>
      <w:textAlignment w:val="center"/>
    </w:pPr>
    <w:rPr>
      <w:rFonts w:ascii="Arial Unicode MS" w:hAnsi="Arial Unicode MS" w:eastAsia="Arial Unicode MS"/>
      <w:sz w:val="20"/>
      <w:szCs w:val="20"/>
    </w:rPr>
  </w:style>
  <w:style w:type="paragraph" w:customStyle="1" w:styleId="147">
    <w:name w:val="Char Char1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styleId="148">
    <w:name w:val="List Paragraph"/>
    <w:basedOn w:val="1"/>
    <w:qFormat/>
    <w:uiPriority w:val="0"/>
    <w:pPr>
      <w:autoSpaceDE/>
      <w:autoSpaceDN/>
      <w:adjustRightInd/>
      <w:ind w:firstLine="420" w:firstLineChars="200"/>
      <w:jc w:val="both"/>
    </w:pPr>
    <w:rPr>
      <w:rFonts w:ascii="Calibri"/>
      <w:kern w:val="2"/>
      <w:sz w:val="21"/>
    </w:rPr>
  </w:style>
  <w:style w:type="paragraph" w:customStyle="1" w:styleId="149">
    <w:name w:val="xl31"/>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textAlignment w:val="center"/>
    </w:pPr>
    <w:rPr>
      <w:rFonts w:ascii="Times New Roman" w:eastAsia="Arial Unicode MS"/>
      <w:sz w:val="20"/>
      <w:szCs w:val="20"/>
    </w:rPr>
  </w:style>
  <w:style w:type="paragraph" w:customStyle="1" w:styleId="150">
    <w:name w:val="目录"/>
    <w:basedOn w:val="1"/>
    <w:qFormat/>
    <w:uiPriority w:val="0"/>
    <w:pPr>
      <w:widowControl/>
      <w:autoSpaceDE/>
      <w:autoSpaceDN/>
      <w:adjustRightInd/>
      <w:spacing w:line="480" w:lineRule="auto"/>
      <w:jc w:val="center"/>
    </w:pPr>
    <w:rPr>
      <w:b/>
      <w:szCs w:val="20"/>
    </w:rPr>
  </w:style>
  <w:style w:type="paragraph" w:customStyle="1" w:styleId="151">
    <w:name w:val="xl26"/>
    <w:basedOn w:val="1"/>
    <w:qFormat/>
    <w:uiPriority w:val="0"/>
    <w:pPr>
      <w:widowControl/>
      <w:autoSpaceDE/>
      <w:autoSpaceDN/>
      <w:adjustRightInd/>
      <w:spacing w:before="100" w:beforeAutospacing="1" w:after="100" w:afterAutospacing="1"/>
      <w:jc w:val="center"/>
    </w:pPr>
    <w:rPr>
      <w:rFonts w:hint="eastAsia" w:ascii="仿宋_GB2312" w:hAnsi="宋体" w:eastAsia="仿宋_GB2312"/>
    </w:rPr>
  </w:style>
  <w:style w:type="paragraph" w:customStyle="1" w:styleId="152">
    <w:name w:val="Char11"/>
    <w:basedOn w:val="19"/>
    <w:qFormat/>
    <w:uiPriority w:val="0"/>
    <w:pPr>
      <w:autoSpaceDE/>
      <w:autoSpaceDN/>
      <w:adjustRightInd/>
      <w:jc w:val="both"/>
    </w:pPr>
    <w:rPr>
      <w:rFonts w:ascii="Tahoma" w:hAnsi="Tahoma" w:cs="Times New Roman"/>
      <w:kern w:val="2"/>
    </w:rPr>
  </w:style>
  <w:style w:type="paragraph" w:customStyle="1" w:styleId="153">
    <w:name w:val="Char21"/>
    <w:basedOn w:val="1"/>
    <w:qFormat/>
    <w:uiPriority w:val="0"/>
    <w:pPr>
      <w:widowControl/>
      <w:autoSpaceDE/>
      <w:autoSpaceDN/>
      <w:adjustRightInd/>
      <w:spacing w:after="160" w:line="240" w:lineRule="exact"/>
      <w:jc w:val="center"/>
    </w:pPr>
    <w:rPr>
      <w:rFonts w:ascii="黑体" w:hAnsi="Verdana" w:eastAsia="黑体"/>
      <w:sz w:val="32"/>
      <w:szCs w:val="32"/>
      <w:lang w:eastAsia="en-US"/>
    </w:rPr>
  </w:style>
  <w:style w:type="paragraph" w:customStyle="1" w:styleId="154">
    <w:name w:val="普通(Web)"/>
    <w:basedOn w:val="1"/>
    <w:qFormat/>
    <w:uiPriority w:val="0"/>
    <w:pPr>
      <w:widowControl/>
      <w:autoSpaceDE/>
      <w:autoSpaceDN/>
      <w:adjustRightInd/>
      <w:spacing w:before="100" w:beforeAutospacing="1" w:after="100" w:afterAutospacing="1" w:line="240" w:lineRule="atLeast"/>
      <w:ind w:firstLine="360"/>
    </w:pPr>
    <w:rPr>
      <w:rFonts w:hAnsi="宋体"/>
      <w:sz w:val="18"/>
      <w:szCs w:val="20"/>
    </w:rPr>
  </w:style>
  <w:style w:type="paragraph" w:customStyle="1" w:styleId="155">
    <w:name w:val="信息标题2"/>
    <w:basedOn w:val="16"/>
    <w:next w:val="16"/>
    <w:qFormat/>
    <w:uiPriority w:val="0"/>
    <w:pPr>
      <w:autoSpaceDE/>
      <w:autoSpaceDN/>
      <w:adjustRightInd/>
      <w:spacing w:beforeLines="50" w:afterLines="50"/>
      <w:ind w:left="422" w:hanging="422" w:hangingChars="200"/>
    </w:pPr>
    <w:rPr>
      <w:rFonts w:ascii="Arial Black" w:hAnsi="Arial Black" w:eastAsia="宋体" w:cs="Times New Roman"/>
      <w:b/>
      <w:kern w:val="2"/>
      <w:sz w:val="30"/>
    </w:rPr>
  </w:style>
  <w:style w:type="paragraph" w:customStyle="1" w:styleId="156">
    <w:name w:val="表中文字"/>
    <w:basedOn w:val="1"/>
    <w:qFormat/>
    <w:uiPriority w:val="0"/>
    <w:pPr>
      <w:spacing w:line="400" w:lineRule="atLeast"/>
      <w:ind w:left="35" w:leftChars="14" w:hanging="1"/>
      <w:jc w:val="center"/>
      <w:textAlignment w:val="baseline"/>
    </w:pPr>
    <w:rPr>
      <w:rFonts w:ascii="Verdana" w:hAnsi="Verdana"/>
      <w:sz w:val="21"/>
      <w:szCs w:val="28"/>
    </w:rPr>
  </w:style>
  <w:style w:type="paragraph" w:customStyle="1" w:styleId="157">
    <w:name w:val="xl28"/>
    <w:basedOn w:val="1"/>
    <w:qFormat/>
    <w:uiPriority w:val="0"/>
    <w:pPr>
      <w:widowControl/>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58">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59">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CC99FF"/>
      <w:autoSpaceDE/>
      <w:autoSpaceDN/>
      <w:adjustRightInd/>
      <w:spacing w:before="100" w:beforeAutospacing="1" w:after="100" w:afterAutospacing="1"/>
      <w:jc w:val="center"/>
      <w:textAlignment w:val="center"/>
    </w:pPr>
    <w:rPr>
      <w:rFonts w:ascii="Arial Unicode MS" w:hAnsi="Arial Unicode MS" w:eastAsia="Arial Unicode MS"/>
      <w:b/>
      <w:sz w:val="20"/>
      <w:szCs w:val="20"/>
    </w:rPr>
  </w:style>
  <w:style w:type="paragraph" w:customStyle="1" w:styleId="160">
    <w:name w:val="xl37"/>
    <w:basedOn w:val="1"/>
    <w:qFormat/>
    <w:uiPriority w:val="0"/>
    <w:pPr>
      <w:widowControl/>
      <w:pBdr>
        <w:top w:val="single" w:color="auto" w:sz="4" w:space="0"/>
        <w:bottom w:val="single" w:color="auto" w:sz="4" w:space="0"/>
        <w:right w:val="single" w:color="auto" w:sz="4" w:space="0"/>
      </w:pBdr>
      <w:autoSpaceDE/>
      <w:autoSpaceDN/>
      <w:adjustRightInd/>
      <w:spacing w:before="100" w:beforeAutospacing="1" w:after="100" w:afterAutospacing="1"/>
      <w:textAlignment w:val="center"/>
    </w:pPr>
    <w:rPr>
      <w:rFonts w:ascii="Arial Unicode MS" w:hAnsi="Arial Unicode MS" w:eastAsia="Arial Unicode MS"/>
      <w:sz w:val="20"/>
      <w:szCs w:val="20"/>
    </w:rPr>
  </w:style>
  <w:style w:type="paragraph" w:customStyle="1" w:styleId="161">
    <w:name w:val="正文（缩进）"/>
    <w:basedOn w:val="1"/>
    <w:qFormat/>
    <w:uiPriority w:val="0"/>
    <w:pPr>
      <w:autoSpaceDE/>
      <w:autoSpaceDN/>
      <w:adjustRightInd/>
      <w:spacing w:beforeLines="50" w:afterLines="50" w:line="360" w:lineRule="auto"/>
      <w:ind w:firstLine="480" w:firstLineChars="200"/>
      <w:jc w:val="both"/>
    </w:pPr>
    <w:rPr>
      <w:rFonts w:ascii="Times New Roman"/>
      <w:kern w:val="2"/>
    </w:rPr>
  </w:style>
  <w:style w:type="paragraph" w:customStyle="1" w:styleId="162">
    <w:name w:val="样式 样式 样式 首行缩进:  2 字符1 + 首行缩进:  2 字符 + 首行缩进:  2 字符"/>
    <w:basedOn w:val="1"/>
    <w:semiHidden/>
    <w:qFormat/>
    <w:uiPriority w:val="0"/>
    <w:pPr>
      <w:kinsoku w:val="0"/>
      <w:overflowPunct w:val="0"/>
      <w:ind w:firstLine="200" w:firstLineChars="200"/>
    </w:pPr>
    <w:rPr>
      <w:rFonts w:ascii="仿宋_GB2312" w:hAnsi="宋体" w:eastAsia="仿宋_GB2312"/>
      <w:sz w:val="32"/>
      <w:szCs w:val="20"/>
    </w:rPr>
  </w:style>
  <w:style w:type="paragraph" w:customStyle="1" w:styleId="163">
    <w:name w:val="样式 标题 3Level 3 HeadH3Heading 3 - oldh3sect1.2.3Head33l3..."/>
    <w:basedOn w:val="7"/>
    <w:qFormat/>
    <w:uiPriority w:val="0"/>
    <w:pPr>
      <w:tabs>
        <w:tab w:val="left" w:pos="720"/>
      </w:tabs>
      <w:autoSpaceDE/>
      <w:autoSpaceDN/>
      <w:adjustRightInd/>
      <w:spacing w:line="360" w:lineRule="auto"/>
      <w:ind w:left="720" w:hanging="720"/>
      <w:jc w:val="both"/>
    </w:pPr>
    <w:rPr>
      <w:rFonts w:ascii="Times New Roman"/>
      <w:kern w:val="2"/>
      <w:sz w:val="21"/>
      <w:szCs w:val="20"/>
    </w:rPr>
  </w:style>
  <w:style w:type="paragraph" w:customStyle="1" w:styleId="164">
    <w:name w:val="p0"/>
    <w:basedOn w:val="1"/>
    <w:qFormat/>
    <w:uiPriority w:val="99"/>
    <w:pPr>
      <w:widowControl/>
    </w:pPr>
    <w:rPr>
      <w:szCs w:val="21"/>
    </w:rPr>
  </w:style>
  <w:style w:type="paragraph" w:customStyle="1" w:styleId="165">
    <w:name w:val="font5"/>
    <w:basedOn w:val="1"/>
    <w:qFormat/>
    <w:uiPriority w:val="0"/>
    <w:pPr>
      <w:widowControl/>
      <w:autoSpaceDE/>
      <w:autoSpaceDN/>
      <w:adjustRightInd/>
      <w:spacing w:before="100" w:beforeAutospacing="1" w:after="100" w:afterAutospacing="1"/>
    </w:pPr>
    <w:rPr>
      <w:rFonts w:hint="eastAsia" w:hAnsi="宋体"/>
      <w:sz w:val="18"/>
      <w:szCs w:val="20"/>
    </w:rPr>
  </w:style>
  <w:style w:type="paragraph" w:customStyle="1" w:styleId="166">
    <w:name w:val="Char1 Char Char Char Char Char Char"/>
    <w:basedOn w:val="1"/>
    <w:qFormat/>
    <w:uiPriority w:val="0"/>
    <w:pPr>
      <w:widowControl/>
      <w:autoSpaceDE/>
      <w:autoSpaceDN/>
      <w:adjustRightInd/>
      <w:spacing w:line="400" w:lineRule="exact"/>
      <w:jc w:val="center"/>
    </w:pPr>
    <w:rPr>
      <w:rFonts w:ascii="Verdana" w:hAnsi="Verdana" w:cs="Times New Roman"/>
      <w:sz w:val="21"/>
      <w:szCs w:val="20"/>
      <w:lang w:eastAsia="en-US"/>
    </w:rPr>
  </w:style>
  <w:style w:type="paragraph" w:customStyle="1" w:styleId="167">
    <w:name w:val="投标文件格式"/>
    <w:basedOn w:val="31"/>
    <w:qFormat/>
    <w:uiPriority w:val="0"/>
    <w:pPr>
      <w:jc w:val="center"/>
    </w:pPr>
    <w:rPr>
      <w:rFonts w:hAnsi="Times New Roman"/>
      <w:b/>
    </w:rPr>
  </w:style>
  <w:style w:type="paragraph" w:customStyle="1" w:styleId="168">
    <w:name w:val="日期右"/>
    <w:basedOn w:val="33"/>
    <w:qFormat/>
    <w:uiPriority w:val="0"/>
    <w:pPr>
      <w:autoSpaceDE/>
      <w:autoSpaceDN/>
      <w:adjustRightInd/>
      <w:spacing w:line="600" w:lineRule="exact"/>
      <w:ind w:left="0" w:leftChars="0"/>
      <w:jc w:val="right"/>
    </w:pPr>
    <w:rPr>
      <w:rFonts w:ascii="Times New Roman" w:eastAsia="仿宋_GB2312"/>
      <w:b w:val="0"/>
      <w:bCs w:val="0"/>
      <w:sz w:val="31"/>
      <w:szCs w:val="24"/>
      <w:lang w:val="en-US"/>
    </w:rPr>
  </w:style>
  <w:style w:type="paragraph" w:customStyle="1" w:styleId="169">
    <w:name w:val="Char1 Char Char Char"/>
    <w:basedOn w:val="1"/>
    <w:qFormat/>
    <w:uiPriority w:val="0"/>
    <w:pPr>
      <w:autoSpaceDE/>
      <w:autoSpaceDN/>
      <w:adjustRightInd/>
      <w:jc w:val="both"/>
    </w:pPr>
    <w:rPr>
      <w:rFonts w:ascii="Tahoma" w:hAnsi="Tahoma"/>
      <w:kern w:val="2"/>
      <w:szCs w:val="20"/>
    </w:rPr>
  </w:style>
  <w:style w:type="paragraph" w:customStyle="1" w:styleId="170">
    <w:name w:val="List Paragraph1"/>
    <w:basedOn w:val="1"/>
    <w:qFormat/>
    <w:uiPriority w:val="0"/>
    <w:pPr>
      <w:autoSpaceDE/>
      <w:autoSpaceDN/>
      <w:adjustRightInd/>
      <w:ind w:firstLine="420" w:firstLineChars="200"/>
      <w:jc w:val="both"/>
    </w:pPr>
    <w:rPr>
      <w:rFonts w:ascii="Calibri" w:cs="Times New Roman"/>
      <w:kern w:val="2"/>
      <w:sz w:val="21"/>
      <w:szCs w:val="22"/>
    </w:rPr>
  </w:style>
  <w:style w:type="paragraph" w:customStyle="1" w:styleId="171">
    <w:name w:val="Char Char Char"/>
    <w:basedOn w:val="1"/>
    <w:qFormat/>
    <w:uiPriority w:val="0"/>
    <w:pPr>
      <w:autoSpaceDE/>
      <w:autoSpaceDN/>
      <w:adjustRightInd/>
      <w:jc w:val="both"/>
    </w:pPr>
    <w:rPr>
      <w:rFonts w:ascii="Tahoma" w:hAnsi="Tahoma"/>
      <w:b/>
      <w:sz w:val="28"/>
      <w:szCs w:val="20"/>
    </w:rPr>
  </w:style>
  <w:style w:type="paragraph" w:customStyle="1" w:styleId="172">
    <w:name w:val="保留正文"/>
    <w:basedOn w:val="23"/>
    <w:qFormat/>
    <w:uiPriority w:val="0"/>
    <w:pPr>
      <w:keepNext/>
      <w:autoSpaceDE/>
      <w:autoSpaceDN/>
      <w:adjustRightInd/>
      <w:spacing w:after="160"/>
      <w:ind w:right="0"/>
      <w:jc w:val="both"/>
    </w:pPr>
    <w:rPr>
      <w:rFonts w:ascii="Times New Roman"/>
      <w:b w:val="0"/>
      <w:bCs w:val="0"/>
      <w:sz w:val="21"/>
      <w:szCs w:val="24"/>
      <w:lang w:val="en-US"/>
    </w:rPr>
  </w:style>
  <w:style w:type="paragraph" w:customStyle="1" w:styleId="173">
    <w:name w:val="正文缩进6格"/>
    <w:basedOn w:val="174"/>
    <w:qFormat/>
    <w:uiPriority w:val="0"/>
    <w:pPr>
      <w:ind w:left="1758" w:leftChars="854"/>
    </w:pPr>
  </w:style>
  <w:style w:type="paragraph" w:customStyle="1" w:styleId="174">
    <w:name w:val="正文缩进4格"/>
    <w:basedOn w:val="79"/>
    <w:qFormat/>
    <w:uiPriority w:val="0"/>
    <w:pPr>
      <w:ind w:left="651" w:leftChars="310" w:firstLine="608" w:firstLineChars="196"/>
    </w:pPr>
    <w:rPr>
      <w:color w:val="000000"/>
    </w:rPr>
  </w:style>
  <w:style w:type="paragraph" w:customStyle="1" w:styleId="175">
    <w:name w:val="Char1 Char Char Char Char Char Char1"/>
    <w:basedOn w:val="1"/>
    <w:qFormat/>
    <w:uiPriority w:val="0"/>
    <w:pPr>
      <w:widowControl/>
      <w:autoSpaceDE/>
      <w:autoSpaceDN/>
      <w:adjustRightInd/>
      <w:spacing w:line="400" w:lineRule="exact"/>
      <w:jc w:val="center"/>
    </w:pPr>
    <w:rPr>
      <w:rFonts w:ascii="Verdana" w:hAnsi="Verdana"/>
      <w:sz w:val="21"/>
      <w:szCs w:val="20"/>
      <w:lang w:eastAsia="en-US"/>
    </w:rPr>
  </w:style>
  <w:style w:type="paragraph" w:customStyle="1" w:styleId="176">
    <w:name w:val="表头"/>
    <w:basedOn w:val="16"/>
    <w:qFormat/>
    <w:uiPriority w:val="0"/>
    <w:pPr>
      <w:keepNext/>
      <w:keepLines/>
      <w:widowControl/>
      <w:autoSpaceDE/>
      <w:autoSpaceDN/>
      <w:adjustRightInd/>
      <w:spacing w:before="120" w:after="120" w:line="300" w:lineRule="auto"/>
      <w:jc w:val="center"/>
      <w:textAlignment w:val="baseline"/>
    </w:pPr>
    <w:rPr>
      <w:rFonts w:cs="Times New Roman"/>
      <w:sz w:val="21"/>
    </w:rPr>
  </w:style>
  <w:style w:type="paragraph" w:customStyle="1" w:styleId="177">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99"/>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78">
    <w:name w:val="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79">
    <w:name w:val="表正文"/>
    <w:basedOn w:val="1"/>
    <w:next w:val="28"/>
    <w:qFormat/>
    <w:uiPriority w:val="0"/>
    <w:pPr>
      <w:autoSpaceDE/>
      <w:autoSpaceDN/>
      <w:adjustRightInd/>
      <w:spacing w:line="360" w:lineRule="auto"/>
      <w:ind w:left="180" w:leftChars="85" w:right="2" w:hanging="2"/>
      <w:jc w:val="both"/>
    </w:pPr>
    <w:rPr>
      <w:rFonts w:ascii="Arial" w:hAnsi="Arial"/>
      <w:kern w:val="2"/>
      <w:sz w:val="21"/>
      <w:szCs w:val="20"/>
    </w:rPr>
  </w:style>
  <w:style w:type="paragraph" w:customStyle="1" w:styleId="180">
    <w:name w:val="Char2"/>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81">
    <w:name w:val="DAS正文"/>
    <w:basedOn w:val="1"/>
    <w:qFormat/>
    <w:uiPriority w:val="0"/>
    <w:pPr>
      <w:autoSpaceDE/>
      <w:autoSpaceDN/>
      <w:adjustRightInd/>
      <w:spacing w:line="360" w:lineRule="exact"/>
      <w:jc w:val="both"/>
    </w:pPr>
    <w:rPr>
      <w:rFonts w:ascii="Verdana" w:hAnsi="Verdana"/>
      <w:kern w:val="2"/>
      <w:sz w:val="21"/>
      <w:szCs w:val="21"/>
    </w:rPr>
  </w:style>
  <w:style w:type="paragraph" w:customStyle="1" w:styleId="182">
    <w:name w:val="Char Char Char Char Char Char Char Char Char Char Char Char Char"/>
    <w:basedOn w:val="1"/>
    <w:qFormat/>
    <w:uiPriority w:val="0"/>
    <w:pPr>
      <w:widowControl/>
      <w:autoSpaceDE/>
      <w:autoSpaceDN/>
      <w:adjustRightInd/>
      <w:spacing w:after="160" w:line="240" w:lineRule="exact"/>
    </w:pPr>
    <w:rPr>
      <w:rFonts w:ascii="Times New Roman"/>
      <w:kern w:val="2"/>
      <w:sz w:val="21"/>
    </w:rPr>
  </w:style>
  <w:style w:type="paragraph" w:customStyle="1" w:styleId="183">
    <w:name w:val="正文居中"/>
    <w:basedOn w:val="1"/>
    <w:next w:val="1"/>
    <w:qFormat/>
    <w:uiPriority w:val="0"/>
    <w:pPr>
      <w:autoSpaceDE/>
      <w:autoSpaceDN/>
      <w:snapToGrid w:val="0"/>
      <w:spacing w:line="300" w:lineRule="auto"/>
      <w:jc w:val="center"/>
    </w:pPr>
    <w:rPr>
      <w:rFonts w:ascii="Times New Roman"/>
      <w:kern w:val="2"/>
      <w:sz w:val="21"/>
    </w:rPr>
  </w:style>
  <w:style w:type="paragraph" w:customStyle="1" w:styleId="184">
    <w:name w:val="样式37"/>
    <w:basedOn w:val="1"/>
    <w:qFormat/>
    <w:uiPriority w:val="0"/>
    <w:pPr>
      <w:widowControl/>
      <w:spacing w:line="360" w:lineRule="auto"/>
    </w:pPr>
    <w:rPr>
      <w:rFonts w:hAnsi="宋体"/>
      <w:spacing w:val="-2"/>
      <w:szCs w:val="21"/>
    </w:rPr>
  </w:style>
  <w:style w:type="paragraph" w:customStyle="1" w:styleId="185">
    <w:name w:val="文档正文"/>
    <w:basedOn w:val="1"/>
    <w:qFormat/>
    <w:uiPriority w:val="0"/>
    <w:pPr>
      <w:spacing w:line="460" w:lineRule="exact"/>
      <w:ind w:firstLine="567"/>
      <w:textAlignment w:val="baseline"/>
    </w:pPr>
    <w:rPr>
      <w:rFonts w:ascii="Arial" w:hAnsi="Arial"/>
    </w:rPr>
  </w:style>
  <w:style w:type="paragraph" w:customStyle="1" w:styleId="186">
    <w:name w:val="正文列序2"/>
    <w:basedOn w:val="1"/>
    <w:qFormat/>
    <w:uiPriority w:val="0"/>
    <w:pPr>
      <w:spacing w:line="360" w:lineRule="auto"/>
      <w:ind w:firstLine="425"/>
    </w:pPr>
    <w:rPr>
      <w:rFonts w:hAnsi="宋体"/>
    </w:rPr>
  </w:style>
  <w:style w:type="character" w:customStyle="1" w:styleId="187">
    <w:name w:val="批注文字 字符"/>
    <w:basedOn w:val="56"/>
    <w:link w:val="21"/>
    <w:qFormat/>
    <w:uiPriority w:val="0"/>
    <w:rPr>
      <w:rFonts w:ascii="Times New Roman" w:hAnsi="Calibri" w:eastAsia="宋体" w:cs="宋体"/>
      <w:sz w:val="21"/>
    </w:rPr>
  </w:style>
  <w:style w:type="paragraph" w:customStyle="1" w:styleId="188">
    <w:name w:val="正文文本缩进 21"/>
    <w:basedOn w:val="1"/>
    <w:qFormat/>
    <w:uiPriority w:val="99"/>
    <w:pPr>
      <w:spacing w:line="480" w:lineRule="auto"/>
      <w:ind w:firstLine="540"/>
    </w:pPr>
    <w:rPr>
      <w:sz w:val="20"/>
      <w:szCs w:val="20"/>
    </w:rPr>
  </w:style>
  <w:style w:type="paragraph" w:customStyle="1" w:styleId="189">
    <w:name w:val="WPSOffice手动目录 1"/>
    <w:qFormat/>
    <w:uiPriority w:val="0"/>
    <w:rPr>
      <w:rFonts w:ascii="Times New Roman" w:hAnsi="Times New Roman" w:eastAsia="宋体" w:cs="Times New Roman"/>
      <w:lang w:val="en-US" w:eastAsia="zh-CN" w:bidi="ar-SA"/>
    </w:rPr>
  </w:style>
  <w:style w:type="character" w:customStyle="1" w:styleId="190">
    <w:name w:val="font121"/>
    <w:basedOn w:val="56"/>
    <w:qFormat/>
    <w:uiPriority w:val="0"/>
    <w:rPr>
      <w:rFonts w:hint="default" w:ascii="思源黑体 CN Regular" w:hAnsi="思源黑体 CN Regular" w:eastAsia="思源黑体 CN Regular" w:cs="思源黑体 CN Regular"/>
      <w:b/>
      <w:bCs/>
      <w:color w:val="545454"/>
      <w:sz w:val="24"/>
      <w:szCs w:val="24"/>
      <w:u w:val="none"/>
    </w:rPr>
  </w:style>
  <w:style w:type="character" w:customStyle="1" w:styleId="191">
    <w:name w:val="font112"/>
    <w:basedOn w:val="56"/>
    <w:qFormat/>
    <w:uiPriority w:val="0"/>
    <w:rPr>
      <w:rFonts w:hint="default" w:ascii="思源黑体 CN Regular" w:hAnsi="思源黑体 CN Regular" w:eastAsia="思源黑体 CN Regular" w:cs="思源黑体 CN Regular"/>
      <w:b/>
      <w:bCs/>
      <w:color w:val="444444"/>
      <w:sz w:val="24"/>
      <w:szCs w:val="24"/>
      <w:u w:val="none"/>
    </w:rPr>
  </w:style>
  <w:style w:type="character" w:customStyle="1" w:styleId="192">
    <w:name w:val="font131"/>
    <w:basedOn w:val="56"/>
    <w:qFormat/>
    <w:uiPriority w:val="0"/>
    <w:rPr>
      <w:rFonts w:hint="default" w:ascii="思源黑体 CN Regular" w:hAnsi="思源黑体 CN Regular" w:eastAsia="思源黑体 CN Regular" w:cs="思源黑体 CN Regular"/>
      <w:b/>
      <w:bCs/>
      <w:color w:val="646464"/>
      <w:sz w:val="24"/>
      <w:szCs w:val="24"/>
      <w:u w:val="none"/>
    </w:rPr>
  </w:style>
  <w:style w:type="character" w:customStyle="1" w:styleId="193">
    <w:name w:val="font291"/>
    <w:basedOn w:val="56"/>
    <w:qFormat/>
    <w:uiPriority w:val="0"/>
    <w:rPr>
      <w:rFonts w:hint="default" w:ascii="思源黑体 CN Regular" w:hAnsi="思源黑体 CN Regular" w:eastAsia="思源黑体 CN Regular" w:cs="思源黑体 CN Regular"/>
      <w:b/>
      <w:bCs/>
      <w:color w:val="212121"/>
      <w:sz w:val="24"/>
      <w:szCs w:val="24"/>
      <w:u w:val="none"/>
    </w:rPr>
  </w:style>
  <w:style w:type="character" w:customStyle="1" w:styleId="194">
    <w:name w:val="font301"/>
    <w:basedOn w:val="56"/>
    <w:qFormat/>
    <w:uiPriority w:val="0"/>
    <w:rPr>
      <w:rFonts w:hint="default" w:ascii="思源黑体 CN Regular" w:hAnsi="思源黑体 CN Regular" w:eastAsia="思源黑体 CN Regular" w:cs="思源黑体 CN Regular"/>
      <w:b/>
      <w:bCs/>
      <w:color w:val="444444"/>
      <w:sz w:val="24"/>
      <w:szCs w:val="24"/>
      <w:u w:val="none"/>
    </w:rPr>
  </w:style>
  <w:style w:type="paragraph" w:customStyle="1" w:styleId="195">
    <w:name w:val="修订1"/>
    <w:hidden/>
    <w:semiHidden/>
    <w:qFormat/>
    <w:uiPriority w:val="99"/>
    <w:rPr>
      <w:rFonts w:ascii="宋体" w:hAnsi="Calibri" w:eastAsia="宋体" w:cs="宋体"/>
      <w:sz w:val="24"/>
      <w:szCs w:val="24"/>
      <w:lang w:val="en-US" w:eastAsia="zh-CN" w:bidi="ar-SA"/>
    </w:rPr>
  </w:style>
  <w:style w:type="character" w:customStyle="1" w:styleId="196">
    <w:name w:val="font51"/>
    <w:basedOn w:val="56"/>
    <w:qFormat/>
    <w:uiPriority w:val="0"/>
    <w:rPr>
      <w:rFonts w:hint="eastAsia" w:ascii="宋体" w:hAnsi="宋体" w:eastAsia="宋体" w:cs="宋体"/>
      <w:color w:val="000000"/>
      <w:sz w:val="20"/>
      <w:szCs w:val="20"/>
      <w:u w:val="none"/>
    </w:rPr>
  </w:style>
  <w:style w:type="paragraph" w:customStyle="1" w:styleId="197">
    <w:name w:val="列出段落11"/>
    <w:basedOn w:val="1"/>
    <w:qFormat/>
    <w:uiPriority w:val="99"/>
    <w:pPr>
      <w:adjustRightInd/>
      <w:spacing w:line="360" w:lineRule="auto"/>
      <w:ind w:firstLine="420" w:firstLineChars="200"/>
      <w:jc w:val="both"/>
    </w:pPr>
    <w:rPr>
      <w:rFonts w:ascii="Times New Roman" w:hAnsi="Times New Roman" w:cs="Times New Roman"/>
      <w:kern w:val="2"/>
    </w:rPr>
  </w:style>
  <w:style w:type="character" w:customStyle="1" w:styleId="198">
    <w:name w:val="font31"/>
    <w:basedOn w:val="56"/>
    <w:qFormat/>
    <w:uiPriority w:val="0"/>
    <w:rPr>
      <w:rFonts w:hint="default" w:ascii="Times New Roman" w:hAnsi="Times New Roman" w:cs="Times New Roman"/>
      <w:color w:val="FF0000"/>
      <w:sz w:val="22"/>
      <w:szCs w:val="22"/>
      <w:u w:val="none"/>
    </w:rPr>
  </w:style>
  <w:style w:type="character" w:customStyle="1" w:styleId="199">
    <w:name w:val="font41"/>
    <w:basedOn w:val="56"/>
    <w:qFormat/>
    <w:uiPriority w:val="0"/>
    <w:rPr>
      <w:rFonts w:hint="eastAsia" w:ascii="宋体" w:hAnsi="宋体" w:eastAsia="宋体" w:cs="宋体"/>
      <w:color w:val="FF0000"/>
      <w:sz w:val="22"/>
      <w:szCs w:val="22"/>
      <w:u w:val="none"/>
    </w:rPr>
  </w:style>
  <w:style w:type="character" w:customStyle="1" w:styleId="200">
    <w:name w:val="font11"/>
    <w:basedOn w:val="56"/>
    <w:qFormat/>
    <w:uiPriority w:val="0"/>
    <w:rPr>
      <w:rFonts w:hint="default" w:ascii="Times New Roman" w:hAnsi="Times New Roman" w:cs="Times New Roman"/>
      <w:color w:val="FF0000"/>
      <w:sz w:val="22"/>
      <w:szCs w:val="22"/>
      <w:u w:val="none"/>
    </w:rPr>
  </w:style>
  <w:style w:type="character" w:customStyle="1" w:styleId="201">
    <w:name w:val="font21"/>
    <w:basedOn w:val="56"/>
    <w:qFormat/>
    <w:uiPriority w:val="0"/>
    <w:rPr>
      <w:rFonts w:hint="eastAsia" w:ascii="仿宋" w:hAnsi="仿宋" w:eastAsia="仿宋" w:cs="仿宋"/>
      <w:color w:val="000000"/>
      <w:sz w:val="24"/>
      <w:szCs w:val="24"/>
      <w:u w:val="none"/>
    </w:rPr>
  </w:style>
  <w:style w:type="character" w:customStyle="1" w:styleId="202">
    <w:name w:val="font151"/>
    <w:basedOn w:val="56"/>
    <w:qFormat/>
    <w:uiPriority w:val="0"/>
    <w:rPr>
      <w:rFonts w:hint="eastAsia" w:ascii="宋体" w:hAnsi="宋体" w:eastAsia="宋体" w:cs="宋体"/>
      <w:color w:val="000000"/>
      <w:sz w:val="18"/>
      <w:szCs w:val="18"/>
      <w:u w:val="none"/>
    </w:rPr>
  </w:style>
  <w:style w:type="character" w:customStyle="1" w:styleId="203">
    <w:name w:val="font141"/>
    <w:basedOn w:val="56"/>
    <w:qFormat/>
    <w:uiPriority w:val="0"/>
    <w:rPr>
      <w:rFonts w:hint="eastAsia" w:ascii="宋体" w:hAnsi="宋体" w:eastAsia="宋体" w:cs="宋体"/>
      <w:color w:val="000000"/>
      <w:sz w:val="18"/>
      <w:szCs w:val="18"/>
      <w:u w:val="none"/>
    </w:rPr>
  </w:style>
  <w:style w:type="paragraph" w:customStyle="1" w:styleId="204">
    <w:name w:val="列出段落2"/>
    <w:basedOn w:val="1"/>
    <w:qFormat/>
    <w:uiPriority w:val="0"/>
    <w:pPr>
      <w:ind w:firstLine="420" w:firstLineChars="200"/>
    </w:pPr>
    <w:rPr>
      <w:rFonts w:ascii="Calibri"/>
    </w:rPr>
  </w:style>
  <w:style w:type="paragraph" w:customStyle="1" w:styleId="205">
    <w:name w:val="样式 宋体 行距: 1.5 倍行距"/>
    <w:basedOn w:val="1"/>
    <w:qFormat/>
    <w:uiPriority w:val="0"/>
    <w:pPr>
      <w:jc w:val="center"/>
    </w:pPr>
    <w:rPr>
      <w:b/>
    </w:rPr>
  </w:style>
  <w:style w:type="paragraph" w:customStyle="1" w:styleId="20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8ABD4-A1EF-4C38-92DD-181E072E01ED}">
  <ds:schemaRefs/>
</ds:datastoreItem>
</file>

<file path=docProps/app.xml><?xml version="1.0" encoding="utf-8"?>
<Properties xmlns="http://schemas.openxmlformats.org/officeDocument/2006/extended-properties" xmlns:vt="http://schemas.openxmlformats.org/officeDocument/2006/docPropsVTypes">
  <Template>Normal</Template>
  <Company>zgydgb</Company>
  <Pages>56</Pages>
  <Words>25821</Words>
  <Characters>27576</Characters>
  <Lines>43</Lines>
  <Paragraphs>65</Paragraphs>
  <TotalTime>14</TotalTime>
  <ScaleCrop>false</ScaleCrop>
  <LinksUpToDate>false</LinksUpToDate>
  <CharactersWithSpaces>28264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2023-11-23T12:45:00Z</dcterms:created>
  <dc:creator>lyy</dc:creator>
  <cp:lastModifiedBy>伟杰</cp:lastModifiedBy>
  <cp:lastPrinted>2020-07-10T09:47:00Z</cp:lastPrinted>
  <dcterms:modified xsi:type="dcterms:W3CDTF">2026-09-04T02:40:47Z</dcterms:modified>
  <dc:title>货物公开</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59475B29B5654765AB10FCE49DDC3DA8_13</vt:lpwstr>
  </property>
  <property fmtid="{D5CDD505-2E9C-101B-9397-08002B2CF9AE}" pid="4" name="KSOTemplateDocerSaveRecord">
    <vt:lpwstr>eyJoZGlkIjoiNmQ0YzE5YjJiMDZiM2M0OGRjZjgwNDU0NWI5ZDMxODIiLCJ1c2VySWQiOiIxMjQ0MzUwODE2In0=</vt:lpwstr>
  </property>
</Properties>
</file>