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13439">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竞争性磋商文件</w:t>
      </w:r>
    </w:p>
    <w:p w14:paraId="617A2C04">
      <w:pPr>
        <w:keepNext w:val="0"/>
        <w:keepLines w:val="0"/>
        <w:pageBreakBefore w:val="0"/>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pPr>
      <w:r>
        <w:rPr>
          <w:rFonts w:hint="eastAsia" w:eastAsia="仿宋_GB2312"/>
          <w:sz w:val="32"/>
          <w:szCs w:val="32"/>
          <w:u w:val="single"/>
        </w:rPr>
        <w:t>东莞市东实产城发展有限公司</w:t>
      </w:r>
      <w:r>
        <w:rPr>
          <w:rFonts w:hint="eastAsia" w:eastAsia="仿宋_GB2312"/>
          <w:sz w:val="32"/>
          <w:szCs w:val="32"/>
          <w:u w:val="single"/>
          <w:lang w:val="en-US" w:eastAsia="zh-CN"/>
        </w:rPr>
        <w:t xml:space="preserve"> </w:t>
      </w:r>
      <w:r>
        <w:rPr>
          <w:rFonts w:hint="eastAsia" w:eastAsia="仿宋_GB2312"/>
          <w:color w:val="auto"/>
          <w:sz w:val="32"/>
          <w:szCs w:val="32"/>
          <w:highlight w:val="none"/>
        </w:rPr>
        <w:t>需采购一家</w:t>
      </w:r>
      <w:r>
        <w:rPr>
          <w:rFonts w:hint="eastAsia" w:eastAsia="仿宋_GB2312"/>
          <w:color w:val="auto"/>
          <w:sz w:val="32"/>
          <w:szCs w:val="32"/>
          <w:highlight w:val="none"/>
          <w:u w:val="single"/>
          <w:lang w:val="en-US" w:eastAsia="zh-CN"/>
        </w:rPr>
        <w:t>沙盘模型设计制作</w:t>
      </w:r>
      <w:r>
        <w:rPr>
          <w:rFonts w:hint="eastAsia" w:eastAsia="仿宋_GB2312"/>
          <w:color w:val="auto"/>
          <w:sz w:val="32"/>
          <w:szCs w:val="32"/>
          <w:highlight w:val="none"/>
        </w:rPr>
        <w:t>单位，现将相关情况介绍如下：</w:t>
      </w:r>
    </w:p>
    <w:p w14:paraId="3EE21D1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59490844">
      <w:pPr>
        <w:spacing w:line="600" w:lineRule="exact"/>
        <w:ind w:firstLine="640" w:firstLineChars="200"/>
        <w:jc w:val="both"/>
        <w:rPr>
          <w:rFonts w:eastAsia="仿宋_GB2312"/>
          <w:color w:val="auto"/>
          <w:sz w:val="32"/>
          <w:szCs w:val="32"/>
          <w:highlight w:val="none"/>
          <w:u w:val="singl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val="en-US" w:eastAsia="zh-CN"/>
        </w:rPr>
        <w:t>谢岗</w:t>
      </w:r>
      <w:r>
        <w:rPr>
          <w:rFonts w:hint="eastAsia" w:eastAsia="仿宋_GB2312"/>
          <w:color w:val="auto"/>
          <w:sz w:val="32"/>
          <w:szCs w:val="32"/>
          <w:highlight w:val="none"/>
          <w:u w:val="single"/>
          <w:lang w:eastAsia="zh-CN"/>
        </w:rPr>
        <w:t>项目沙盘模型设计制作服务</w:t>
      </w:r>
      <w:r>
        <w:rPr>
          <w:rFonts w:hint="eastAsia" w:eastAsia="仿宋_GB2312"/>
          <w:color w:val="auto"/>
          <w:sz w:val="32"/>
          <w:szCs w:val="32"/>
          <w:highlight w:val="none"/>
          <w:u w:val="single"/>
        </w:rPr>
        <w:t>；</w:t>
      </w:r>
    </w:p>
    <w:p w14:paraId="03F968BC">
      <w:pPr>
        <w:spacing w:line="600" w:lineRule="exact"/>
        <w:ind w:firstLine="640" w:firstLineChars="200"/>
        <w:jc w:val="both"/>
        <w:rPr>
          <w:rFonts w:eastAsia="仿宋_GB2312"/>
          <w:color w:val="auto"/>
          <w:sz w:val="32"/>
          <w:szCs w:val="32"/>
          <w:highlight w:val="none"/>
          <w:u w:val="single"/>
        </w:rPr>
      </w:pPr>
      <w:r>
        <w:rPr>
          <w:rFonts w:eastAsia="仿宋_GB2312"/>
          <w:color w:val="auto"/>
          <w:sz w:val="32"/>
          <w:szCs w:val="32"/>
          <w:highlight w:val="none"/>
        </w:rPr>
        <w:t>2</w:t>
      </w:r>
      <w:r>
        <w:rPr>
          <w:rFonts w:hint="eastAsia" w:eastAsia="仿宋_GB2312"/>
          <w:color w:val="auto"/>
          <w:sz w:val="32"/>
          <w:szCs w:val="32"/>
          <w:highlight w:val="none"/>
          <w:lang w:val="en-US" w:eastAsia="zh-CN"/>
        </w:rPr>
        <w:t>、</w:t>
      </w:r>
      <w:r>
        <w:rPr>
          <w:rFonts w:hint="eastAsia" w:eastAsia="仿宋_GB2312"/>
          <w:color w:val="auto"/>
          <w:sz w:val="32"/>
          <w:szCs w:val="32"/>
          <w:highlight w:val="none"/>
          <w:lang w:eastAsia="zh-CN"/>
        </w:rPr>
        <w:t>工作</w:t>
      </w:r>
      <w:r>
        <w:rPr>
          <w:rFonts w:hint="eastAsia" w:eastAsia="仿宋_GB2312"/>
          <w:color w:val="auto"/>
          <w:sz w:val="32"/>
          <w:szCs w:val="32"/>
          <w:highlight w:val="none"/>
        </w:rPr>
        <w:t>内容：</w:t>
      </w:r>
      <w:r>
        <w:rPr>
          <w:rFonts w:hint="eastAsia" w:eastAsia="仿宋_GB2312"/>
          <w:color w:val="auto"/>
          <w:sz w:val="32"/>
          <w:szCs w:val="32"/>
          <w:highlight w:val="none"/>
          <w:u w:val="single"/>
          <w:lang w:val="en-US" w:eastAsia="zh-CN"/>
        </w:rPr>
        <w:t>谢岗</w:t>
      </w:r>
      <w:r>
        <w:rPr>
          <w:rFonts w:hint="eastAsia" w:eastAsia="仿宋_GB2312"/>
          <w:color w:val="auto"/>
          <w:sz w:val="32"/>
          <w:szCs w:val="32"/>
          <w:highlight w:val="none"/>
          <w:u w:val="single"/>
          <w:lang w:eastAsia="zh-CN"/>
        </w:rPr>
        <w:t>项目沙盘模型设计制作</w:t>
      </w:r>
      <w:r>
        <w:rPr>
          <w:rFonts w:hint="eastAsia" w:eastAsia="仿宋_GB2312"/>
          <w:color w:val="auto"/>
          <w:sz w:val="32"/>
          <w:szCs w:val="32"/>
          <w:highlight w:val="none"/>
          <w:u w:val="single"/>
          <w:lang w:val="en-US" w:eastAsia="zh-CN"/>
        </w:rPr>
        <w:t>安装</w:t>
      </w:r>
      <w:r>
        <w:rPr>
          <w:rFonts w:hint="eastAsia" w:eastAsia="仿宋_GB2312"/>
          <w:color w:val="auto"/>
          <w:sz w:val="32"/>
          <w:szCs w:val="32"/>
          <w:highlight w:val="none"/>
          <w:u w:val="single"/>
        </w:rPr>
        <w:t>；</w:t>
      </w:r>
    </w:p>
    <w:p w14:paraId="27AC4A8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r>
        <w:rPr>
          <w:rFonts w:hint="eastAsia" w:eastAsia="仿宋_GB2312"/>
          <w:color w:val="auto"/>
          <w:sz w:val="32"/>
          <w:szCs w:val="32"/>
          <w:highlight w:val="none"/>
          <w:u w:val="single"/>
          <w:lang w:val="en-US" w:eastAsia="zh-CN"/>
        </w:rPr>
        <w:t>谢岗镇</w:t>
      </w:r>
      <w:r>
        <w:rPr>
          <w:rFonts w:hint="eastAsia" w:eastAsia="仿宋_GB2312"/>
          <w:color w:val="auto"/>
          <w:sz w:val="32"/>
          <w:szCs w:val="32"/>
          <w:highlight w:val="none"/>
          <w:u w:val="single"/>
        </w:rPr>
        <w:t>；</w:t>
      </w:r>
    </w:p>
    <w:p w14:paraId="0CD4876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eastAsia="仿宋_GB2312"/>
          <w:color w:val="000000"/>
          <w:sz w:val="32"/>
          <w:szCs w:val="32"/>
          <w:u w:val="single"/>
        </w:rPr>
        <w:t>合同签订之日起</w:t>
      </w:r>
      <w:r>
        <w:rPr>
          <w:rFonts w:hint="eastAsia" w:eastAsia="仿宋_GB2312"/>
          <w:color w:val="000000"/>
          <w:sz w:val="32"/>
          <w:szCs w:val="32"/>
          <w:u w:val="single"/>
        </w:rPr>
        <w:t>30</w:t>
      </w:r>
      <w:r>
        <w:rPr>
          <w:rFonts w:eastAsia="仿宋_GB2312"/>
          <w:color w:val="000000"/>
          <w:sz w:val="32"/>
          <w:szCs w:val="32"/>
          <w:u w:val="single"/>
        </w:rPr>
        <w:t>个日历日内完成</w:t>
      </w:r>
      <w:r>
        <w:rPr>
          <w:rFonts w:hint="eastAsia" w:eastAsia="仿宋_GB2312"/>
          <w:color w:val="000000"/>
          <w:sz w:val="32"/>
          <w:szCs w:val="32"/>
          <w:u w:val="single"/>
        </w:rPr>
        <w:t>；</w:t>
      </w:r>
    </w:p>
    <w:p w14:paraId="7D2EDD2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5CADBDA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23049E26">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7E57F279">
      <w:pPr>
        <w:adjustRightInd w:val="0"/>
        <w:snapToGrid w:val="0"/>
        <w:spacing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以</w:t>
      </w:r>
      <w:r>
        <w:rPr>
          <w:rFonts w:hint="eastAsia" w:ascii="Times New Roman" w:hAnsi="Times New Roman" w:eastAsia="仿宋_GB2312" w:cs="仿宋_GB2312"/>
          <w:sz w:val="32"/>
          <w:szCs w:val="32"/>
          <w:highlight w:val="none"/>
        </w:rPr>
        <w:t>分支机构投标的，</w:t>
      </w:r>
      <w:r>
        <w:rPr>
          <w:rFonts w:hint="eastAsia" w:ascii="Times New Roman" w:hAnsi="Times New Roman" w:eastAsia="仿宋_GB2312" w:cs="仿宋_GB2312"/>
          <w:sz w:val="32"/>
          <w:szCs w:val="32"/>
          <w:highlight w:val="none"/>
          <w:lang w:val="en-US" w:eastAsia="zh-CN"/>
        </w:rPr>
        <w:t>投标单位</w:t>
      </w:r>
      <w:r>
        <w:rPr>
          <w:rFonts w:hint="eastAsia" w:ascii="Times New Roman" w:hAnsi="Times New Roman" w:eastAsia="仿宋_GB2312" w:cs="仿宋_GB2312"/>
          <w:sz w:val="32"/>
          <w:szCs w:val="32"/>
          <w:highlight w:val="none"/>
        </w:rPr>
        <w:t>须提供总公司和分公司营业执照副本复印件，</w:t>
      </w:r>
      <w:r>
        <w:rPr>
          <w:rFonts w:hint="eastAsia" w:ascii="Times New Roman" w:hAnsi="Times New Roman" w:eastAsia="仿宋_GB2312" w:cs="仿宋_GB2312"/>
          <w:sz w:val="32"/>
          <w:szCs w:val="32"/>
          <w:highlight w:val="none"/>
          <w:lang w:val="en-US" w:eastAsia="zh-CN"/>
        </w:rPr>
        <w:t>以及</w:t>
      </w:r>
      <w:r>
        <w:rPr>
          <w:rFonts w:hint="eastAsia" w:ascii="Times New Roman" w:hAnsi="Times New Roman" w:eastAsia="仿宋_GB2312" w:cs="仿宋_GB2312"/>
          <w:sz w:val="32"/>
          <w:szCs w:val="32"/>
          <w:highlight w:val="none"/>
        </w:rPr>
        <w:t>总公司出具给分支机构的授权书。</w:t>
      </w:r>
      <w:r>
        <w:rPr>
          <w:rFonts w:hint="eastAsia" w:ascii="Times New Roman" w:hAnsi="Times New Roman" w:eastAsia="仿宋_GB2312" w:cs="仿宋_GB2312"/>
          <w:color w:val="auto"/>
          <w:sz w:val="32"/>
          <w:szCs w:val="32"/>
          <w:highlight w:val="none"/>
        </w:rPr>
        <w:t>】</w:t>
      </w:r>
    </w:p>
    <w:p w14:paraId="37566C10">
      <w:pPr>
        <w:spacing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2、资质要求：响应人须具备</w:t>
      </w:r>
      <w:r>
        <w:rPr>
          <w:rFonts w:hint="eastAsia" w:ascii="Times New Roman" w:hAnsi="Times New Roman" w:eastAsia="仿宋_GB2312" w:cs="仿宋_GB2312"/>
          <w:color w:val="auto"/>
          <w:sz w:val="32"/>
          <w:szCs w:val="32"/>
          <w:highlight w:val="none"/>
          <w:u w:val="none"/>
        </w:rPr>
        <w:t xml:space="preserve"> </w:t>
      </w:r>
      <w:r>
        <w:rPr>
          <w:rFonts w:hint="eastAsia" w:ascii="Times New Roman" w:hAnsi="Times New Roman" w:eastAsia="仿宋_GB2312" w:cs="仿宋_GB2312"/>
          <w:color w:val="auto"/>
          <w:kern w:val="2"/>
          <w:sz w:val="32"/>
          <w:szCs w:val="32"/>
          <w:highlight w:val="none"/>
          <w:u w:val="single"/>
          <w:lang w:val="en-US" w:eastAsia="zh-CN"/>
        </w:rPr>
        <w:t xml:space="preserve"> / </w:t>
      </w:r>
      <w:r>
        <w:rPr>
          <w:rFonts w:hint="eastAsia" w:ascii="Times New Roman" w:hAnsi="Times New Roman" w:eastAsia="仿宋_GB2312" w:cs="仿宋_GB2312"/>
          <w:color w:val="auto"/>
          <w:sz w:val="32"/>
          <w:szCs w:val="32"/>
          <w:highlight w:val="none"/>
        </w:rPr>
        <w:t>且在有效期内。【提供资质证书复印件（加盖公章）】</w:t>
      </w:r>
    </w:p>
    <w:p w14:paraId="7FFB2E7A">
      <w:pPr>
        <w:spacing w:line="600" w:lineRule="exact"/>
        <w:ind w:firstLine="640" w:firstLineChars="200"/>
        <w:rPr>
          <w:rFonts w:hint="eastAsia" w:ascii="Times New Roman" w:hAnsi="Times New Roman" w:eastAsia="仿宋_GB2312" w:cs="仿宋_GB2312"/>
          <w:color w:val="auto"/>
          <w:sz w:val="32"/>
          <w:szCs w:val="32"/>
          <w:highlight w:val="yellow"/>
        </w:rPr>
      </w:pPr>
      <w:r>
        <w:rPr>
          <w:rFonts w:hint="eastAsia" w:ascii="Times New Roman" w:hAnsi="Times New Roman" w:eastAsia="仿宋_GB2312" w:cs="仿宋_GB2312"/>
          <w:color w:val="auto"/>
          <w:sz w:val="32"/>
          <w:szCs w:val="32"/>
          <w:highlight w:val="none"/>
        </w:rPr>
        <w:t>3、业绩要求：具备</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项目经验，要求</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u w:val="single"/>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rPr>
        <w:t xml:space="preserve"> </w:t>
      </w:r>
      <w:r>
        <w:rPr>
          <w:rFonts w:hint="eastAsia" w:ascii="Times New Roman" w:hAnsi="Times New Roman" w:eastAsia="仿宋_GB2312" w:cs="仿宋_GB2312"/>
          <w:color w:val="auto"/>
          <w:sz w:val="32"/>
          <w:szCs w:val="32"/>
          <w:highlight w:val="none"/>
        </w:rPr>
        <w:t>日起至响应截止时间，完成至少</w:t>
      </w:r>
      <w:r>
        <w:rPr>
          <w:rFonts w:hint="eastAsia" w:eastAsia="仿宋_GB2312" w:cs="仿宋_GB2312"/>
          <w:color w:val="auto"/>
          <w:sz w:val="32"/>
          <w:szCs w:val="32"/>
          <w:highlight w:val="none"/>
          <w:u w:val="single"/>
          <w:lang w:val="en-US" w:eastAsia="zh-CN"/>
        </w:rPr>
        <w:t xml:space="preserve"> / </w:t>
      </w:r>
      <w:r>
        <w:rPr>
          <w:rFonts w:hint="eastAsia" w:ascii="Times New Roman" w:hAnsi="Times New Roman" w:eastAsia="仿宋_GB2312" w:cs="仿宋_GB2312"/>
          <w:color w:val="auto"/>
          <w:sz w:val="32"/>
          <w:szCs w:val="32"/>
          <w:highlight w:val="none"/>
        </w:rPr>
        <w:t>个</w:t>
      </w:r>
      <w:r>
        <w:rPr>
          <w:rFonts w:hint="eastAsia" w:ascii="Times New Roman" w:hAnsi="Times New Roman" w:eastAsia="仿宋_GB2312" w:cs="仿宋_GB2312"/>
          <w:color w:val="auto"/>
          <w:sz w:val="32"/>
          <w:szCs w:val="32"/>
          <w:highlight w:val="none"/>
          <w:u w:val="single"/>
          <w:lang w:val="en-US"/>
        </w:rPr>
        <w:t xml:space="preserve"> </w:t>
      </w:r>
      <w:r>
        <w:rPr>
          <w:rFonts w:hint="eastAsia" w:eastAsia="仿宋_GB2312" w:cs="仿宋_GB2312"/>
          <w:color w:val="auto"/>
          <w:sz w:val="32"/>
          <w:szCs w:val="32"/>
          <w:highlight w:val="none"/>
          <w:u w:val="single"/>
          <w:lang w:val="en-US" w:eastAsia="zh-CN"/>
        </w:rPr>
        <w:t>/</w:t>
      </w:r>
      <w:r>
        <w:rPr>
          <w:rFonts w:hint="eastAsia" w:ascii="Times New Roman" w:hAnsi="Times New Roman" w:eastAsia="仿宋_GB2312" w:cs="仿宋_GB2312"/>
          <w:color w:val="auto"/>
          <w:sz w:val="32"/>
          <w:szCs w:val="32"/>
          <w:highlight w:val="none"/>
          <w:u w:val="single"/>
          <w:lang w:val="en-US"/>
        </w:rPr>
        <w:t xml:space="preserve"> </w:t>
      </w:r>
      <w:r>
        <w:rPr>
          <w:rFonts w:hint="eastAsia" w:ascii="Times New Roman" w:hAnsi="Times New Roman" w:eastAsia="仿宋_GB2312" w:cs="仿宋_GB2312"/>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并加盖投标人公章。】</w:t>
      </w:r>
    </w:p>
    <w:p w14:paraId="42EAB2A2">
      <w:pPr>
        <w:spacing w:line="60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4、人员要求：响应人拟派项目负责人须具备</w:t>
      </w:r>
      <w:r>
        <w:rPr>
          <w:rFonts w:hint="eastAsia" w:ascii="Times New Roman" w:hAnsi="Times New Roman" w:eastAsia="仿宋_GB2312" w:cs="仿宋_GB2312"/>
          <w:color w:val="auto"/>
          <w:sz w:val="32"/>
          <w:szCs w:val="32"/>
          <w:highlight w:val="none"/>
          <w:u w:val="single"/>
        </w:rPr>
        <w:t xml:space="preserve">  / </w:t>
      </w:r>
      <w:r>
        <w:rPr>
          <w:rFonts w:hint="eastAsia" w:ascii="Times New Roman" w:hAnsi="Times New Roman" w:eastAsia="仿宋_GB2312" w:cs="仿宋_GB2312"/>
          <w:color w:val="auto"/>
          <w:sz w:val="32"/>
          <w:szCs w:val="32"/>
          <w:highlight w:val="none"/>
        </w:rPr>
        <w:t>。响应人拟派项目专职人员须</w:t>
      </w:r>
      <w:r>
        <w:rPr>
          <w:rFonts w:hint="eastAsia" w:ascii="Times New Roman" w:hAnsi="Times New Roman" w:eastAsia="仿宋_GB2312" w:cs="仿宋_GB2312"/>
          <w:color w:val="auto"/>
          <w:sz w:val="32"/>
          <w:szCs w:val="32"/>
          <w:highlight w:val="none"/>
          <w:u w:val="single"/>
        </w:rPr>
        <w:t xml:space="preserve">  / </w:t>
      </w:r>
      <w:r>
        <w:rPr>
          <w:rFonts w:hint="eastAsia" w:ascii="Times New Roman" w:hAnsi="Times New Roman" w:eastAsia="仿宋_GB2312" w:cs="仿宋_GB2312"/>
          <w:color w:val="auto"/>
          <w:sz w:val="32"/>
          <w:szCs w:val="32"/>
          <w:highlight w:val="none"/>
        </w:rPr>
        <w:t>。【提供</w:t>
      </w:r>
      <w:r>
        <w:rPr>
          <w:rFonts w:hint="eastAsia" w:ascii="Times New Roman" w:hAnsi="Times New Roman" w:eastAsia="仿宋_GB2312" w:cs="仿宋_GB2312"/>
          <w:color w:val="auto"/>
          <w:sz w:val="32"/>
          <w:szCs w:val="32"/>
          <w:highlight w:val="none"/>
          <w:u w:val="single"/>
        </w:rPr>
        <w:t xml:space="preserve">   /  </w:t>
      </w:r>
      <w:r>
        <w:rPr>
          <w:rFonts w:hint="eastAsia" w:ascii="Times New Roman" w:hAnsi="Times New Roman" w:eastAsia="仿宋_GB2312" w:cs="仿宋_GB2312"/>
          <w:color w:val="auto"/>
          <w:sz w:val="32"/>
          <w:szCs w:val="32"/>
          <w:highlight w:val="none"/>
        </w:rPr>
        <w:t>证书复印件（加盖公章）】</w:t>
      </w:r>
    </w:p>
    <w:p w14:paraId="123E323A">
      <w:pPr>
        <w:adjustRightInd w:val="0"/>
        <w:snapToGrid w:val="0"/>
        <w:spacing w:line="60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5、未被列入东实集团及下属企业</w:t>
      </w:r>
      <w:r>
        <w:rPr>
          <w:rFonts w:hint="eastAsia" w:ascii="Times New Roman" w:hAnsi="Times New Roman" w:eastAsia="仿宋_GB2312"/>
          <w:color w:val="auto"/>
          <w:sz w:val="32"/>
          <w:szCs w:val="32"/>
          <w:highlight w:val="none"/>
          <w:lang w:val="en-US" w:eastAsia="zh-CN"/>
        </w:rPr>
        <w:t>相关</w:t>
      </w:r>
      <w:r>
        <w:rPr>
          <w:rFonts w:hint="eastAsia" w:ascii="Times New Roman" w:hAnsi="Times New Roman" w:eastAsia="仿宋_GB2312"/>
          <w:color w:val="auto"/>
          <w:sz w:val="32"/>
          <w:szCs w:val="32"/>
          <w:highlight w:val="none"/>
        </w:rPr>
        <w:t>领域黑名单。【以东莞实业投资控股集团</w:t>
      </w:r>
      <w:r>
        <w:rPr>
          <w:rFonts w:hint="default" w:ascii="Times New Roman" w:hAnsi="Times New Roman" w:eastAsia="仿宋_GB2312" w:cs="Times New Roman"/>
          <w:color w:val="auto"/>
          <w:sz w:val="32"/>
          <w:szCs w:val="32"/>
          <w:highlight w:val="none"/>
        </w:rPr>
        <w:t>有限公司发文（东实通〔2021〕44号）、</w:t>
      </w:r>
      <w:r>
        <w:rPr>
          <w:rFonts w:hint="eastAsia" w:ascii="Times New Roman" w:hAnsi="Times New Roman" w:eastAsia="仿宋_GB2312" w:cs="仿宋_GB2312"/>
          <w:color w:val="auto"/>
          <w:sz w:val="32"/>
          <w:szCs w:val="32"/>
          <w:highlight w:val="none"/>
        </w:rPr>
        <w:t>（东实通〔2021〕98号）</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（东实通〔2022〕75号）（东实通〔2023〕37号）、（东实通〔2024〕163号）、（东实通〔2024〕195号）、（东实通[2025〕157）</w:t>
      </w:r>
      <w:r>
        <w:rPr>
          <w:rFonts w:hint="default" w:ascii="Times New Roman" w:hAnsi="Times New Roman" w:eastAsia="仿宋_GB2312" w:cs="Times New Roman"/>
          <w:color w:val="auto"/>
          <w:sz w:val="32"/>
          <w:szCs w:val="32"/>
          <w:highlight w:val="none"/>
        </w:rPr>
        <w:t>为准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如有最新发文通知，按最新文件执行。</w:t>
      </w:r>
      <w:r>
        <w:rPr>
          <w:rFonts w:hint="default" w:ascii="Times New Roman" w:hAnsi="Times New Roman" w:eastAsia="仿宋_GB2312" w:cs="Times New Roman"/>
          <w:color w:val="auto"/>
          <w:sz w:val="32"/>
          <w:szCs w:val="32"/>
          <w:highlight w:val="none"/>
        </w:rPr>
        <w:t>】</w:t>
      </w:r>
    </w:p>
    <w:p w14:paraId="3DA4EB3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5BF107A9">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u w:val="single"/>
          <w:lang w:val="en-US" w:eastAsia="zh-CN"/>
        </w:rPr>
        <w:t>及附件</w:t>
      </w:r>
      <w:r>
        <w:rPr>
          <w:rFonts w:eastAsia="仿宋_GB2312"/>
          <w:color w:val="auto"/>
          <w:sz w:val="32"/>
          <w:szCs w:val="32"/>
          <w:u w:val="single"/>
        </w:rPr>
        <w:t>《</w:t>
      </w:r>
      <w:r>
        <w:rPr>
          <w:rFonts w:hint="eastAsia" w:eastAsia="仿宋_GB2312"/>
          <w:color w:val="auto"/>
          <w:sz w:val="32"/>
          <w:szCs w:val="32"/>
          <w:u w:val="single"/>
        </w:rPr>
        <w:t>用户需求书</w:t>
      </w:r>
      <w:r>
        <w:rPr>
          <w:rFonts w:eastAsia="仿宋_GB2312"/>
          <w:color w:val="auto"/>
          <w:sz w:val="32"/>
          <w:szCs w:val="32"/>
          <w:u w:val="single"/>
        </w:rPr>
        <w:t>》</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14:paraId="05E65067">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16D0B196">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0" w:name="_Hlk38897553"/>
      <w:r>
        <w:rPr>
          <w:rFonts w:eastAsia="仿宋_GB2312"/>
          <w:color w:val="000000"/>
          <w:sz w:val="32"/>
          <w:szCs w:val="32"/>
          <w:u w:val="single"/>
        </w:rPr>
        <w:t>合同签订之日起</w:t>
      </w:r>
      <w:r>
        <w:rPr>
          <w:rFonts w:hint="eastAsia" w:eastAsia="仿宋_GB2312"/>
          <w:color w:val="000000"/>
          <w:sz w:val="32"/>
          <w:szCs w:val="32"/>
          <w:u w:val="single"/>
        </w:rPr>
        <w:t>30</w:t>
      </w:r>
      <w:r>
        <w:rPr>
          <w:rFonts w:eastAsia="仿宋_GB2312"/>
          <w:color w:val="000000"/>
          <w:sz w:val="32"/>
          <w:szCs w:val="32"/>
          <w:u w:val="single"/>
        </w:rPr>
        <w:t>个日历日内完成</w:t>
      </w:r>
      <w:r>
        <w:rPr>
          <w:rFonts w:eastAsia="仿宋_GB2312"/>
          <w:sz w:val="32"/>
          <w:szCs w:val="32"/>
          <w:u w:val="single"/>
        </w:rPr>
        <w:t>。</w:t>
      </w:r>
      <w:r>
        <w:rPr>
          <w:rFonts w:hint="eastAsia" w:eastAsia="仿宋_GB2312"/>
          <w:color w:val="auto"/>
          <w:sz w:val="32"/>
          <w:szCs w:val="32"/>
          <w:highlight w:val="none"/>
        </w:rPr>
        <w:t>。</w:t>
      </w:r>
      <w:bookmarkEnd w:id="0"/>
    </w:p>
    <w:p w14:paraId="2DDE0DA8">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25393422">
      <w:pPr>
        <w:adjustRightInd w:val="0"/>
        <w:snapToGrid w:val="0"/>
        <w:spacing w:line="600" w:lineRule="exact"/>
        <w:ind w:firstLine="640" w:firstLineChars="200"/>
        <w:outlineLvl w:val="1"/>
        <w:rPr>
          <w:rFonts w:eastAsia="仿宋_GB2312"/>
          <w:sz w:val="32"/>
          <w:szCs w:val="32"/>
          <w:u w:val="single"/>
        </w:rPr>
      </w:pPr>
      <w:r>
        <w:rPr>
          <w:rFonts w:hint="eastAsia" w:eastAsia="仿宋_GB2312"/>
          <w:sz w:val="32"/>
          <w:szCs w:val="32"/>
          <w:u w:val="single"/>
        </w:rPr>
        <w:t>本项目分三期支付，具体如下：</w:t>
      </w:r>
    </w:p>
    <w:p w14:paraId="333981FE">
      <w:pPr>
        <w:adjustRightInd w:val="0"/>
        <w:snapToGrid w:val="0"/>
        <w:spacing w:line="600" w:lineRule="exact"/>
        <w:ind w:firstLine="640" w:firstLineChars="200"/>
        <w:outlineLvl w:val="1"/>
        <w:rPr>
          <w:rFonts w:eastAsia="仿宋_GB2312"/>
          <w:sz w:val="32"/>
          <w:szCs w:val="32"/>
          <w:u w:val="single"/>
        </w:rPr>
      </w:pPr>
      <w:r>
        <w:rPr>
          <w:rFonts w:eastAsia="仿宋_GB2312"/>
          <w:sz w:val="32"/>
          <w:szCs w:val="32"/>
          <w:u w:val="single"/>
        </w:rPr>
        <w:t>第一期：合同签订后，供应商提供增值税发票并经采购人审核无误后</w:t>
      </w:r>
      <w:r>
        <w:rPr>
          <w:rFonts w:hint="eastAsia" w:eastAsia="仿宋_GB2312"/>
          <w:sz w:val="32"/>
          <w:szCs w:val="32"/>
          <w:u w:val="single"/>
        </w:rPr>
        <w:t>，采购人</w:t>
      </w:r>
      <w:r>
        <w:rPr>
          <w:rFonts w:eastAsia="仿宋_GB2312"/>
          <w:sz w:val="32"/>
          <w:szCs w:val="32"/>
          <w:u w:val="single"/>
        </w:rPr>
        <w:t>15个工作日内支付合同总价的</w:t>
      </w:r>
      <w:r>
        <w:rPr>
          <w:rFonts w:hint="eastAsia" w:eastAsia="仿宋_GB2312"/>
          <w:sz w:val="32"/>
          <w:szCs w:val="32"/>
          <w:u w:val="single"/>
        </w:rPr>
        <w:t>20</w:t>
      </w:r>
      <w:r>
        <w:rPr>
          <w:rFonts w:eastAsia="仿宋_GB2312"/>
          <w:sz w:val="32"/>
          <w:szCs w:val="32"/>
          <w:u w:val="single"/>
        </w:rPr>
        <w:t>%作为预付款；</w:t>
      </w:r>
    </w:p>
    <w:p w14:paraId="166BAA32">
      <w:pPr>
        <w:adjustRightInd w:val="0"/>
        <w:snapToGrid w:val="0"/>
        <w:spacing w:line="600" w:lineRule="exact"/>
        <w:ind w:firstLine="640" w:firstLineChars="200"/>
        <w:outlineLvl w:val="1"/>
        <w:rPr>
          <w:rFonts w:eastAsia="仿宋_GB2312"/>
          <w:sz w:val="32"/>
          <w:szCs w:val="32"/>
          <w:u w:val="single"/>
        </w:rPr>
      </w:pPr>
      <w:r>
        <w:rPr>
          <w:rFonts w:eastAsia="仿宋_GB2312"/>
          <w:sz w:val="32"/>
          <w:szCs w:val="32"/>
          <w:u w:val="single"/>
        </w:rPr>
        <w:t>第二期：</w:t>
      </w:r>
      <w:r>
        <w:rPr>
          <w:rFonts w:hint="eastAsia" w:eastAsia="仿宋_GB2312"/>
          <w:sz w:val="32"/>
          <w:szCs w:val="32"/>
          <w:u w:val="single"/>
        </w:rPr>
        <w:t>沙盘模型在</w:t>
      </w:r>
      <w:r>
        <w:rPr>
          <w:rFonts w:eastAsia="仿宋_GB2312"/>
          <w:sz w:val="32"/>
          <w:szCs w:val="32"/>
          <w:u w:val="single"/>
        </w:rPr>
        <w:t>项目正式展厅现场安装完成并验收合格后，供应商提供增值税发票并经采购人审核无误后</w:t>
      </w:r>
      <w:r>
        <w:rPr>
          <w:rFonts w:hint="eastAsia" w:eastAsia="仿宋_GB2312"/>
          <w:sz w:val="32"/>
          <w:szCs w:val="32"/>
          <w:u w:val="single"/>
        </w:rPr>
        <w:t>，采购人30</w:t>
      </w:r>
      <w:r>
        <w:rPr>
          <w:rFonts w:eastAsia="仿宋_GB2312"/>
          <w:sz w:val="32"/>
          <w:szCs w:val="32"/>
          <w:u w:val="single"/>
        </w:rPr>
        <w:t>个工作日内支付至合同总价的</w:t>
      </w:r>
      <w:r>
        <w:rPr>
          <w:rFonts w:hint="eastAsia" w:eastAsia="仿宋_GB2312"/>
          <w:sz w:val="32"/>
          <w:szCs w:val="32"/>
          <w:u w:val="single"/>
        </w:rPr>
        <w:t>95</w:t>
      </w:r>
      <w:r>
        <w:rPr>
          <w:rFonts w:eastAsia="仿宋_GB2312"/>
          <w:sz w:val="32"/>
          <w:szCs w:val="32"/>
          <w:u w:val="single"/>
        </w:rPr>
        <w:t>%；</w:t>
      </w:r>
    </w:p>
    <w:p w14:paraId="40418055">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eastAsia="仿宋_GB2312"/>
          <w:color w:val="auto"/>
          <w:sz w:val="32"/>
          <w:szCs w:val="32"/>
          <w:highlight w:val="none"/>
          <w:u w:val="single"/>
        </w:rPr>
      </w:pPr>
      <w:r>
        <w:rPr>
          <w:rFonts w:eastAsia="仿宋_GB2312"/>
          <w:sz w:val="32"/>
          <w:szCs w:val="32"/>
          <w:u w:val="single"/>
        </w:rPr>
        <w:t>第</w:t>
      </w:r>
      <w:r>
        <w:rPr>
          <w:rFonts w:hint="eastAsia" w:eastAsia="仿宋_GB2312"/>
          <w:sz w:val="32"/>
          <w:szCs w:val="32"/>
          <w:u w:val="single"/>
        </w:rPr>
        <w:t>三</w:t>
      </w:r>
      <w:r>
        <w:rPr>
          <w:rFonts w:eastAsia="仿宋_GB2312"/>
          <w:sz w:val="32"/>
          <w:szCs w:val="32"/>
          <w:u w:val="single"/>
        </w:rPr>
        <w:t>期：剩余合同总价的</w:t>
      </w:r>
      <w:r>
        <w:rPr>
          <w:rFonts w:hint="eastAsia" w:eastAsia="仿宋_GB2312"/>
          <w:sz w:val="32"/>
          <w:szCs w:val="32"/>
          <w:u w:val="single"/>
        </w:rPr>
        <w:t>5</w:t>
      </w:r>
      <w:r>
        <w:rPr>
          <w:rFonts w:eastAsia="仿宋_GB2312"/>
          <w:sz w:val="32"/>
          <w:szCs w:val="32"/>
          <w:u w:val="single"/>
        </w:rPr>
        <w:t>%作为质保金，</w:t>
      </w:r>
      <w:r>
        <w:rPr>
          <w:rFonts w:hint="eastAsia" w:eastAsia="仿宋_GB2312"/>
          <w:sz w:val="32"/>
          <w:szCs w:val="32"/>
          <w:u w:val="single"/>
        </w:rPr>
        <w:t>质保期一年，</w:t>
      </w:r>
      <w:r>
        <w:rPr>
          <w:rFonts w:eastAsia="仿宋_GB2312"/>
          <w:sz w:val="32"/>
          <w:szCs w:val="32"/>
          <w:u w:val="single"/>
        </w:rPr>
        <w:t>质保期满且无任何质量问题，供应商提供增值税发票并经采购人审核无误后</w:t>
      </w:r>
      <w:r>
        <w:rPr>
          <w:rFonts w:hint="eastAsia" w:eastAsia="仿宋_GB2312"/>
          <w:sz w:val="32"/>
          <w:szCs w:val="32"/>
          <w:u w:val="single"/>
        </w:rPr>
        <w:t>，采购人</w:t>
      </w:r>
      <w:r>
        <w:rPr>
          <w:rFonts w:eastAsia="仿宋_GB2312"/>
          <w:sz w:val="32"/>
          <w:szCs w:val="32"/>
          <w:u w:val="single"/>
        </w:rPr>
        <w:t>15个工作日内一次性支付</w:t>
      </w:r>
      <w:r>
        <w:rPr>
          <w:rFonts w:hint="eastAsia" w:eastAsia="仿宋_GB2312"/>
          <w:sz w:val="32"/>
          <w:szCs w:val="32"/>
          <w:u w:val="single"/>
        </w:rPr>
        <w:t>完毕</w:t>
      </w:r>
      <w:r>
        <w:rPr>
          <w:rFonts w:eastAsia="仿宋_GB2312"/>
          <w:sz w:val="32"/>
          <w:szCs w:val="32"/>
          <w:u w:val="single"/>
        </w:rPr>
        <w:t>。</w:t>
      </w:r>
    </w:p>
    <w:p w14:paraId="6EFFE949">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七、报价</w:t>
      </w:r>
    </w:p>
    <w:p w14:paraId="2C65FED0">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 xml:space="preserve">¥ </w:t>
      </w:r>
      <w:r>
        <w:rPr>
          <w:rFonts w:hint="eastAsia" w:eastAsia="仿宋_GB2312" w:cs="Times New Roman"/>
          <w:color w:val="auto"/>
          <w:sz w:val="32"/>
          <w:szCs w:val="32"/>
          <w:highlight w:val="none"/>
          <w:u w:val="single"/>
          <w:lang w:val="en-US" w:eastAsia="zh-CN"/>
        </w:rPr>
        <w:t>100000</w:t>
      </w:r>
      <w:r>
        <w:rPr>
          <w:rFonts w:hint="eastAsia" w:ascii="Times New Roman" w:hAnsi="Times New Roman" w:eastAsia="仿宋_GB2312" w:cs="Times New Roman"/>
          <w:color w:val="auto"/>
          <w:sz w:val="32"/>
          <w:szCs w:val="32"/>
          <w:highlight w:val="none"/>
        </w:rPr>
        <w:t>元</w:t>
      </w:r>
      <w:r>
        <w:rPr>
          <w:rFonts w:hint="eastAsia" w:eastAsia="仿宋_GB2312" w:cs="Times New Roman"/>
          <w:color w:val="auto"/>
          <w:sz w:val="32"/>
          <w:szCs w:val="32"/>
          <w:highlight w:val="none"/>
          <w:lang w:eastAsia="zh-CN"/>
        </w:rPr>
        <w:t>（</w:t>
      </w:r>
      <w:r>
        <w:rPr>
          <w:rFonts w:hint="eastAsia" w:eastAsia="仿宋_GB2312" w:cs="Times New Roman"/>
          <w:color w:val="auto"/>
          <w:sz w:val="32"/>
          <w:szCs w:val="32"/>
          <w:highlight w:val="none"/>
          <w:lang w:val="en-US" w:eastAsia="zh-CN"/>
        </w:rPr>
        <w:t>含税</w:t>
      </w:r>
      <w:r>
        <w:rPr>
          <w:rFonts w:hint="eastAsia"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w:t>
      </w:r>
    </w:p>
    <w:p w14:paraId="25E8297F">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p>
    <w:p w14:paraId="56C3FC74">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14:paraId="6146A303">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14:paraId="530D0398">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2）、完成资格、符合性审查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14FA7349">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08786CCD">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14:paraId="5F482011">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13984EE1">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14:paraId="64CA5507">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14:paraId="382433D5">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60BF26C8">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报价函（模板）</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及报价清单（清单自拟）</w:t>
      </w:r>
      <w:r>
        <w:rPr>
          <w:rFonts w:hint="eastAsia" w:eastAsia="仿宋_GB2312"/>
          <w:color w:val="auto"/>
          <w:sz w:val="32"/>
          <w:szCs w:val="32"/>
          <w:highlight w:val="none"/>
        </w:rPr>
        <w:t>；</w:t>
      </w:r>
    </w:p>
    <w:p w14:paraId="36208C13">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14:paraId="034F2A74">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14:paraId="52B6417C">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099FE202">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14:paraId="7563E074">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14:paraId="539B8DA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000000"/>
          <w:sz w:val="32"/>
          <w:szCs w:val="32"/>
        </w:rPr>
      </w:pPr>
      <w:r>
        <w:rPr>
          <w:rFonts w:hint="eastAsia" w:eastAsia="仿宋_GB2312"/>
          <w:color w:val="auto"/>
          <w:sz w:val="32"/>
          <w:szCs w:val="32"/>
          <w:highlight w:val="none"/>
        </w:rPr>
        <w:t>7、</w:t>
      </w:r>
      <w:r>
        <w:rPr>
          <w:rFonts w:eastAsia="仿宋_GB2312"/>
          <w:color w:val="000000"/>
          <w:sz w:val="32"/>
          <w:szCs w:val="32"/>
        </w:rPr>
        <w:t>本询价文件中第三条“响应人资格要求”中要求提供的证明材料；</w:t>
      </w:r>
    </w:p>
    <w:p w14:paraId="2AE40AC5">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000000"/>
          <w:sz w:val="32"/>
          <w:szCs w:val="32"/>
          <w:lang w:val="en-US" w:eastAsia="zh-CN"/>
        </w:rPr>
        <w:t>8、</w:t>
      </w:r>
      <w:r>
        <w:rPr>
          <w:rFonts w:hint="eastAsia" w:eastAsia="仿宋_GB2312"/>
          <w:color w:val="auto"/>
          <w:sz w:val="32"/>
          <w:szCs w:val="32"/>
          <w:highlight w:val="none"/>
        </w:rPr>
        <w:t>响应人认为需要提供的其他资料。</w:t>
      </w:r>
    </w:p>
    <w:p w14:paraId="6EF5A43E">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14:paraId="7D32643F">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5FC3369A">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14:paraId="5E96F980">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十二、开标时间及地址</w:t>
      </w:r>
    </w:p>
    <w:p w14:paraId="6F7333D9">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 xml:space="preserve"> 9 </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9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三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 xml:space="preserve"> 下</w:t>
      </w:r>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 xml:space="preserve"> 14</w:t>
      </w:r>
      <w:r>
        <w:rPr>
          <w:rFonts w:hint="default" w:eastAsia="仿宋_GB2312"/>
          <w:b/>
          <w:color w:val="auto"/>
          <w:sz w:val="32"/>
          <w:szCs w:val="32"/>
          <w:highlight w:val="none"/>
          <w:u w:val="single"/>
          <w:lang w:val="en-US" w:eastAsia="zh-CN"/>
        </w:rPr>
        <w:t>:</w:t>
      </w:r>
      <w:r>
        <w:rPr>
          <w:rFonts w:hint="eastAsia" w:eastAsia="仿宋_GB2312"/>
          <w:b/>
          <w:color w:val="auto"/>
          <w:sz w:val="32"/>
          <w:szCs w:val="32"/>
          <w:highlight w:val="none"/>
          <w:u w:val="single"/>
          <w:lang w:val="en-US" w:eastAsia="zh-CN"/>
        </w:rPr>
        <w:t>3</w:t>
      </w:r>
      <w:r>
        <w:rPr>
          <w:rFonts w:hint="default" w:eastAsia="仿宋_GB2312"/>
          <w:b/>
          <w:color w:val="auto"/>
          <w:sz w:val="32"/>
          <w:szCs w:val="32"/>
          <w:highlight w:val="none"/>
          <w:u w:val="single"/>
          <w:lang w:val="en-US" w:eastAsia="zh-CN"/>
        </w:rPr>
        <w:t xml:space="preserve">0 </w:t>
      </w:r>
      <w:r>
        <w:rPr>
          <w:rFonts w:hint="eastAsia" w:eastAsia="仿宋_GB2312"/>
          <w:b/>
          <w:color w:val="auto"/>
          <w:sz w:val="32"/>
          <w:szCs w:val="32"/>
          <w:highlight w:val="none"/>
          <w:u w:val="single"/>
          <w:lang w:val="en-US" w:eastAsia="zh-CN"/>
        </w:rPr>
        <w:t xml:space="preserve"> </w:t>
      </w:r>
      <w:r>
        <w:rPr>
          <w:rFonts w:hint="eastAsia" w:eastAsia="仿宋_GB2312"/>
          <w:b/>
          <w:color w:val="auto"/>
          <w:sz w:val="32"/>
          <w:szCs w:val="32"/>
          <w:highlight w:val="none"/>
        </w:rPr>
        <w:t>。</w:t>
      </w:r>
    </w:p>
    <w:p w14:paraId="00BE21C0">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bCs w:val="0"/>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w:t>
      </w:r>
      <w:r>
        <w:rPr>
          <w:rFonts w:hint="eastAsia" w:eastAsia="仿宋_GB2312"/>
          <w:b/>
          <w:bCs w:val="0"/>
          <w:color w:val="auto"/>
          <w:sz w:val="32"/>
          <w:szCs w:val="32"/>
          <w:highlight w:val="none"/>
          <w:u w:val="single"/>
        </w:rPr>
        <w:t>楼</w:t>
      </w:r>
      <w:r>
        <w:rPr>
          <w:rFonts w:hint="eastAsia" w:eastAsia="仿宋_GB2312"/>
          <w:b/>
          <w:bCs w:val="0"/>
          <w:color w:val="auto"/>
          <w:sz w:val="32"/>
          <w:szCs w:val="32"/>
          <w:highlight w:val="none"/>
          <w:u w:val="single"/>
          <w:lang w:val="en-US" w:eastAsia="zh-CN"/>
        </w:rPr>
        <w:t>2A</w:t>
      </w:r>
      <w:r>
        <w:rPr>
          <w:rFonts w:hint="eastAsia" w:eastAsia="仿宋_GB2312"/>
          <w:b/>
          <w:bCs w:val="0"/>
          <w:color w:val="auto"/>
          <w:sz w:val="32"/>
          <w:szCs w:val="32"/>
          <w:highlight w:val="none"/>
          <w:u w:val="single"/>
        </w:rPr>
        <w:t>室</w:t>
      </w:r>
    </w:p>
    <w:p w14:paraId="2BA4AE47">
      <w:pPr>
        <w:spacing w:line="600" w:lineRule="exact"/>
        <w:ind w:firstLine="643" w:firstLineChars="200"/>
        <w:rPr>
          <w:rFonts w:hint="default" w:eastAsia="仿宋_GB2312"/>
          <w:b/>
          <w:bCs/>
          <w:sz w:val="32"/>
          <w:szCs w:val="32"/>
          <w:highlight w:val="none"/>
          <w:u w:val="single"/>
          <w:lang w:val="en-US"/>
        </w:rPr>
      </w:pPr>
      <w:r>
        <w:rPr>
          <w:rFonts w:hint="eastAsia" w:eastAsia="仿宋_GB2312"/>
          <w:b/>
          <w:bCs/>
          <w:sz w:val="32"/>
          <w:szCs w:val="32"/>
          <w:highlight w:val="none"/>
        </w:rPr>
        <w:t>联系人：</w:t>
      </w:r>
      <w:r>
        <w:rPr>
          <w:rFonts w:hint="eastAsia" w:eastAsia="仿宋_GB2312"/>
          <w:b/>
          <w:bCs/>
          <w:sz w:val="32"/>
          <w:szCs w:val="32"/>
          <w:highlight w:val="none"/>
          <w:u w:val="single"/>
          <w:lang w:val="en-US" w:eastAsia="zh-CN"/>
        </w:rPr>
        <w:t>江工</w:t>
      </w:r>
    </w:p>
    <w:p w14:paraId="0FD8F8C6">
      <w:pPr>
        <w:spacing w:line="600" w:lineRule="exact"/>
        <w:ind w:firstLine="643" w:firstLineChars="200"/>
        <w:rPr>
          <w:rFonts w:hint="default" w:eastAsia="仿宋_GB2312"/>
          <w:b/>
          <w:bCs/>
          <w:sz w:val="32"/>
          <w:szCs w:val="32"/>
          <w:highlight w:val="none"/>
          <w:lang w:val="en-US" w:eastAsia="zh-CN"/>
        </w:rPr>
      </w:pPr>
      <w:r>
        <w:rPr>
          <w:rFonts w:hint="eastAsia" w:eastAsia="仿宋_GB2312"/>
          <w:b/>
          <w:bCs/>
          <w:sz w:val="32"/>
          <w:szCs w:val="32"/>
          <w:highlight w:val="none"/>
        </w:rPr>
        <w:t>联系电话：</w:t>
      </w:r>
      <w:r>
        <w:rPr>
          <w:rFonts w:hint="eastAsia" w:eastAsia="仿宋_GB2312"/>
          <w:b/>
          <w:bCs/>
          <w:sz w:val="32"/>
          <w:szCs w:val="32"/>
          <w:highlight w:val="none"/>
          <w:u w:val="single"/>
          <w:lang w:val="en-US" w:eastAsia="zh-CN"/>
        </w:rPr>
        <w:t>13302941753</w:t>
      </w:r>
    </w:p>
    <w:p w14:paraId="43C0B039">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十三、注意事项</w:t>
      </w:r>
    </w:p>
    <w:p w14:paraId="5A7EF6B3">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1"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FAAA8C">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w:t>
      </w:r>
      <w:bookmarkStart w:id="10" w:name="_GoBack"/>
      <w:bookmarkEnd w:id="10"/>
      <w:r>
        <w:rPr>
          <w:rFonts w:hint="eastAsia" w:eastAsia="仿宋_GB2312"/>
          <w:color w:val="auto"/>
          <w:sz w:val="32"/>
          <w:szCs w:val="32"/>
          <w:highlight w:val="none"/>
        </w:rPr>
        <w:t>理解和结论概不负责。</w:t>
      </w:r>
    </w:p>
    <w:p w14:paraId="33DF4A14">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1"/>
    </w:p>
    <w:p w14:paraId="48D2C23E">
      <w:pPr>
        <w:keepNext w:val="0"/>
        <w:keepLines w:val="0"/>
        <w:pageBreakBefore w:val="0"/>
        <w:widowControl/>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4B7113EA">
      <w:pPr>
        <w:widowControl/>
        <w:spacing w:line="600" w:lineRule="exact"/>
        <w:jc w:val="left"/>
        <w:rPr>
          <w:rFonts w:eastAsia="仿宋_GB2312"/>
          <w:color w:val="auto"/>
          <w:sz w:val="32"/>
          <w:szCs w:val="32"/>
          <w:highlight w:val="none"/>
        </w:rPr>
      </w:pPr>
    </w:p>
    <w:p w14:paraId="21E9BF83">
      <w:pPr>
        <w:wordWrap w:val="0"/>
        <w:spacing w:line="600" w:lineRule="exact"/>
        <w:ind w:firstLine="640" w:firstLineChars="200"/>
        <w:jc w:val="right"/>
        <w:rPr>
          <w:rFonts w:hint="eastAsia" w:ascii="Times New Roman" w:hAnsi="Times New Roman" w:eastAsia="仿宋_GB2312" w:cs="Times New Roman"/>
          <w:color w:val="auto"/>
          <w:sz w:val="32"/>
          <w:szCs w:val="32"/>
          <w:highlight w:val="none"/>
          <w:u w:val="single"/>
          <w:lang w:val="en-US" w:eastAsia="zh-CN"/>
        </w:rPr>
      </w:pPr>
      <w:r>
        <w:rPr>
          <w:rFonts w:hint="eastAsia" w:eastAsia="仿宋_GB2312" w:cs="Times New Roman"/>
          <w:color w:val="auto"/>
          <w:sz w:val="32"/>
          <w:szCs w:val="32"/>
          <w:highlight w:val="none"/>
          <w:u w:val="single"/>
          <w:lang w:val="en-US" w:eastAsia="zh-CN"/>
        </w:rPr>
        <w:t>东莞市东实产城发展有限公司</w:t>
      </w:r>
    </w:p>
    <w:p w14:paraId="7AC3A819">
      <w:pPr>
        <w:wordWrap w:val="0"/>
        <w:spacing w:line="600" w:lineRule="exact"/>
        <w:ind w:firstLine="640" w:firstLineChars="200"/>
        <w:jc w:val="right"/>
        <w:rPr>
          <w:rFonts w:eastAsia="仿宋_GB2312"/>
          <w:color w:val="auto"/>
          <w:sz w:val="32"/>
          <w:szCs w:val="32"/>
          <w:highlight w:val="none"/>
        </w:rPr>
      </w:pPr>
      <w:r>
        <w:rPr>
          <w:rFonts w:hint="eastAsia" w:eastAsia="仿宋_GB2312"/>
          <w:color w:val="auto"/>
          <w:sz w:val="32"/>
          <w:szCs w:val="32"/>
          <w:highlight w:val="none"/>
          <w:u w:val="single"/>
          <w:lang w:val="en-US" w:eastAsia="zh-CN"/>
        </w:rPr>
        <w:t>2026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 xml:space="preserve"> 8 </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 xml:space="preserve"> 19 </w:t>
      </w:r>
      <w:r>
        <w:rPr>
          <w:rFonts w:hint="eastAsia" w:eastAsia="仿宋_GB2312"/>
          <w:color w:val="auto"/>
          <w:sz w:val="32"/>
          <w:szCs w:val="32"/>
          <w:highlight w:val="none"/>
        </w:rPr>
        <w:t>日</w:t>
      </w:r>
    </w:p>
    <w:p w14:paraId="72969837">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486" w:bottom="1440" w:left="1800" w:header="851" w:footer="992" w:gutter="0"/>
          <w:cols w:space="720" w:num="1"/>
          <w:docGrid w:type="lines" w:linePitch="312" w:charSpace="0"/>
        </w:sectPr>
      </w:pPr>
    </w:p>
    <w:p w14:paraId="3D33758A">
      <w:pPr>
        <w:pStyle w:val="46"/>
        <w:ind w:firstLine="0" w:firstLineChars="0"/>
        <w:jc w:val="center"/>
        <w:outlineLvl w:val="1"/>
        <w:rPr>
          <w:rFonts w:eastAsia="黑体"/>
          <w:color w:val="auto"/>
          <w:sz w:val="32"/>
          <w:szCs w:val="48"/>
          <w:highlight w:val="none"/>
        </w:rPr>
      </w:pPr>
      <w:r>
        <w:rPr>
          <w:rFonts w:hint="eastAsia" w:eastAsia="黑体"/>
          <w:color w:val="auto"/>
          <w:sz w:val="32"/>
          <w:szCs w:val="48"/>
          <w:highlight w:val="none"/>
        </w:rPr>
        <w:t>第一部分 投标须知</w:t>
      </w:r>
    </w:p>
    <w:p w14:paraId="2918C603">
      <w:pPr>
        <w:pStyle w:val="46"/>
        <w:ind w:firstLine="880"/>
        <w:jc w:val="center"/>
        <w:outlineLvl w:val="1"/>
        <w:rPr>
          <w:rFonts w:eastAsia="华文中宋"/>
          <w:color w:val="auto"/>
          <w:sz w:val="44"/>
          <w:szCs w:val="44"/>
          <w:highlight w:val="none"/>
        </w:rPr>
      </w:pPr>
      <w:r>
        <w:rPr>
          <w:rFonts w:hint="eastAsia" w:eastAsia="华文中宋"/>
          <w:color w:val="auto"/>
          <w:sz w:val="44"/>
          <w:szCs w:val="44"/>
          <w:highlight w:val="none"/>
        </w:rPr>
        <w:t>投标须知</w:t>
      </w:r>
    </w:p>
    <w:tbl>
      <w:tblPr>
        <w:tblStyle w:val="24"/>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990"/>
        <w:gridCol w:w="6227"/>
      </w:tblGrid>
      <w:tr w14:paraId="7FC75D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30A3C1AF">
            <w:pPr>
              <w:pStyle w:val="11"/>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1990" w:type="dxa"/>
            <w:tcBorders>
              <w:top w:val="double" w:color="auto" w:sz="4" w:space="0"/>
            </w:tcBorders>
            <w:vAlign w:val="center"/>
          </w:tcPr>
          <w:p w14:paraId="4CFE950C">
            <w:pPr>
              <w:pStyle w:val="1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6227" w:type="dxa"/>
            <w:tcBorders>
              <w:top w:val="double" w:color="auto" w:sz="4" w:space="0"/>
            </w:tcBorders>
            <w:vAlign w:val="center"/>
          </w:tcPr>
          <w:p w14:paraId="6DF77168">
            <w:pPr>
              <w:pStyle w:val="11"/>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0FC490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EF307C9">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1990" w:type="dxa"/>
            <w:vAlign w:val="center"/>
          </w:tcPr>
          <w:p w14:paraId="25F65593">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6227" w:type="dxa"/>
            <w:vAlign w:val="top"/>
          </w:tcPr>
          <w:p w14:paraId="031CDE48">
            <w:pPr>
              <w:adjustRightInd w:val="0"/>
              <w:snapToGrid w:val="0"/>
              <w:spacing w:line="560" w:lineRule="exact"/>
              <w:jc w:val="both"/>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谢岗</w:t>
            </w:r>
            <w:r>
              <w:rPr>
                <w:rFonts w:hint="eastAsia" w:eastAsia="仿宋_GB2312"/>
                <w:color w:val="auto"/>
                <w:sz w:val="32"/>
                <w:szCs w:val="32"/>
                <w:highlight w:val="none"/>
                <w:lang w:eastAsia="zh-CN"/>
              </w:rPr>
              <w:t>项目沙盘模型设计制作服务</w:t>
            </w:r>
          </w:p>
        </w:tc>
      </w:tr>
      <w:tr w14:paraId="212473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D49DBF3">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1990" w:type="dxa"/>
            <w:vAlign w:val="center"/>
          </w:tcPr>
          <w:p w14:paraId="57351516">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6227" w:type="dxa"/>
            <w:vAlign w:val="top"/>
          </w:tcPr>
          <w:p w14:paraId="442B8E69">
            <w:pPr>
              <w:spacing w:line="360" w:lineRule="auto"/>
              <w:jc w:val="both"/>
              <w:rPr>
                <w:rFonts w:hint="eastAsia" w:eastAsia="仿宋_GB2312"/>
                <w:color w:val="auto"/>
                <w:sz w:val="32"/>
                <w:szCs w:val="32"/>
                <w:highlight w:val="none"/>
                <w:lang w:val="en-US" w:eastAsia="zh-CN"/>
              </w:rPr>
            </w:pPr>
            <w:r>
              <w:rPr>
                <w:rFonts w:hint="eastAsia" w:eastAsia="仿宋_GB2312"/>
                <w:sz w:val="32"/>
                <w:szCs w:val="32"/>
                <w:highlight w:val="none"/>
                <w:lang w:val="en-US" w:eastAsia="zh-CN"/>
              </w:rPr>
              <w:t>东莞市谢岗镇</w:t>
            </w:r>
          </w:p>
        </w:tc>
      </w:tr>
      <w:tr w14:paraId="258085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BB2723E">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1990" w:type="dxa"/>
            <w:vAlign w:val="center"/>
          </w:tcPr>
          <w:p w14:paraId="1F87E62C">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6227" w:type="dxa"/>
            <w:vAlign w:val="top"/>
          </w:tcPr>
          <w:p w14:paraId="004771AE">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沙盘模型制作</w:t>
            </w:r>
          </w:p>
        </w:tc>
      </w:tr>
      <w:tr w14:paraId="3D96CC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D488ED1">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1990" w:type="dxa"/>
            <w:vAlign w:val="center"/>
          </w:tcPr>
          <w:p w14:paraId="767909B3">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6227" w:type="dxa"/>
            <w:vAlign w:val="top"/>
          </w:tcPr>
          <w:p w14:paraId="565D6D33">
            <w:pPr>
              <w:spacing w:line="360" w:lineRule="auto"/>
              <w:jc w:val="both"/>
              <w:rPr>
                <w:rFonts w:hint="default" w:eastAsia="仿宋_GB2312"/>
                <w:color w:val="auto"/>
                <w:sz w:val="32"/>
                <w:szCs w:val="32"/>
                <w:highlight w:val="none"/>
                <w:lang w:val="en-US" w:eastAsia="zh-CN"/>
              </w:rPr>
            </w:pPr>
            <w:r>
              <w:rPr>
                <w:rFonts w:eastAsia="仿宋_GB2312"/>
                <w:color w:val="000000"/>
                <w:sz w:val="32"/>
                <w:szCs w:val="32"/>
              </w:rPr>
              <w:t>固定总价包干</w:t>
            </w:r>
          </w:p>
        </w:tc>
      </w:tr>
      <w:tr w14:paraId="69D1F5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6611856">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1990" w:type="dxa"/>
            <w:vAlign w:val="center"/>
          </w:tcPr>
          <w:p w14:paraId="121ACC22">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6227" w:type="dxa"/>
            <w:vAlign w:val="top"/>
          </w:tcPr>
          <w:p w14:paraId="47056A61">
            <w:pPr>
              <w:spacing w:line="360" w:lineRule="auto"/>
              <w:jc w:val="both"/>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w:t>
            </w:r>
          </w:p>
        </w:tc>
      </w:tr>
      <w:tr w14:paraId="74BA95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F9D5F7E">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1990" w:type="dxa"/>
            <w:vAlign w:val="center"/>
          </w:tcPr>
          <w:p w14:paraId="4F0C81B6">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6227" w:type="dxa"/>
            <w:vAlign w:val="top"/>
          </w:tcPr>
          <w:p w14:paraId="2C308A9C">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合同签订之日起30个日历日内完成</w:t>
            </w:r>
          </w:p>
        </w:tc>
      </w:tr>
      <w:tr w14:paraId="1C3885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14C8D477">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1990" w:type="dxa"/>
            <w:vAlign w:val="center"/>
          </w:tcPr>
          <w:p w14:paraId="2AE10FD0">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6227" w:type="dxa"/>
            <w:vAlign w:val="center"/>
          </w:tcPr>
          <w:p w14:paraId="3BE97B5D">
            <w:pPr>
              <w:adjustRightInd w:val="0"/>
              <w:snapToGrid w:val="0"/>
              <w:spacing w:line="560" w:lineRule="exact"/>
              <w:rPr>
                <w:rFonts w:eastAsia="仿宋_GB2312"/>
                <w:b/>
                <w:color w:val="auto"/>
                <w:sz w:val="32"/>
                <w:szCs w:val="32"/>
                <w:highlight w:val="none"/>
              </w:rPr>
            </w:pPr>
            <w:r>
              <w:rPr>
                <w:rFonts w:hint="eastAsia" w:eastAsia="仿宋_GB2312"/>
                <w:color w:val="auto"/>
                <w:sz w:val="32"/>
                <w:szCs w:val="32"/>
                <w:highlight w:val="none"/>
                <w:lang w:val="en-US" w:eastAsia="zh-CN"/>
              </w:rPr>
              <w:t>/</w:t>
            </w:r>
          </w:p>
        </w:tc>
      </w:tr>
      <w:tr w14:paraId="524771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0AAB3C">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1990" w:type="dxa"/>
          </w:tcPr>
          <w:p w14:paraId="57933BB4">
            <w:pPr>
              <w:spacing w:line="360" w:lineRule="auto"/>
              <w:jc w:val="center"/>
              <w:rPr>
                <w:rFonts w:eastAsia="仿宋_GB2312"/>
                <w:color w:val="auto"/>
                <w:sz w:val="32"/>
                <w:szCs w:val="32"/>
                <w:highlight w:val="none"/>
              </w:rPr>
            </w:pPr>
            <w:r>
              <w:rPr>
                <w:rFonts w:eastAsia="仿宋_GB2312"/>
                <w:color w:val="000000"/>
                <w:sz w:val="32"/>
                <w:szCs w:val="32"/>
              </w:rPr>
              <w:t>询价保证金金额及缴纳方式</w:t>
            </w:r>
          </w:p>
        </w:tc>
        <w:tc>
          <w:tcPr>
            <w:tcW w:w="6227" w:type="dxa"/>
            <w:vAlign w:val="center"/>
          </w:tcPr>
          <w:p w14:paraId="4CCF8D27">
            <w:pPr>
              <w:adjustRightInd w:val="0"/>
              <w:snapToGrid w:val="0"/>
              <w:spacing w:line="560" w:lineRule="exact"/>
              <w:rPr>
                <w:rFonts w:eastAsia="仿宋_GB2312"/>
                <w:sz w:val="32"/>
                <w:szCs w:val="32"/>
              </w:rPr>
            </w:pPr>
            <w:r>
              <w:rPr>
                <w:rFonts w:hint="eastAsia" w:eastAsia="仿宋_GB2312"/>
                <w:sz w:val="32"/>
                <w:szCs w:val="32"/>
              </w:rPr>
              <w:t>成交</w:t>
            </w:r>
            <w:r>
              <w:rPr>
                <w:rFonts w:eastAsia="仿宋_GB2312"/>
                <w:sz w:val="32"/>
                <w:szCs w:val="32"/>
              </w:rPr>
              <w:t>单位当天转账人民币</w:t>
            </w:r>
            <w:r>
              <w:rPr>
                <w:rFonts w:hint="eastAsia" w:eastAsia="仿宋_GB2312"/>
                <w:sz w:val="32"/>
                <w:szCs w:val="32"/>
                <w:u w:val="single"/>
                <w:lang w:val="en-US" w:eastAsia="zh-CN"/>
              </w:rPr>
              <w:t>贰仟</w:t>
            </w:r>
            <w:r>
              <w:rPr>
                <w:rFonts w:hint="eastAsia" w:eastAsia="仿宋_GB2312"/>
                <w:sz w:val="32"/>
                <w:szCs w:val="32"/>
                <w:u w:val="single"/>
              </w:rPr>
              <w:t>元整（</w:t>
            </w:r>
            <w:r>
              <w:rPr>
                <w:rFonts w:eastAsia="仿宋_GB2312"/>
                <w:sz w:val="32"/>
                <w:szCs w:val="32"/>
                <w:u w:val="single"/>
              </w:rPr>
              <w:t>¥</w:t>
            </w:r>
            <w:r>
              <w:rPr>
                <w:rFonts w:hint="eastAsia" w:eastAsia="仿宋_GB2312"/>
                <w:sz w:val="32"/>
                <w:szCs w:val="32"/>
                <w:u w:val="single"/>
                <w:lang w:val="en-US" w:eastAsia="zh-CN"/>
              </w:rPr>
              <w:t>20</w:t>
            </w:r>
            <w:r>
              <w:rPr>
                <w:rFonts w:eastAsia="仿宋_GB2312"/>
                <w:sz w:val="32"/>
                <w:szCs w:val="32"/>
                <w:u w:val="single"/>
              </w:rPr>
              <w:t>00</w:t>
            </w:r>
            <w:r>
              <w:rPr>
                <w:rFonts w:hint="eastAsia" w:eastAsia="仿宋_GB2312"/>
                <w:sz w:val="32"/>
                <w:szCs w:val="32"/>
                <w:u w:val="single"/>
              </w:rPr>
              <w:t>元</w:t>
            </w:r>
            <w:r>
              <w:rPr>
                <w:rFonts w:eastAsia="仿宋_GB2312"/>
                <w:sz w:val="32"/>
                <w:szCs w:val="32"/>
                <w:u w:val="single"/>
              </w:rPr>
              <w:t>）</w:t>
            </w:r>
            <w:r>
              <w:rPr>
                <w:rFonts w:eastAsia="仿宋_GB2312"/>
                <w:sz w:val="32"/>
                <w:szCs w:val="32"/>
              </w:rPr>
              <w:t>至以下投标保证金专用账户（</w:t>
            </w:r>
            <w:r>
              <w:rPr>
                <w:rFonts w:hint="eastAsia" w:eastAsia="仿宋_GB2312"/>
                <w:sz w:val="32"/>
                <w:szCs w:val="32"/>
              </w:rPr>
              <w:t>成交单位</w:t>
            </w:r>
            <w:r>
              <w:rPr>
                <w:rFonts w:eastAsia="仿宋_GB2312"/>
                <w:sz w:val="32"/>
                <w:szCs w:val="32"/>
              </w:rPr>
              <w:t>与交款人名称必须一致，不接受个人名义转账）。保证金收款账户信息：</w:t>
            </w:r>
          </w:p>
          <w:p w14:paraId="0A09CC42">
            <w:pPr>
              <w:adjustRightInd w:val="0"/>
              <w:snapToGrid w:val="0"/>
              <w:spacing w:line="560" w:lineRule="exact"/>
              <w:rPr>
                <w:rFonts w:eastAsia="仿宋_GB2312"/>
                <w:color w:val="000000"/>
                <w:sz w:val="32"/>
                <w:szCs w:val="32"/>
              </w:rPr>
            </w:pPr>
            <w:r>
              <w:rPr>
                <w:rFonts w:eastAsia="仿宋_GB2312"/>
                <w:color w:val="000000"/>
                <w:sz w:val="32"/>
                <w:szCs w:val="32"/>
              </w:rPr>
              <w:t>帐户名称：东莞市东实产城发展有限公司</w:t>
            </w:r>
          </w:p>
          <w:p w14:paraId="45163CD1">
            <w:pPr>
              <w:adjustRightInd w:val="0"/>
              <w:snapToGrid w:val="0"/>
              <w:spacing w:line="560" w:lineRule="exact"/>
              <w:rPr>
                <w:rFonts w:eastAsia="仿宋_GB2312"/>
                <w:color w:val="000000"/>
                <w:sz w:val="32"/>
                <w:szCs w:val="32"/>
              </w:rPr>
            </w:pPr>
            <w:r>
              <w:rPr>
                <w:rFonts w:eastAsia="仿宋_GB2312"/>
                <w:color w:val="000000"/>
                <w:sz w:val="32"/>
                <w:szCs w:val="32"/>
              </w:rPr>
              <w:t>开户银行：东莞银行股份有限公司东莞分行营业部</w:t>
            </w:r>
          </w:p>
          <w:p w14:paraId="445C4067">
            <w:pPr>
              <w:adjustRightInd w:val="0"/>
              <w:snapToGrid w:val="0"/>
              <w:spacing w:line="560" w:lineRule="exact"/>
              <w:rPr>
                <w:rFonts w:eastAsia="仿宋_GB2312"/>
                <w:color w:val="auto"/>
                <w:sz w:val="32"/>
                <w:szCs w:val="32"/>
                <w:highlight w:val="none"/>
              </w:rPr>
            </w:pPr>
            <w:r>
              <w:rPr>
                <w:rFonts w:eastAsia="仿宋_GB2312"/>
                <w:color w:val="000000"/>
                <w:sz w:val="32"/>
                <w:szCs w:val="32"/>
              </w:rPr>
              <w:t>银行帐号：589000014541253</w:t>
            </w:r>
            <w:r>
              <w:rPr>
                <w:rFonts w:hint="eastAsia" w:eastAsia="仿宋_GB2312"/>
                <w:sz w:val="32"/>
                <w:szCs w:val="32"/>
              </w:rPr>
              <w:t xml:space="preserve"> </w:t>
            </w:r>
          </w:p>
        </w:tc>
      </w:tr>
      <w:tr w14:paraId="0BE29E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DBFEE53">
            <w:pPr>
              <w:spacing w:line="360" w:lineRule="auto"/>
              <w:jc w:val="center"/>
              <w:rPr>
                <w:rFonts w:eastAsia="仿宋_GB2312"/>
                <w:color w:val="auto"/>
                <w:sz w:val="32"/>
                <w:szCs w:val="32"/>
                <w:highlight w:val="none"/>
              </w:rPr>
            </w:pPr>
            <w:r>
              <w:rPr>
                <w:rFonts w:eastAsia="仿宋_GB2312"/>
                <w:color w:val="auto"/>
                <w:sz w:val="32"/>
                <w:szCs w:val="32"/>
                <w:highlight w:val="none"/>
              </w:rPr>
              <w:t>9</w:t>
            </w:r>
          </w:p>
        </w:tc>
        <w:tc>
          <w:tcPr>
            <w:tcW w:w="1990" w:type="dxa"/>
          </w:tcPr>
          <w:p w14:paraId="004D5979">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响应有效期</w:t>
            </w:r>
          </w:p>
        </w:tc>
        <w:tc>
          <w:tcPr>
            <w:tcW w:w="6227" w:type="dxa"/>
            <w:vAlign w:val="center"/>
          </w:tcPr>
          <w:p w14:paraId="4B52543F">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5C3740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632FDCE">
            <w:pPr>
              <w:spacing w:line="360" w:lineRule="auto"/>
              <w:jc w:val="center"/>
              <w:rPr>
                <w:rFonts w:eastAsia="仿宋_GB2312"/>
                <w:color w:val="auto"/>
                <w:sz w:val="32"/>
                <w:szCs w:val="32"/>
                <w:highlight w:val="none"/>
              </w:rPr>
            </w:pPr>
          </w:p>
        </w:tc>
        <w:tc>
          <w:tcPr>
            <w:tcW w:w="1990" w:type="dxa"/>
            <w:vAlign w:val="center"/>
          </w:tcPr>
          <w:p w14:paraId="0281EBE4">
            <w:pPr>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6227" w:type="dxa"/>
            <w:vAlign w:val="center"/>
          </w:tcPr>
          <w:p w14:paraId="7964225A">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458BA03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180BD0D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2D40A947">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65A6F78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3A88E123">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0FB9EAE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72D3AED5">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）竞争性磋商文件规定的其他情形：见竞争性磋商公告或竞争性磋商响应须知前附表。</w:t>
            </w:r>
          </w:p>
          <w:p w14:paraId="314D49FF">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、响应人在竞争性磋商活动中有下列行为之一的，应视情节轻重，暂停或取消其参与采购人及东实集团旗下采购项目的资格：</w:t>
            </w:r>
          </w:p>
          <w:p w14:paraId="0650B90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）响应人之间相互串通、或与采购人、代理机构、评审委员会成员串通磋商，损害采购人或者其他响应人的合法权益的；</w:t>
            </w:r>
            <w:r>
              <w:rPr>
                <w:rFonts w:eastAsia="仿宋_GB2312"/>
                <w:color w:val="auto"/>
                <w:sz w:val="32"/>
                <w:szCs w:val="32"/>
                <w:highlight w:val="none"/>
              </w:rPr>
              <w:t xml:space="preserve"> </w:t>
            </w:r>
          </w:p>
          <w:p w14:paraId="42A0E00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14:paraId="3EC508E4">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）以他人名义磋商或以其他方式弄虚作假，骗取成交的；</w:t>
            </w:r>
            <w:r>
              <w:rPr>
                <w:rFonts w:eastAsia="仿宋_GB2312"/>
                <w:color w:val="auto"/>
                <w:sz w:val="32"/>
                <w:szCs w:val="32"/>
                <w:highlight w:val="none"/>
              </w:rPr>
              <w:t xml:space="preserve"> </w:t>
            </w:r>
          </w:p>
          <w:p w14:paraId="2339EDA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4F8ED2AA">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）成交人无正当理由不与采购人订立合同，在签订合同时向采购人提出附加条件，或者不按照竞争性磋商文件要求提交履约担保的；</w:t>
            </w:r>
          </w:p>
          <w:p w14:paraId="552AB64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4008C31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794F34D2">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2EC9C9C1">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、有下列情形之一的，视为响应人串通磋商，其响应无效：</w:t>
            </w:r>
          </w:p>
          <w:p w14:paraId="03D0659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6124401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59B5CFE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7BF11960">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0F8D4ABD">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1A5901F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4834F255">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、使用通过受让或者租借等方式获取的资格、资质证书响应的，属于以他人名义磋商，其响应无效：</w:t>
            </w:r>
          </w:p>
          <w:p w14:paraId="2BBE5EB2">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5B18A7AC">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23D4DFE8">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79ED499A">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1C595FBE">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31801FDF">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79876953">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p>
          <w:p w14:paraId="4CDCE409">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05219381">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（二）竞争性磋商活动前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年内与其存在劳动关系，担任其董事、监事，是其控股股东或实际控制人，或存在其他经济利益关系，可能影响竞争性磋商活动公平公正的；</w:t>
            </w:r>
          </w:p>
          <w:p w14:paraId="47C40A06">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（三）其他可能影响竞争性磋商活动公平、公正进行的关系。</w:t>
            </w:r>
          </w:p>
        </w:tc>
      </w:tr>
    </w:tbl>
    <w:p w14:paraId="65BDEA19">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429ED59E">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4619D6CF">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14:paraId="3D275308">
      <w:pPr>
        <w:pStyle w:val="46"/>
        <w:ind w:firstLine="0" w:firstLineChars="0"/>
        <w:jc w:val="center"/>
        <w:outlineLvl w:val="1"/>
        <w:rPr>
          <w:rFonts w:eastAsia="黑体"/>
          <w:color w:val="auto"/>
          <w:sz w:val="28"/>
          <w:szCs w:val="44"/>
          <w:highlight w:val="none"/>
        </w:rPr>
      </w:pPr>
      <w:r>
        <w:rPr>
          <w:rFonts w:hint="eastAsia" w:eastAsia="黑体"/>
          <w:color w:val="auto"/>
          <w:sz w:val="32"/>
          <w:szCs w:val="48"/>
          <w:highlight w:val="none"/>
        </w:rPr>
        <w:t>第二部分 评分标准</w:t>
      </w:r>
    </w:p>
    <w:tbl>
      <w:tblPr>
        <w:tblStyle w:val="24"/>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27"/>
        <w:gridCol w:w="2299"/>
        <w:gridCol w:w="2349"/>
        <w:gridCol w:w="2349"/>
      </w:tblGrid>
      <w:tr w14:paraId="784B2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14:paraId="7C83489C">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评分项目</w:t>
            </w:r>
          </w:p>
        </w:tc>
        <w:tc>
          <w:tcPr>
            <w:tcW w:w="1246" w:type="pct"/>
            <w:vAlign w:val="center"/>
          </w:tcPr>
          <w:p w14:paraId="620CF451">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价格部分</w:t>
            </w:r>
          </w:p>
        </w:tc>
        <w:tc>
          <w:tcPr>
            <w:tcW w:w="1273" w:type="pct"/>
            <w:vAlign w:val="center"/>
          </w:tcPr>
          <w:p w14:paraId="242F2CF1">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商务部分</w:t>
            </w:r>
          </w:p>
        </w:tc>
        <w:tc>
          <w:tcPr>
            <w:tcW w:w="1273" w:type="pct"/>
            <w:vAlign w:val="center"/>
          </w:tcPr>
          <w:p w14:paraId="5180A1FE">
            <w:pPr>
              <w:jc w:val="center"/>
              <w:rPr>
                <w:rFonts w:hint="eastAsia"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技术部分</w:t>
            </w:r>
          </w:p>
        </w:tc>
      </w:tr>
      <w:tr w14:paraId="63DDBF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14:paraId="5370A820">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权重（</w:t>
            </w:r>
            <w:r>
              <w:rPr>
                <w:rFonts w:ascii="仿宋_GB2312" w:hAnsi="仿宋_GB2312" w:cs="仿宋_GB2312"/>
                <w:color w:val="auto"/>
                <w:sz w:val="24"/>
                <w:szCs w:val="22"/>
                <w:highlight w:val="none"/>
              </w:rPr>
              <w:t>%）</w:t>
            </w:r>
          </w:p>
        </w:tc>
        <w:tc>
          <w:tcPr>
            <w:tcW w:w="1246" w:type="pct"/>
            <w:vAlign w:val="center"/>
          </w:tcPr>
          <w:p w14:paraId="7BB721B8">
            <w:pPr>
              <w:jc w:val="center"/>
              <w:rPr>
                <w:rFonts w:hint="default" w:ascii="仿宋_GB2312" w:hAnsi="仿宋_GB2312" w:cs="仿宋_GB2312"/>
                <w:color w:val="auto"/>
                <w:sz w:val="24"/>
                <w:szCs w:val="22"/>
                <w:highlight w:val="none"/>
                <w:lang w:val="en-US"/>
              </w:rPr>
            </w:pPr>
            <w:r>
              <w:rPr>
                <w:rFonts w:hint="default" w:ascii="仿宋_GB2312" w:hAnsi="仿宋_GB2312" w:cs="仿宋_GB2312"/>
                <w:color w:val="auto"/>
                <w:sz w:val="24"/>
                <w:szCs w:val="22"/>
                <w:highlight w:val="none"/>
                <w:lang w:val="en-US" w:eastAsia="zh-CN"/>
              </w:rPr>
              <w:t>40</w:t>
            </w:r>
          </w:p>
        </w:tc>
        <w:tc>
          <w:tcPr>
            <w:tcW w:w="1273" w:type="pct"/>
            <w:vAlign w:val="center"/>
          </w:tcPr>
          <w:p w14:paraId="581083F0">
            <w:pPr>
              <w:jc w:val="center"/>
              <w:rPr>
                <w:rFonts w:hint="default" w:ascii="仿宋_GB2312" w:hAnsi="仿宋_GB2312" w:cs="仿宋_GB2312"/>
                <w:color w:val="auto"/>
                <w:sz w:val="24"/>
                <w:szCs w:val="22"/>
                <w:highlight w:val="none"/>
                <w:lang w:val="en-US"/>
              </w:rPr>
            </w:pPr>
            <w:r>
              <w:rPr>
                <w:rFonts w:hint="default" w:ascii="仿宋_GB2312" w:hAnsi="仿宋_GB2312" w:cs="仿宋_GB2312"/>
                <w:color w:val="auto"/>
                <w:sz w:val="24"/>
                <w:szCs w:val="22"/>
                <w:highlight w:val="none"/>
                <w:lang w:val="en-US" w:eastAsia="zh-CN"/>
              </w:rPr>
              <w:t>20</w:t>
            </w:r>
          </w:p>
        </w:tc>
        <w:tc>
          <w:tcPr>
            <w:tcW w:w="1273" w:type="pct"/>
            <w:vAlign w:val="center"/>
          </w:tcPr>
          <w:p w14:paraId="5457D013">
            <w:pPr>
              <w:jc w:val="center"/>
              <w:rPr>
                <w:rFonts w:hint="default" w:ascii="仿宋_GB2312" w:hAnsi="仿宋_GB2312" w:eastAsia="宋体" w:cs="仿宋_GB2312"/>
                <w:color w:val="auto"/>
                <w:sz w:val="24"/>
                <w:szCs w:val="22"/>
                <w:highlight w:val="none"/>
                <w:lang w:val="en-US" w:eastAsia="zh-CN"/>
              </w:rPr>
            </w:pPr>
            <w:r>
              <w:rPr>
                <w:rFonts w:hint="default" w:ascii="仿宋_GB2312" w:hAnsi="仿宋_GB2312" w:cs="仿宋_GB2312"/>
                <w:color w:val="auto"/>
                <w:sz w:val="24"/>
                <w:szCs w:val="22"/>
                <w:highlight w:val="none"/>
                <w:lang w:val="en-US" w:eastAsia="zh-CN"/>
              </w:rPr>
              <w:t>40</w:t>
            </w:r>
          </w:p>
        </w:tc>
      </w:tr>
    </w:tbl>
    <w:p w14:paraId="5DC95F44">
      <w:pPr>
        <w:pStyle w:val="66"/>
        <w:numPr>
          <w:ilvl w:val="0"/>
          <w:numId w:val="6"/>
        </w:numPr>
        <w:spacing w:before="166" w:beforeLines="50" w:line="360" w:lineRule="auto"/>
        <w:ind w:firstLineChars="0"/>
        <w:rPr>
          <w:rFonts w:ascii="仿宋_GB2312" w:hAnsi="仿宋_GB2312" w:cs="仿宋_GB2312"/>
          <w:bCs/>
          <w:color w:val="auto"/>
          <w:szCs w:val="21"/>
          <w:highlight w:val="none"/>
        </w:rPr>
      </w:pPr>
      <w:r>
        <w:rPr>
          <w:rFonts w:hint="eastAsia" w:ascii="仿宋_GB2312" w:hAnsi="仿宋_GB2312" w:cs="仿宋_GB2312"/>
          <w:bCs/>
          <w:color w:val="auto"/>
          <w:szCs w:val="21"/>
          <w:highlight w:val="none"/>
        </w:rPr>
        <w:t>综合得分＝价格得分＋商务得分</w:t>
      </w:r>
      <w:r>
        <w:rPr>
          <w:rFonts w:hint="eastAsia" w:ascii="仿宋_GB2312" w:hAnsi="仿宋_GB2312" w:cs="仿宋_GB2312"/>
          <w:bCs/>
          <w:color w:val="auto"/>
          <w:szCs w:val="21"/>
          <w:highlight w:val="none"/>
          <w:lang w:val="en-US" w:eastAsia="zh-CN"/>
        </w:rPr>
        <w:t>+</w:t>
      </w:r>
      <w:r>
        <w:rPr>
          <w:rFonts w:hint="eastAsia" w:ascii="仿宋_GB2312" w:hAnsi="仿宋_GB2312" w:cs="仿宋_GB2312"/>
          <w:bCs/>
          <w:color w:val="auto"/>
          <w:szCs w:val="21"/>
          <w:highlight w:val="none"/>
        </w:rPr>
        <w:t>技术得分</w:t>
      </w:r>
    </w:p>
    <w:tbl>
      <w:tblPr>
        <w:tblStyle w:val="2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30"/>
        <w:gridCol w:w="780"/>
        <w:gridCol w:w="6623"/>
      </w:tblGrid>
      <w:tr w14:paraId="76AF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14:paraId="239F9BD0">
            <w:pPr>
              <w:pStyle w:val="45"/>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序号</w:t>
            </w:r>
          </w:p>
        </w:tc>
        <w:tc>
          <w:tcPr>
            <w:tcW w:w="1230" w:type="dxa"/>
            <w:vAlign w:val="center"/>
          </w:tcPr>
          <w:p w14:paraId="0B2DCD94">
            <w:pPr>
              <w:pStyle w:val="45"/>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评分内容</w:t>
            </w:r>
          </w:p>
        </w:tc>
        <w:tc>
          <w:tcPr>
            <w:tcW w:w="780" w:type="dxa"/>
            <w:vAlign w:val="center"/>
          </w:tcPr>
          <w:p w14:paraId="11FA9BEA">
            <w:pPr>
              <w:pStyle w:val="45"/>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分值</w:t>
            </w:r>
          </w:p>
        </w:tc>
        <w:tc>
          <w:tcPr>
            <w:tcW w:w="6623" w:type="dxa"/>
            <w:vAlign w:val="center"/>
          </w:tcPr>
          <w:p w14:paraId="01CB8484">
            <w:pPr>
              <w:pStyle w:val="45"/>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评审标准</w:t>
            </w:r>
          </w:p>
        </w:tc>
      </w:tr>
      <w:tr w14:paraId="5873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79" w:type="dxa"/>
            <w:gridSpan w:val="4"/>
            <w:vAlign w:val="center"/>
          </w:tcPr>
          <w:p w14:paraId="14EB1DD7">
            <w:pPr>
              <w:pStyle w:val="45"/>
              <w:spacing w:line="360" w:lineRule="auto"/>
              <w:ind w:firstLine="0" w:firstLineChars="0"/>
              <w:jc w:val="center"/>
              <w:rPr>
                <w:rFonts w:hAnsi="仿宋_GB2312" w:cs="仿宋_GB2312"/>
                <w:b/>
                <w:color w:val="auto"/>
                <w:sz w:val="21"/>
                <w:szCs w:val="21"/>
                <w:highlight w:val="none"/>
              </w:rPr>
            </w:pPr>
            <w:r>
              <w:rPr>
                <w:rFonts w:hint="eastAsia" w:cs="宋体"/>
                <w:b/>
                <w:color w:val="auto"/>
                <w:sz w:val="21"/>
                <w:szCs w:val="21"/>
                <w:highlight w:val="none"/>
              </w:rPr>
              <w:t>价格评分（</w:t>
            </w:r>
            <w:r>
              <w:rPr>
                <w:rFonts w:hint="default" w:cs="宋体"/>
                <w:b/>
                <w:color w:val="auto"/>
                <w:sz w:val="21"/>
                <w:szCs w:val="21"/>
                <w:highlight w:val="none"/>
                <w:lang w:val="en-US" w:eastAsia="zh-CN"/>
              </w:rPr>
              <w:t>4</w:t>
            </w:r>
            <w:r>
              <w:rPr>
                <w:rFonts w:cs="宋体"/>
                <w:b/>
                <w:color w:val="auto"/>
                <w:sz w:val="21"/>
                <w:szCs w:val="21"/>
                <w:highlight w:val="none"/>
              </w:rPr>
              <w:t>0</w:t>
            </w:r>
            <w:r>
              <w:rPr>
                <w:rFonts w:hint="eastAsia" w:cs="宋体"/>
                <w:b/>
                <w:color w:val="auto"/>
                <w:sz w:val="21"/>
                <w:szCs w:val="21"/>
                <w:highlight w:val="none"/>
              </w:rPr>
              <w:t>分）</w:t>
            </w:r>
          </w:p>
        </w:tc>
      </w:tr>
      <w:tr w14:paraId="0A9E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14:paraId="0E29D65C">
            <w:pPr>
              <w:pStyle w:val="45"/>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1</w:t>
            </w:r>
          </w:p>
        </w:tc>
        <w:tc>
          <w:tcPr>
            <w:tcW w:w="1230" w:type="dxa"/>
            <w:vAlign w:val="center"/>
          </w:tcPr>
          <w:p w14:paraId="345EE310">
            <w:pPr>
              <w:pStyle w:val="21"/>
              <w:jc w:val="center"/>
              <w:rPr>
                <w:color w:val="auto"/>
                <w:kern w:val="2"/>
                <w:sz w:val="21"/>
                <w:szCs w:val="21"/>
                <w:highlight w:val="none"/>
              </w:rPr>
            </w:pPr>
            <w:r>
              <w:rPr>
                <w:rFonts w:hint="eastAsia"/>
                <w:color w:val="auto"/>
                <w:kern w:val="2"/>
                <w:sz w:val="21"/>
                <w:szCs w:val="21"/>
                <w:highlight w:val="none"/>
              </w:rPr>
              <w:t>价格</w:t>
            </w:r>
          </w:p>
        </w:tc>
        <w:tc>
          <w:tcPr>
            <w:tcW w:w="780" w:type="dxa"/>
            <w:vAlign w:val="center"/>
          </w:tcPr>
          <w:p w14:paraId="7587416A">
            <w:pPr>
              <w:pStyle w:val="21"/>
              <w:jc w:val="center"/>
              <w:rPr>
                <w:color w:val="auto"/>
                <w:kern w:val="2"/>
                <w:sz w:val="21"/>
                <w:szCs w:val="21"/>
                <w:highlight w:val="none"/>
              </w:rPr>
            </w:pPr>
            <w:r>
              <w:rPr>
                <w:rFonts w:hint="default"/>
                <w:color w:val="auto"/>
                <w:kern w:val="2"/>
                <w:sz w:val="21"/>
                <w:szCs w:val="21"/>
                <w:highlight w:val="none"/>
                <w:lang w:val="en-US" w:eastAsia="zh-CN"/>
              </w:rPr>
              <w:t>4</w:t>
            </w:r>
            <w:r>
              <w:rPr>
                <w:color w:val="auto"/>
                <w:kern w:val="2"/>
                <w:sz w:val="21"/>
                <w:szCs w:val="21"/>
                <w:highlight w:val="none"/>
              </w:rPr>
              <w:t>0</w:t>
            </w:r>
            <w:r>
              <w:rPr>
                <w:rFonts w:hint="eastAsia"/>
                <w:color w:val="auto"/>
                <w:kern w:val="2"/>
                <w:sz w:val="21"/>
                <w:szCs w:val="21"/>
                <w:highlight w:val="none"/>
              </w:rPr>
              <w:t>分</w:t>
            </w:r>
          </w:p>
        </w:tc>
        <w:tc>
          <w:tcPr>
            <w:tcW w:w="6623" w:type="dxa"/>
            <w:vAlign w:val="center"/>
          </w:tcPr>
          <w:p w14:paraId="515569BD">
            <w:pPr>
              <w:rPr>
                <w:rFonts w:ascii="宋体" w:hAnsi="宋体" w:cs="宋体"/>
                <w:color w:val="auto"/>
                <w:szCs w:val="21"/>
                <w:highlight w:val="none"/>
              </w:rPr>
            </w:pPr>
            <w:r>
              <w:rPr>
                <w:rFonts w:hint="eastAsia" w:ascii="宋体" w:hAnsi="宋体" w:cs="宋体"/>
                <w:color w:val="auto"/>
                <w:szCs w:val="21"/>
                <w:highlight w:val="non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14:paraId="207FB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79" w:type="dxa"/>
            <w:gridSpan w:val="4"/>
            <w:vAlign w:val="center"/>
          </w:tcPr>
          <w:p w14:paraId="04CB43B4">
            <w:pPr>
              <w:spacing w:line="360" w:lineRule="auto"/>
              <w:jc w:val="center"/>
              <w:rPr>
                <w:rFonts w:ascii="宋体" w:eastAsia="宋体" w:cs="宋体"/>
                <w:b/>
                <w:color w:val="auto"/>
                <w:sz w:val="21"/>
                <w:szCs w:val="21"/>
                <w:highlight w:val="none"/>
              </w:rPr>
            </w:pPr>
            <w:r>
              <w:rPr>
                <w:rFonts w:hint="eastAsia" w:hAnsi="宋体"/>
                <w:b/>
                <w:color w:val="auto"/>
                <w:sz w:val="21"/>
                <w:szCs w:val="21"/>
                <w:highlight w:val="none"/>
              </w:rPr>
              <w:t>商务评分（</w:t>
            </w:r>
            <w:r>
              <w:rPr>
                <w:rFonts w:hint="default" w:hAnsi="宋体"/>
                <w:b/>
                <w:color w:val="auto"/>
                <w:sz w:val="21"/>
                <w:szCs w:val="21"/>
                <w:highlight w:val="none"/>
                <w:lang w:val="en-US" w:eastAsia="zh-CN"/>
              </w:rPr>
              <w:t>20</w:t>
            </w:r>
            <w:r>
              <w:rPr>
                <w:rFonts w:hint="eastAsia" w:hAnsi="宋体"/>
                <w:b/>
                <w:color w:val="auto"/>
                <w:sz w:val="21"/>
                <w:szCs w:val="21"/>
                <w:highlight w:val="none"/>
              </w:rPr>
              <w:t>分）</w:t>
            </w:r>
          </w:p>
        </w:tc>
      </w:tr>
      <w:tr w14:paraId="4E8F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846" w:type="dxa"/>
            <w:vAlign w:val="center"/>
          </w:tcPr>
          <w:p w14:paraId="362CAE39">
            <w:pPr>
              <w:spacing w:line="360" w:lineRule="auto"/>
              <w:jc w:val="center"/>
              <w:rPr>
                <w:rFonts w:ascii="仿宋_GB2312" w:hAnsi="仿宋_GB2312" w:cs="仿宋_GB2312"/>
                <w:color w:val="auto"/>
                <w:szCs w:val="21"/>
                <w:highlight w:val="none"/>
              </w:rPr>
            </w:pPr>
            <w:r>
              <w:rPr>
                <w:rFonts w:hint="eastAsia" w:hAnsi="宋体"/>
                <w:color w:val="auto"/>
                <w:sz w:val="21"/>
                <w:szCs w:val="21"/>
                <w:highlight w:val="none"/>
                <w:lang w:val="en-US" w:eastAsia="zh-CN"/>
              </w:rPr>
              <w:t>1</w:t>
            </w:r>
          </w:p>
        </w:tc>
        <w:tc>
          <w:tcPr>
            <w:tcW w:w="1230" w:type="dxa"/>
            <w:vAlign w:val="center"/>
          </w:tcPr>
          <w:p w14:paraId="39448061">
            <w:pPr>
              <w:keepNext w:val="0"/>
              <w:keepLines w:val="0"/>
              <w:pageBreakBefore w:val="0"/>
              <w:kinsoku/>
              <w:wordWrap/>
              <w:overflowPunct/>
              <w:topLinePunct w:val="0"/>
              <w:autoSpaceDE/>
              <w:autoSpaceDN/>
              <w:bidi w:val="0"/>
              <w:adjustRightIn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业绩情况</w:t>
            </w:r>
          </w:p>
        </w:tc>
        <w:tc>
          <w:tcPr>
            <w:tcW w:w="780" w:type="dxa"/>
            <w:vAlign w:val="center"/>
          </w:tcPr>
          <w:p w14:paraId="20D7B391">
            <w:pPr>
              <w:keepNext w:val="0"/>
              <w:keepLines w:val="0"/>
              <w:pageBreakBefore w:val="0"/>
              <w:widowControl/>
              <w:kinsoku/>
              <w:wordWrap/>
              <w:overflowPunct/>
              <w:topLinePunct w:val="0"/>
              <w:autoSpaceDE/>
              <w:autoSpaceDN/>
              <w:bidi w:val="0"/>
              <w:adjustRightIn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分</w:t>
            </w:r>
          </w:p>
        </w:tc>
        <w:tc>
          <w:tcPr>
            <w:tcW w:w="6623" w:type="dxa"/>
            <w:vAlign w:val="center"/>
          </w:tcPr>
          <w:p w14:paraId="46B92A8F">
            <w:pPr>
              <w:keepNext w:val="0"/>
              <w:keepLines w:val="0"/>
              <w:pageBreakBefore w:val="0"/>
              <w:kinsoku/>
              <w:wordWrap/>
              <w:overflowPunct/>
              <w:topLinePunct w:val="0"/>
              <w:autoSpaceDE/>
              <w:autoSpaceDN/>
              <w:bidi w:val="0"/>
              <w:adjustRightInd/>
              <w:snapToGrid w:val="0"/>
              <w:spacing w:line="240" w:lineRule="auto"/>
              <w:textAlignment w:val="auto"/>
              <w:rPr>
                <w:rFonts w:hint="eastAsia" w:hAnsi="宋体"/>
                <w:color w:val="auto"/>
                <w:sz w:val="21"/>
                <w:szCs w:val="21"/>
                <w:highlight w:val="none"/>
              </w:rPr>
            </w:pPr>
            <w:r>
              <w:rPr>
                <w:rFonts w:hint="eastAsia" w:hAnsi="宋体"/>
                <w:color w:val="auto"/>
                <w:sz w:val="21"/>
                <w:szCs w:val="21"/>
                <w:highlight w:val="none"/>
              </w:rPr>
              <w:t>供应商自</w:t>
            </w:r>
            <w:r>
              <w:rPr>
                <w:rFonts w:hint="eastAsia" w:hAnsi="宋体"/>
                <w:color w:val="auto"/>
                <w:sz w:val="21"/>
                <w:szCs w:val="21"/>
                <w:highlight w:val="none"/>
                <w:lang w:val="en-US" w:eastAsia="zh-CN"/>
              </w:rPr>
              <w:t>2021</w:t>
            </w:r>
            <w:r>
              <w:rPr>
                <w:rFonts w:hint="eastAsia" w:hAnsi="宋体"/>
                <w:color w:val="auto"/>
                <w:sz w:val="21"/>
                <w:szCs w:val="21"/>
                <w:highlight w:val="none"/>
              </w:rPr>
              <w:t>年</w:t>
            </w:r>
            <w:r>
              <w:rPr>
                <w:rFonts w:hint="eastAsia" w:hAnsi="宋体"/>
                <w:color w:val="auto"/>
                <w:sz w:val="21"/>
                <w:szCs w:val="21"/>
                <w:highlight w:val="none"/>
                <w:lang w:val="en-US" w:eastAsia="zh-CN"/>
              </w:rPr>
              <w:t>6月1日</w:t>
            </w:r>
            <w:r>
              <w:rPr>
                <w:rFonts w:hint="eastAsia" w:hAnsi="宋体"/>
                <w:color w:val="auto"/>
                <w:sz w:val="21"/>
                <w:szCs w:val="21"/>
                <w:highlight w:val="none"/>
              </w:rPr>
              <w:t>至今（以合同签订日期为准）</w:t>
            </w:r>
            <w:r>
              <w:rPr>
                <w:rFonts w:hint="eastAsia" w:hAnsi="宋体"/>
                <w:sz w:val="21"/>
                <w:szCs w:val="21"/>
              </w:rPr>
              <w:t>有承担过</w:t>
            </w:r>
            <w:r>
              <w:rPr>
                <w:rFonts w:hint="eastAsia" w:hAnsi="宋体"/>
                <w:sz w:val="21"/>
                <w:szCs w:val="21"/>
                <w:lang w:val="en-US" w:eastAsia="zh-CN"/>
              </w:rPr>
              <w:t>产业园项目</w:t>
            </w:r>
            <w:r>
              <w:rPr>
                <w:rFonts w:hint="eastAsia" w:hAnsi="宋体"/>
                <w:sz w:val="21"/>
                <w:szCs w:val="21"/>
              </w:rPr>
              <w:t>沙盘模型设计及制作项目</w:t>
            </w:r>
            <w:r>
              <w:rPr>
                <w:rFonts w:hint="eastAsia" w:hAnsi="宋体"/>
                <w:color w:val="auto"/>
                <w:sz w:val="21"/>
                <w:szCs w:val="21"/>
                <w:highlight w:val="none"/>
              </w:rPr>
              <w:t>的，每个合同得</w:t>
            </w:r>
            <w:r>
              <w:rPr>
                <w:rFonts w:hint="eastAsia" w:hAnsi="宋体"/>
                <w:color w:val="auto"/>
                <w:sz w:val="21"/>
                <w:szCs w:val="21"/>
                <w:highlight w:val="none"/>
                <w:lang w:val="en-US" w:eastAsia="zh-CN"/>
              </w:rPr>
              <w:t>2</w:t>
            </w:r>
            <w:r>
              <w:rPr>
                <w:rFonts w:hint="eastAsia" w:hAnsi="宋体"/>
                <w:color w:val="auto"/>
                <w:sz w:val="21"/>
                <w:szCs w:val="21"/>
                <w:highlight w:val="none"/>
              </w:rPr>
              <w:t>分，最高得1</w:t>
            </w:r>
            <w:r>
              <w:rPr>
                <w:rFonts w:hint="eastAsia" w:hAnsi="宋体"/>
                <w:color w:val="auto"/>
                <w:sz w:val="21"/>
                <w:szCs w:val="21"/>
                <w:highlight w:val="none"/>
                <w:lang w:val="en-US" w:eastAsia="zh-CN"/>
              </w:rPr>
              <w:t>2</w:t>
            </w:r>
            <w:r>
              <w:rPr>
                <w:rFonts w:hint="eastAsia" w:hAnsi="宋体"/>
                <w:color w:val="auto"/>
                <w:sz w:val="21"/>
                <w:szCs w:val="21"/>
                <w:highlight w:val="none"/>
              </w:rPr>
              <w:t>分。</w:t>
            </w:r>
          </w:p>
          <w:p w14:paraId="20C3FED6">
            <w:pPr>
              <w:keepNext w:val="0"/>
              <w:keepLines w:val="0"/>
              <w:pageBreakBefore w:val="0"/>
              <w:kinsoku/>
              <w:wordWrap/>
              <w:overflowPunct/>
              <w:topLinePunct w:val="0"/>
              <w:autoSpaceDE/>
              <w:autoSpaceDN/>
              <w:bidi w:val="0"/>
              <w:adjustRightInd/>
              <w:snapToGrid w:val="0"/>
              <w:spacing w:line="240" w:lineRule="auto"/>
              <w:textAlignment w:val="auto"/>
              <w:rPr>
                <w:rFonts w:ascii="宋体" w:hAnsi="宋体" w:cs="宋体"/>
                <w:color w:val="auto"/>
                <w:szCs w:val="21"/>
                <w:highlight w:val="none"/>
              </w:rPr>
            </w:pPr>
            <w:r>
              <w:rPr>
                <w:rFonts w:hint="eastAsia" w:hAnsi="宋体"/>
                <w:b/>
                <w:bCs/>
                <w:sz w:val="21"/>
                <w:szCs w:val="21"/>
                <w:u w:val="single"/>
              </w:rPr>
              <w:t>注：以上业绩不重复得分，须提供合同关键页复印件（关键页包括合同名称、合同时间、签字盖章页）以</w:t>
            </w:r>
            <w:r>
              <w:rPr>
                <w:rFonts w:hint="eastAsia" w:ascii="Calibri" w:hAnsi="宋体"/>
                <w:b/>
                <w:bCs/>
                <w:kern w:val="2"/>
                <w:sz w:val="21"/>
                <w:szCs w:val="21"/>
                <w:u w:val="single"/>
              </w:rPr>
              <w:t>及与项目相关的发票等材料</w:t>
            </w:r>
            <w:r>
              <w:rPr>
                <w:rFonts w:hint="eastAsia"/>
                <w:b/>
                <w:bCs/>
                <w:sz w:val="21"/>
                <w:szCs w:val="21"/>
                <w:u w:val="single"/>
              </w:rPr>
              <w:t>加盖供应商公章</w:t>
            </w:r>
            <w:r>
              <w:rPr>
                <w:rFonts w:hint="eastAsia"/>
                <w:b/>
                <w:bCs/>
                <w:color w:val="000000" w:themeColor="text1"/>
                <w:sz w:val="21"/>
                <w:szCs w:val="21"/>
                <w:u w:val="single"/>
                <w14:textFill>
                  <w14:solidFill>
                    <w14:schemeClr w14:val="tx1"/>
                  </w14:solidFill>
                </w14:textFill>
              </w:rPr>
              <w:t>，无提供不得分。</w:t>
            </w:r>
          </w:p>
        </w:tc>
      </w:tr>
      <w:tr w14:paraId="5EDA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14:paraId="62CCF698">
            <w:pPr>
              <w:spacing w:line="360" w:lineRule="auto"/>
              <w:jc w:val="center"/>
              <w:rPr>
                <w:color w:val="auto"/>
                <w:kern w:val="2"/>
                <w:sz w:val="21"/>
                <w:szCs w:val="21"/>
                <w:highlight w:val="none"/>
              </w:rPr>
            </w:pPr>
            <w:r>
              <w:rPr>
                <w:rFonts w:hint="eastAsia" w:hAnsi="宋体"/>
                <w:color w:val="auto"/>
                <w:sz w:val="21"/>
                <w:szCs w:val="21"/>
                <w:highlight w:val="none"/>
                <w:lang w:val="en-US" w:eastAsia="zh-CN"/>
              </w:rPr>
              <w:t>2</w:t>
            </w:r>
          </w:p>
        </w:tc>
        <w:tc>
          <w:tcPr>
            <w:tcW w:w="1230" w:type="dxa"/>
            <w:vAlign w:val="center"/>
          </w:tcPr>
          <w:p w14:paraId="7CF5A25B">
            <w:pPr>
              <w:keepNext w:val="0"/>
              <w:keepLines w:val="0"/>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szCs w:val="21"/>
                <w:highlight w:val="none"/>
              </w:rPr>
              <w:t>项目负责人</w:t>
            </w:r>
          </w:p>
        </w:tc>
        <w:tc>
          <w:tcPr>
            <w:tcW w:w="780" w:type="dxa"/>
            <w:vAlign w:val="center"/>
          </w:tcPr>
          <w:p w14:paraId="4C0896C0">
            <w:pPr>
              <w:keepNext w:val="0"/>
              <w:keepLines w:val="0"/>
              <w:pageBreakBefore w:val="0"/>
              <w:kinsoku/>
              <w:wordWrap/>
              <w:overflowPunct/>
              <w:topLinePunct w:val="0"/>
              <w:autoSpaceDE/>
              <w:autoSpaceDN/>
              <w:bidi w:val="0"/>
              <w:adjustRightIn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c>
          <w:tcPr>
            <w:tcW w:w="6623" w:type="dxa"/>
            <w:vAlign w:val="center"/>
          </w:tcPr>
          <w:p w14:paraId="24F31ACD">
            <w:pPr>
              <w:snapToGrid w:val="0"/>
              <w:ind w:firstLine="0" w:firstLineChars="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根据项目负责人的资历、业绩、任职等方面进行评比：</w:t>
            </w:r>
          </w:p>
          <w:p w14:paraId="5E41EBED">
            <w:pPr>
              <w:snapToGrid w:val="0"/>
              <w:ind w:firstLine="0" w:firstLineChars="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优：资历丰富、业绩充分、在公司任职职位副总经理或以上，得</w:t>
            </w:r>
            <w:r>
              <w:rPr>
                <w:rFonts w:hint="eastAsia" w:ascii="Times New Roman" w:hAnsi="Times New Roman" w:cs="Times New Roman"/>
                <w:color w:val="auto"/>
                <w:szCs w:val="21"/>
                <w:highlight w:val="none"/>
                <w:lang w:val="en-US" w:eastAsia="zh-CN"/>
              </w:rPr>
              <w:t>8</w:t>
            </w:r>
            <w:r>
              <w:rPr>
                <w:rFonts w:hint="eastAsia" w:ascii="Times New Roman" w:hAnsi="Times New Roman" w:cs="Times New Roman"/>
                <w:color w:val="auto"/>
                <w:szCs w:val="21"/>
                <w:highlight w:val="none"/>
              </w:rPr>
              <w:t>分；</w:t>
            </w:r>
          </w:p>
          <w:p w14:paraId="3901081B">
            <w:pPr>
              <w:snapToGrid w:val="0"/>
              <w:ind w:firstLine="0" w:firstLineChars="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良：资历丰富、业绩较多、在公司任职职位总监或以上，得</w:t>
            </w:r>
            <w:r>
              <w:rPr>
                <w:rFonts w:hint="eastAsia" w:ascii="Times New Roman" w:hAnsi="Times New Roman" w:cs="Times New Roman"/>
                <w:color w:val="auto"/>
                <w:szCs w:val="21"/>
                <w:highlight w:val="none"/>
                <w:lang w:val="en-US" w:eastAsia="zh-CN"/>
              </w:rPr>
              <w:t>6</w:t>
            </w:r>
            <w:r>
              <w:rPr>
                <w:rFonts w:hint="eastAsia" w:ascii="Times New Roman" w:hAnsi="Times New Roman" w:cs="Times New Roman"/>
                <w:color w:val="auto"/>
                <w:szCs w:val="21"/>
                <w:highlight w:val="none"/>
              </w:rPr>
              <w:t>分；</w:t>
            </w:r>
          </w:p>
          <w:p w14:paraId="04F954E5">
            <w:pPr>
              <w:snapToGrid w:val="0"/>
              <w:ind w:firstLine="0" w:firstLineChars="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中：资历一般、业绩一般、在公司任职职位总监以下，得</w:t>
            </w:r>
            <w:r>
              <w:rPr>
                <w:rFonts w:hint="eastAsia" w:ascii="Times New Roman" w:hAnsi="Times New Roman" w:cs="Times New Roman"/>
                <w:color w:val="auto"/>
                <w:szCs w:val="21"/>
                <w:highlight w:val="none"/>
                <w:lang w:val="en-US" w:eastAsia="zh-CN"/>
              </w:rPr>
              <w:t>4</w:t>
            </w:r>
            <w:r>
              <w:rPr>
                <w:rFonts w:hint="eastAsia" w:ascii="Times New Roman" w:hAnsi="Times New Roman" w:cs="Times New Roman"/>
                <w:color w:val="auto"/>
                <w:szCs w:val="21"/>
                <w:highlight w:val="none"/>
              </w:rPr>
              <w:t>分。</w:t>
            </w:r>
          </w:p>
          <w:p w14:paraId="70010DF5">
            <w:pPr>
              <w:snapToGrid w:val="0"/>
              <w:ind w:firstLine="0" w:firstLineChars="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差：资历不足、业绩较少、在公司任职职位为一般职员，得</w:t>
            </w:r>
            <w:r>
              <w:rPr>
                <w:rFonts w:hint="eastAsia" w:ascii="Times New Roman" w:hAnsi="Times New Roman" w:cs="Times New Roman"/>
                <w:color w:val="auto"/>
                <w:szCs w:val="21"/>
                <w:highlight w:val="none"/>
                <w:lang w:val="en-US" w:eastAsia="zh-CN"/>
              </w:rPr>
              <w:t>2</w:t>
            </w:r>
            <w:r>
              <w:rPr>
                <w:rFonts w:hint="eastAsia" w:ascii="Times New Roman" w:hAnsi="Times New Roman" w:cs="Times New Roman"/>
                <w:color w:val="auto"/>
                <w:szCs w:val="21"/>
                <w:highlight w:val="none"/>
              </w:rPr>
              <w:t>分。</w:t>
            </w:r>
          </w:p>
          <w:p w14:paraId="6370F7FF">
            <w:pPr>
              <w:snapToGrid w:val="0"/>
              <w:ind w:firstLine="0" w:firstLineChars="0"/>
              <w:rPr>
                <w:rFonts w:hint="eastAsia"/>
                <w:color w:val="auto"/>
                <w:szCs w:val="21"/>
                <w:highlight w:val="none"/>
              </w:rPr>
            </w:pPr>
            <w:r>
              <w:rPr>
                <w:rFonts w:hint="eastAsia"/>
                <w:color w:val="auto"/>
                <w:szCs w:val="21"/>
                <w:highlight w:val="none"/>
              </w:rPr>
              <w:t>未提供，不得分。</w:t>
            </w:r>
          </w:p>
          <w:p w14:paraId="4BC031D0">
            <w:pPr>
              <w:keepNext w:val="0"/>
              <w:keepLines w:val="0"/>
              <w:pageBreakBefore w:val="0"/>
              <w:kinsoku/>
              <w:wordWrap/>
              <w:overflowPunct/>
              <w:topLinePunct w:val="0"/>
              <w:autoSpaceDE/>
              <w:autoSpaceDN/>
              <w:bidi w:val="0"/>
              <w:adjustRightInd/>
              <w:snapToGrid w:val="0"/>
              <w:spacing w:line="240" w:lineRule="auto"/>
              <w:textAlignment w:val="auto"/>
              <w:rPr>
                <w:rFonts w:ascii="宋体" w:hAnsi="宋体" w:cs="宋体"/>
                <w:color w:val="auto"/>
                <w:szCs w:val="21"/>
                <w:highlight w:val="none"/>
              </w:rPr>
            </w:pPr>
            <w:r>
              <w:rPr>
                <w:rFonts w:hint="eastAsia" w:ascii="宋体" w:hAnsi="宋体" w:cs="宋体"/>
                <w:b/>
                <w:szCs w:val="21"/>
                <w:highlight w:val="none"/>
                <w:u w:val="single"/>
              </w:rPr>
              <w:t>注：项目负责人须提供公司任免或聘用证明文件、个人简历（含业绩证明）、近三个月(不含开标当月)社保缴纳凭证等材料加盖公章。</w:t>
            </w:r>
          </w:p>
        </w:tc>
      </w:tr>
      <w:tr w14:paraId="423D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479" w:type="dxa"/>
            <w:gridSpan w:val="4"/>
            <w:vAlign w:val="center"/>
          </w:tcPr>
          <w:p w14:paraId="4FEDDF04">
            <w:pPr>
              <w:spacing w:line="360" w:lineRule="auto"/>
              <w:jc w:val="center"/>
              <w:rPr>
                <w:rFonts w:ascii="宋体" w:hAnsi="宋体" w:cs="宋体"/>
                <w:color w:val="auto"/>
                <w:szCs w:val="21"/>
                <w:highlight w:val="none"/>
              </w:rPr>
            </w:pPr>
            <w:r>
              <w:rPr>
                <w:rFonts w:hint="eastAsia" w:hAnsi="宋体"/>
                <w:b/>
                <w:color w:val="auto"/>
                <w:sz w:val="21"/>
                <w:szCs w:val="21"/>
                <w:highlight w:val="none"/>
              </w:rPr>
              <w:t>技术评分（</w:t>
            </w:r>
            <w:r>
              <w:rPr>
                <w:rFonts w:hint="default" w:hAnsi="宋体"/>
                <w:b/>
                <w:color w:val="auto"/>
                <w:sz w:val="21"/>
                <w:szCs w:val="21"/>
                <w:highlight w:val="none"/>
                <w:lang w:val="en-US" w:eastAsia="zh-CN"/>
              </w:rPr>
              <w:t>40</w:t>
            </w:r>
            <w:r>
              <w:rPr>
                <w:rFonts w:hint="eastAsia" w:hAnsi="宋体"/>
                <w:b/>
                <w:color w:val="auto"/>
                <w:sz w:val="21"/>
                <w:szCs w:val="21"/>
                <w:highlight w:val="none"/>
              </w:rPr>
              <w:t>分）</w:t>
            </w:r>
          </w:p>
        </w:tc>
      </w:tr>
      <w:tr w14:paraId="32D5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846" w:type="dxa"/>
            <w:vAlign w:val="center"/>
          </w:tcPr>
          <w:p w14:paraId="27688E77">
            <w:pPr>
              <w:jc w:val="center"/>
              <w:rPr>
                <w:color w:val="auto"/>
                <w:kern w:val="2"/>
                <w:sz w:val="21"/>
                <w:szCs w:val="21"/>
                <w:highlight w:val="none"/>
              </w:rPr>
            </w:pPr>
            <w:r>
              <w:rPr>
                <w:rFonts w:hint="eastAsia" w:hAnsi="宋体"/>
                <w:color w:val="auto"/>
                <w:szCs w:val="21"/>
                <w:highlight w:val="none"/>
              </w:rPr>
              <w:t>1</w:t>
            </w:r>
          </w:p>
        </w:tc>
        <w:tc>
          <w:tcPr>
            <w:tcW w:w="1230" w:type="dxa"/>
            <w:vAlign w:val="center"/>
          </w:tcPr>
          <w:p w14:paraId="31BE2C30">
            <w:pPr>
              <w:keepNext w:val="0"/>
              <w:keepLines w:val="0"/>
              <w:pageBreakBefore w:val="0"/>
              <w:kinsoku/>
              <w:wordWrap/>
              <w:overflowPunct/>
              <w:topLinePunct w:val="0"/>
              <w:autoSpaceDE/>
              <w:autoSpaceDN/>
              <w:bidi w:val="0"/>
              <w:adjustRightInd/>
              <w:spacing w:line="240" w:lineRule="auto"/>
              <w:textAlignment w:val="auto"/>
              <w:rPr>
                <w:rFonts w:ascii="宋体" w:hAnsi="宋体" w:cs="宋体"/>
                <w:color w:val="auto"/>
                <w:szCs w:val="21"/>
                <w:highlight w:val="none"/>
              </w:rPr>
            </w:pPr>
            <w:r>
              <w:rPr>
                <w:rFonts w:hint="eastAsia"/>
                <w:color w:val="auto"/>
                <w:sz w:val="21"/>
                <w:szCs w:val="21"/>
                <w:highlight w:val="none"/>
              </w:rPr>
              <w:t>项目初步分析</w:t>
            </w:r>
          </w:p>
        </w:tc>
        <w:tc>
          <w:tcPr>
            <w:tcW w:w="780" w:type="dxa"/>
            <w:vAlign w:val="center"/>
          </w:tcPr>
          <w:p w14:paraId="63AF3A07">
            <w:pPr>
              <w:keepNext w:val="0"/>
              <w:keepLines w:val="0"/>
              <w:pageBreakBefore w:val="0"/>
              <w:kinsoku/>
              <w:wordWrap/>
              <w:overflowPunct/>
              <w:topLinePunct w:val="0"/>
              <w:autoSpaceDE/>
              <w:autoSpaceDN/>
              <w:bidi w:val="0"/>
              <w:adjustRightIn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c>
          <w:tcPr>
            <w:tcW w:w="6623" w:type="dxa"/>
            <w:vAlign w:val="center"/>
          </w:tcPr>
          <w:p w14:paraId="3FF9E73E">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根据供应商对本项目</w:t>
            </w:r>
            <w:r>
              <w:rPr>
                <w:rFonts w:hint="eastAsia" w:hAnsi="宋体"/>
                <w:color w:val="auto"/>
                <w:sz w:val="21"/>
                <w:szCs w:val="21"/>
                <w:highlight w:val="none"/>
                <w:lang w:val="en-US" w:eastAsia="zh-CN"/>
              </w:rPr>
              <w:t>及周边配套点位</w:t>
            </w:r>
            <w:r>
              <w:rPr>
                <w:rFonts w:hint="eastAsia" w:hAnsi="宋体"/>
                <w:color w:val="auto"/>
                <w:sz w:val="21"/>
                <w:szCs w:val="21"/>
                <w:highlight w:val="none"/>
              </w:rPr>
              <w:t>初步分析是否合理、可行、适用等方面进行评价：</w:t>
            </w:r>
          </w:p>
          <w:p w14:paraId="64D513FD">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优：分析和响应程度完整合理、可行性强，完全满足并优于磋商文件要求，得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7006DE49">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良：分析和响应程度完整、可行性一般，符合磋商文件要求，得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7E383420">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中：分析和响应程度基本完整、可行性较差，基本符合磋商文件要求，得3分；</w:t>
            </w:r>
          </w:p>
          <w:p w14:paraId="0A59BDCB">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差：有对磋商文件响应，但不完整，可行性差，难以满足磋商文件要求，得1分；</w:t>
            </w:r>
          </w:p>
          <w:p w14:paraId="4C0E303A">
            <w:pPr>
              <w:keepNext w:val="0"/>
              <w:keepLines w:val="0"/>
              <w:pageBreakBefore w:val="0"/>
              <w:kinsoku/>
              <w:wordWrap/>
              <w:overflowPunct/>
              <w:topLinePunct w:val="0"/>
              <w:autoSpaceDE/>
              <w:autoSpaceDN/>
              <w:bidi w:val="0"/>
              <w:adjustRightInd/>
              <w:spacing w:line="240" w:lineRule="auto"/>
              <w:textAlignment w:val="auto"/>
              <w:rPr>
                <w:rFonts w:hint="eastAsia" w:ascii="宋体" w:hAnsi="宋体" w:cs="宋体"/>
                <w:color w:val="auto"/>
                <w:sz w:val="21"/>
                <w:szCs w:val="21"/>
                <w:highlight w:val="none"/>
              </w:rPr>
            </w:pPr>
            <w:r>
              <w:rPr>
                <w:rFonts w:hint="eastAsia" w:hAnsi="宋体"/>
                <w:color w:val="auto"/>
                <w:sz w:val="21"/>
                <w:szCs w:val="21"/>
                <w:highlight w:val="none"/>
              </w:rPr>
              <w:t>未提供对应方案不得分。</w:t>
            </w:r>
          </w:p>
        </w:tc>
      </w:tr>
      <w:tr w14:paraId="4B60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846" w:type="dxa"/>
            <w:vAlign w:val="center"/>
          </w:tcPr>
          <w:p w14:paraId="18CC1948">
            <w:pPr>
              <w:jc w:val="center"/>
              <w:rPr>
                <w:rFonts w:hint="default" w:hAnsi="宋体"/>
                <w:color w:val="auto"/>
                <w:sz w:val="21"/>
                <w:szCs w:val="21"/>
                <w:highlight w:val="none"/>
                <w:lang w:val="en-US" w:eastAsia="zh-CN"/>
              </w:rPr>
            </w:pPr>
            <w:r>
              <w:rPr>
                <w:rFonts w:hint="eastAsia" w:hAnsi="宋体"/>
                <w:color w:val="auto"/>
                <w:szCs w:val="21"/>
                <w:highlight w:val="none"/>
              </w:rPr>
              <w:t>2</w:t>
            </w:r>
          </w:p>
        </w:tc>
        <w:tc>
          <w:tcPr>
            <w:tcW w:w="1230" w:type="dxa"/>
            <w:vAlign w:val="center"/>
          </w:tcPr>
          <w:p w14:paraId="53876DD5">
            <w:pPr>
              <w:keepNext w:val="0"/>
              <w:keepLines w:val="0"/>
              <w:pageBreakBefore w:val="0"/>
              <w:kinsoku/>
              <w:wordWrap/>
              <w:overflowPunct/>
              <w:topLinePunct w:val="0"/>
              <w:autoSpaceDE/>
              <w:autoSpaceDN/>
              <w:bidi w:val="0"/>
              <w:adjustRightInd/>
              <w:spacing w:line="240" w:lineRule="auto"/>
              <w:textAlignment w:val="auto"/>
              <w:rPr>
                <w:rFonts w:hint="eastAsia" w:hAnsi="宋体" w:cs="宋体"/>
                <w:color w:val="auto"/>
                <w:szCs w:val="21"/>
                <w:highlight w:val="none"/>
              </w:rPr>
            </w:pPr>
            <w:r>
              <w:rPr>
                <w:rFonts w:hint="eastAsia" w:hAnsi="宋体"/>
                <w:color w:val="auto"/>
                <w:sz w:val="21"/>
                <w:szCs w:val="21"/>
                <w:highlight w:val="none"/>
              </w:rPr>
              <w:t>针对性设计方案</w:t>
            </w:r>
          </w:p>
        </w:tc>
        <w:tc>
          <w:tcPr>
            <w:tcW w:w="780" w:type="dxa"/>
            <w:vAlign w:val="center"/>
          </w:tcPr>
          <w:p w14:paraId="3718F04D">
            <w:pPr>
              <w:keepNext w:val="0"/>
              <w:keepLines w:val="0"/>
              <w:pageBreakBefore w:val="0"/>
              <w:kinsoku/>
              <w:wordWrap/>
              <w:overflowPunct/>
              <w:topLinePunct w:val="0"/>
              <w:autoSpaceDE/>
              <w:autoSpaceDN/>
              <w:bidi w:val="0"/>
              <w:adjustRightInd/>
              <w:spacing w:line="240" w:lineRule="auto"/>
              <w:textAlignment w:val="auto"/>
              <w:rPr>
                <w:rFonts w:hint="default" w:hAnsi="宋体" w:cs="宋体"/>
                <w:color w:val="auto"/>
                <w:szCs w:val="21"/>
                <w:highlight w:val="none"/>
                <w:lang w:val="en-US"/>
              </w:rPr>
            </w:pPr>
            <w:r>
              <w:rPr>
                <w:rFonts w:hint="eastAsia" w:hAnsi="宋体"/>
                <w:color w:val="auto"/>
                <w:sz w:val="21"/>
                <w:szCs w:val="21"/>
                <w:highlight w:val="none"/>
                <w:lang w:val="en-US" w:eastAsia="zh-CN"/>
              </w:rPr>
              <w:t>8</w:t>
            </w:r>
            <w:r>
              <w:rPr>
                <w:rFonts w:hint="eastAsia" w:hAnsi="宋体"/>
                <w:color w:val="auto"/>
                <w:sz w:val="21"/>
                <w:szCs w:val="21"/>
                <w:highlight w:val="none"/>
              </w:rPr>
              <w:t>分</w:t>
            </w:r>
          </w:p>
        </w:tc>
        <w:tc>
          <w:tcPr>
            <w:tcW w:w="6623" w:type="dxa"/>
            <w:vAlign w:val="center"/>
          </w:tcPr>
          <w:p w14:paraId="201D145F">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根据供应商针对本项目设计方案是否合理、可行、适用、易于实施等方面进行评价：</w:t>
            </w:r>
          </w:p>
          <w:p w14:paraId="5EC489E7">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优：方案完整合理、可行性强，完全满足并优于磋商文件要求，得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357559BE">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良：方案完整、可行性一般，符合磋商文件要求，得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3F1BF312">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中：方案基本完整、可行性较差，基本符合磋商文件要求，得3分；</w:t>
            </w:r>
          </w:p>
          <w:p w14:paraId="55A89555">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差：方案不完整、可行性差，难以满足磋商文件要求，得1分；</w:t>
            </w:r>
          </w:p>
          <w:p w14:paraId="168E7C44">
            <w:pPr>
              <w:keepNext w:val="0"/>
              <w:keepLines w:val="0"/>
              <w:pageBreakBefore w:val="0"/>
              <w:kinsoku/>
              <w:wordWrap/>
              <w:overflowPunct/>
              <w:topLinePunct w:val="0"/>
              <w:autoSpaceDE/>
              <w:autoSpaceDN/>
              <w:bidi w:val="0"/>
              <w:adjustRightInd/>
              <w:spacing w:line="240" w:lineRule="auto"/>
              <w:textAlignment w:val="auto"/>
              <w:rPr>
                <w:rFonts w:hint="eastAsia" w:ascii="宋体" w:hAnsi="宋体" w:cs="宋体"/>
                <w:color w:val="auto"/>
                <w:szCs w:val="21"/>
                <w:highlight w:val="none"/>
              </w:rPr>
            </w:pPr>
            <w:r>
              <w:rPr>
                <w:rFonts w:hint="eastAsia" w:hAnsi="宋体"/>
                <w:color w:val="auto"/>
                <w:sz w:val="21"/>
                <w:szCs w:val="21"/>
                <w:highlight w:val="none"/>
              </w:rPr>
              <w:t>未提供对应方案不得分。</w:t>
            </w:r>
          </w:p>
        </w:tc>
      </w:tr>
      <w:tr w14:paraId="3585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846" w:type="dxa"/>
            <w:vAlign w:val="center"/>
          </w:tcPr>
          <w:p w14:paraId="5AC23BCA">
            <w:pPr>
              <w:jc w:val="center"/>
              <w:rPr>
                <w:rFonts w:hint="default" w:hAnsi="宋体"/>
                <w:color w:val="auto"/>
                <w:sz w:val="21"/>
                <w:szCs w:val="21"/>
                <w:highlight w:val="none"/>
                <w:lang w:val="en-US" w:eastAsia="zh-CN"/>
              </w:rPr>
            </w:pPr>
            <w:r>
              <w:rPr>
                <w:rFonts w:hint="eastAsia" w:hAnsi="宋体"/>
                <w:color w:val="auto"/>
                <w:szCs w:val="21"/>
                <w:highlight w:val="none"/>
              </w:rPr>
              <w:t>3</w:t>
            </w:r>
          </w:p>
        </w:tc>
        <w:tc>
          <w:tcPr>
            <w:tcW w:w="1230" w:type="dxa"/>
            <w:vAlign w:val="center"/>
          </w:tcPr>
          <w:p w14:paraId="4278B937">
            <w:pPr>
              <w:keepNext w:val="0"/>
              <w:keepLines w:val="0"/>
              <w:pageBreakBefore w:val="0"/>
              <w:kinsoku/>
              <w:wordWrap/>
              <w:overflowPunct/>
              <w:topLinePunct w:val="0"/>
              <w:autoSpaceDE/>
              <w:autoSpaceDN/>
              <w:bidi w:val="0"/>
              <w:adjustRightInd/>
              <w:spacing w:line="240" w:lineRule="auto"/>
              <w:textAlignment w:val="auto"/>
              <w:rPr>
                <w:rFonts w:hint="eastAsia" w:ascii="Times New Roman" w:hAnsi="宋体" w:eastAsia="宋体" w:cs="宋体"/>
                <w:color w:val="auto"/>
                <w:kern w:val="2"/>
                <w:sz w:val="21"/>
                <w:szCs w:val="21"/>
                <w:highlight w:val="none"/>
                <w:lang w:val="en-US" w:eastAsia="zh-CN" w:bidi="ar-SA"/>
              </w:rPr>
            </w:pPr>
            <w:r>
              <w:rPr>
                <w:rFonts w:hint="eastAsia" w:hAnsi="宋体"/>
                <w:color w:val="auto"/>
                <w:sz w:val="21"/>
                <w:szCs w:val="21"/>
                <w:highlight w:val="none"/>
              </w:rPr>
              <w:t>制作工艺与制作周期</w:t>
            </w:r>
          </w:p>
        </w:tc>
        <w:tc>
          <w:tcPr>
            <w:tcW w:w="780" w:type="dxa"/>
            <w:vAlign w:val="center"/>
          </w:tcPr>
          <w:p w14:paraId="12F31B04">
            <w:pPr>
              <w:keepNext w:val="0"/>
              <w:keepLines w:val="0"/>
              <w:pageBreakBefore w:val="0"/>
              <w:kinsoku/>
              <w:wordWrap/>
              <w:overflowPunct/>
              <w:topLinePunct w:val="0"/>
              <w:autoSpaceDE/>
              <w:autoSpaceDN/>
              <w:bidi w:val="0"/>
              <w:adjustRightInd/>
              <w:spacing w:line="240" w:lineRule="auto"/>
              <w:textAlignment w:val="auto"/>
              <w:rPr>
                <w:rFonts w:hint="default" w:ascii="Times New Roman" w:hAnsi="宋体" w:eastAsia="宋体" w:cs="宋体"/>
                <w:color w:val="auto"/>
                <w:kern w:val="2"/>
                <w:sz w:val="21"/>
                <w:szCs w:val="21"/>
                <w:highlight w:val="none"/>
                <w:lang w:val="en-US" w:eastAsia="zh-CN" w:bidi="ar-SA"/>
              </w:rPr>
            </w:pPr>
            <w:r>
              <w:rPr>
                <w:rFonts w:hint="eastAsia" w:hAnsi="宋体"/>
                <w:color w:val="auto"/>
                <w:sz w:val="21"/>
                <w:szCs w:val="21"/>
                <w:highlight w:val="none"/>
                <w:lang w:val="en-US" w:eastAsia="zh-CN"/>
              </w:rPr>
              <w:t>8</w:t>
            </w:r>
            <w:r>
              <w:rPr>
                <w:rFonts w:hint="eastAsia" w:hAnsi="宋体"/>
                <w:color w:val="auto"/>
                <w:sz w:val="21"/>
                <w:szCs w:val="21"/>
                <w:highlight w:val="none"/>
              </w:rPr>
              <w:t>分</w:t>
            </w:r>
          </w:p>
        </w:tc>
        <w:tc>
          <w:tcPr>
            <w:tcW w:w="6623" w:type="dxa"/>
            <w:vAlign w:val="center"/>
          </w:tcPr>
          <w:p w14:paraId="5E0BEDAD">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根据供应商针对本项目制作工艺与制作周期是否合理、可行、适用、易于实施等方面进行评价：</w:t>
            </w:r>
          </w:p>
          <w:p w14:paraId="76CA44DE">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优：制作工艺与制作周期完整合理、可行性强，完全满足并优于磋商文件要求，得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44DABAA8">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良：制作工艺与制作周期完整、可行性一般，符合磋商文件要求，得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7CE318DF">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中：制作工艺与制作周期基本完整、可行性较差，基本符合磋商文件要求，得3分；</w:t>
            </w:r>
          </w:p>
          <w:p w14:paraId="3E1DDEFB">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差：制作工艺与制作周期不完整、可行性差，难以满足磋商文件要求，得1分；</w:t>
            </w:r>
          </w:p>
          <w:p w14:paraId="79E367DF">
            <w:pPr>
              <w:keepNext w:val="0"/>
              <w:keepLines w:val="0"/>
              <w:pageBreakBefore w:val="0"/>
              <w:kinsoku/>
              <w:wordWrap/>
              <w:overflowPunct/>
              <w:topLinePunct w:val="0"/>
              <w:autoSpaceDE/>
              <w:autoSpaceDN/>
              <w:bidi w:val="0"/>
              <w:adjustRightInd/>
              <w:spacing w:line="240" w:lineRule="auto"/>
              <w:textAlignment w:val="auto"/>
              <w:rPr>
                <w:rFonts w:hint="eastAsia" w:ascii="宋体" w:hAnsi="宋体" w:eastAsia="宋体" w:cs="宋体"/>
                <w:color w:val="auto"/>
                <w:kern w:val="2"/>
                <w:sz w:val="21"/>
                <w:szCs w:val="21"/>
                <w:highlight w:val="none"/>
                <w:lang w:val="en-US" w:eastAsia="zh-CN" w:bidi="ar-SA"/>
              </w:rPr>
            </w:pPr>
            <w:r>
              <w:rPr>
                <w:rFonts w:hint="eastAsia" w:hAnsi="宋体"/>
                <w:color w:val="auto"/>
                <w:sz w:val="21"/>
                <w:szCs w:val="21"/>
                <w:highlight w:val="none"/>
              </w:rPr>
              <w:t>未提供对应方案不得分。</w:t>
            </w:r>
          </w:p>
        </w:tc>
      </w:tr>
      <w:tr w14:paraId="5B48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846" w:type="dxa"/>
            <w:vAlign w:val="center"/>
          </w:tcPr>
          <w:p w14:paraId="6F1E8015">
            <w:pPr>
              <w:jc w:val="center"/>
              <w:rPr>
                <w:rFonts w:hint="default" w:hAnsi="宋体"/>
                <w:color w:val="auto"/>
                <w:sz w:val="21"/>
                <w:szCs w:val="21"/>
                <w:highlight w:val="none"/>
                <w:lang w:val="en-US" w:eastAsia="zh-CN"/>
              </w:rPr>
            </w:pPr>
            <w:r>
              <w:rPr>
                <w:rFonts w:hint="eastAsia" w:hAnsi="宋体"/>
                <w:color w:val="auto"/>
                <w:szCs w:val="21"/>
                <w:highlight w:val="none"/>
                <w:lang w:val="en-US" w:eastAsia="zh-CN"/>
              </w:rPr>
              <w:t>4</w:t>
            </w:r>
          </w:p>
        </w:tc>
        <w:tc>
          <w:tcPr>
            <w:tcW w:w="1230" w:type="dxa"/>
            <w:vAlign w:val="center"/>
          </w:tcPr>
          <w:p w14:paraId="3F2FE30F">
            <w:pPr>
              <w:keepNext w:val="0"/>
              <w:keepLines w:val="0"/>
              <w:pageBreakBefore w:val="0"/>
              <w:kinsoku/>
              <w:wordWrap/>
              <w:overflowPunct/>
              <w:topLinePunct w:val="0"/>
              <w:autoSpaceDE/>
              <w:autoSpaceDN/>
              <w:bidi w:val="0"/>
              <w:adjustRightInd/>
              <w:spacing w:line="240" w:lineRule="auto"/>
              <w:textAlignment w:val="auto"/>
              <w:rPr>
                <w:rFonts w:hint="eastAsia" w:hAnsi="宋体" w:eastAsia="宋体" w:cs="宋体"/>
                <w:color w:val="auto"/>
                <w:szCs w:val="21"/>
                <w:highlight w:val="none"/>
                <w:lang w:eastAsia="zh-CN"/>
              </w:rPr>
            </w:pPr>
            <w:r>
              <w:rPr>
                <w:rFonts w:hint="eastAsia" w:hAnsi="宋体"/>
                <w:color w:val="auto"/>
                <w:sz w:val="21"/>
                <w:szCs w:val="21"/>
                <w:highlight w:val="none"/>
              </w:rPr>
              <w:t>实施计划</w:t>
            </w:r>
          </w:p>
        </w:tc>
        <w:tc>
          <w:tcPr>
            <w:tcW w:w="780" w:type="dxa"/>
            <w:vAlign w:val="center"/>
          </w:tcPr>
          <w:p w14:paraId="42753441">
            <w:pPr>
              <w:keepNext w:val="0"/>
              <w:keepLines w:val="0"/>
              <w:pageBreakBefore w:val="0"/>
              <w:kinsoku/>
              <w:wordWrap/>
              <w:overflowPunct/>
              <w:topLinePunct w:val="0"/>
              <w:autoSpaceDE/>
              <w:autoSpaceDN/>
              <w:bidi w:val="0"/>
              <w:adjustRightInd/>
              <w:spacing w:line="240" w:lineRule="auto"/>
              <w:textAlignment w:val="auto"/>
              <w:rPr>
                <w:rFonts w:hint="eastAsia" w:hAnsi="宋体" w:eastAsia="宋体" w:cs="宋体"/>
                <w:color w:val="auto"/>
                <w:szCs w:val="21"/>
                <w:highlight w:val="none"/>
                <w:lang w:val="en-US" w:eastAsia="zh-CN"/>
              </w:rPr>
            </w:pPr>
            <w:r>
              <w:rPr>
                <w:rFonts w:hint="eastAsia" w:hAnsi="宋体"/>
                <w:color w:val="auto"/>
                <w:sz w:val="21"/>
                <w:szCs w:val="21"/>
                <w:highlight w:val="none"/>
                <w:lang w:val="en-US" w:eastAsia="zh-CN"/>
              </w:rPr>
              <w:t>8</w:t>
            </w:r>
            <w:r>
              <w:rPr>
                <w:rFonts w:hint="eastAsia" w:hAnsi="宋体"/>
                <w:color w:val="auto"/>
                <w:sz w:val="21"/>
                <w:szCs w:val="21"/>
                <w:highlight w:val="none"/>
              </w:rPr>
              <w:t>分</w:t>
            </w:r>
          </w:p>
        </w:tc>
        <w:tc>
          <w:tcPr>
            <w:tcW w:w="6623" w:type="dxa"/>
            <w:vAlign w:val="center"/>
          </w:tcPr>
          <w:p w14:paraId="78C638B1">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根据供应商针对本项目实施计划是否合理、可行、详细周密、易于实施等方面进行评价：</w:t>
            </w:r>
          </w:p>
          <w:p w14:paraId="3D955F36">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优：实施计划完整合理、可行性强、详细周密，完全满足并优于磋商文件要求，得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4BDC4203">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良：实施计划完整、可行性一般、较详细周密，符合磋商文件要求，得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13770362">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中：实施计划基本完整、可行性较差，基本符合磋商文件要求，得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14:paraId="64C559FE">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差：实施计划不完整、可行性差，难以满足磋商文件要求，得</w:t>
            </w:r>
            <w:r>
              <w:rPr>
                <w:rFonts w:hint="eastAsia" w:hAnsi="宋体"/>
                <w:color w:val="auto"/>
                <w:sz w:val="21"/>
                <w:szCs w:val="21"/>
                <w:highlight w:val="none"/>
                <w:lang w:val="en-US" w:eastAsia="zh-CN"/>
              </w:rPr>
              <w:t>1</w:t>
            </w:r>
            <w:r>
              <w:rPr>
                <w:rFonts w:hint="eastAsia" w:hAnsi="宋体"/>
                <w:color w:val="auto"/>
                <w:sz w:val="21"/>
                <w:szCs w:val="21"/>
                <w:highlight w:val="none"/>
              </w:rPr>
              <w:t>分；</w:t>
            </w:r>
          </w:p>
          <w:p w14:paraId="37FB0BAF">
            <w:pPr>
              <w:keepNext w:val="0"/>
              <w:keepLines w:val="0"/>
              <w:pageBreakBefore w:val="0"/>
              <w:kinsoku/>
              <w:wordWrap/>
              <w:overflowPunct/>
              <w:topLinePunct w:val="0"/>
              <w:autoSpaceDE/>
              <w:autoSpaceDN/>
              <w:bidi w:val="0"/>
              <w:adjustRightInd/>
              <w:spacing w:line="240" w:lineRule="auto"/>
              <w:textAlignment w:val="auto"/>
              <w:rPr>
                <w:rFonts w:hint="eastAsia" w:ascii="宋体" w:hAnsi="宋体" w:cs="宋体"/>
                <w:color w:val="auto"/>
                <w:szCs w:val="21"/>
                <w:highlight w:val="none"/>
              </w:rPr>
            </w:pPr>
            <w:r>
              <w:rPr>
                <w:rFonts w:hint="eastAsia" w:hAnsi="宋体"/>
                <w:color w:val="auto"/>
                <w:sz w:val="21"/>
                <w:szCs w:val="21"/>
                <w:highlight w:val="none"/>
              </w:rPr>
              <w:t>未提供对应方案不得分。</w:t>
            </w:r>
          </w:p>
        </w:tc>
      </w:tr>
      <w:tr w14:paraId="0A74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14:paraId="3EBA43BC">
            <w:pPr>
              <w:jc w:val="center"/>
              <w:rPr>
                <w:rFonts w:hint="default" w:hAnsi="宋体"/>
                <w:color w:val="auto"/>
                <w:sz w:val="21"/>
                <w:szCs w:val="21"/>
                <w:highlight w:val="none"/>
                <w:lang w:val="en-US" w:eastAsia="zh-CN"/>
              </w:rPr>
            </w:pPr>
            <w:r>
              <w:rPr>
                <w:rFonts w:hint="eastAsia" w:hAnsi="宋体"/>
                <w:color w:val="auto"/>
                <w:szCs w:val="21"/>
                <w:highlight w:val="none"/>
                <w:lang w:val="en-US" w:eastAsia="zh-CN"/>
              </w:rPr>
              <w:t>5</w:t>
            </w:r>
          </w:p>
        </w:tc>
        <w:tc>
          <w:tcPr>
            <w:tcW w:w="1230" w:type="dxa"/>
            <w:vAlign w:val="center"/>
          </w:tcPr>
          <w:p w14:paraId="51AAF74D">
            <w:pPr>
              <w:keepNext w:val="0"/>
              <w:keepLines w:val="0"/>
              <w:pageBreakBefore w:val="0"/>
              <w:kinsoku/>
              <w:wordWrap/>
              <w:overflowPunct/>
              <w:topLinePunct w:val="0"/>
              <w:autoSpaceDE/>
              <w:autoSpaceDN/>
              <w:bidi w:val="0"/>
              <w:adjustRightInd/>
              <w:spacing w:line="240" w:lineRule="auto"/>
              <w:textAlignment w:val="auto"/>
              <w:rPr>
                <w:rFonts w:hint="eastAsia"/>
                <w:color w:val="auto"/>
                <w:highlight w:val="none"/>
                <w:lang w:val="en-US" w:eastAsia="zh-CN"/>
              </w:rPr>
            </w:pPr>
            <w:r>
              <w:rPr>
                <w:rFonts w:hint="eastAsia" w:hAnsi="宋体"/>
                <w:color w:val="auto"/>
                <w:sz w:val="21"/>
                <w:szCs w:val="21"/>
                <w:highlight w:val="none"/>
              </w:rPr>
              <w:t>材料质量保证措施</w:t>
            </w:r>
          </w:p>
        </w:tc>
        <w:tc>
          <w:tcPr>
            <w:tcW w:w="780" w:type="dxa"/>
            <w:vAlign w:val="center"/>
          </w:tcPr>
          <w:p w14:paraId="32EB4543">
            <w:pPr>
              <w:keepNext w:val="0"/>
              <w:keepLines w:val="0"/>
              <w:pageBreakBefore w:val="0"/>
              <w:kinsoku/>
              <w:wordWrap/>
              <w:overflowPunct/>
              <w:topLinePunct w:val="0"/>
              <w:autoSpaceDE/>
              <w:autoSpaceDN/>
              <w:bidi w:val="0"/>
              <w:adjustRightInd/>
              <w:spacing w:line="240" w:lineRule="auto"/>
              <w:textAlignment w:val="auto"/>
              <w:rPr>
                <w:rFonts w:hint="eastAsia" w:hAnsi="宋体" w:eastAsia="宋体" w:cs="宋体"/>
                <w:color w:val="auto"/>
                <w:szCs w:val="21"/>
                <w:highlight w:val="none"/>
                <w:lang w:val="en-US" w:eastAsia="zh-CN"/>
              </w:rPr>
            </w:pPr>
            <w:r>
              <w:rPr>
                <w:rFonts w:hint="eastAsia" w:hAnsi="宋体"/>
                <w:color w:val="auto"/>
                <w:sz w:val="21"/>
                <w:szCs w:val="21"/>
                <w:highlight w:val="none"/>
                <w:lang w:val="en-US" w:eastAsia="zh-CN"/>
              </w:rPr>
              <w:t>8</w:t>
            </w:r>
            <w:r>
              <w:rPr>
                <w:rFonts w:hint="eastAsia" w:hAnsi="宋体"/>
                <w:color w:val="auto"/>
                <w:sz w:val="21"/>
                <w:szCs w:val="21"/>
                <w:highlight w:val="none"/>
              </w:rPr>
              <w:t>分</w:t>
            </w:r>
          </w:p>
        </w:tc>
        <w:tc>
          <w:tcPr>
            <w:tcW w:w="6623" w:type="dxa"/>
            <w:vAlign w:val="center"/>
          </w:tcPr>
          <w:p w14:paraId="35E7B3A1">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根据供应商针对本项目材料质量是否合理、可行、适用、易于实施等方面进行评价：</w:t>
            </w:r>
          </w:p>
          <w:p w14:paraId="57F9C89D">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优：材料质量合理、可行性强，完全满足并优于磋商文件要求，得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14:paraId="26B2FCFC">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良：材料质量可行性一般，符合磋商文件要求，得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14:paraId="417271BF">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中：材料质量可行性较差，基本符合磋商文件要求，得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14:paraId="142F8885">
            <w:pPr>
              <w:keepNext w:val="0"/>
              <w:keepLines w:val="0"/>
              <w:pageBreakBefore w:val="0"/>
              <w:kinsoku/>
              <w:wordWrap/>
              <w:overflowPunct/>
              <w:topLinePunct w:val="0"/>
              <w:autoSpaceDE/>
              <w:autoSpaceDN/>
              <w:bidi w:val="0"/>
              <w:adjustRightInd/>
              <w:spacing w:line="240" w:lineRule="auto"/>
              <w:textAlignment w:val="auto"/>
              <w:rPr>
                <w:rFonts w:hAnsi="宋体"/>
                <w:color w:val="auto"/>
                <w:sz w:val="21"/>
                <w:szCs w:val="21"/>
                <w:highlight w:val="none"/>
              </w:rPr>
            </w:pPr>
            <w:r>
              <w:rPr>
                <w:rFonts w:hint="eastAsia" w:hAnsi="宋体"/>
                <w:color w:val="auto"/>
                <w:sz w:val="21"/>
                <w:szCs w:val="21"/>
                <w:highlight w:val="none"/>
              </w:rPr>
              <w:t>差：材料质量不完整、可行性差，难以满足磋商文件要求，得</w:t>
            </w:r>
            <w:r>
              <w:rPr>
                <w:rFonts w:hint="eastAsia" w:hAnsi="宋体"/>
                <w:color w:val="auto"/>
                <w:sz w:val="21"/>
                <w:szCs w:val="21"/>
                <w:highlight w:val="none"/>
                <w:lang w:val="en-US" w:eastAsia="zh-CN"/>
              </w:rPr>
              <w:t>1</w:t>
            </w:r>
            <w:r>
              <w:rPr>
                <w:rFonts w:hint="eastAsia" w:hAnsi="宋体"/>
                <w:color w:val="auto"/>
                <w:sz w:val="21"/>
                <w:szCs w:val="21"/>
                <w:highlight w:val="none"/>
              </w:rPr>
              <w:t>分；</w:t>
            </w:r>
          </w:p>
          <w:p w14:paraId="26834EB2">
            <w:pPr>
              <w:keepNext w:val="0"/>
              <w:keepLines w:val="0"/>
              <w:pageBreakBefore w:val="0"/>
              <w:kinsoku/>
              <w:wordWrap/>
              <w:overflowPunct/>
              <w:topLinePunct w:val="0"/>
              <w:autoSpaceDE/>
              <w:autoSpaceDN/>
              <w:bidi w:val="0"/>
              <w:adjustRightInd/>
              <w:spacing w:line="240" w:lineRule="auto"/>
              <w:textAlignment w:val="auto"/>
              <w:rPr>
                <w:rFonts w:hint="eastAsia" w:ascii="宋体" w:hAnsi="宋体" w:cs="宋体"/>
                <w:color w:val="auto"/>
                <w:szCs w:val="21"/>
                <w:highlight w:val="none"/>
              </w:rPr>
            </w:pPr>
            <w:r>
              <w:rPr>
                <w:rFonts w:hint="eastAsia" w:hAnsi="宋体"/>
                <w:color w:val="auto"/>
                <w:sz w:val="21"/>
                <w:szCs w:val="21"/>
                <w:highlight w:val="none"/>
              </w:rPr>
              <w:t>未提供对应方案不得分。</w:t>
            </w:r>
          </w:p>
        </w:tc>
      </w:tr>
    </w:tbl>
    <w:p w14:paraId="578A2228">
      <w:pPr>
        <w:rPr>
          <w:rFonts w:ascii="仿宋_GB2312" w:hAnsi="仿宋_GB2312" w:cs="仿宋_GB2312"/>
          <w:color w:val="auto"/>
          <w:szCs w:val="21"/>
          <w:highlight w:val="none"/>
        </w:rPr>
      </w:pPr>
    </w:p>
    <w:p w14:paraId="64C319B3">
      <w:pPr>
        <w:pStyle w:val="46"/>
        <w:ind w:firstLine="0" w:firstLineChars="0"/>
        <w:jc w:val="left"/>
        <w:outlineLvl w:val="1"/>
        <w:rPr>
          <w:rFonts w:eastAsia="黑体"/>
          <w:color w:val="auto"/>
          <w:sz w:val="28"/>
          <w:szCs w:val="44"/>
          <w:highlight w:val="none"/>
        </w:rPr>
      </w:pPr>
    </w:p>
    <w:p w14:paraId="6CC9BCB9">
      <w:pPr>
        <w:widowControl/>
        <w:tabs>
          <w:tab w:val="left" w:pos="851"/>
          <w:tab w:val="left" w:pos="993"/>
          <w:tab w:val="left" w:pos="1276"/>
        </w:tabs>
        <w:spacing w:line="360" w:lineRule="auto"/>
        <w:ind w:right="417" w:rightChars="199"/>
        <w:jc w:val="both"/>
        <w:rPr>
          <w:rFonts w:hint="eastAsia" w:asciiTheme="minorEastAsia" w:hAnsiTheme="minorEastAsia" w:eastAsiaTheme="minorEastAsia" w:cstheme="minorEastAsia"/>
          <w:b/>
          <w:bCs/>
          <w:color w:val="auto"/>
          <w:sz w:val="28"/>
          <w:szCs w:val="28"/>
          <w:highlight w:val="none"/>
          <w:lang w:val="en-US" w:eastAsia="zh-CN"/>
        </w:rPr>
      </w:pPr>
      <w:bookmarkStart w:id="2" w:name="_Toc5246"/>
      <w:bookmarkStart w:id="3" w:name="_Hlk524442005"/>
    </w:p>
    <w:bookmarkEnd w:id="2"/>
    <w:p w14:paraId="48BA1F84">
      <w:pPr>
        <w:rPr>
          <w:rFonts w:eastAsia="黑体"/>
          <w:color w:val="auto"/>
          <w:sz w:val="28"/>
          <w:szCs w:val="44"/>
          <w:highlight w:val="none"/>
        </w:rPr>
      </w:pPr>
      <w:r>
        <w:rPr>
          <w:rFonts w:hint="eastAsia" w:eastAsia="黑体"/>
          <w:color w:val="auto"/>
          <w:sz w:val="28"/>
          <w:szCs w:val="44"/>
          <w:highlight w:val="none"/>
        </w:rPr>
        <w:t>附件一报价函</w:t>
      </w:r>
    </w:p>
    <w:p w14:paraId="330B63A9">
      <w:pPr>
        <w:jc w:val="center"/>
        <w:rPr>
          <w:rFonts w:eastAsia="华文中宋"/>
          <w:color w:val="auto"/>
          <w:sz w:val="44"/>
          <w:szCs w:val="44"/>
          <w:highlight w:val="none"/>
        </w:rPr>
      </w:pPr>
      <w:r>
        <w:rPr>
          <w:rFonts w:hint="eastAsia" w:eastAsia="华文中宋"/>
          <w:color w:val="auto"/>
          <w:sz w:val="44"/>
          <w:szCs w:val="44"/>
          <w:highlight w:val="none"/>
        </w:rPr>
        <w:t>报价函</w:t>
      </w:r>
    </w:p>
    <w:p w14:paraId="563EC922">
      <w:pPr>
        <w:ind w:firstLine="560"/>
        <w:jc w:val="center"/>
        <w:rPr>
          <w:rFonts w:eastAsia="仿宋_GB2312"/>
          <w:color w:val="auto"/>
          <w:sz w:val="32"/>
          <w:szCs w:val="32"/>
          <w:highlight w:val="none"/>
        </w:rPr>
      </w:pPr>
    </w:p>
    <w:p w14:paraId="5F009CEE">
      <w:pPr>
        <w:spacing w:line="360" w:lineRule="auto"/>
        <w:rPr>
          <w:rFonts w:hint="eastAsia" w:ascii="Times New Roman" w:hAnsi="Times New Roman" w:eastAsia="仿宋_GB2312" w:cs="Times New Roman"/>
          <w:color w:val="auto"/>
          <w:sz w:val="32"/>
          <w:szCs w:val="32"/>
          <w:highlight w:val="none"/>
          <w:u w:val="single"/>
          <w:lang w:eastAsia="zh-CN"/>
        </w:rPr>
      </w:pPr>
      <w:r>
        <w:rPr>
          <w:rFonts w:hint="eastAsia" w:eastAsia="仿宋_GB2312"/>
          <w:color w:val="000000"/>
          <w:sz w:val="32"/>
          <w:szCs w:val="32"/>
          <w:u w:val="single"/>
        </w:rPr>
        <w:t>东莞市东实产城发展有限公司</w:t>
      </w:r>
      <w:r>
        <w:rPr>
          <w:rFonts w:hint="eastAsia" w:ascii="Times New Roman" w:hAnsi="Times New Roman" w:eastAsia="仿宋_GB2312" w:cs="Times New Roman"/>
          <w:color w:val="auto"/>
          <w:sz w:val="32"/>
          <w:szCs w:val="32"/>
          <w:highlight w:val="none"/>
          <w:u w:val="single"/>
          <w:lang w:eastAsia="zh-CN"/>
        </w:rPr>
        <w:t>：</w:t>
      </w:r>
    </w:p>
    <w:p w14:paraId="30B9BD3E">
      <w:pPr>
        <w:spacing w:line="360" w:lineRule="auto"/>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val="en-US" w:eastAsia="zh-CN"/>
        </w:rPr>
        <w:t>谢岗</w:t>
      </w:r>
      <w:r>
        <w:rPr>
          <w:rFonts w:hint="eastAsia" w:eastAsia="仿宋_GB2312"/>
          <w:color w:val="auto"/>
          <w:sz w:val="32"/>
          <w:szCs w:val="32"/>
          <w:highlight w:val="none"/>
          <w:u w:val="single"/>
          <w:lang w:eastAsia="zh-CN"/>
        </w:rPr>
        <w:t>项目</w:t>
      </w:r>
      <w:r>
        <w:rPr>
          <w:rFonts w:hint="eastAsia" w:eastAsia="仿宋_GB2312"/>
          <w:color w:val="auto"/>
          <w:sz w:val="32"/>
          <w:szCs w:val="32"/>
          <w:highlight w:val="none"/>
          <w:lang w:eastAsia="zh-CN"/>
        </w:rPr>
        <w:t>沙盘模型设计制作服务</w:t>
      </w:r>
      <w:r>
        <w:rPr>
          <w:rFonts w:hint="eastAsia" w:eastAsia="仿宋_GB2312"/>
          <w:color w:val="auto"/>
          <w:sz w:val="32"/>
          <w:szCs w:val="32"/>
          <w:highlight w:val="none"/>
        </w:rPr>
        <w:t>项目，我司愿意以含税价合计人民币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14:paraId="4680C183">
      <w:pPr>
        <w:rPr>
          <w:rFonts w:eastAsia="仿宋_GB2312"/>
          <w:color w:val="auto"/>
          <w:sz w:val="32"/>
          <w:szCs w:val="32"/>
          <w:highlight w:val="none"/>
        </w:rPr>
      </w:pPr>
    </w:p>
    <w:p w14:paraId="4182FD3F">
      <w:pPr>
        <w:rPr>
          <w:rFonts w:eastAsia="仿宋_GB2312"/>
          <w:color w:val="auto"/>
          <w:sz w:val="32"/>
          <w:szCs w:val="32"/>
          <w:highlight w:val="none"/>
        </w:rPr>
      </w:pPr>
    </w:p>
    <w:p w14:paraId="21CF3133">
      <w:pPr>
        <w:jc w:val="left"/>
        <w:rPr>
          <w:rFonts w:hint="eastAsia" w:eastAsia="仿宋_GB2312"/>
          <w:color w:val="auto"/>
          <w:sz w:val="32"/>
          <w:szCs w:val="32"/>
          <w:highlight w:val="none"/>
        </w:rPr>
      </w:pPr>
    </w:p>
    <w:p w14:paraId="300F90BA">
      <w:pPr>
        <w:jc w:val="left"/>
        <w:rPr>
          <w:rFonts w:hint="eastAsia" w:eastAsia="仿宋_GB2312"/>
          <w:color w:val="auto"/>
          <w:sz w:val="32"/>
          <w:szCs w:val="32"/>
          <w:highlight w:val="none"/>
        </w:rPr>
      </w:pPr>
    </w:p>
    <w:p w14:paraId="7993ABDA">
      <w:pPr>
        <w:spacing w:line="360" w:lineRule="auto"/>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3FDA0EAD">
      <w:pPr>
        <w:spacing w:line="360" w:lineRule="auto"/>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14:paraId="225D7077">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联系人：</w:t>
      </w:r>
    </w:p>
    <w:p w14:paraId="4415E00A">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联系电话：</w:t>
      </w:r>
    </w:p>
    <w:p w14:paraId="44F1C0E0">
      <w:pPr>
        <w:spacing w:line="360" w:lineRule="auto"/>
        <w:jc w:val="left"/>
        <w:rPr>
          <w:rFonts w:hint="eastAsia" w:eastAsia="仿宋_GB2312"/>
          <w:color w:val="auto"/>
          <w:sz w:val="32"/>
          <w:szCs w:val="32"/>
          <w:highlight w:val="none"/>
        </w:rPr>
      </w:pPr>
      <w:r>
        <w:rPr>
          <w:rFonts w:hint="eastAsia" w:eastAsia="仿宋_GB2312"/>
          <w:color w:val="auto"/>
          <w:sz w:val="32"/>
          <w:szCs w:val="32"/>
          <w:highlight w:val="none"/>
        </w:rPr>
        <w:t>日期：</w:t>
      </w:r>
    </w:p>
    <w:p w14:paraId="2BD6C81B">
      <w:pPr>
        <w:pStyle w:val="32"/>
        <w:rPr>
          <w:rFonts w:hint="eastAsia" w:eastAsia="仿宋_GB2312"/>
          <w:color w:val="auto"/>
          <w:sz w:val="32"/>
          <w:szCs w:val="32"/>
          <w:highlight w:val="none"/>
        </w:rPr>
      </w:pPr>
    </w:p>
    <w:p w14:paraId="1F30B3EA">
      <w:pPr>
        <w:pStyle w:val="15"/>
        <w:tabs>
          <w:tab w:val="left" w:pos="567"/>
          <w:tab w:val="clear" w:pos="4153"/>
          <w:tab w:val="clear" w:pos="8306"/>
        </w:tabs>
        <w:rPr>
          <w:rFonts w:hint="eastAsia" w:ascii="仿宋_GB2312" w:eastAsia="仿宋_GB2312"/>
          <w:color w:val="auto"/>
          <w:sz w:val="28"/>
          <w:szCs w:val="44"/>
          <w:highlight w:val="none"/>
        </w:rPr>
      </w:pPr>
      <w:r>
        <w:rPr>
          <w:rFonts w:hint="eastAsia" w:ascii="仿宋_GB2312" w:eastAsia="仿宋_GB2312"/>
          <w:color w:val="auto"/>
          <w:sz w:val="28"/>
          <w:szCs w:val="44"/>
          <w:highlight w:val="none"/>
        </w:rPr>
        <w:t>注：磋商总价大小写不一致，以大写为准。磋商总价必须准确唯一且应包含完成本项目的所有费用。</w:t>
      </w:r>
    </w:p>
    <w:p w14:paraId="555D3D25">
      <w:pPr>
        <w:pStyle w:val="15"/>
        <w:tabs>
          <w:tab w:val="left" w:pos="567"/>
          <w:tab w:val="clear" w:pos="4153"/>
          <w:tab w:val="clear" w:pos="8306"/>
        </w:tabs>
        <w:rPr>
          <w:rFonts w:hint="eastAsia" w:ascii="宋体" w:hAnsi="宋体" w:eastAsia="宋体" w:cs="宋体"/>
          <w:color w:val="auto"/>
          <w:szCs w:val="24"/>
          <w:highlight w:val="none"/>
        </w:rPr>
      </w:pPr>
      <w:r>
        <w:rPr>
          <w:rFonts w:hint="eastAsia" w:ascii="仿宋_GB2312" w:eastAsia="仿宋_GB2312"/>
          <w:color w:val="auto"/>
          <w:sz w:val="28"/>
          <w:szCs w:val="44"/>
          <w:highlight w:val="none"/>
        </w:rPr>
        <w:br w:type="page"/>
      </w:r>
    </w:p>
    <w:p w14:paraId="4078C730">
      <w:pPr>
        <w:rPr>
          <w:rFonts w:ascii="仿宋_GB2312" w:eastAsia="仿宋_GB2312"/>
          <w:color w:val="auto"/>
          <w:sz w:val="28"/>
          <w:szCs w:val="44"/>
          <w:highlight w:val="none"/>
        </w:rPr>
      </w:pPr>
      <w:r>
        <w:rPr>
          <w:rFonts w:hint="eastAsia" w:ascii="仿宋_GB2312" w:eastAsia="仿宋_GB2312"/>
          <w:color w:val="auto"/>
          <w:sz w:val="28"/>
          <w:szCs w:val="44"/>
          <w:highlight w:val="none"/>
        </w:rPr>
        <w:t>注：《报价函（最终报价）》在磋商后由法定代表人或授权委托人填报或签署并递交，不须与报价文件一同装订。</w:t>
      </w:r>
    </w:p>
    <w:p w14:paraId="081C11A6">
      <w:pPr>
        <w:ind w:firstLine="2200" w:firstLineChars="500"/>
        <w:rPr>
          <w:rFonts w:ascii="仿宋_GB2312" w:eastAsia="仿宋_GB2312"/>
          <w:color w:val="auto"/>
          <w:sz w:val="44"/>
          <w:szCs w:val="44"/>
          <w:highlight w:val="none"/>
        </w:rPr>
      </w:pPr>
      <w:r>
        <w:rPr>
          <w:rFonts w:hint="eastAsia" w:ascii="仿宋_GB2312" w:eastAsia="仿宋_GB2312"/>
          <w:color w:val="auto"/>
          <w:sz w:val="44"/>
          <w:szCs w:val="44"/>
          <w:highlight w:val="none"/>
        </w:rPr>
        <w:t>报</w:t>
      </w:r>
      <w:r>
        <w:rPr>
          <w:rFonts w:ascii="仿宋_GB2312" w:eastAsia="仿宋_GB2312"/>
          <w:color w:val="auto"/>
          <w:sz w:val="44"/>
          <w:szCs w:val="44"/>
          <w:highlight w:val="none"/>
        </w:rPr>
        <w:t xml:space="preserve"> </w:t>
      </w:r>
      <w:r>
        <w:rPr>
          <w:rFonts w:hint="eastAsia" w:ascii="仿宋_GB2312" w:eastAsia="仿宋_GB2312"/>
          <w:color w:val="auto"/>
          <w:sz w:val="44"/>
          <w:szCs w:val="44"/>
          <w:highlight w:val="none"/>
        </w:rPr>
        <w:t>价</w:t>
      </w:r>
      <w:r>
        <w:rPr>
          <w:rFonts w:ascii="仿宋_GB2312" w:eastAsia="仿宋_GB2312"/>
          <w:color w:val="auto"/>
          <w:sz w:val="44"/>
          <w:szCs w:val="44"/>
          <w:highlight w:val="none"/>
        </w:rPr>
        <w:t xml:space="preserve"> </w:t>
      </w:r>
      <w:r>
        <w:rPr>
          <w:rFonts w:hint="eastAsia" w:ascii="仿宋_GB2312" w:eastAsia="仿宋_GB2312"/>
          <w:color w:val="auto"/>
          <w:sz w:val="44"/>
          <w:szCs w:val="44"/>
          <w:highlight w:val="none"/>
        </w:rPr>
        <w:t>函（最终报价）</w:t>
      </w:r>
    </w:p>
    <w:p w14:paraId="63709DAC">
      <w:pPr>
        <w:ind w:firstLine="560"/>
        <w:jc w:val="center"/>
        <w:rPr>
          <w:rFonts w:ascii="仿宋_GB2312" w:eastAsia="仿宋_GB2312"/>
          <w:color w:val="auto"/>
          <w:sz w:val="32"/>
          <w:szCs w:val="32"/>
          <w:highlight w:val="none"/>
        </w:rPr>
      </w:pPr>
    </w:p>
    <w:p w14:paraId="0B8AB571">
      <w:pPr>
        <w:spacing w:line="360" w:lineRule="auto"/>
        <w:rPr>
          <w:rFonts w:eastAsia="仿宋_GB2312"/>
          <w:color w:val="auto"/>
          <w:sz w:val="32"/>
          <w:szCs w:val="32"/>
          <w:highlight w:val="none"/>
        </w:rPr>
      </w:pPr>
      <w:r>
        <w:rPr>
          <w:rFonts w:eastAsia="仿宋_GB2312"/>
          <w:color w:val="auto"/>
          <w:sz w:val="32"/>
          <w:szCs w:val="32"/>
          <w:highlight w:val="none"/>
          <w:u w:val="single"/>
        </w:rPr>
        <w:t xml:space="preserve"> </w:t>
      </w:r>
      <w:r>
        <w:rPr>
          <w:rFonts w:hint="eastAsia" w:eastAsia="仿宋_GB2312"/>
          <w:color w:val="000000"/>
          <w:sz w:val="32"/>
          <w:szCs w:val="32"/>
          <w:u w:val="single"/>
        </w:rPr>
        <w:t>东莞市东实产城发展有限公司</w:t>
      </w:r>
      <w:r>
        <w:rPr>
          <w:rFonts w:hint="eastAsia" w:eastAsia="仿宋_GB2312"/>
          <w:color w:val="auto"/>
          <w:sz w:val="32"/>
          <w:szCs w:val="32"/>
          <w:highlight w:val="none"/>
          <w:u w:val="single"/>
        </w:rPr>
        <w:t>（采购人）</w:t>
      </w:r>
      <w:r>
        <w:rPr>
          <w:rFonts w:hint="eastAsia" w:eastAsia="仿宋_GB2312"/>
          <w:color w:val="auto"/>
          <w:sz w:val="32"/>
          <w:szCs w:val="32"/>
          <w:highlight w:val="none"/>
        </w:rPr>
        <w:t>：</w:t>
      </w:r>
    </w:p>
    <w:p w14:paraId="18BE83F8">
      <w:pPr>
        <w:spacing w:line="360" w:lineRule="auto"/>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根据贵司</w:t>
      </w:r>
      <w:r>
        <w:rPr>
          <w:rFonts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u w:val="single"/>
          <w:lang w:val="en-US" w:eastAsia="zh-CN"/>
        </w:rPr>
        <w:t>谢岗</w:t>
      </w:r>
      <w:r>
        <w:rPr>
          <w:rFonts w:hint="eastAsia" w:ascii="仿宋_GB2312" w:eastAsia="仿宋_GB2312"/>
          <w:color w:val="auto"/>
          <w:sz w:val="32"/>
          <w:szCs w:val="32"/>
          <w:highlight w:val="none"/>
          <w:u w:val="single"/>
          <w:lang w:eastAsia="zh-CN"/>
        </w:rPr>
        <w:t>项目沙盘模型设计制作服务</w:t>
      </w:r>
      <w:r>
        <w:rPr>
          <w:rFonts w:hint="eastAsia" w:ascii="仿宋_GB2312" w:eastAsia="仿宋_GB2312"/>
          <w:color w:val="auto"/>
          <w:sz w:val="32"/>
          <w:szCs w:val="32"/>
          <w:highlight w:val="none"/>
          <w:u w:val="single"/>
          <w:lang w:val="en-US" w:eastAsia="zh-CN"/>
        </w:rPr>
        <w:t xml:space="preserve"> </w:t>
      </w:r>
      <w:r>
        <w:rPr>
          <w:rFonts w:hint="eastAsia" w:ascii="仿宋_GB2312" w:eastAsia="仿宋_GB2312"/>
          <w:color w:val="auto"/>
          <w:sz w:val="32"/>
          <w:szCs w:val="32"/>
          <w:highlight w:val="none"/>
        </w:rPr>
        <w:t>的竞争性磋商文件，经澄清，我司已清楚采购文件及采购人的全部需求，</w:t>
      </w:r>
      <w:r>
        <w:rPr>
          <w:rFonts w:hint="eastAsia" w:eastAsia="仿宋_GB2312"/>
          <w:color w:val="auto"/>
          <w:sz w:val="32"/>
          <w:szCs w:val="32"/>
          <w:highlight w:val="none"/>
        </w:rPr>
        <w:t>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14:paraId="2C180B4E">
      <w:pPr>
        <w:spacing w:line="360" w:lineRule="auto"/>
        <w:ind w:firstLine="570"/>
        <w:jc w:val="left"/>
        <w:rPr>
          <w:rFonts w:ascii="仿宋_GB2312" w:eastAsia="仿宋_GB2312"/>
          <w:color w:val="auto"/>
          <w:sz w:val="32"/>
          <w:szCs w:val="32"/>
          <w:highlight w:val="none"/>
        </w:rPr>
      </w:pPr>
    </w:p>
    <w:p w14:paraId="22CE93A7">
      <w:pPr>
        <w:rPr>
          <w:rFonts w:ascii="仿宋_GB2312" w:eastAsia="仿宋_GB2312"/>
          <w:color w:val="auto"/>
          <w:sz w:val="32"/>
          <w:szCs w:val="32"/>
          <w:highlight w:val="none"/>
        </w:rPr>
      </w:pPr>
    </w:p>
    <w:p w14:paraId="479A7579">
      <w:pPr>
        <w:rPr>
          <w:rFonts w:ascii="仿宋_GB2312" w:eastAsia="仿宋_GB2312"/>
          <w:color w:val="auto"/>
          <w:sz w:val="32"/>
          <w:szCs w:val="32"/>
          <w:highlight w:val="none"/>
        </w:rPr>
      </w:pPr>
    </w:p>
    <w:p w14:paraId="09CEE4EB">
      <w:pPr>
        <w:rPr>
          <w:rFonts w:ascii="仿宋_GB2312" w:eastAsia="仿宋_GB2312"/>
          <w:color w:val="auto"/>
          <w:sz w:val="32"/>
          <w:szCs w:val="32"/>
          <w:highlight w:val="none"/>
        </w:rPr>
      </w:pPr>
    </w:p>
    <w:p w14:paraId="7603782D">
      <w:pPr>
        <w:rPr>
          <w:rFonts w:ascii="仿宋_GB2312" w:eastAsia="仿宋_GB2312"/>
          <w:color w:val="auto"/>
          <w:sz w:val="32"/>
          <w:szCs w:val="32"/>
          <w:highlight w:val="none"/>
        </w:rPr>
      </w:pPr>
    </w:p>
    <w:p w14:paraId="7C71CDEA">
      <w:pPr>
        <w:widowControl/>
        <w:shd w:val="clear" w:color="auto"/>
        <w:adjustRightInd w:val="0"/>
        <w:snapToGrid w:val="0"/>
        <w:ind w:right="-89" w:firstLine="3840" w:firstLineChars="1200"/>
        <w:rPr>
          <w:rFonts w:ascii="仿宋_GB2312" w:eastAsia="仿宋_GB2312"/>
          <w:color w:val="auto"/>
          <w:sz w:val="32"/>
          <w:szCs w:val="32"/>
          <w:highlight w:val="none"/>
        </w:rPr>
      </w:pPr>
      <w:r>
        <w:rPr>
          <w:rFonts w:hint="eastAsia" w:ascii="仿宋_GB2312" w:eastAsia="仿宋_GB2312"/>
          <w:color w:val="auto"/>
          <w:sz w:val="32"/>
          <w:szCs w:val="32"/>
          <w:highlight w:val="none"/>
        </w:rPr>
        <w:t>响应人：</w:t>
      </w:r>
    </w:p>
    <w:p w14:paraId="2702BA36">
      <w:pPr>
        <w:widowControl/>
        <w:shd w:val="clear" w:color="auto"/>
        <w:adjustRightInd w:val="0"/>
        <w:snapToGrid w:val="0"/>
        <w:spacing w:before="100" w:beforeAutospacing="1" w:after="100" w:afterAutospacing="1"/>
        <w:ind w:firstLine="3840" w:firstLineChars="1200"/>
        <w:rPr>
          <w:rFonts w:ascii="仿宋_GB2312" w:eastAsia="仿宋_GB2312"/>
          <w:color w:val="auto"/>
          <w:sz w:val="32"/>
          <w:szCs w:val="32"/>
          <w:highlight w:val="none"/>
        </w:rPr>
      </w:pPr>
      <w:r>
        <w:rPr>
          <w:rFonts w:hint="eastAsia" w:ascii="仿宋_GB2312" w:eastAsia="仿宋_GB2312"/>
          <w:color w:val="auto"/>
          <w:sz w:val="32"/>
          <w:szCs w:val="32"/>
          <w:highlight w:val="none"/>
        </w:rPr>
        <w:t>法人代表或</w:t>
      </w:r>
    </w:p>
    <w:p w14:paraId="0A5C93DE">
      <w:pPr>
        <w:widowControl/>
        <w:shd w:val="clear" w:color="auto"/>
        <w:adjustRightInd w:val="0"/>
        <w:snapToGrid w:val="0"/>
        <w:spacing w:before="100" w:beforeAutospacing="1" w:after="100" w:afterAutospacing="1"/>
        <w:ind w:firstLine="3840" w:firstLineChars="1200"/>
        <w:rPr>
          <w:rFonts w:ascii="仿宋_GB2312" w:eastAsia="仿宋_GB2312"/>
          <w:color w:val="auto"/>
          <w:sz w:val="32"/>
          <w:szCs w:val="32"/>
          <w:highlight w:val="none"/>
        </w:rPr>
      </w:pPr>
      <w:r>
        <w:rPr>
          <w:rFonts w:hint="eastAsia" w:ascii="仿宋_GB2312" w:eastAsia="仿宋_GB2312"/>
          <w:color w:val="auto"/>
          <w:sz w:val="32"/>
          <w:szCs w:val="32"/>
          <w:highlight w:val="none"/>
        </w:rPr>
        <w:t>被授权委托人（签名）：</w:t>
      </w:r>
    </w:p>
    <w:p w14:paraId="7925809A">
      <w:pPr>
        <w:ind w:right="960" w:firstLine="3680" w:firstLineChars="1150"/>
        <w:rPr>
          <w:rFonts w:ascii="仿宋_GB2312" w:eastAsia="仿宋_GB2312"/>
          <w:color w:val="auto"/>
          <w:sz w:val="32"/>
          <w:szCs w:val="32"/>
          <w:highlight w:val="none"/>
        </w:rPr>
      </w:pP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日期：</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日</w:t>
      </w:r>
    </w:p>
    <w:p w14:paraId="0F60CF58">
      <w:pPr>
        <w:jc w:val="center"/>
        <w:rPr>
          <w:rFonts w:eastAsia="仿宋_GB2312"/>
          <w:color w:val="auto"/>
          <w:sz w:val="32"/>
          <w:szCs w:val="32"/>
          <w:highlight w:val="none"/>
        </w:rPr>
      </w:pPr>
    </w:p>
    <w:p w14:paraId="09140C3A">
      <w:pPr>
        <w:rPr>
          <w:rFonts w:eastAsia="仿宋_GB2312"/>
          <w:color w:val="auto"/>
          <w:sz w:val="32"/>
          <w:szCs w:val="32"/>
          <w:highlight w:val="none"/>
        </w:rPr>
      </w:pPr>
    </w:p>
    <w:p w14:paraId="53614AA0">
      <w:pPr>
        <w:widowControl/>
        <w:jc w:val="left"/>
        <w:rPr>
          <w:rFonts w:eastAsia="黑体"/>
          <w:color w:val="auto"/>
          <w:sz w:val="28"/>
          <w:szCs w:val="44"/>
          <w:highlight w:val="none"/>
        </w:rPr>
      </w:pPr>
    </w:p>
    <w:p w14:paraId="323BCE98">
      <w:pPr>
        <w:rPr>
          <w:rFonts w:hint="eastAsia" w:eastAsia="黑体"/>
          <w:color w:val="auto"/>
          <w:sz w:val="28"/>
          <w:szCs w:val="44"/>
          <w:highlight w:val="none"/>
        </w:rPr>
      </w:pPr>
      <w:r>
        <w:rPr>
          <w:rFonts w:hint="eastAsia" w:eastAsia="黑体"/>
          <w:color w:val="auto"/>
          <w:sz w:val="28"/>
          <w:szCs w:val="44"/>
          <w:highlight w:val="none"/>
        </w:rPr>
        <w:br w:type="page"/>
      </w:r>
    </w:p>
    <w:p w14:paraId="50EC7021">
      <w:pPr>
        <w:widowControl/>
        <w:jc w:val="left"/>
        <w:rPr>
          <w:rFonts w:eastAsia="黑体"/>
          <w:color w:val="auto"/>
          <w:sz w:val="28"/>
          <w:szCs w:val="44"/>
          <w:highlight w:val="none"/>
        </w:rPr>
      </w:pPr>
      <w:r>
        <w:rPr>
          <w:rFonts w:hint="eastAsia" w:eastAsia="黑体"/>
          <w:color w:val="auto"/>
          <w:sz w:val="28"/>
          <w:szCs w:val="44"/>
          <w:highlight w:val="none"/>
        </w:rPr>
        <w:t>附件二法人证明</w:t>
      </w:r>
    </w:p>
    <w:p w14:paraId="2CF14615">
      <w:pPr>
        <w:pStyle w:val="46"/>
        <w:ind w:firstLine="0" w:firstLineChars="0"/>
        <w:jc w:val="left"/>
        <w:rPr>
          <w:rFonts w:eastAsia="黑体"/>
          <w:color w:val="auto"/>
          <w:sz w:val="28"/>
          <w:szCs w:val="44"/>
          <w:highlight w:val="none"/>
        </w:rPr>
      </w:pPr>
    </w:p>
    <w:p w14:paraId="15BA38B2">
      <w:pPr>
        <w:jc w:val="center"/>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726949E8">
      <w:pPr>
        <w:rPr>
          <w:rFonts w:eastAsia="仿宋_GB2312"/>
          <w:color w:val="auto"/>
          <w:sz w:val="32"/>
          <w:szCs w:val="32"/>
          <w:highlight w:val="none"/>
        </w:rPr>
      </w:pPr>
    </w:p>
    <w:p w14:paraId="4E05030B">
      <w:pPr>
        <w:rPr>
          <w:rFonts w:eastAsia="仿宋_GB2312"/>
          <w:color w:val="auto"/>
          <w:sz w:val="32"/>
          <w:szCs w:val="32"/>
          <w:highlight w:val="none"/>
        </w:rPr>
      </w:pPr>
      <w:r>
        <w:rPr>
          <w:rFonts w:eastAsia="仿宋_GB2312"/>
          <w:color w:val="auto"/>
          <w:sz w:val="32"/>
          <w:szCs w:val="32"/>
          <w:highlight w:val="none"/>
          <w:u w:val="single"/>
        </w:rPr>
        <w:t xml:space="preserve"> </w:t>
      </w:r>
      <w:r>
        <w:rPr>
          <w:rFonts w:hint="eastAsia" w:eastAsia="仿宋_GB2312"/>
          <w:color w:val="000000"/>
          <w:sz w:val="32"/>
          <w:szCs w:val="32"/>
          <w:u w:val="single"/>
        </w:rPr>
        <w:t>东莞市东实产城发展有限公司</w:t>
      </w:r>
      <w:r>
        <w:rPr>
          <w:rFonts w:hint="eastAsia" w:eastAsia="仿宋_GB2312"/>
          <w:color w:val="auto"/>
          <w:sz w:val="32"/>
          <w:szCs w:val="32"/>
          <w:highlight w:val="none"/>
        </w:rPr>
        <w:t>：</w:t>
      </w:r>
    </w:p>
    <w:p w14:paraId="1D138683">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本证明书声明：注册于</w:t>
      </w:r>
      <w:r>
        <w:rPr>
          <w:rFonts w:hint="eastAsia" w:ascii="Times New Roman" w:hAnsi="Times New Roman"/>
          <w:color w:val="auto"/>
          <w:sz w:val="32"/>
          <w:szCs w:val="32"/>
          <w:highlight w:val="none"/>
          <w:u w:val="single"/>
          <w:lang w:val="en-US" w:eastAsia="zh-CN"/>
        </w:rPr>
        <w:t xml:space="preserve">    </w:t>
      </w:r>
      <w:r>
        <w:rPr>
          <w:rFonts w:hint="eastAsia" w:ascii="Times New Roman" w:hAnsi="Times New Roman"/>
          <w:color w:val="auto"/>
          <w:sz w:val="32"/>
          <w:szCs w:val="32"/>
          <w:highlight w:val="none"/>
        </w:rPr>
        <w:t>（国家名称）的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u w:val="single"/>
          <w:lang w:val="en-US" w:eastAsia="zh-CN"/>
        </w:rPr>
        <w:t xml:space="preserve">   </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（响应人名称）在下面签字的</w:t>
      </w:r>
      <w:r>
        <w:rPr>
          <w:rFonts w:hint="eastAsia" w:ascii="Times New Roman" w:hAnsi="Times New Roman"/>
          <w:color w:val="auto"/>
          <w:sz w:val="32"/>
          <w:szCs w:val="32"/>
          <w:highlight w:val="none"/>
          <w:u w:val="single"/>
        </w:rPr>
        <w:t>　　　　　</w:t>
      </w:r>
      <w:r>
        <w:rPr>
          <w:rFonts w:hint="eastAsia" w:ascii="Times New Roman" w:hAnsi="Times New Roman"/>
          <w:color w:val="auto"/>
          <w:sz w:val="32"/>
          <w:szCs w:val="32"/>
          <w:highlight w:val="none"/>
        </w:rPr>
        <w:t>（法定代表人姓名、职务）为本公司的合法代表人（</w:t>
      </w:r>
      <w:r>
        <w:rPr>
          <w:rFonts w:hint="eastAsia" w:ascii="Times New Roman" w:hAnsi="Times New Roman"/>
          <w:b/>
          <w:bCs/>
          <w:color w:val="auto"/>
          <w:sz w:val="32"/>
          <w:szCs w:val="32"/>
          <w:highlight w:val="none"/>
        </w:rPr>
        <w:t>须附法定代表人身份证复印件</w:t>
      </w:r>
      <w:r>
        <w:rPr>
          <w:rFonts w:hint="eastAsia" w:ascii="Times New Roman" w:hAnsi="Times New Roman"/>
          <w:color w:val="auto"/>
          <w:sz w:val="32"/>
          <w:szCs w:val="32"/>
          <w:highlight w:val="none"/>
        </w:rPr>
        <w:t>）。</w:t>
      </w:r>
    </w:p>
    <w:p w14:paraId="6064DC28">
      <w:pPr>
        <w:spacing w:line="600" w:lineRule="exact"/>
        <w:ind w:firstLine="480" w:firstLineChars="150"/>
        <w:rPr>
          <w:rFonts w:eastAsia="仿宋_GB2312"/>
          <w:color w:val="auto"/>
          <w:sz w:val="32"/>
          <w:szCs w:val="32"/>
          <w:highlight w:val="none"/>
        </w:rPr>
      </w:pPr>
      <w:r>
        <w:rPr>
          <w:rFonts w:hint="eastAsia" w:eastAsia="仿宋_GB2312"/>
          <w:color w:val="auto"/>
          <w:sz w:val="32"/>
          <w:szCs w:val="32"/>
          <w:highlight w:val="none"/>
        </w:rPr>
        <w:t>特此证明</w:t>
      </w:r>
    </w:p>
    <w:p w14:paraId="46CC30F0">
      <w:pPr>
        <w:spacing w:line="600" w:lineRule="exact"/>
        <w:rPr>
          <w:rFonts w:eastAsia="仿宋_GB2312"/>
          <w:color w:val="auto"/>
          <w:sz w:val="32"/>
          <w:szCs w:val="32"/>
          <w:highlight w:val="none"/>
        </w:rPr>
      </w:pPr>
    </w:p>
    <w:p w14:paraId="38ED81A2">
      <w:pPr>
        <w:spacing w:line="600" w:lineRule="exact"/>
        <w:rPr>
          <w:rFonts w:eastAsia="仿宋_GB2312"/>
          <w:color w:val="auto"/>
          <w:sz w:val="32"/>
          <w:szCs w:val="32"/>
          <w:highlight w:val="none"/>
        </w:rPr>
      </w:pPr>
    </w:p>
    <w:p w14:paraId="05EE4D18">
      <w:pPr>
        <w:spacing w:line="600" w:lineRule="exact"/>
        <w:rPr>
          <w:rFonts w:eastAsia="仿宋_GB2312"/>
          <w:color w:val="auto"/>
          <w:sz w:val="32"/>
          <w:szCs w:val="32"/>
          <w:highlight w:val="none"/>
        </w:rPr>
      </w:pPr>
    </w:p>
    <w:p w14:paraId="1A7BA3DF">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14:paraId="0E5CB82A">
      <w:pPr>
        <w:spacing w:line="600" w:lineRule="exact"/>
        <w:jc w:val="left"/>
        <w:rPr>
          <w:rFonts w:eastAsia="仿宋_GB2312"/>
          <w:color w:val="auto"/>
          <w:sz w:val="32"/>
          <w:szCs w:val="32"/>
          <w:highlight w:val="none"/>
        </w:rPr>
      </w:pPr>
      <w:r>
        <w:rPr>
          <w:rFonts w:hint="eastAsia" w:eastAsia="仿宋_GB2312"/>
          <w:color w:val="auto"/>
          <w:sz w:val="32"/>
          <w:szCs w:val="32"/>
          <w:highlight w:val="none"/>
        </w:rPr>
        <w:t>响应人地址：</w:t>
      </w:r>
    </w:p>
    <w:p w14:paraId="13FC709E">
      <w:pPr>
        <w:spacing w:line="600" w:lineRule="exact"/>
        <w:jc w:val="left"/>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2376DB49">
      <w:pPr>
        <w:spacing w:line="600" w:lineRule="exact"/>
        <w:jc w:val="left"/>
        <w:rPr>
          <w:rFonts w:eastAsia="仿宋_GB2312"/>
          <w:color w:val="auto"/>
          <w:sz w:val="32"/>
          <w:szCs w:val="32"/>
          <w:highlight w:val="none"/>
        </w:rPr>
      </w:pPr>
      <w:r>
        <w:rPr>
          <w:rFonts w:hint="eastAsia" w:eastAsia="仿宋_GB2312"/>
          <w:color w:val="auto"/>
          <w:sz w:val="32"/>
          <w:szCs w:val="32"/>
          <w:highlight w:val="none"/>
        </w:rPr>
        <w:t>职务：</w:t>
      </w:r>
    </w:p>
    <w:p w14:paraId="0C436D67">
      <w:pPr>
        <w:rPr>
          <w:rFonts w:eastAsia="仿宋_GB2312"/>
          <w:color w:val="auto"/>
          <w:sz w:val="32"/>
          <w:szCs w:val="32"/>
          <w:highlight w:val="none"/>
        </w:rPr>
      </w:pPr>
    </w:p>
    <w:p w14:paraId="3D02B58F">
      <w:pPr>
        <w:widowControl/>
        <w:jc w:val="center"/>
        <w:rPr>
          <w:rFonts w:eastAsia="仿宋_GB2312"/>
          <w:color w:val="auto"/>
          <w:sz w:val="32"/>
          <w:szCs w:val="32"/>
          <w:highlight w:val="none"/>
        </w:rPr>
      </w:pPr>
      <w:r>
        <w:rPr>
          <w:rFonts w:eastAsia="仿宋_GB2312"/>
          <w:color w:val="auto"/>
          <w:sz w:val="32"/>
          <w:szCs w:val="32"/>
          <w:highlight w:val="none"/>
        </w:rPr>
        <w:br w:type="page"/>
      </w:r>
      <w:bookmarkStart w:id="4" w:name="_Toc384752807"/>
    </w:p>
    <w:p w14:paraId="45B73C6F">
      <w:pPr>
        <w:pStyle w:val="46"/>
        <w:ind w:firstLine="0" w:firstLineChars="0"/>
        <w:jc w:val="left"/>
        <w:outlineLvl w:val="1"/>
        <w:rPr>
          <w:rFonts w:eastAsia="黑体"/>
          <w:color w:val="auto"/>
          <w:sz w:val="28"/>
          <w:szCs w:val="44"/>
          <w:highlight w:val="none"/>
        </w:rPr>
      </w:pPr>
      <w:bookmarkStart w:id="5" w:name="_Hlk40704362"/>
      <w:r>
        <w:rPr>
          <w:rFonts w:hint="eastAsia" w:eastAsia="黑体"/>
          <w:color w:val="auto"/>
          <w:sz w:val="28"/>
          <w:szCs w:val="44"/>
          <w:highlight w:val="none"/>
        </w:rPr>
        <w:t>附件三法人授权书</w:t>
      </w:r>
    </w:p>
    <w:p w14:paraId="672F8394">
      <w:pPr>
        <w:widowControl/>
        <w:jc w:val="center"/>
        <w:rPr>
          <w:rFonts w:eastAsia="仿宋_GB2312"/>
          <w:b/>
          <w:color w:val="auto"/>
          <w:sz w:val="32"/>
          <w:szCs w:val="32"/>
          <w:highlight w:val="none"/>
        </w:rPr>
      </w:pPr>
    </w:p>
    <w:p w14:paraId="00CC1EE5">
      <w:pPr>
        <w:widowControl/>
        <w:jc w:val="center"/>
        <w:rPr>
          <w:rFonts w:eastAsia="仿宋_GB2312"/>
          <w:color w:val="auto"/>
          <w:sz w:val="32"/>
          <w:szCs w:val="32"/>
          <w:highlight w:val="none"/>
        </w:rPr>
      </w:pPr>
      <w:r>
        <w:rPr>
          <w:rFonts w:hint="eastAsia" w:eastAsia="仿宋_GB2312"/>
          <w:b/>
          <w:color w:val="auto"/>
          <w:sz w:val="32"/>
          <w:szCs w:val="32"/>
          <w:highlight w:val="none"/>
        </w:rPr>
        <w:t>授权委托书</w:t>
      </w:r>
      <w:bookmarkEnd w:id="4"/>
    </w:p>
    <w:p w14:paraId="0387D1CE">
      <w:pPr>
        <w:pStyle w:val="45"/>
        <w:ind w:firstLine="0" w:firstLineChars="0"/>
        <w:rPr>
          <w:rFonts w:ascii="Times New Roman" w:hAnsi="Times New Roman"/>
          <w:color w:val="auto"/>
          <w:sz w:val="32"/>
          <w:szCs w:val="32"/>
          <w:highlight w:val="none"/>
        </w:rPr>
      </w:pPr>
    </w:p>
    <w:p w14:paraId="2B997AA5">
      <w:pPr>
        <w:rPr>
          <w:rFonts w:eastAsia="仿宋_GB2312"/>
          <w:color w:val="auto"/>
          <w:sz w:val="32"/>
          <w:szCs w:val="32"/>
          <w:highlight w:val="none"/>
        </w:rPr>
      </w:pPr>
      <w:r>
        <w:rPr>
          <w:rFonts w:eastAsia="仿宋_GB2312"/>
          <w:color w:val="auto"/>
          <w:sz w:val="32"/>
          <w:szCs w:val="32"/>
          <w:highlight w:val="none"/>
          <w:u w:val="single"/>
        </w:rPr>
        <w:t xml:space="preserve"> </w:t>
      </w:r>
      <w:r>
        <w:rPr>
          <w:rFonts w:hint="eastAsia" w:eastAsia="仿宋_GB2312"/>
          <w:sz w:val="32"/>
          <w:szCs w:val="32"/>
          <w:u w:val="single"/>
        </w:rPr>
        <w:t>东莞市东实产城发展有限公司</w:t>
      </w:r>
      <w:r>
        <w:rPr>
          <w:rFonts w:hint="eastAsia" w:eastAsia="仿宋_GB2312"/>
          <w:color w:val="auto"/>
          <w:sz w:val="32"/>
          <w:szCs w:val="32"/>
          <w:highlight w:val="none"/>
        </w:rPr>
        <w:t>：</w:t>
      </w:r>
    </w:p>
    <w:p w14:paraId="230DDCB7">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ascii="Times New Roman" w:hAnsi="Times New Roman"/>
          <w:color w:val="auto"/>
          <w:sz w:val="32"/>
          <w:szCs w:val="32"/>
          <w:highlight w:val="none"/>
          <w:u w:val="single"/>
          <w:lang w:val="en-US" w:eastAsia="zh-CN"/>
        </w:rPr>
        <w:t xml:space="preserve"> 谢岗</w:t>
      </w:r>
      <w:r>
        <w:rPr>
          <w:rFonts w:hint="eastAsia" w:ascii="Times New Roman" w:hAnsi="Times New Roman"/>
          <w:color w:val="auto"/>
          <w:sz w:val="32"/>
          <w:szCs w:val="32"/>
          <w:highlight w:val="none"/>
          <w:u w:val="single"/>
          <w:lang w:eastAsia="zh-CN"/>
        </w:rPr>
        <w:t>项目沙盘模型设计制作服务</w:t>
      </w:r>
      <w:r>
        <w:rPr>
          <w:rFonts w:hint="eastAsia" w:ascii="Times New Roman" w:hAnsi="Times New Roman"/>
          <w:color w:val="auto"/>
          <w:sz w:val="32"/>
          <w:szCs w:val="32"/>
          <w:highlight w:val="none"/>
          <w:u w:val="single"/>
          <w:lang w:val="en-US" w:eastAsia="zh-CN"/>
        </w:rPr>
        <w:t xml:space="preserve"> </w:t>
      </w:r>
      <w:r>
        <w:rPr>
          <w:rFonts w:hint="eastAsia"/>
          <w:color w:val="auto"/>
          <w:sz w:val="32"/>
          <w:szCs w:val="32"/>
          <w:highlight w:val="none"/>
        </w:rPr>
        <w:t>项目</w:t>
      </w:r>
      <w:r>
        <w:rPr>
          <w:rFonts w:hint="eastAsia" w:ascii="Times New Roman" w:hAnsi="Times New Roman"/>
          <w:color w:val="auto"/>
          <w:sz w:val="32"/>
          <w:szCs w:val="32"/>
          <w:highlight w:val="none"/>
        </w:rPr>
        <w:t>等相关服务的磋商和合同的执行，以我方的名义处理一切与之有关的事宜（相关身份证复印件须附后）。</w:t>
      </w:r>
    </w:p>
    <w:p w14:paraId="42764006">
      <w:pPr>
        <w:pStyle w:val="45"/>
        <w:ind w:firstLine="659"/>
        <w:rPr>
          <w:rFonts w:ascii="Times New Roman" w:hAnsi="Times New Roman"/>
          <w:color w:val="auto"/>
          <w:sz w:val="32"/>
          <w:szCs w:val="32"/>
          <w:highlight w:val="none"/>
        </w:rPr>
      </w:pPr>
    </w:p>
    <w:p w14:paraId="764912FE">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日至</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年</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月</w:t>
      </w:r>
      <w:r>
        <w:rPr>
          <w:rFonts w:hint="eastAsia" w:ascii="Times New Roman" w:hAnsi="Times New Roman"/>
          <w:color w:val="auto"/>
          <w:sz w:val="32"/>
          <w:szCs w:val="32"/>
          <w:highlight w:val="none"/>
          <w:u w:val="single"/>
        </w:rPr>
        <w:t xml:space="preserve">    </w:t>
      </w:r>
      <w:r>
        <w:rPr>
          <w:rFonts w:hint="eastAsia" w:ascii="Times New Roman" w:hAnsi="Times New Roman"/>
          <w:color w:val="auto"/>
          <w:sz w:val="32"/>
          <w:szCs w:val="32"/>
          <w:highlight w:val="none"/>
        </w:rPr>
        <w:t>日签字生效，特此声明。</w:t>
      </w:r>
    </w:p>
    <w:p w14:paraId="3B0C369F">
      <w:pPr>
        <w:pStyle w:val="45"/>
        <w:ind w:firstLine="659"/>
        <w:rPr>
          <w:rFonts w:ascii="Times New Roman" w:hAnsi="Times New Roman"/>
          <w:color w:val="auto"/>
          <w:sz w:val="32"/>
          <w:szCs w:val="32"/>
          <w:highlight w:val="none"/>
        </w:rPr>
      </w:pPr>
    </w:p>
    <w:p w14:paraId="3B369D23">
      <w:pPr>
        <w:pStyle w:val="45"/>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CDF4DE4">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0B10109A">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1D0CC68A">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07EE1BE1">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47485D2F">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014FBC16">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5"/>
    <w:p w14:paraId="5C2C5AB6">
      <w:pPr>
        <w:pStyle w:val="45"/>
        <w:ind w:firstLine="0" w:firstLineChars="0"/>
        <w:jc w:val="left"/>
        <w:rPr>
          <w:rFonts w:hint="eastAsia" w:ascii="仿宋_GB2312" w:hAnsi="仿宋_GB2312" w:cs="仿宋_GB2312"/>
          <w:color w:val="auto"/>
          <w:sz w:val="32"/>
          <w:szCs w:val="32"/>
          <w:highlight w:val="none"/>
        </w:rPr>
      </w:pPr>
      <w:r>
        <w:rPr>
          <w:color w:val="auto"/>
          <w:sz w:val="32"/>
          <w:szCs w:val="32"/>
          <w:highlight w:val="none"/>
        </w:rPr>
        <w:br w:type="page"/>
      </w:r>
      <w:bookmarkEnd w:id="3"/>
    </w:p>
    <w:p w14:paraId="6B75925F">
      <w:pPr>
        <w:pStyle w:val="46"/>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承诺函</w:t>
      </w:r>
    </w:p>
    <w:p w14:paraId="11A0EA02">
      <w:pPr>
        <w:pStyle w:val="46"/>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承诺函</w:t>
      </w:r>
    </w:p>
    <w:p w14:paraId="3339682E">
      <w:pPr>
        <w:rPr>
          <w:rFonts w:eastAsia="仿宋_GB2312"/>
          <w:color w:val="auto"/>
          <w:sz w:val="32"/>
          <w:szCs w:val="32"/>
          <w:highlight w:val="none"/>
        </w:rPr>
      </w:pPr>
      <w:r>
        <w:rPr>
          <w:rFonts w:eastAsia="仿宋_GB2312"/>
          <w:color w:val="auto"/>
          <w:sz w:val="32"/>
          <w:szCs w:val="32"/>
          <w:highlight w:val="none"/>
          <w:u w:val="single"/>
        </w:rPr>
        <w:t xml:space="preserve"> </w:t>
      </w:r>
      <w:r>
        <w:rPr>
          <w:rFonts w:hint="eastAsia" w:eastAsia="仿宋_GB2312"/>
          <w:sz w:val="32"/>
          <w:szCs w:val="32"/>
          <w:u w:val="single"/>
        </w:rPr>
        <w:t>东莞市东实产城发展有限公司</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u w:val="single"/>
          <w:lang w:val="en-US" w:eastAsia="zh-CN"/>
        </w:rPr>
        <w:t>采购人</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rPr>
        <w:t>：</w:t>
      </w:r>
    </w:p>
    <w:p w14:paraId="7D830DE6">
      <w:pPr>
        <w:pStyle w:val="45"/>
        <w:ind w:firstLine="640" w:firstLineChars="0"/>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lang w:val="en-US" w:eastAsia="zh-CN"/>
        </w:rPr>
        <w:t>谢岗</w:t>
      </w:r>
      <w:r>
        <w:rPr>
          <w:rFonts w:hint="eastAsia"/>
          <w:color w:val="auto"/>
          <w:sz w:val="32"/>
          <w:szCs w:val="32"/>
          <w:highlight w:val="none"/>
          <w:u w:val="single"/>
          <w:lang w:eastAsia="zh-CN"/>
        </w:rPr>
        <w:t>项目沙盘模型设计制作服务</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5492996D">
      <w:pPr>
        <w:pStyle w:val="45"/>
        <w:ind w:firstLine="659"/>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我公司已充分了解采购项目情况，本次报价完全响应竞争性磋商文件的要求，我公司所提供的</w:t>
      </w:r>
      <w:r>
        <w:rPr>
          <w:color w:val="auto"/>
          <w:sz w:val="32"/>
          <w:szCs w:val="32"/>
          <w:highlight w:val="none"/>
          <w:u w:val="single"/>
        </w:rPr>
        <w:t xml:space="preserve"> </w:t>
      </w:r>
      <w:r>
        <w:rPr>
          <w:rFonts w:hint="eastAsia"/>
          <w:color w:val="auto"/>
          <w:sz w:val="32"/>
          <w:szCs w:val="32"/>
          <w:highlight w:val="none"/>
          <w:u w:val="single"/>
        </w:rPr>
        <w:t xml:space="preserve"> </w:t>
      </w:r>
      <w:r>
        <w:rPr>
          <w:rFonts w:hint="eastAsia" w:eastAsia="仿宋_GB2312"/>
          <w:color w:val="auto"/>
          <w:sz w:val="32"/>
          <w:szCs w:val="32"/>
          <w:highlight w:val="none"/>
          <w:u w:val="single"/>
          <w:lang w:eastAsia="zh-CN"/>
        </w:rPr>
        <w:t>沙盘模型设计制作</w:t>
      </w:r>
      <w:r>
        <w:rPr>
          <w:rFonts w:hint="eastAsia" w:eastAsia="仿宋_GB2312"/>
          <w:color w:val="auto"/>
          <w:sz w:val="32"/>
          <w:szCs w:val="32"/>
          <w:highlight w:val="none"/>
          <w:u w:val="single"/>
          <w:lang w:val="en-US" w:eastAsia="zh-CN"/>
        </w:rPr>
        <w:t>服务</w:t>
      </w:r>
      <w:r>
        <w:rPr>
          <w:rFonts w:hint="eastAsia"/>
          <w:color w:val="auto"/>
          <w:sz w:val="32"/>
          <w:szCs w:val="32"/>
          <w:highlight w:val="none"/>
          <w:u w:val="single"/>
        </w:rPr>
        <w:t xml:space="preserve"> </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1828E463">
      <w:pPr>
        <w:pStyle w:val="45"/>
        <w:ind w:firstLine="659"/>
        <w:rPr>
          <w:rFonts w:ascii="Times New Roman" w:hAnsi="Times New Roman"/>
          <w:color w:val="auto"/>
          <w:sz w:val="32"/>
          <w:szCs w:val="32"/>
          <w:highlight w:val="none"/>
        </w:rPr>
      </w:pPr>
    </w:p>
    <w:p w14:paraId="5D24D9FE">
      <w:pPr>
        <w:pStyle w:val="45"/>
        <w:ind w:firstLine="0" w:firstLineChars="0"/>
        <w:jc w:val="left"/>
        <w:rPr>
          <w:rFonts w:ascii="Times New Roman" w:hAnsi="Times New Roman"/>
          <w:color w:val="auto"/>
          <w:sz w:val="32"/>
          <w:szCs w:val="32"/>
          <w:highlight w:val="none"/>
        </w:rPr>
      </w:pPr>
    </w:p>
    <w:p w14:paraId="5756D4B4">
      <w:pPr>
        <w:jc w:val="left"/>
        <w:rPr>
          <w:rFonts w:eastAsia="仿宋"/>
          <w:color w:val="auto"/>
          <w:sz w:val="32"/>
          <w:szCs w:val="32"/>
          <w:highlight w:val="none"/>
        </w:rPr>
      </w:pPr>
    </w:p>
    <w:p w14:paraId="1EC1F6FF">
      <w:pPr>
        <w:jc w:val="left"/>
        <w:rPr>
          <w:rFonts w:eastAsia="仿宋"/>
          <w:color w:val="auto"/>
          <w:sz w:val="32"/>
          <w:szCs w:val="32"/>
          <w:highlight w:val="none"/>
        </w:rPr>
      </w:pPr>
    </w:p>
    <w:p w14:paraId="03E8BB28">
      <w:pPr>
        <w:jc w:val="left"/>
        <w:rPr>
          <w:rFonts w:eastAsia="仿宋"/>
          <w:color w:val="auto"/>
          <w:sz w:val="32"/>
          <w:szCs w:val="32"/>
          <w:highlight w:val="none"/>
        </w:rPr>
      </w:pPr>
    </w:p>
    <w:p w14:paraId="1131A1D9">
      <w:pPr>
        <w:pStyle w:val="45"/>
        <w:ind w:right="160"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033FAB7D">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3A467176">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25F3596A">
      <w:pPr>
        <w:pStyle w:val="45"/>
        <w:ind w:firstLine="0" w:firstLineChars="0"/>
        <w:jc w:val="left"/>
        <w:rPr>
          <w:rFonts w:hint="eastAsia"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12604FDF">
      <w:pPr>
        <w:pStyle w:val="45"/>
        <w:ind w:firstLine="0" w:firstLineChars="0"/>
        <w:jc w:val="left"/>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14:paraId="37F8AC8D">
      <w:pPr>
        <w:pStyle w:val="45"/>
        <w:ind w:firstLine="0" w:firstLineChars="0"/>
        <w:jc w:val="left"/>
        <w:rPr>
          <w:rFonts w:ascii="Times New Roman" w:hAnsi="Times New Roman"/>
          <w:color w:val="auto"/>
          <w:sz w:val="32"/>
          <w:szCs w:val="32"/>
          <w:highlight w:val="none"/>
        </w:rPr>
      </w:pPr>
    </w:p>
    <w:p w14:paraId="40D4D7FE">
      <w:pPr>
        <w:pStyle w:val="45"/>
        <w:ind w:firstLine="0" w:firstLineChars="0"/>
        <w:jc w:val="left"/>
        <w:rPr>
          <w:rFonts w:ascii="Times New Roman" w:hAnsi="Times New Roman"/>
          <w:color w:val="auto"/>
          <w:sz w:val="32"/>
          <w:szCs w:val="32"/>
          <w:highlight w:val="none"/>
        </w:rPr>
      </w:pPr>
    </w:p>
    <w:p w14:paraId="31EFB0AC">
      <w:pPr>
        <w:pStyle w:val="45"/>
        <w:ind w:firstLine="0" w:firstLineChars="0"/>
        <w:jc w:val="left"/>
        <w:rPr>
          <w:rFonts w:ascii="Times New Roman" w:hAnsi="Times New Roman"/>
          <w:color w:val="auto"/>
          <w:sz w:val="32"/>
          <w:szCs w:val="32"/>
          <w:highlight w:val="none"/>
        </w:rPr>
      </w:pPr>
    </w:p>
    <w:p w14:paraId="39A41682">
      <w:pPr>
        <w:pStyle w:val="46"/>
        <w:ind w:firstLine="0" w:firstLineChars="0"/>
        <w:jc w:val="left"/>
        <w:outlineLvl w:val="1"/>
        <w:rPr>
          <w:rFonts w:eastAsia="黑体"/>
          <w:color w:val="000000"/>
          <w:sz w:val="28"/>
          <w:szCs w:val="44"/>
        </w:rPr>
      </w:pPr>
      <w:bookmarkStart w:id="6" w:name="_Toc9213"/>
      <w:r>
        <w:rPr>
          <w:rFonts w:eastAsia="黑体"/>
          <w:color w:val="000000"/>
          <w:sz w:val="28"/>
          <w:szCs w:val="44"/>
        </w:rPr>
        <w:t>附件</w:t>
      </w:r>
      <w:r>
        <w:rPr>
          <w:rFonts w:hint="eastAsia" w:eastAsia="黑体"/>
          <w:color w:val="000000"/>
          <w:sz w:val="28"/>
          <w:szCs w:val="44"/>
          <w:lang w:val="en-US" w:eastAsia="zh-CN"/>
        </w:rPr>
        <w:t>五</w:t>
      </w:r>
      <w:r>
        <w:rPr>
          <w:rFonts w:eastAsia="黑体"/>
          <w:color w:val="000000"/>
          <w:sz w:val="28"/>
          <w:szCs w:val="44"/>
        </w:rPr>
        <w:t xml:space="preserve"> 用户需求书</w:t>
      </w:r>
    </w:p>
    <w:p w14:paraId="4F6429FC">
      <w:pPr>
        <w:pStyle w:val="46"/>
        <w:ind w:firstLine="0" w:firstLineChars="0"/>
        <w:jc w:val="center"/>
        <w:rPr>
          <w:rFonts w:eastAsia="仿宋_GB2312"/>
          <w:b/>
          <w:color w:val="000000"/>
          <w:sz w:val="32"/>
          <w:szCs w:val="32"/>
        </w:rPr>
      </w:pPr>
      <w:r>
        <w:rPr>
          <w:rFonts w:eastAsia="仿宋_GB2312"/>
          <w:b/>
          <w:color w:val="000000"/>
          <w:sz w:val="32"/>
          <w:szCs w:val="32"/>
        </w:rPr>
        <w:t>用户需求书</w:t>
      </w:r>
    </w:p>
    <w:p w14:paraId="7A6A5447">
      <w:pPr>
        <w:spacing w:line="360" w:lineRule="auto"/>
        <w:jc w:val="center"/>
        <w:rPr>
          <w:rFonts w:eastAsia="仿宋_GB2312"/>
          <w:color w:val="000000"/>
          <w:sz w:val="32"/>
          <w:szCs w:val="32"/>
        </w:rPr>
      </w:pPr>
    </w:p>
    <w:p w14:paraId="78CC3FAB">
      <w:pPr>
        <w:pStyle w:val="45"/>
        <w:ind w:firstLine="659"/>
        <w:rPr>
          <w:rFonts w:ascii="Times New Roman" w:hAnsi="Times New Roman"/>
          <w:color w:val="000000"/>
          <w:sz w:val="32"/>
          <w:szCs w:val="32"/>
        </w:rPr>
      </w:pPr>
      <w:bookmarkStart w:id="7" w:name="_Toc148265712"/>
      <w:bookmarkEnd w:id="7"/>
      <w:r>
        <w:rPr>
          <w:rFonts w:ascii="Times New Roman" w:hAnsi="Times New Roman"/>
          <w:color w:val="000000"/>
          <w:sz w:val="32"/>
          <w:szCs w:val="32"/>
        </w:rPr>
        <w:t>1、制作要求</w:t>
      </w:r>
    </w:p>
    <w:p w14:paraId="5E714714">
      <w:pPr>
        <w:pStyle w:val="45"/>
        <w:ind w:firstLine="659"/>
        <w:rPr>
          <w:rFonts w:ascii="Times New Roman" w:hAnsi="Times New Roman"/>
          <w:color w:val="000000"/>
          <w:sz w:val="32"/>
          <w:szCs w:val="32"/>
        </w:rPr>
      </w:pPr>
      <w:r>
        <w:rPr>
          <w:rFonts w:ascii="Times New Roman" w:hAnsi="Times New Roman"/>
          <w:color w:val="000000"/>
          <w:sz w:val="32"/>
          <w:szCs w:val="32"/>
        </w:rPr>
        <w:t>按照我方提供的图纸精心制作，可在不违背设计方案的前提下采用夸张、大胆、创新的表现手法，力求将建筑模型制作成为艺术精品，能够透析出本项目水景、人文、高端的气息。同时考虑与周边景观环境的比例和谐，完美展现项目的人性化规划、建筑形象、优美环境和交通的通达性。</w:t>
      </w:r>
    </w:p>
    <w:tbl>
      <w:tblPr>
        <w:tblStyle w:val="24"/>
        <w:tblW w:w="9391" w:type="dxa"/>
        <w:tblInd w:w="93" w:type="dxa"/>
        <w:tblLayout w:type="autofit"/>
        <w:tblCellMar>
          <w:top w:w="0" w:type="dxa"/>
          <w:left w:w="108" w:type="dxa"/>
          <w:bottom w:w="0" w:type="dxa"/>
          <w:right w:w="108" w:type="dxa"/>
        </w:tblCellMar>
      </w:tblPr>
      <w:tblGrid>
        <w:gridCol w:w="600"/>
        <w:gridCol w:w="1116"/>
        <w:gridCol w:w="2268"/>
        <w:gridCol w:w="709"/>
        <w:gridCol w:w="4698"/>
      </w:tblGrid>
      <w:tr w14:paraId="3720B73C">
        <w:tblPrEx>
          <w:tblCellMar>
            <w:top w:w="0" w:type="dxa"/>
            <w:left w:w="108" w:type="dxa"/>
            <w:bottom w:w="0" w:type="dxa"/>
            <w:right w:w="108" w:type="dxa"/>
          </w:tblCellMar>
        </w:tblPrEx>
        <w:trPr>
          <w:trHeight w:val="72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58B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序号</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4135">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模型内容</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124B">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C232">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数量</w:t>
            </w:r>
          </w:p>
        </w:tc>
        <w:tc>
          <w:tcPr>
            <w:tcW w:w="4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8851">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备注</w:t>
            </w:r>
          </w:p>
        </w:tc>
      </w:tr>
      <w:tr w14:paraId="02C5BA64">
        <w:tblPrEx>
          <w:tblCellMar>
            <w:top w:w="0" w:type="dxa"/>
            <w:left w:w="108" w:type="dxa"/>
            <w:bottom w:w="0" w:type="dxa"/>
            <w:right w:w="108" w:type="dxa"/>
          </w:tblCellMar>
        </w:tblPrEx>
        <w:trPr>
          <w:trHeight w:val="20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52E4">
            <w:pPr>
              <w:widowControl/>
              <w:jc w:val="center"/>
              <w:textAlignment w:val="center"/>
              <w:rPr>
                <w:rFonts w:hint="eastAsia" w:ascii="仿宋_GB2312" w:hAnsi="仿宋_GB2312" w:eastAsia="仿宋_GB2312" w:cs="仿宋_GB2312"/>
                <w:color w:val="000000"/>
                <w:sz w:val="20"/>
              </w:rPr>
            </w:pPr>
            <w:r>
              <w:rPr>
                <w:rFonts w:hint="eastAsia" w:ascii="仿宋_GB2312" w:hAnsi="仿宋_GB2312" w:eastAsia="仿宋_GB2312" w:cs="仿宋_GB2312"/>
                <w:color w:val="000000"/>
                <w:kern w:val="0"/>
                <w:sz w:val="20"/>
                <w:lang w:bidi="ar"/>
              </w:rPr>
              <w:t>1</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B99E">
            <w:pPr>
              <w:pStyle w:val="21"/>
              <w:keepNext w:val="0"/>
              <w:keepLines w:val="0"/>
              <w:widowControl/>
              <w:suppressLineNumbers w:val="0"/>
              <w:kinsoku/>
              <w:wordWrap/>
              <w:overflowPunct/>
              <w:jc w:val="center"/>
              <w:rPr>
                <w:rFonts w:hint="eastAsia" w:ascii="仿宋_GB2312" w:hAnsi="仿宋_GB2312" w:eastAsia="仿宋_GB2312" w:cs="仿宋_GB2312"/>
              </w:rPr>
            </w:pPr>
            <w:r>
              <w:rPr>
                <w:rFonts w:hint="eastAsia" w:ascii="仿宋_GB2312" w:hAnsi="仿宋_GB2312" w:eastAsia="仿宋_GB2312" w:cs="仿宋_GB2312"/>
                <w:b/>
                <w:bCs/>
                <w:color w:val="000000"/>
                <w:sz w:val="20"/>
                <w:szCs w:val="20"/>
              </w:rPr>
              <w:t>项目总规沙盘</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49C5">
            <w:pPr>
              <w:widowControl/>
              <w:jc w:val="left"/>
              <w:textAlignment w:val="cente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包含底座制作</w:t>
            </w:r>
          </w:p>
          <w:p w14:paraId="67CEAF69">
            <w:pPr>
              <w:widowControl/>
              <w:jc w:val="left"/>
              <w:textAlignment w:val="cente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尺寸：4.5m*3.5m</w:t>
            </w:r>
          </w:p>
          <w:p w14:paraId="75E9AF05">
            <w:pPr>
              <w:widowControl/>
              <w:jc w:val="left"/>
              <w:textAlignment w:val="cente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离地高度：约700mm</w:t>
            </w:r>
          </w:p>
          <w:p w14:paraId="30E474D2">
            <w:pPr>
              <w:widowControl/>
              <w:jc w:val="left"/>
              <w:textAlignment w:val="cente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比例：景观1:120，建筑1:130</w:t>
            </w:r>
          </w:p>
          <w:p w14:paraId="4E7F8343">
            <w:pPr>
              <w:widowControl/>
              <w:jc w:val="left"/>
              <w:textAlignment w:val="center"/>
              <w:rPr>
                <w:rFonts w:hint="eastAsia" w:ascii="仿宋_GB2312" w:hAnsi="仿宋_GB2312" w:eastAsia="仿宋_GB2312" w:cs="仿宋_GB2312"/>
                <w:color w:val="000000"/>
                <w:sz w:val="20"/>
              </w:rPr>
            </w:pPr>
            <w:r>
              <w:rPr>
                <w:rFonts w:hint="eastAsia" w:ascii="仿宋_GB2312" w:hAnsi="仿宋_GB2312" w:eastAsia="仿宋_GB2312" w:cs="仿宋_GB2312"/>
                <w:color w:val="000000"/>
                <w:kern w:val="0"/>
                <w:sz w:val="20"/>
                <w:lang w:bidi="ar"/>
              </w:rPr>
              <w:t>（最终以实际确认为准）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BD3E">
            <w:pPr>
              <w:widowControl/>
              <w:jc w:val="center"/>
              <w:textAlignment w:val="center"/>
              <w:rPr>
                <w:rFonts w:hint="eastAsia" w:ascii="仿宋_GB2312" w:hAnsi="仿宋_GB2312" w:eastAsia="仿宋_GB2312" w:cs="仿宋_GB2312"/>
                <w:color w:val="000000"/>
                <w:sz w:val="20"/>
              </w:rPr>
            </w:pPr>
            <w:r>
              <w:rPr>
                <w:rFonts w:hint="eastAsia" w:ascii="仿宋_GB2312" w:hAnsi="仿宋_GB2312" w:eastAsia="仿宋_GB2312" w:cs="仿宋_GB2312"/>
                <w:color w:val="000000"/>
                <w:kern w:val="0"/>
                <w:sz w:val="20"/>
                <w:lang w:bidi="ar"/>
              </w:rPr>
              <w:t>1套</w:t>
            </w:r>
          </w:p>
        </w:tc>
        <w:tc>
          <w:tcPr>
            <w:tcW w:w="4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A1CF">
            <w:p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1、景观比例大于建筑比例，提升道路及楼间距空间。</w:t>
            </w:r>
          </w:p>
          <w:p w14:paraId="153D8A37">
            <w:p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2、项目四至以项目相邻道路为限。</w:t>
            </w:r>
          </w:p>
          <w:p w14:paraId="7D77BE5F">
            <w:p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3、高度综合扶手高度，预计台面高度约70cm。</w:t>
            </w:r>
          </w:p>
          <w:p w14:paraId="05302AB2">
            <w:pPr>
              <w:rPr>
                <w:rFonts w:hint="eastAsia" w:ascii="仿宋_GB2312" w:hAnsi="仿宋_GB2312" w:eastAsia="仿宋_GB2312" w:cs="仿宋_GB2312"/>
                <w:color w:val="000000"/>
                <w:kern w:val="0"/>
                <w:sz w:val="20"/>
                <w:lang w:bidi="ar"/>
              </w:rPr>
            </w:pPr>
            <w:r>
              <w:rPr>
                <w:rFonts w:hint="eastAsia" w:ascii="仿宋_GB2312" w:hAnsi="仿宋_GB2312" w:eastAsia="仿宋_GB2312" w:cs="仿宋_GB2312"/>
                <w:color w:val="000000"/>
                <w:kern w:val="0"/>
                <w:sz w:val="20"/>
                <w:lang w:bidi="ar"/>
              </w:rPr>
              <w:t>4、沙盘底座为白色钢琴烤漆，含玻璃围栏。</w:t>
            </w:r>
          </w:p>
          <w:p w14:paraId="6D035BE9">
            <w:pPr>
              <w:rPr>
                <w:rFonts w:hint="eastAsia" w:ascii="仿宋_GB2312" w:hAnsi="仿宋_GB2312" w:eastAsia="仿宋_GB2312" w:cs="仿宋_GB2312"/>
              </w:rPr>
            </w:pPr>
            <w:r>
              <w:rPr>
                <w:rFonts w:hint="eastAsia" w:ascii="仿宋_GB2312" w:hAnsi="仿宋_GB2312" w:eastAsia="仿宋_GB2312" w:cs="仿宋_GB2312"/>
                <w:color w:val="000000"/>
                <w:kern w:val="0"/>
                <w:sz w:val="20"/>
                <w:lang w:bidi="ar"/>
              </w:rPr>
              <w:t>5、建筑楼体侧面标注相关参数。</w:t>
            </w:r>
          </w:p>
        </w:tc>
      </w:tr>
      <w:tr w14:paraId="0FF36FD7">
        <w:tblPrEx>
          <w:tblCellMar>
            <w:top w:w="0" w:type="dxa"/>
            <w:left w:w="108" w:type="dxa"/>
            <w:bottom w:w="0" w:type="dxa"/>
            <w:right w:w="108" w:type="dxa"/>
          </w:tblCellMar>
        </w:tblPrEx>
        <w:trPr>
          <w:trHeight w:val="15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D082">
            <w:pPr>
              <w:widowControl/>
              <w:jc w:val="center"/>
              <w:textAlignment w:val="center"/>
              <w:rPr>
                <w:rFonts w:hint="eastAsia" w:ascii="仿宋_GB2312" w:hAnsi="仿宋_GB2312" w:eastAsia="仿宋_GB2312" w:cs="仿宋_GB2312"/>
                <w:color w:val="000000"/>
                <w:sz w:val="20"/>
              </w:rPr>
            </w:pPr>
            <w:r>
              <w:rPr>
                <w:rFonts w:hint="eastAsia" w:ascii="仿宋_GB2312" w:hAnsi="仿宋_GB2312" w:eastAsia="仿宋_GB2312" w:cs="仿宋_GB2312"/>
                <w:color w:val="000000"/>
                <w:kern w:val="0"/>
                <w:sz w:val="20"/>
                <w:lang w:bidi="ar"/>
              </w:rPr>
              <w:t>2</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9F0B">
            <w:pPr>
              <w:pStyle w:val="21"/>
              <w:keepNext w:val="0"/>
              <w:keepLines w:val="0"/>
              <w:widowControl/>
              <w:suppressLineNumbers w:val="0"/>
              <w:kinsoku/>
              <w:wordWrap/>
              <w:overflowPunct/>
              <w:jc w:val="center"/>
              <w:rPr>
                <w:rFonts w:hint="eastAsia" w:ascii="仿宋_GB2312" w:hAnsi="仿宋_GB2312" w:eastAsia="仿宋_GB2312" w:cs="仿宋_GB2312"/>
                <w:color w:val="000000"/>
                <w:sz w:val="20"/>
              </w:rPr>
            </w:pPr>
            <w:r>
              <w:rPr>
                <w:rFonts w:hint="eastAsia" w:ascii="仿宋_GB2312" w:hAnsi="仿宋_GB2312" w:eastAsia="仿宋_GB2312" w:cs="仿宋_GB2312"/>
                <w:b/>
                <w:bCs/>
                <w:color w:val="000000"/>
                <w:sz w:val="20"/>
                <w:szCs w:val="20"/>
              </w:rPr>
              <w:t>模型拆装</w:t>
            </w:r>
          </w:p>
        </w:tc>
        <w:tc>
          <w:tcPr>
            <w:tcW w:w="2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4BE5">
            <w:pPr>
              <w:widowControl/>
              <w:jc w:val="left"/>
              <w:textAlignment w:val="center"/>
              <w:rPr>
                <w:rFonts w:hint="eastAsia" w:ascii="仿宋_GB2312" w:hAnsi="仿宋_GB2312" w:eastAsia="仿宋_GB2312" w:cs="仿宋_GB2312"/>
                <w:color w:val="000000"/>
                <w:sz w:val="20"/>
              </w:rPr>
            </w:pPr>
            <w:r>
              <w:rPr>
                <w:rFonts w:hint="eastAsia" w:ascii="仿宋_GB2312" w:hAnsi="仿宋_GB2312" w:eastAsia="仿宋_GB2312" w:cs="仿宋_GB2312"/>
                <w:color w:val="000000"/>
                <w:kern w:val="0"/>
                <w:sz w:val="20"/>
                <w:lang w:bidi="ar"/>
              </w:rPr>
              <w:t>前期模型在临时展厅摆放使用，待项目产业促进中心装修完成后即搬迁至现场使用</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1E71">
            <w:pPr>
              <w:widowControl/>
              <w:jc w:val="center"/>
              <w:textAlignment w:val="center"/>
              <w:rPr>
                <w:rFonts w:hint="eastAsia" w:ascii="仿宋_GB2312" w:hAnsi="仿宋_GB2312" w:eastAsia="仿宋_GB2312" w:cs="仿宋_GB2312"/>
                <w:color w:val="000000"/>
                <w:sz w:val="20"/>
                <w:lang w:val="en-US" w:eastAsia="zh-CN"/>
              </w:rPr>
            </w:pPr>
            <w:r>
              <w:rPr>
                <w:rFonts w:hint="eastAsia" w:ascii="仿宋_GB2312" w:hAnsi="仿宋_GB2312" w:eastAsia="仿宋_GB2312" w:cs="仿宋_GB2312"/>
                <w:color w:val="000000"/>
                <w:kern w:val="0"/>
                <w:sz w:val="20"/>
                <w:lang w:val="en-US" w:eastAsia="zh-CN" w:bidi="ar"/>
              </w:rPr>
              <w:t>1次</w:t>
            </w:r>
          </w:p>
        </w:tc>
        <w:tc>
          <w:tcPr>
            <w:tcW w:w="4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0E32">
            <w:pPr>
              <w:widowControl/>
              <w:jc w:val="left"/>
              <w:textAlignment w:val="center"/>
              <w:rPr>
                <w:rFonts w:hint="eastAsia" w:ascii="仿宋_GB2312" w:hAnsi="仿宋_GB2312" w:eastAsia="仿宋_GB2312" w:cs="仿宋_GB2312"/>
                <w:color w:val="000000"/>
                <w:sz w:val="20"/>
              </w:rPr>
            </w:pPr>
            <w:r>
              <w:rPr>
                <w:rFonts w:hint="eastAsia" w:ascii="仿宋_GB2312" w:hAnsi="仿宋_GB2312" w:eastAsia="仿宋_GB2312" w:cs="仿宋_GB2312"/>
              </w:rPr>
              <w:t>临时展厅距离项目约2公里</w:t>
            </w:r>
          </w:p>
        </w:tc>
      </w:tr>
    </w:tbl>
    <w:p w14:paraId="04649852">
      <w:pPr>
        <w:pStyle w:val="45"/>
        <w:ind w:firstLine="0" w:firstLineChars="0"/>
        <w:rPr>
          <w:rFonts w:ascii="Times New Roman" w:hAnsi="Times New Roman"/>
          <w:color w:val="000000"/>
          <w:sz w:val="32"/>
          <w:szCs w:val="32"/>
        </w:rPr>
      </w:pPr>
      <w:r>
        <w:rPr>
          <w:rFonts w:hint="eastAsia" w:ascii="Times New Roman" w:hAnsi="Times New Roman"/>
          <w:color w:val="000000"/>
          <w:sz w:val="32"/>
          <w:szCs w:val="32"/>
        </w:rPr>
        <w:t xml:space="preserve">   </w:t>
      </w:r>
    </w:p>
    <w:p w14:paraId="0DC57D50">
      <w:pPr>
        <w:pStyle w:val="45"/>
        <w:ind w:firstLine="640" w:firstLineChars="200"/>
        <w:rPr>
          <w:rFonts w:ascii="Times New Roman" w:hAnsi="Times New Roman"/>
          <w:color w:val="000000"/>
          <w:sz w:val="32"/>
          <w:szCs w:val="32"/>
        </w:rPr>
      </w:pPr>
      <w:r>
        <w:rPr>
          <w:rFonts w:hint="eastAsia" w:ascii="Times New Roman" w:hAnsi="Times New Roman"/>
          <w:color w:val="000000"/>
          <w:sz w:val="32"/>
          <w:szCs w:val="32"/>
        </w:rPr>
        <w:t>2、详细</w:t>
      </w:r>
      <w:r>
        <w:rPr>
          <w:rFonts w:ascii="Times New Roman" w:hAnsi="Times New Roman"/>
          <w:color w:val="000000"/>
          <w:sz w:val="32"/>
          <w:szCs w:val="32"/>
        </w:rPr>
        <w:t>内容</w:t>
      </w:r>
    </w:p>
    <w:p w14:paraId="445C9B84">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（1）建筑部分</w:t>
      </w:r>
    </w:p>
    <w:p w14:paraId="7AB22332">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本模型范围内所有建筑依据图纸数据写实精细制作，精心制作好每一个细部，逼真地表达出该项目中的一角一线、一点一面。采用品牌亚克力作模型墙体的主要材料，软质材料将采用高分子ABS材料互相衔接制作，搭配完美。同时经过多次打磨，使接口无缝而且平整、光滑。模型外墙颜色采用紫荆花漆喷漆，外墙分色着色均匀，色彩靓丽、自然，质感真实、色彩协调。建筑外部细部构件，墙体纹理，细微窗棂，阳台金属栏杆，屋顶构架等精细构件均采用先进激光切割机及电脑精雕机精雕细刻，使模型更加精美、做到色彩高雅，层次分明，细部清晰挺拔；整体效果和谐、高度逼真。</w:t>
      </w:r>
    </w:p>
    <w:p w14:paraId="22612E7B">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（2）景观部分</w:t>
      </w:r>
    </w:p>
    <w:p w14:paraId="2EC1C221">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A、项目环境景观全写实精心营造，为了突出项目的绿色景观，项目各景观节点精细表现：植物造景、休闲草坪、步行景观轴、生态休闲走廊、健康步道、入口、广场、停车场等逼真手法表达，并配以相关款式新颖的精美小品。</w:t>
      </w:r>
    </w:p>
    <w:p w14:paraId="14936F7D">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B、铺地效果：地面铺地将景观图纸要求制作，并配以颜色高雅、造型生动的各种丰富的休闲小品如休闲</w:t>
      </w:r>
      <w:r>
        <w:rPr>
          <w:rFonts w:hint="eastAsia" w:ascii="Times New Roman" w:hAnsi="Times New Roman" w:cs="Times New Roman"/>
          <w:color w:val="000000"/>
          <w:sz w:val="32"/>
          <w:szCs w:val="32"/>
          <w:lang w:val="en-US" w:eastAsia="zh-CN"/>
        </w:rPr>
        <w:t>座椅</w:t>
      </w:r>
      <w:r>
        <w:rPr>
          <w:rFonts w:hint="default" w:ascii="Times New Roman" w:hAnsi="Times New Roman" w:cs="Times New Roman"/>
          <w:color w:val="000000"/>
          <w:sz w:val="32"/>
          <w:szCs w:val="32"/>
        </w:rPr>
        <w:t>、太阳伞、花池、小人仔等等加以渲染，充分体现出其热闹繁华的情景氛围。</w:t>
      </w:r>
    </w:p>
    <w:p w14:paraId="0E9FE0D2">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C、绿化效果：环境草皮采用品牌材料种植，并采用植绒机均匀种植草地，更能体现环境中葱翠怡人的生态空间，同时合理地种植适合当地的植物树种（包括灌木、乔木等），草坪花池配置鲜艳的花卉。</w:t>
      </w:r>
    </w:p>
    <w:p w14:paraId="1A423228">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D、项目红线外地块按地形图制作出地形地貌，同时合理地种植适合当地的植物树种，重点体现项目优越的自然景观资源。着重营造滨水景观，充分突出水在规划中的促进作用，水景采用仿真水材料制作，采用电脑芯片编程技术，达到仿真水效果，透明清澈，同时在水边设置流动灯光，塑造出动感逼真、波光粼粼的仿真水面效果；</w:t>
      </w:r>
    </w:p>
    <w:p w14:paraId="4F210712">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E、项目内外的交通网络表现流畅，各道路设置路灯灯柱、制作行车线、道路中心绿化带、摆入各种适合比例车辆等。</w:t>
      </w:r>
    </w:p>
    <w:p w14:paraId="26638D3C">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（3）灯光效果：</w:t>
      </w:r>
    </w:p>
    <w:p w14:paraId="7C9ED16B">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电路系统采用品牌变压器，可随意控制，不会造成短路、起火等不良现象发生。</w:t>
      </w:r>
    </w:p>
    <w:p w14:paraId="2469C759">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A、建筑内部：项目内建筑底部将设置LED暖色调灯光效果；灯光要进行编程，制作出万家灯火场景灯光。</w:t>
      </w:r>
    </w:p>
    <w:p w14:paraId="4F47B220">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B、环境景观灯光：将设置草皮灯、广场流动灯、地下车库入口流动灯、植物射灯等，并用丰富多彩光电效果处理，如草丛、树下安装绿色灯、花丛内安装彩色灯、路灯安装白色灯等。</w:t>
      </w:r>
    </w:p>
    <w:p w14:paraId="099018DA">
      <w:pPr>
        <w:pStyle w:val="45"/>
        <w:ind w:firstLine="659"/>
        <w:rPr>
          <w:rFonts w:hint="default" w:ascii="Times New Roman" w:hAnsi="Times New Roman" w:cs="Times New Roman"/>
          <w:color w:val="000000"/>
          <w:sz w:val="32"/>
          <w:szCs w:val="32"/>
        </w:rPr>
      </w:pPr>
      <w:r>
        <w:rPr>
          <w:rFonts w:hint="default" w:ascii="Times New Roman" w:hAnsi="Times New Roman" w:cs="Times New Roman"/>
          <w:color w:val="000000"/>
          <w:sz w:val="32"/>
          <w:szCs w:val="32"/>
        </w:rPr>
        <w:t>C、本项目共设置多路灯光：</w:t>
      </w:r>
      <w:r>
        <w:rPr>
          <w:rFonts w:hint="default" w:ascii="Times New Roman" w:hAnsi="Times New Roman" w:eastAsia="宋体" w:cs="Times New Roman"/>
          <w:color w:val="000000"/>
          <w:sz w:val="32"/>
          <w:szCs w:val="32"/>
        </w:rPr>
        <w:t>①</w:t>
      </w:r>
      <w:r>
        <w:rPr>
          <w:rFonts w:hint="default" w:ascii="Times New Roman" w:hAnsi="Times New Roman" w:cs="Times New Roman"/>
          <w:color w:val="000000"/>
          <w:sz w:val="32"/>
          <w:szCs w:val="32"/>
        </w:rPr>
        <w:t>项目的建筑单独设置一路微电脑自控灯光效果,整个建筑灯光炫而不乱、动感逼真，营造一种时尚繁华的情景氛围，让人能有一种身临其境的感觉；</w:t>
      </w:r>
      <w:r>
        <w:rPr>
          <w:rFonts w:hint="default" w:ascii="Times New Roman" w:hAnsi="Times New Roman" w:eastAsia="宋体" w:cs="Times New Roman"/>
          <w:color w:val="000000"/>
          <w:sz w:val="32"/>
          <w:szCs w:val="32"/>
        </w:rPr>
        <w:t>②</w:t>
      </w:r>
      <w:r>
        <w:rPr>
          <w:rFonts w:hint="default" w:ascii="Times New Roman" w:hAnsi="Times New Roman" w:cs="Times New Roman"/>
          <w:color w:val="000000"/>
          <w:sz w:val="32"/>
          <w:szCs w:val="32"/>
        </w:rPr>
        <w:t>单独一路控制整个项目的配套景点、景观等，突出其优美怡人的环境。</w:t>
      </w:r>
      <w:r>
        <w:rPr>
          <w:rFonts w:hint="default" w:ascii="Times New Roman" w:hAnsi="Times New Roman" w:eastAsia="宋体" w:cs="Times New Roman"/>
          <w:color w:val="000000"/>
          <w:sz w:val="32"/>
          <w:szCs w:val="32"/>
        </w:rPr>
        <w:t>③</w:t>
      </w:r>
      <w:r>
        <w:rPr>
          <w:rFonts w:hint="default" w:ascii="Times New Roman" w:hAnsi="Times New Roman" w:cs="Times New Roman"/>
          <w:color w:val="000000"/>
          <w:sz w:val="32"/>
          <w:szCs w:val="32"/>
        </w:rPr>
        <w:t xml:space="preserve">单独一路控制整个沙盘交通路网灯光效果； </w:t>
      </w:r>
    </w:p>
    <w:p w14:paraId="51A238E4">
      <w:pPr>
        <w:pStyle w:val="45"/>
        <w:ind w:firstLine="0" w:firstLineChars="0"/>
        <w:rPr>
          <w:rFonts w:ascii="Times New Roman" w:hAnsi="Times New Roman"/>
          <w:color w:val="000000"/>
          <w:sz w:val="32"/>
          <w:szCs w:val="32"/>
        </w:rPr>
      </w:pPr>
      <w:r>
        <w:rPr>
          <w:rFonts w:hint="default" w:ascii="Times New Roman" w:hAnsi="Times New Roman" w:cs="Times New Roman"/>
          <w:color w:val="000000"/>
          <w:sz w:val="32"/>
          <w:szCs w:val="32"/>
        </w:rPr>
        <w:t>D、环境景观写实精细制作，情景小品逼真表现，花池、花钵、陶土罐、休闲座椅、灯柱、雕像、庭院景观等精心营造，逼真表现。</w:t>
      </w:r>
    </w:p>
    <w:p w14:paraId="3135C324">
      <w:pPr>
        <w:pStyle w:val="45"/>
        <w:ind w:firstLine="0" w:firstLineChars="0"/>
        <w:rPr>
          <w:rFonts w:ascii="Times New Roman" w:hAnsi="Times New Roman"/>
          <w:color w:val="000000"/>
          <w:sz w:val="32"/>
          <w:szCs w:val="32"/>
        </w:rPr>
      </w:pPr>
    </w:p>
    <w:p w14:paraId="14EFE432">
      <w:pPr>
        <w:pStyle w:val="45"/>
        <w:ind w:firstLine="0" w:firstLineChars="0"/>
        <w:rPr>
          <w:rFonts w:ascii="Times New Roman" w:hAnsi="Times New Roman"/>
          <w:color w:val="000000"/>
          <w:sz w:val="32"/>
          <w:szCs w:val="32"/>
        </w:rPr>
      </w:pPr>
    </w:p>
    <w:p w14:paraId="69760E2D">
      <w:pPr>
        <w:pStyle w:val="45"/>
        <w:ind w:firstLine="0" w:firstLineChars="0"/>
        <w:rPr>
          <w:rFonts w:ascii="Times New Roman" w:hAnsi="Times New Roman"/>
          <w:color w:val="000000"/>
          <w:sz w:val="32"/>
          <w:szCs w:val="32"/>
        </w:rPr>
      </w:pPr>
    </w:p>
    <w:p w14:paraId="66D25900">
      <w:pPr>
        <w:pStyle w:val="45"/>
        <w:ind w:firstLine="0" w:firstLineChars="0"/>
        <w:rPr>
          <w:rFonts w:ascii="Times New Roman" w:hAnsi="Times New Roman"/>
          <w:color w:val="000000"/>
          <w:sz w:val="32"/>
          <w:szCs w:val="32"/>
        </w:rPr>
      </w:pPr>
    </w:p>
    <w:p w14:paraId="5A385EF1">
      <w:pPr>
        <w:pStyle w:val="45"/>
        <w:ind w:firstLine="0" w:firstLineChars="0"/>
        <w:rPr>
          <w:rFonts w:ascii="Times New Roman" w:hAnsi="Times New Roman"/>
          <w:color w:val="000000"/>
          <w:sz w:val="32"/>
          <w:szCs w:val="32"/>
        </w:rPr>
      </w:pPr>
    </w:p>
    <w:p w14:paraId="0718F095">
      <w:pPr>
        <w:pStyle w:val="45"/>
        <w:ind w:firstLine="0" w:firstLineChars="0"/>
        <w:rPr>
          <w:rFonts w:ascii="Times New Roman" w:hAnsi="Times New Roman"/>
          <w:color w:val="000000"/>
          <w:sz w:val="32"/>
          <w:szCs w:val="32"/>
        </w:rPr>
      </w:pPr>
      <w:r>
        <w:drawing>
          <wp:anchor distT="0" distB="0" distL="114300" distR="114300" simplePos="0" relativeHeight="251659264" behindDoc="0" locked="0" layoutInCell="1" allowOverlap="1">
            <wp:simplePos x="0" y="0"/>
            <wp:positionH relativeFrom="column">
              <wp:posOffset>-57150</wp:posOffset>
            </wp:positionH>
            <wp:positionV relativeFrom="paragraph">
              <wp:posOffset>-793750</wp:posOffset>
            </wp:positionV>
            <wp:extent cx="5866765" cy="4100195"/>
            <wp:effectExtent l="0" t="0" r="635" b="190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866765" cy="4100195"/>
                    </a:xfrm>
                    <a:prstGeom prst="rect">
                      <a:avLst/>
                    </a:prstGeom>
                    <a:noFill/>
                    <a:ln>
                      <a:noFill/>
                    </a:ln>
                  </pic:spPr>
                </pic:pic>
              </a:graphicData>
            </a:graphic>
          </wp:anchor>
        </w:drawing>
      </w:r>
    </w:p>
    <w:p w14:paraId="3981F8C5">
      <w:pPr>
        <w:pStyle w:val="45"/>
        <w:ind w:firstLine="0" w:firstLineChars="0"/>
        <w:rPr>
          <w:rFonts w:ascii="Times New Roman" w:hAnsi="Times New Roman"/>
          <w:color w:val="000000"/>
          <w:sz w:val="32"/>
          <w:szCs w:val="32"/>
        </w:rPr>
      </w:pPr>
    </w:p>
    <w:p w14:paraId="278E4DFA">
      <w:pPr>
        <w:pStyle w:val="45"/>
        <w:ind w:firstLine="0" w:firstLineChars="0"/>
        <w:rPr>
          <w:rFonts w:ascii="Times New Roman" w:hAnsi="Times New Roman"/>
          <w:color w:val="000000"/>
          <w:sz w:val="32"/>
          <w:szCs w:val="32"/>
        </w:rPr>
      </w:pPr>
    </w:p>
    <w:p w14:paraId="70CD3D49">
      <w:pPr>
        <w:pStyle w:val="45"/>
        <w:ind w:firstLine="0" w:firstLineChars="0"/>
        <w:rPr>
          <w:rFonts w:ascii="Times New Roman" w:hAnsi="Times New Roman"/>
          <w:color w:val="000000"/>
          <w:sz w:val="32"/>
          <w:szCs w:val="32"/>
        </w:rPr>
      </w:pPr>
    </w:p>
    <w:p w14:paraId="7D637A8F">
      <w:pPr>
        <w:pStyle w:val="45"/>
        <w:ind w:firstLine="0" w:firstLineChars="0"/>
        <w:rPr>
          <w:rFonts w:ascii="Times New Roman" w:hAnsi="Times New Roman"/>
          <w:color w:val="000000"/>
          <w:sz w:val="32"/>
          <w:szCs w:val="32"/>
        </w:rPr>
      </w:pPr>
    </w:p>
    <w:p w14:paraId="1A973FE7">
      <w:pPr>
        <w:pStyle w:val="45"/>
        <w:ind w:firstLine="0" w:firstLineChars="0"/>
        <w:rPr>
          <w:rFonts w:ascii="Times New Roman" w:hAnsi="Times New Roman"/>
          <w:color w:val="000000"/>
          <w:sz w:val="32"/>
          <w:szCs w:val="32"/>
        </w:rPr>
      </w:pPr>
    </w:p>
    <w:p w14:paraId="71412D8B">
      <w:pPr>
        <w:pStyle w:val="45"/>
        <w:ind w:firstLine="0" w:firstLineChars="0"/>
        <w:rPr>
          <w:rFonts w:ascii="Times New Roman" w:hAnsi="Times New Roman"/>
          <w:color w:val="000000"/>
          <w:sz w:val="32"/>
          <w:szCs w:val="32"/>
        </w:rPr>
      </w:pPr>
    </w:p>
    <w:p w14:paraId="343718A4">
      <w:pPr>
        <w:pStyle w:val="45"/>
        <w:ind w:firstLine="0" w:firstLineChars="0"/>
        <w:rPr>
          <w:rFonts w:ascii="Times New Roman" w:hAnsi="Times New Roman"/>
          <w:color w:val="000000"/>
          <w:sz w:val="32"/>
          <w:szCs w:val="32"/>
        </w:rPr>
      </w:pPr>
    </w:p>
    <w:p w14:paraId="7EB7C6EB">
      <w:pPr>
        <w:pStyle w:val="45"/>
        <w:ind w:firstLineChars="0"/>
        <w:rPr>
          <w:rFonts w:ascii="Times New Roman" w:hAnsi="Times New Roman"/>
          <w:color w:val="000000"/>
          <w:sz w:val="32"/>
          <w:szCs w:val="32"/>
        </w:rPr>
      </w:pPr>
    </w:p>
    <w:p w14:paraId="3ADC4A50">
      <w:pPr>
        <w:pStyle w:val="45"/>
        <w:ind w:firstLine="659"/>
        <w:jc w:val="center"/>
        <w:rPr>
          <w:rFonts w:ascii="Times New Roman" w:hAnsi="Times New Roman"/>
          <w:color w:val="000000"/>
          <w:sz w:val="32"/>
          <w:szCs w:val="32"/>
        </w:rPr>
      </w:pPr>
      <w:r>
        <w:rPr>
          <w:rFonts w:hint="eastAsia" w:ascii="Times New Roman" w:hAnsi="Times New Roman"/>
          <w:color w:val="000000"/>
          <w:sz w:val="32"/>
          <w:szCs w:val="32"/>
        </w:rPr>
        <w:t>参考示意图</w:t>
      </w:r>
    </w:p>
    <w:p w14:paraId="340EA0F9">
      <w:pPr>
        <w:pStyle w:val="46"/>
        <w:ind w:firstLine="0" w:firstLineChars="0"/>
        <w:jc w:val="left"/>
        <w:outlineLvl w:val="1"/>
        <w:rPr>
          <w:rFonts w:hint="eastAsia" w:eastAsia="黑体"/>
          <w:sz w:val="28"/>
          <w:szCs w:val="44"/>
        </w:rPr>
      </w:pPr>
    </w:p>
    <w:p w14:paraId="05F15F91">
      <w:pPr>
        <w:pStyle w:val="46"/>
        <w:ind w:firstLine="0" w:firstLineChars="0"/>
        <w:jc w:val="left"/>
        <w:outlineLvl w:val="1"/>
        <w:rPr>
          <w:rFonts w:hint="eastAsia" w:eastAsia="黑体"/>
          <w:sz w:val="28"/>
          <w:szCs w:val="44"/>
        </w:rPr>
      </w:pPr>
    </w:p>
    <w:p w14:paraId="246ED9C7">
      <w:pPr>
        <w:pStyle w:val="46"/>
        <w:ind w:firstLine="0" w:firstLineChars="0"/>
        <w:jc w:val="left"/>
        <w:outlineLvl w:val="1"/>
        <w:rPr>
          <w:rFonts w:hint="eastAsia" w:eastAsia="黑体"/>
          <w:sz w:val="28"/>
          <w:szCs w:val="44"/>
        </w:rPr>
      </w:pPr>
    </w:p>
    <w:p w14:paraId="22710280">
      <w:pPr>
        <w:pStyle w:val="46"/>
        <w:ind w:firstLine="0" w:firstLineChars="0"/>
        <w:jc w:val="left"/>
        <w:outlineLvl w:val="1"/>
        <w:rPr>
          <w:rFonts w:hint="eastAsia" w:eastAsia="黑体"/>
          <w:sz w:val="28"/>
          <w:szCs w:val="44"/>
        </w:rPr>
      </w:pPr>
    </w:p>
    <w:p w14:paraId="478B7061">
      <w:pPr>
        <w:pStyle w:val="46"/>
        <w:ind w:firstLine="0" w:firstLineChars="0"/>
        <w:jc w:val="left"/>
        <w:outlineLvl w:val="1"/>
        <w:rPr>
          <w:rFonts w:hint="eastAsia" w:eastAsia="黑体"/>
          <w:sz w:val="28"/>
          <w:szCs w:val="44"/>
        </w:rPr>
      </w:pPr>
    </w:p>
    <w:p w14:paraId="01AE10E8">
      <w:pPr>
        <w:pStyle w:val="46"/>
        <w:ind w:firstLine="0" w:firstLineChars="0"/>
        <w:jc w:val="left"/>
        <w:outlineLvl w:val="1"/>
        <w:rPr>
          <w:rFonts w:hint="eastAsia" w:eastAsia="黑体"/>
          <w:sz w:val="28"/>
          <w:szCs w:val="44"/>
        </w:rPr>
      </w:pPr>
    </w:p>
    <w:p w14:paraId="00708C27">
      <w:pPr>
        <w:pStyle w:val="46"/>
        <w:ind w:firstLine="0" w:firstLineChars="0"/>
        <w:jc w:val="left"/>
        <w:outlineLvl w:val="1"/>
        <w:rPr>
          <w:rFonts w:hint="eastAsia" w:eastAsia="黑体"/>
          <w:sz w:val="28"/>
          <w:szCs w:val="44"/>
        </w:rPr>
      </w:pPr>
    </w:p>
    <w:p w14:paraId="6A65E996">
      <w:pPr>
        <w:pStyle w:val="46"/>
        <w:ind w:firstLine="0" w:firstLineChars="0"/>
        <w:jc w:val="left"/>
        <w:outlineLvl w:val="1"/>
        <w:rPr>
          <w:rFonts w:hint="eastAsia" w:eastAsia="黑体"/>
          <w:sz w:val="28"/>
          <w:szCs w:val="44"/>
        </w:rPr>
      </w:pPr>
    </w:p>
    <w:p w14:paraId="5B7EC7D7">
      <w:pPr>
        <w:pStyle w:val="46"/>
        <w:ind w:firstLine="0" w:firstLineChars="0"/>
        <w:jc w:val="left"/>
        <w:outlineLvl w:val="1"/>
        <w:rPr>
          <w:rFonts w:hint="eastAsia" w:eastAsia="黑体"/>
          <w:sz w:val="28"/>
          <w:szCs w:val="44"/>
        </w:rPr>
      </w:pPr>
    </w:p>
    <w:p w14:paraId="48AAB1F2">
      <w:pPr>
        <w:pStyle w:val="46"/>
        <w:ind w:firstLine="0" w:firstLineChars="0"/>
        <w:jc w:val="left"/>
        <w:outlineLvl w:val="1"/>
        <w:rPr>
          <w:rFonts w:hint="eastAsia" w:eastAsia="黑体"/>
          <w:sz w:val="28"/>
          <w:szCs w:val="44"/>
        </w:rPr>
      </w:pPr>
    </w:p>
    <w:p w14:paraId="758AFEE0">
      <w:pPr>
        <w:pStyle w:val="46"/>
        <w:ind w:firstLine="0" w:firstLineChars="0"/>
        <w:jc w:val="left"/>
        <w:outlineLvl w:val="1"/>
        <w:rPr>
          <w:rFonts w:hint="eastAsia" w:eastAsia="黑体"/>
          <w:sz w:val="28"/>
          <w:szCs w:val="44"/>
        </w:rPr>
      </w:pPr>
    </w:p>
    <w:p w14:paraId="72741BAD">
      <w:pPr>
        <w:pStyle w:val="46"/>
        <w:ind w:firstLine="0" w:firstLineChars="0"/>
        <w:jc w:val="left"/>
        <w:outlineLvl w:val="1"/>
        <w:rPr>
          <w:rFonts w:hint="eastAsia" w:eastAsia="黑体"/>
          <w:sz w:val="28"/>
          <w:szCs w:val="44"/>
        </w:rPr>
      </w:pPr>
    </w:p>
    <w:p w14:paraId="4C0F6646">
      <w:pPr>
        <w:pStyle w:val="46"/>
        <w:ind w:firstLine="0" w:firstLineChars="0"/>
        <w:jc w:val="left"/>
        <w:outlineLvl w:val="1"/>
        <w:rPr>
          <w:rFonts w:hint="eastAsia" w:eastAsia="黑体"/>
          <w:sz w:val="28"/>
          <w:szCs w:val="44"/>
        </w:rPr>
      </w:pPr>
    </w:p>
    <w:p w14:paraId="25F5EF7F">
      <w:pPr>
        <w:pStyle w:val="46"/>
        <w:ind w:firstLine="0" w:firstLineChars="0"/>
        <w:jc w:val="left"/>
        <w:outlineLvl w:val="1"/>
        <w:rPr>
          <w:rFonts w:hint="eastAsia" w:eastAsia="黑体"/>
          <w:sz w:val="28"/>
          <w:szCs w:val="44"/>
        </w:rPr>
      </w:pPr>
    </w:p>
    <w:p w14:paraId="07756D79">
      <w:pPr>
        <w:pStyle w:val="46"/>
        <w:ind w:firstLine="0" w:firstLineChars="0"/>
        <w:jc w:val="left"/>
        <w:outlineLvl w:val="1"/>
        <w:rPr>
          <w:rFonts w:hint="eastAsia" w:eastAsia="黑体"/>
          <w:sz w:val="28"/>
          <w:szCs w:val="44"/>
        </w:rPr>
      </w:pPr>
    </w:p>
    <w:p w14:paraId="31140B3F">
      <w:pPr>
        <w:pStyle w:val="46"/>
        <w:ind w:firstLine="0" w:firstLineChars="0"/>
        <w:jc w:val="left"/>
        <w:outlineLvl w:val="1"/>
        <w:rPr>
          <w:rFonts w:hint="eastAsia" w:eastAsia="黑体"/>
          <w:sz w:val="28"/>
          <w:szCs w:val="44"/>
        </w:rPr>
      </w:pPr>
    </w:p>
    <w:p w14:paraId="406C58B3">
      <w:pPr>
        <w:pStyle w:val="46"/>
        <w:ind w:firstLine="0" w:firstLineChars="0"/>
        <w:jc w:val="left"/>
        <w:outlineLvl w:val="1"/>
        <w:rPr>
          <w:rFonts w:hint="eastAsia" w:eastAsia="黑体"/>
          <w:sz w:val="28"/>
          <w:szCs w:val="44"/>
        </w:rPr>
      </w:pPr>
    </w:p>
    <w:p w14:paraId="3574C869">
      <w:pPr>
        <w:pStyle w:val="46"/>
        <w:ind w:firstLine="0" w:firstLineChars="0"/>
        <w:jc w:val="left"/>
        <w:outlineLvl w:val="1"/>
        <w:rPr>
          <w:rFonts w:hint="eastAsia" w:eastAsia="黑体"/>
          <w:sz w:val="28"/>
          <w:szCs w:val="44"/>
        </w:rPr>
      </w:pPr>
    </w:p>
    <w:p w14:paraId="2F80C5AC">
      <w:pPr>
        <w:pStyle w:val="46"/>
        <w:ind w:firstLine="0" w:firstLineChars="0"/>
        <w:jc w:val="left"/>
        <w:outlineLvl w:val="1"/>
        <w:rPr>
          <w:rFonts w:hint="eastAsia" w:eastAsia="黑体"/>
          <w:sz w:val="28"/>
          <w:szCs w:val="44"/>
        </w:rPr>
      </w:pPr>
    </w:p>
    <w:p w14:paraId="3909AB3C">
      <w:pPr>
        <w:pStyle w:val="46"/>
        <w:ind w:firstLine="0" w:firstLineChars="0"/>
        <w:jc w:val="left"/>
        <w:outlineLvl w:val="1"/>
        <w:rPr>
          <w:rFonts w:hint="eastAsia" w:eastAsia="黑体"/>
          <w:sz w:val="28"/>
          <w:szCs w:val="44"/>
        </w:rPr>
      </w:pPr>
    </w:p>
    <w:p w14:paraId="6698AD99">
      <w:pPr>
        <w:pStyle w:val="46"/>
        <w:ind w:firstLine="0" w:firstLineChars="0"/>
        <w:jc w:val="left"/>
        <w:outlineLvl w:val="1"/>
        <w:rPr>
          <w:rFonts w:hint="eastAsia" w:eastAsia="黑体"/>
          <w:sz w:val="28"/>
          <w:szCs w:val="44"/>
        </w:rPr>
      </w:pPr>
    </w:p>
    <w:p w14:paraId="5A450EBB">
      <w:pPr>
        <w:pStyle w:val="46"/>
        <w:ind w:firstLine="0" w:firstLineChars="0"/>
        <w:jc w:val="left"/>
        <w:outlineLvl w:val="1"/>
        <w:rPr>
          <w:rFonts w:hint="eastAsia" w:eastAsia="黑体"/>
          <w:sz w:val="28"/>
          <w:szCs w:val="44"/>
        </w:rPr>
      </w:pPr>
    </w:p>
    <w:p w14:paraId="721CEA23">
      <w:pPr>
        <w:pStyle w:val="46"/>
        <w:ind w:firstLine="0" w:firstLineChars="0"/>
        <w:jc w:val="left"/>
        <w:outlineLvl w:val="1"/>
        <w:rPr>
          <w:rFonts w:hint="eastAsia" w:eastAsia="黑体"/>
          <w:sz w:val="28"/>
          <w:szCs w:val="44"/>
        </w:rPr>
      </w:pPr>
    </w:p>
    <w:p w14:paraId="3BE50BFC">
      <w:pPr>
        <w:pStyle w:val="46"/>
        <w:ind w:firstLine="0" w:firstLineChars="0"/>
        <w:jc w:val="left"/>
        <w:outlineLvl w:val="1"/>
        <w:rPr>
          <w:rFonts w:eastAsia="黑体"/>
          <w:sz w:val="28"/>
          <w:szCs w:val="44"/>
        </w:rPr>
      </w:pPr>
      <w:r>
        <w:rPr>
          <w:rFonts w:hint="eastAsia" w:eastAsia="黑体"/>
          <w:sz w:val="28"/>
          <w:szCs w:val="44"/>
        </w:rPr>
        <w:t>附件</w:t>
      </w:r>
      <w:r>
        <w:rPr>
          <w:rFonts w:hint="eastAsia" w:eastAsia="黑体"/>
          <w:sz w:val="28"/>
          <w:szCs w:val="44"/>
          <w:lang w:val="en-US" w:eastAsia="zh-CN"/>
        </w:rPr>
        <w:t>六</w:t>
      </w:r>
      <w:r>
        <w:rPr>
          <w:rFonts w:hint="eastAsia" w:eastAsia="黑体"/>
          <w:sz w:val="28"/>
          <w:szCs w:val="44"/>
        </w:rPr>
        <w:t>响应文件袋封面</w:t>
      </w:r>
    </w:p>
    <w:p w14:paraId="2B734E6A">
      <w:pPr>
        <w:pStyle w:val="2"/>
        <w:spacing w:before="0" w:after="0" w:line="360" w:lineRule="auto"/>
        <w:jc w:val="center"/>
        <w:rPr>
          <w:sz w:val="72"/>
          <w:szCs w:val="72"/>
        </w:rPr>
      </w:pPr>
    </w:p>
    <w:p w14:paraId="6AB63611">
      <w:pPr>
        <w:pStyle w:val="2"/>
        <w:spacing w:before="0" w:after="0" w:line="360" w:lineRule="auto"/>
        <w:jc w:val="center"/>
        <w:rPr>
          <w:sz w:val="72"/>
          <w:szCs w:val="72"/>
        </w:rPr>
      </w:pPr>
      <w:r>
        <w:rPr>
          <w:rFonts w:hint="eastAsia"/>
          <w:sz w:val="72"/>
          <w:szCs w:val="72"/>
        </w:rPr>
        <w:t>响应文件</w:t>
      </w:r>
    </w:p>
    <w:p w14:paraId="3C358FD7">
      <w:pPr>
        <w:jc w:val="center"/>
        <w:rPr>
          <w:rFonts w:ascii="黑体" w:eastAsia="黑体"/>
          <w:sz w:val="72"/>
          <w:szCs w:val="72"/>
        </w:rPr>
      </w:pPr>
      <w:r>
        <w:rPr>
          <w:rFonts w:hint="eastAsia" w:ascii="黑体" w:eastAsia="黑体"/>
          <w:sz w:val="72"/>
          <w:szCs w:val="72"/>
        </w:rPr>
        <w:t>（单独装订成册）</w:t>
      </w:r>
    </w:p>
    <w:p w14:paraId="6B028E81"/>
    <w:p w14:paraId="157BDA9A">
      <w:pPr>
        <w:pStyle w:val="10"/>
      </w:pPr>
    </w:p>
    <w:p w14:paraId="3AF5055A">
      <w:pPr>
        <w:pStyle w:val="11"/>
        <w:adjustRightInd w:val="0"/>
        <w:snapToGrid w:val="0"/>
        <w:spacing w:after="0" w:line="360" w:lineRule="auto"/>
        <w:ind w:firstLine="210"/>
      </w:pPr>
    </w:p>
    <w:p w14:paraId="0A0A9FF1">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663F4A1D">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668B8C8B">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64465797">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10290E45">
      <w:pPr>
        <w:rPr>
          <w:rFonts w:eastAsia="黑体"/>
          <w:sz w:val="28"/>
          <w:szCs w:val="44"/>
        </w:rPr>
      </w:pPr>
      <w:r>
        <w:rPr>
          <w:rFonts w:hint="eastAsia" w:eastAsia="黑体"/>
          <w:sz w:val="28"/>
          <w:szCs w:val="44"/>
        </w:rPr>
        <w:br w:type="page"/>
      </w:r>
    </w:p>
    <w:p w14:paraId="0C8B261B">
      <w:pPr>
        <w:pStyle w:val="2"/>
        <w:spacing w:before="0" w:after="0" w:line="360" w:lineRule="auto"/>
        <w:jc w:val="center"/>
        <w:rPr>
          <w:sz w:val="72"/>
          <w:szCs w:val="72"/>
        </w:rPr>
      </w:pPr>
    </w:p>
    <w:p w14:paraId="7A9EAFF3">
      <w:pPr>
        <w:pStyle w:val="2"/>
        <w:spacing w:before="0" w:after="0" w:line="360" w:lineRule="auto"/>
        <w:jc w:val="center"/>
        <w:rPr>
          <w:sz w:val="72"/>
          <w:szCs w:val="72"/>
        </w:rPr>
      </w:pPr>
      <w:r>
        <w:rPr>
          <w:rFonts w:hint="eastAsia"/>
          <w:sz w:val="72"/>
          <w:szCs w:val="72"/>
        </w:rPr>
        <w:t>价格文件</w:t>
      </w:r>
      <w:bookmarkEnd w:id="6"/>
      <w:bookmarkStart w:id="8" w:name="_Hlt10519799"/>
      <w:bookmarkEnd w:id="8"/>
      <w:bookmarkStart w:id="9" w:name="_Hlt10456397"/>
      <w:bookmarkEnd w:id="9"/>
    </w:p>
    <w:p w14:paraId="7FFFE89C">
      <w:pPr>
        <w:jc w:val="center"/>
        <w:rPr>
          <w:rFonts w:ascii="黑体" w:eastAsia="黑体"/>
          <w:sz w:val="72"/>
          <w:szCs w:val="72"/>
        </w:rPr>
      </w:pPr>
      <w:r>
        <w:rPr>
          <w:rFonts w:hint="eastAsia" w:ascii="黑体" w:eastAsia="黑体"/>
          <w:sz w:val="72"/>
          <w:szCs w:val="72"/>
        </w:rPr>
        <w:t>（单独装订成册）</w:t>
      </w:r>
    </w:p>
    <w:p w14:paraId="365F0D19"/>
    <w:p w14:paraId="732992EC">
      <w:pPr>
        <w:pStyle w:val="10"/>
      </w:pPr>
    </w:p>
    <w:p w14:paraId="0CC85570">
      <w:pPr>
        <w:pStyle w:val="11"/>
        <w:adjustRightInd w:val="0"/>
        <w:snapToGrid w:val="0"/>
        <w:spacing w:after="0" w:line="360" w:lineRule="auto"/>
        <w:ind w:firstLine="210"/>
      </w:pPr>
    </w:p>
    <w:p w14:paraId="0A13D11D">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0A785334">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437268EB">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01DDF7EF">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6DCB3D07"/>
    <w:p w14:paraId="6009CEE8">
      <w:pPr>
        <w:pStyle w:val="10"/>
      </w:pPr>
    </w:p>
    <w:p w14:paraId="0628701C">
      <w:pPr>
        <w:pStyle w:val="11"/>
        <w:ind w:firstLine="210"/>
      </w:pPr>
    </w:p>
    <w:p w14:paraId="0CFB7892">
      <w:pPr>
        <w:pStyle w:val="18"/>
      </w:pPr>
    </w:p>
    <w:p w14:paraId="5F4EBC0A"/>
    <w:p w14:paraId="04E07B05">
      <w:pPr>
        <w:pStyle w:val="10"/>
      </w:pPr>
    </w:p>
    <w:p w14:paraId="05B22105">
      <w:pPr>
        <w:pStyle w:val="11"/>
        <w:ind w:firstLine="210"/>
      </w:pPr>
    </w:p>
    <w:p w14:paraId="20F22C11">
      <w:pPr>
        <w:pStyle w:val="18"/>
      </w:pPr>
    </w:p>
    <w:p w14:paraId="11CD3863">
      <w:pPr>
        <w:pStyle w:val="18"/>
        <w:ind w:left="0"/>
      </w:pPr>
    </w:p>
    <w:p w14:paraId="5566CDCE">
      <w:pPr>
        <w:rPr>
          <w:rFonts w:ascii="宋体" w:hAnsi="宋体"/>
          <w:szCs w:val="21"/>
        </w:rPr>
      </w:pPr>
      <w:r>
        <w:rPr>
          <w:rFonts w:hint="eastAsia" w:ascii="宋体" w:hAnsi="宋体"/>
          <w:szCs w:val="21"/>
        </w:rPr>
        <w:br w:type="page"/>
      </w:r>
    </w:p>
    <w:p w14:paraId="6C758376">
      <w:pPr>
        <w:pStyle w:val="2"/>
        <w:spacing w:before="0" w:after="0" w:line="360" w:lineRule="auto"/>
        <w:jc w:val="center"/>
        <w:rPr>
          <w:sz w:val="72"/>
          <w:szCs w:val="72"/>
        </w:rPr>
      </w:pPr>
    </w:p>
    <w:p w14:paraId="7A55E40C">
      <w:pPr>
        <w:pStyle w:val="2"/>
        <w:spacing w:before="0" w:after="0" w:line="360" w:lineRule="auto"/>
        <w:jc w:val="center"/>
        <w:rPr>
          <w:sz w:val="72"/>
          <w:szCs w:val="72"/>
        </w:rPr>
      </w:pPr>
      <w:r>
        <w:rPr>
          <w:rFonts w:hint="eastAsia"/>
          <w:sz w:val="72"/>
          <w:szCs w:val="72"/>
        </w:rPr>
        <w:t>商务文件</w:t>
      </w:r>
    </w:p>
    <w:p w14:paraId="65100810">
      <w:pPr>
        <w:jc w:val="center"/>
        <w:rPr>
          <w:rFonts w:ascii="黑体" w:eastAsia="黑体"/>
          <w:sz w:val="72"/>
          <w:szCs w:val="72"/>
        </w:rPr>
      </w:pPr>
      <w:r>
        <w:rPr>
          <w:rFonts w:hint="eastAsia" w:ascii="黑体" w:eastAsia="黑体"/>
          <w:sz w:val="72"/>
          <w:szCs w:val="72"/>
        </w:rPr>
        <w:t>（单独装订成册）</w:t>
      </w:r>
    </w:p>
    <w:p w14:paraId="73B19963"/>
    <w:p w14:paraId="6E6AEBAF">
      <w:pPr>
        <w:pStyle w:val="10"/>
      </w:pPr>
    </w:p>
    <w:p w14:paraId="6FB63623">
      <w:pPr>
        <w:pStyle w:val="11"/>
        <w:adjustRightInd w:val="0"/>
        <w:snapToGrid w:val="0"/>
        <w:spacing w:after="0" w:line="360" w:lineRule="auto"/>
        <w:ind w:firstLine="210"/>
      </w:pPr>
    </w:p>
    <w:p w14:paraId="71A1DACE">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57234AAE">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7178ACDC">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096DCFB2">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731E36ED">
      <w:pPr>
        <w:rPr>
          <w:rFonts w:eastAsia="仿宋_GB2312"/>
          <w:b/>
          <w:sz w:val="32"/>
          <w:szCs w:val="32"/>
        </w:rPr>
      </w:pPr>
      <w:r>
        <w:rPr>
          <w:rFonts w:eastAsia="仿宋_GB2312"/>
          <w:b/>
          <w:sz w:val="32"/>
          <w:szCs w:val="32"/>
        </w:rPr>
        <w:br w:type="page"/>
      </w:r>
    </w:p>
    <w:p w14:paraId="1A559FBE">
      <w:pPr>
        <w:pStyle w:val="2"/>
        <w:spacing w:before="0" w:after="0" w:line="360" w:lineRule="auto"/>
        <w:jc w:val="center"/>
        <w:rPr>
          <w:sz w:val="72"/>
          <w:szCs w:val="72"/>
        </w:rPr>
      </w:pPr>
    </w:p>
    <w:p w14:paraId="09E910D4">
      <w:pPr>
        <w:pStyle w:val="2"/>
        <w:spacing w:before="0" w:after="0" w:line="360" w:lineRule="auto"/>
        <w:jc w:val="center"/>
        <w:rPr>
          <w:sz w:val="72"/>
          <w:szCs w:val="72"/>
        </w:rPr>
      </w:pPr>
      <w:r>
        <w:rPr>
          <w:rFonts w:hint="eastAsia"/>
          <w:sz w:val="72"/>
          <w:szCs w:val="72"/>
        </w:rPr>
        <w:t>技术文件</w:t>
      </w:r>
    </w:p>
    <w:p w14:paraId="4FF1FBFF">
      <w:pPr>
        <w:jc w:val="center"/>
        <w:rPr>
          <w:rFonts w:ascii="黑体" w:eastAsia="黑体"/>
          <w:sz w:val="72"/>
          <w:szCs w:val="72"/>
        </w:rPr>
      </w:pPr>
      <w:r>
        <w:rPr>
          <w:rFonts w:hint="eastAsia" w:ascii="黑体" w:eastAsia="黑体"/>
          <w:sz w:val="72"/>
          <w:szCs w:val="72"/>
        </w:rPr>
        <w:t>（单独装订成册）</w:t>
      </w:r>
    </w:p>
    <w:p w14:paraId="43DAF41B"/>
    <w:p w14:paraId="09626213">
      <w:pPr>
        <w:pStyle w:val="10"/>
      </w:pPr>
    </w:p>
    <w:p w14:paraId="4DCF2974">
      <w:pPr>
        <w:pStyle w:val="11"/>
        <w:adjustRightInd w:val="0"/>
        <w:snapToGrid w:val="0"/>
        <w:spacing w:after="0" w:line="360" w:lineRule="auto"/>
        <w:ind w:firstLine="210"/>
      </w:pPr>
    </w:p>
    <w:p w14:paraId="04A33F27">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180335AD">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03E98CE6">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2867E42E">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5A7A7842">
      <w:pPr>
        <w:pStyle w:val="32"/>
        <w:spacing w:line="360" w:lineRule="auto"/>
        <w:jc w:val="both"/>
        <w:rPr>
          <w:rFonts w:eastAsia="仿宋_GB2312"/>
          <w:b/>
          <w:sz w:val="32"/>
          <w:szCs w:val="32"/>
        </w:rPr>
      </w:pPr>
    </w:p>
    <w:p w14:paraId="42B5B421">
      <w:pPr>
        <w:pStyle w:val="45"/>
        <w:ind w:firstLine="0" w:firstLineChars="0"/>
        <w:jc w:val="left"/>
        <w:rPr>
          <w:rFonts w:ascii="Times New Roman" w:hAnsi="Times New Roman"/>
          <w:color w:val="auto"/>
          <w:sz w:val="32"/>
          <w:szCs w:val="32"/>
          <w:highlight w:val="none"/>
        </w:rPr>
      </w:pPr>
    </w:p>
    <w:p w14:paraId="5230508E">
      <w:pPr>
        <w:rPr>
          <w:rFonts w:hint="default" w:ascii="仿宋" w:hAnsi="仿宋" w:eastAsia="黑体"/>
          <w:color w:val="auto"/>
          <w:sz w:val="24"/>
          <w:szCs w:val="24"/>
          <w:highlight w:val="none"/>
          <w:lang w:val="en-US" w:eastAsia="zh-CN"/>
        </w:rPr>
      </w:pPr>
    </w:p>
    <w:sectPr>
      <w:footerReference r:id="rId5"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1BBFE">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62395">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FE62395">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73F57">
    <w:pPr>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16CC2">
                          <w:pPr>
                            <w:pStyle w:val="15"/>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916CC2">
                    <w:pPr>
                      <w:pStyle w:val="15"/>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9623">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3"/>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0EBF5663"/>
    <w:multiLevelType w:val="multilevel"/>
    <w:tmpl w:val="0EBF5663"/>
    <w:lvl w:ilvl="0" w:tentative="0">
      <w:start w:val="1"/>
      <w:numFmt w:val="japaneseCounting"/>
      <w:pStyle w:val="70"/>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6099A159"/>
    <w:multiLevelType w:val="singleLevel"/>
    <w:tmpl w:val="6099A159"/>
    <w:lvl w:ilvl="0" w:tentative="0">
      <w:start w:val="1"/>
      <w:numFmt w:val="decimal"/>
      <w:suff w:val="nothing"/>
      <w:lvlText w:val="%1、"/>
      <w:lvlJc w:val="left"/>
      <w:rPr>
        <w:rFonts w:cs="Times New Roman"/>
      </w:rPr>
    </w:lvl>
  </w:abstractNum>
  <w:abstractNum w:abstractNumId="4">
    <w:nsid w:val="68B40337"/>
    <w:multiLevelType w:val="multilevel"/>
    <w:tmpl w:val="68B40337"/>
    <w:lvl w:ilvl="0" w:tentative="0">
      <w:start w:val="1"/>
      <w:numFmt w:val="japaneseCounting"/>
      <w:pStyle w:val="54"/>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7566BEF1"/>
    <w:multiLevelType w:val="singleLevel"/>
    <w:tmpl w:val="7566BEF1"/>
    <w:lvl w:ilvl="0" w:tentative="0">
      <w:start w:val="1"/>
      <w:numFmt w:val="bullet"/>
      <w:pStyle w:val="7"/>
      <w:lvlText w:val=""/>
      <w:lvlJc w:val="left"/>
      <w:pPr>
        <w:tabs>
          <w:tab w:val="left" w:pos="360"/>
        </w:tabs>
        <w:ind w:left="360" w:hanging="360"/>
      </w:pPr>
      <w:rPr>
        <w:rFonts w:hint="default" w:ascii="Wingdings" w:hAnsi="Wingdings"/>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isplayBackgroundShape w:val="1"/>
  <w:bordersDoNotSurroundHeader w:val="0"/>
  <w:bordersDoNotSurroundFooter w:val="0"/>
  <w:revisionView w:markup="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YmYxMTEyODE0ZTZmMjJhMThiYTY0ZTIyMmY0NDI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FE7F15"/>
    <w:rsid w:val="024D543B"/>
    <w:rsid w:val="035D4211"/>
    <w:rsid w:val="037A66CC"/>
    <w:rsid w:val="037D5EE3"/>
    <w:rsid w:val="039B791C"/>
    <w:rsid w:val="03A65054"/>
    <w:rsid w:val="04CF6E29"/>
    <w:rsid w:val="059366CF"/>
    <w:rsid w:val="05C137FE"/>
    <w:rsid w:val="05D00163"/>
    <w:rsid w:val="05D13AC9"/>
    <w:rsid w:val="06393532"/>
    <w:rsid w:val="06F921C6"/>
    <w:rsid w:val="076377BD"/>
    <w:rsid w:val="0775073F"/>
    <w:rsid w:val="077C34B8"/>
    <w:rsid w:val="07801F81"/>
    <w:rsid w:val="078875E4"/>
    <w:rsid w:val="07A209C4"/>
    <w:rsid w:val="080D26DA"/>
    <w:rsid w:val="08190339"/>
    <w:rsid w:val="08284245"/>
    <w:rsid w:val="086F1260"/>
    <w:rsid w:val="0880226D"/>
    <w:rsid w:val="089F2BDE"/>
    <w:rsid w:val="08BB2505"/>
    <w:rsid w:val="08DB5857"/>
    <w:rsid w:val="096B06C3"/>
    <w:rsid w:val="099A07E1"/>
    <w:rsid w:val="0A384899"/>
    <w:rsid w:val="0A3A3817"/>
    <w:rsid w:val="0A535ED7"/>
    <w:rsid w:val="0A9B4FED"/>
    <w:rsid w:val="0AAF3339"/>
    <w:rsid w:val="0ABC5613"/>
    <w:rsid w:val="0AF6693D"/>
    <w:rsid w:val="0B096EC6"/>
    <w:rsid w:val="0B0C0A79"/>
    <w:rsid w:val="0B451F6A"/>
    <w:rsid w:val="0B6B01EF"/>
    <w:rsid w:val="0C6F4C8D"/>
    <w:rsid w:val="0CC223BD"/>
    <w:rsid w:val="0D0E0EB6"/>
    <w:rsid w:val="0DB8493F"/>
    <w:rsid w:val="0DE142CB"/>
    <w:rsid w:val="0F071DD0"/>
    <w:rsid w:val="0FDC1CDC"/>
    <w:rsid w:val="10223C48"/>
    <w:rsid w:val="10521D77"/>
    <w:rsid w:val="109E0A4B"/>
    <w:rsid w:val="12475EA9"/>
    <w:rsid w:val="12E12507"/>
    <w:rsid w:val="133360BD"/>
    <w:rsid w:val="141973E7"/>
    <w:rsid w:val="146259C4"/>
    <w:rsid w:val="146E4633"/>
    <w:rsid w:val="14A47EE9"/>
    <w:rsid w:val="150412EA"/>
    <w:rsid w:val="153D5439"/>
    <w:rsid w:val="15F5735F"/>
    <w:rsid w:val="16010CC9"/>
    <w:rsid w:val="16094B1D"/>
    <w:rsid w:val="16245CF2"/>
    <w:rsid w:val="16607DB0"/>
    <w:rsid w:val="1686445B"/>
    <w:rsid w:val="170B670F"/>
    <w:rsid w:val="171438BA"/>
    <w:rsid w:val="17230955"/>
    <w:rsid w:val="177F4F9C"/>
    <w:rsid w:val="182770BA"/>
    <w:rsid w:val="18863017"/>
    <w:rsid w:val="18AC2FF6"/>
    <w:rsid w:val="18AC6D73"/>
    <w:rsid w:val="18B01B3E"/>
    <w:rsid w:val="18EE407B"/>
    <w:rsid w:val="1B061CDE"/>
    <w:rsid w:val="1B4716B4"/>
    <w:rsid w:val="1BB77AA6"/>
    <w:rsid w:val="1BCD2D3B"/>
    <w:rsid w:val="1BDF1A9C"/>
    <w:rsid w:val="1C08419D"/>
    <w:rsid w:val="1C2C554A"/>
    <w:rsid w:val="1C8D4147"/>
    <w:rsid w:val="1C91755A"/>
    <w:rsid w:val="1D1E0066"/>
    <w:rsid w:val="1D4D5FFD"/>
    <w:rsid w:val="1DD030A1"/>
    <w:rsid w:val="1F533349"/>
    <w:rsid w:val="1F7A0970"/>
    <w:rsid w:val="1FBC6755"/>
    <w:rsid w:val="1FC46A35"/>
    <w:rsid w:val="1FE72762"/>
    <w:rsid w:val="1FF53A33"/>
    <w:rsid w:val="20892D10"/>
    <w:rsid w:val="209E2C67"/>
    <w:rsid w:val="20EB4EEE"/>
    <w:rsid w:val="21087CCB"/>
    <w:rsid w:val="211369A1"/>
    <w:rsid w:val="212A490A"/>
    <w:rsid w:val="213D4C42"/>
    <w:rsid w:val="21691AD1"/>
    <w:rsid w:val="216F32CA"/>
    <w:rsid w:val="22034BB2"/>
    <w:rsid w:val="22124112"/>
    <w:rsid w:val="227D6B74"/>
    <w:rsid w:val="22CF05C2"/>
    <w:rsid w:val="233B1FA6"/>
    <w:rsid w:val="234C726B"/>
    <w:rsid w:val="23675930"/>
    <w:rsid w:val="238734D8"/>
    <w:rsid w:val="23F57352"/>
    <w:rsid w:val="23FB094D"/>
    <w:rsid w:val="24434A2B"/>
    <w:rsid w:val="249A7996"/>
    <w:rsid w:val="24BB1A2B"/>
    <w:rsid w:val="25DB5E31"/>
    <w:rsid w:val="267E2359"/>
    <w:rsid w:val="26BC7CBC"/>
    <w:rsid w:val="26C71EC5"/>
    <w:rsid w:val="26E46A21"/>
    <w:rsid w:val="27276236"/>
    <w:rsid w:val="27447ED5"/>
    <w:rsid w:val="275F3A77"/>
    <w:rsid w:val="284F0253"/>
    <w:rsid w:val="28644870"/>
    <w:rsid w:val="297A7E50"/>
    <w:rsid w:val="297B3219"/>
    <w:rsid w:val="29F96AE1"/>
    <w:rsid w:val="2A5C1D7F"/>
    <w:rsid w:val="2A9521F9"/>
    <w:rsid w:val="2AE949DF"/>
    <w:rsid w:val="2B3704F7"/>
    <w:rsid w:val="2B3B474B"/>
    <w:rsid w:val="2B8D044E"/>
    <w:rsid w:val="2BB3779B"/>
    <w:rsid w:val="2C016BB8"/>
    <w:rsid w:val="2CCD665D"/>
    <w:rsid w:val="2D77461B"/>
    <w:rsid w:val="2E400C5F"/>
    <w:rsid w:val="2E5209E3"/>
    <w:rsid w:val="2EB01AFE"/>
    <w:rsid w:val="2EB03C4F"/>
    <w:rsid w:val="2F3029A9"/>
    <w:rsid w:val="2F567344"/>
    <w:rsid w:val="301937F3"/>
    <w:rsid w:val="30592C7B"/>
    <w:rsid w:val="30D1119A"/>
    <w:rsid w:val="30F12F4C"/>
    <w:rsid w:val="3112402E"/>
    <w:rsid w:val="31162566"/>
    <w:rsid w:val="311F42AA"/>
    <w:rsid w:val="313D3E38"/>
    <w:rsid w:val="31527CDA"/>
    <w:rsid w:val="31EB4B09"/>
    <w:rsid w:val="32611BF0"/>
    <w:rsid w:val="32894C60"/>
    <w:rsid w:val="3289763F"/>
    <w:rsid w:val="329614A6"/>
    <w:rsid w:val="33A83294"/>
    <w:rsid w:val="34011E26"/>
    <w:rsid w:val="34166D29"/>
    <w:rsid w:val="341B4D23"/>
    <w:rsid w:val="34871219"/>
    <w:rsid w:val="34993154"/>
    <w:rsid w:val="34EC7728"/>
    <w:rsid w:val="35143164"/>
    <w:rsid w:val="35202EDB"/>
    <w:rsid w:val="35CA7CFF"/>
    <w:rsid w:val="35E46400"/>
    <w:rsid w:val="36A81FB2"/>
    <w:rsid w:val="3722158D"/>
    <w:rsid w:val="375E09FC"/>
    <w:rsid w:val="382A3B4C"/>
    <w:rsid w:val="38377D1C"/>
    <w:rsid w:val="38525FA9"/>
    <w:rsid w:val="386844B1"/>
    <w:rsid w:val="39003F1D"/>
    <w:rsid w:val="39276876"/>
    <w:rsid w:val="392B2930"/>
    <w:rsid w:val="39532ACC"/>
    <w:rsid w:val="395F7611"/>
    <w:rsid w:val="39611135"/>
    <w:rsid w:val="3A246838"/>
    <w:rsid w:val="3AC853CC"/>
    <w:rsid w:val="3BAF49B5"/>
    <w:rsid w:val="3C325B73"/>
    <w:rsid w:val="3C582CD8"/>
    <w:rsid w:val="3C8B75C6"/>
    <w:rsid w:val="3C8C714B"/>
    <w:rsid w:val="3CCE5D2E"/>
    <w:rsid w:val="3D036EA4"/>
    <w:rsid w:val="3D941041"/>
    <w:rsid w:val="3D9463BC"/>
    <w:rsid w:val="3D98440D"/>
    <w:rsid w:val="3DD0308B"/>
    <w:rsid w:val="3DFB7CD9"/>
    <w:rsid w:val="3E094E14"/>
    <w:rsid w:val="3E2546CD"/>
    <w:rsid w:val="3E5D7122"/>
    <w:rsid w:val="3F81078E"/>
    <w:rsid w:val="401162B8"/>
    <w:rsid w:val="403703F1"/>
    <w:rsid w:val="40531C58"/>
    <w:rsid w:val="405E23AF"/>
    <w:rsid w:val="40670F93"/>
    <w:rsid w:val="40B93621"/>
    <w:rsid w:val="40C47751"/>
    <w:rsid w:val="41127A9D"/>
    <w:rsid w:val="41192D98"/>
    <w:rsid w:val="413E5CD9"/>
    <w:rsid w:val="428D57DB"/>
    <w:rsid w:val="42C64AFA"/>
    <w:rsid w:val="43425F9D"/>
    <w:rsid w:val="435527DB"/>
    <w:rsid w:val="43A76602"/>
    <w:rsid w:val="43E3363E"/>
    <w:rsid w:val="43F465D0"/>
    <w:rsid w:val="43FE3AA8"/>
    <w:rsid w:val="442A053D"/>
    <w:rsid w:val="44440739"/>
    <w:rsid w:val="446F65B8"/>
    <w:rsid w:val="44AB3119"/>
    <w:rsid w:val="44AB36A9"/>
    <w:rsid w:val="44E26B70"/>
    <w:rsid w:val="44F057A6"/>
    <w:rsid w:val="44F10C66"/>
    <w:rsid w:val="44FE3292"/>
    <w:rsid w:val="45010E6D"/>
    <w:rsid w:val="457572C5"/>
    <w:rsid w:val="45A95346"/>
    <w:rsid w:val="45AC60E8"/>
    <w:rsid w:val="45DF1559"/>
    <w:rsid w:val="46274432"/>
    <w:rsid w:val="46416F41"/>
    <w:rsid w:val="466745CC"/>
    <w:rsid w:val="46C21E83"/>
    <w:rsid w:val="46C4203A"/>
    <w:rsid w:val="46D900FA"/>
    <w:rsid w:val="470E29AE"/>
    <w:rsid w:val="48C71B03"/>
    <w:rsid w:val="490623B9"/>
    <w:rsid w:val="490E5A67"/>
    <w:rsid w:val="49CB0CCD"/>
    <w:rsid w:val="49E859C3"/>
    <w:rsid w:val="49F6647E"/>
    <w:rsid w:val="4A7D2EA4"/>
    <w:rsid w:val="4AA349F3"/>
    <w:rsid w:val="4AA610D6"/>
    <w:rsid w:val="4B0C055A"/>
    <w:rsid w:val="4BD56D10"/>
    <w:rsid w:val="4BFB2486"/>
    <w:rsid w:val="4C4D0E22"/>
    <w:rsid w:val="4C8B4A7C"/>
    <w:rsid w:val="4CFC368B"/>
    <w:rsid w:val="4D5C666B"/>
    <w:rsid w:val="4E3E7C12"/>
    <w:rsid w:val="4E5F6FE2"/>
    <w:rsid w:val="4E7D412D"/>
    <w:rsid w:val="4F086AAF"/>
    <w:rsid w:val="4F214558"/>
    <w:rsid w:val="4FCC3F86"/>
    <w:rsid w:val="5069668A"/>
    <w:rsid w:val="50A8054F"/>
    <w:rsid w:val="50A83CB2"/>
    <w:rsid w:val="512B42F2"/>
    <w:rsid w:val="52310C96"/>
    <w:rsid w:val="528573B9"/>
    <w:rsid w:val="538E5DEC"/>
    <w:rsid w:val="54114943"/>
    <w:rsid w:val="54780F3F"/>
    <w:rsid w:val="5525280C"/>
    <w:rsid w:val="55432F2F"/>
    <w:rsid w:val="55962289"/>
    <w:rsid w:val="560D11F4"/>
    <w:rsid w:val="56186177"/>
    <w:rsid w:val="56D076DF"/>
    <w:rsid w:val="56E34736"/>
    <w:rsid w:val="56FB15A3"/>
    <w:rsid w:val="572C3C94"/>
    <w:rsid w:val="575C0057"/>
    <w:rsid w:val="57806BBC"/>
    <w:rsid w:val="587679B8"/>
    <w:rsid w:val="58963DA7"/>
    <w:rsid w:val="590673DE"/>
    <w:rsid w:val="592C3305"/>
    <w:rsid w:val="59613AE1"/>
    <w:rsid w:val="59A927FA"/>
    <w:rsid w:val="59C5737D"/>
    <w:rsid w:val="5A2C7551"/>
    <w:rsid w:val="5A400720"/>
    <w:rsid w:val="5A5E4FDA"/>
    <w:rsid w:val="5A7B10EF"/>
    <w:rsid w:val="5ACE2D0B"/>
    <w:rsid w:val="5B2D4472"/>
    <w:rsid w:val="5B4A57FA"/>
    <w:rsid w:val="5B644C76"/>
    <w:rsid w:val="5BBD213E"/>
    <w:rsid w:val="5C592361"/>
    <w:rsid w:val="5CF4139A"/>
    <w:rsid w:val="5D311E27"/>
    <w:rsid w:val="5D5A2969"/>
    <w:rsid w:val="5D693C9C"/>
    <w:rsid w:val="5DE973D6"/>
    <w:rsid w:val="5E31340E"/>
    <w:rsid w:val="5E3E428F"/>
    <w:rsid w:val="5E8D2D21"/>
    <w:rsid w:val="5EBD1212"/>
    <w:rsid w:val="5EEF00C4"/>
    <w:rsid w:val="5F4E6765"/>
    <w:rsid w:val="60097D52"/>
    <w:rsid w:val="603C6FD2"/>
    <w:rsid w:val="60403F25"/>
    <w:rsid w:val="60C84901"/>
    <w:rsid w:val="61AF6563"/>
    <w:rsid w:val="61B869B7"/>
    <w:rsid w:val="623F329A"/>
    <w:rsid w:val="62695E27"/>
    <w:rsid w:val="628242DE"/>
    <w:rsid w:val="636127C3"/>
    <w:rsid w:val="63860BC4"/>
    <w:rsid w:val="63975341"/>
    <w:rsid w:val="63C37C63"/>
    <w:rsid w:val="641C0CE8"/>
    <w:rsid w:val="64232D14"/>
    <w:rsid w:val="6541100E"/>
    <w:rsid w:val="654C0BA8"/>
    <w:rsid w:val="65764611"/>
    <w:rsid w:val="66173D55"/>
    <w:rsid w:val="664352EB"/>
    <w:rsid w:val="672079BD"/>
    <w:rsid w:val="673821D5"/>
    <w:rsid w:val="67B46AC7"/>
    <w:rsid w:val="67EB0D62"/>
    <w:rsid w:val="67F260FB"/>
    <w:rsid w:val="683E7EE4"/>
    <w:rsid w:val="6909668B"/>
    <w:rsid w:val="696610E4"/>
    <w:rsid w:val="69F4781B"/>
    <w:rsid w:val="6A136556"/>
    <w:rsid w:val="6A141639"/>
    <w:rsid w:val="6A727B6E"/>
    <w:rsid w:val="6A83721D"/>
    <w:rsid w:val="6AE21101"/>
    <w:rsid w:val="6B4F3B9E"/>
    <w:rsid w:val="6BA86515"/>
    <w:rsid w:val="6BD63153"/>
    <w:rsid w:val="6C0A119B"/>
    <w:rsid w:val="6C5055C9"/>
    <w:rsid w:val="6C5B55DC"/>
    <w:rsid w:val="6C804324"/>
    <w:rsid w:val="6CA25624"/>
    <w:rsid w:val="6CAE03DD"/>
    <w:rsid w:val="6CE56E6B"/>
    <w:rsid w:val="6D032DAA"/>
    <w:rsid w:val="6E005A26"/>
    <w:rsid w:val="6E6329C5"/>
    <w:rsid w:val="6EB02AF9"/>
    <w:rsid w:val="6EFF345A"/>
    <w:rsid w:val="6F0E41D6"/>
    <w:rsid w:val="6FB4540B"/>
    <w:rsid w:val="6FFD3FBC"/>
    <w:rsid w:val="70020186"/>
    <w:rsid w:val="705F6B67"/>
    <w:rsid w:val="708315BF"/>
    <w:rsid w:val="708E1E01"/>
    <w:rsid w:val="70C5656F"/>
    <w:rsid w:val="70C73255"/>
    <w:rsid w:val="70F5165C"/>
    <w:rsid w:val="71610FBE"/>
    <w:rsid w:val="71E76437"/>
    <w:rsid w:val="725008FF"/>
    <w:rsid w:val="72760778"/>
    <w:rsid w:val="730661F8"/>
    <w:rsid w:val="740F4224"/>
    <w:rsid w:val="743104E3"/>
    <w:rsid w:val="74320C3C"/>
    <w:rsid w:val="74513162"/>
    <w:rsid w:val="74CD194A"/>
    <w:rsid w:val="74F040EF"/>
    <w:rsid w:val="75247A77"/>
    <w:rsid w:val="75431AF8"/>
    <w:rsid w:val="757B75BC"/>
    <w:rsid w:val="75FD6242"/>
    <w:rsid w:val="76756366"/>
    <w:rsid w:val="76A665D3"/>
    <w:rsid w:val="76B64EC4"/>
    <w:rsid w:val="784968D0"/>
    <w:rsid w:val="78BD1F9D"/>
    <w:rsid w:val="79122841"/>
    <w:rsid w:val="79201CE1"/>
    <w:rsid w:val="794D6475"/>
    <w:rsid w:val="79646A3F"/>
    <w:rsid w:val="796D709A"/>
    <w:rsid w:val="79B14724"/>
    <w:rsid w:val="7A4863B9"/>
    <w:rsid w:val="7B3E0A41"/>
    <w:rsid w:val="7B794C12"/>
    <w:rsid w:val="7C2A0383"/>
    <w:rsid w:val="7C323980"/>
    <w:rsid w:val="7C5859EC"/>
    <w:rsid w:val="7C6F7FEF"/>
    <w:rsid w:val="7CD767D8"/>
    <w:rsid w:val="7CF95B0B"/>
    <w:rsid w:val="7EC02193"/>
    <w:rsid w:val="7ED625A7"/>
    <w:rsid w:val="7ED71E7C"/>
    <w:rsid w:val="7F470157"/>
    <w:rsid w:val="7FAE499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qFormat="1" w:unhideWhenUsed="0" w:uiPriority="39" w:semiHidden="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5"/>
    <w:autoRedefine/>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6"/>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link w:val="53"/>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List Bullet"/>
    <w:basedOn w:val="1"/>
    <w:semiHidden/>
    <w:unhideWhenUsed/>
    <w:qFormat/>
    <w:uiPriority w:val="99"/>
    <w:pPr>
      <w:numPr>
        <w:ilvl w:val="0"/>
        <w:numId w:val="1"/>
      </w:numPr>
    </w:pPr>
  </w:style>
  <w:style w:type="paragraph" w:styleId="8">
    <w:name w:val="Document Map"/>
    <w:basedOn w:val="1"/>
    <w:link w:val="37"/>
    <w:autoRedefine/>
    <w:qFormat/>
    <w:uiPriority w:val="99"/>
    <w:rPr>
      <w:rFonts w:ascii="宋体"/>
      <w:sz w:val="18"/>
      <w:szCs w:val="18"/>
    </w:rPr>
  </w:style>
  <w:style w:type="paragraph" w:styleId="9">
    <w:name w:val="annotation text"/>
    <w:basedOn w:val="1"/>
    <w:link w:val="38"/>
    <w:qFormat/>
    <w:uiPriority w:val="99"/>
    <w:pPr>
      <w:jc w:val="left"/>
    </w:pPr>
  </w:style>
  <w:style w:type="paragraph" w:styleId="10">
    <w:name w:val="Body Text"/>
    <w:basedOn w:val="1"/>
    <w:next w:val="11"/>
    <w:link w:val="39"/>
    <w:qFormat/>
    <w:uiPriority w:val="99"/>
    <w:pPr>
      <w:spacing w:after="120"/>
    </w:pPr>
  </w:style>
  <w:style w:type="paragraph" w:styleId="11">
    <w:name w:val="Body Text First Indent"/>
    <w:basedOn w:val="10"/>
    <w:link w:val="43"/>
    <w:qFormat/>
    <w:uiPriority w:val="99"/>
    <w:pPr>
      <w:widowControl/>
      <w:ind w:firstLine="420" w:firstLineChars="100"/>
    </w:pPr>
    <w:rPr>
      <w:rFonts w:ascii="Calibri" w:hAnsi="Calibri" w:cs="宋体"/>
      <w:szCs w:val="22"/>
    </w:rPr>
  </w:style>
  <w:style w:type="paragraph" w:styleId="12">
    <w:name w:val="Body Text Indent"/>
    <w:basedOn w:val="1"/>
    <w:qFormat/>
    <w:uiPriority w:val="0"/>
    <w:pPr>
      <w:autoSpaceDE/>
      <w:autoSpaceDN/>
      <w:adjustRightInd/>
      <w:ind w:left="567" w:leftChars="270"/>
      <w:jc w:val="both"/>
    </w:pPr>
    <w:rPr>
      <w:rFonts w:ascii="Times New Roman"/>
      <w:kern w:val="2"/>
      <w:sz w:val="21"/>
      <w:szCs w:val="20"/>
    </w:rPr>
  </w:style>
  <w:style w:type="paragraph" w:styleId="13">
    <w:name w:val="Plain Text"/>
    <w:basedOn w:val="1"/>
    <w:link w:val="55"/>
    <w:qFormat/>
    <w:uiPriority w:val="0"/>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40"/>
    <w:autoRedefine/>
    <w:qFormat/>
    <w:uiPriority w:val="99"/>
    <w:rPr>
      <w:sz w:val="18"/>
      <w:szCs w:val="18"/>
    </w:rPr>
  </w:style>
  <w:style w:type="paragraph" w:styleId="15">
    <w:name w:val="footer"/>
    <w:basedOn w:val="1"/>
    <w:link w:val="41"/>
    <w:autoRedefine/>
    <w:qFormat/>
    <w:uiPriority w:val="99"/>
    <w:pPr>
      <w:tabs>
        <w:tab w:val="center" w:pos="4153"/>
        <w:tab w:val="right" w:pos="8306"/>
      </w:tabs>
      <w:snapToGrid w:val="0"/>
      <w:jc w:val="left"/>
    </w:pPr>
    <w:rPr>
      <w:sz w:val="18"/>
      <w:szCs w:val="18"/>
    </w:rPr>
  </w:style>
  <w:style w:type="paragraph" w:styleId="16">
    <w:name w:val="header"/>
    <w:basedOn w:val="1"/>
    <w:link w:val="42"/>
    <w:autoRedefine/>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toc 6"/>
    <w:basedOn w:val="1"/>
    <w:next w:val="1"/>
    <w:qFormat/>
    <w:locked/>
    <w:uiPriority w:val="39"/>
    <w:pPr>
      <w:ind w:left="1200"/>
    </w:pPr>
    <w:rPr>
      <w:rFonts w:ascii="Calibri" w:cs="Calibri"/>
      <w:sz w:val="18"/>
      <w:szCs w:val="18"/>
    </w:rPr>
  </w:style>
  <w:style w:type="paragraph" w:styleId="19">
    <w:name w:val="Body Text 2"/>
    <w:basedOn w:val="1"/>
    <w:semiHidden/>
    <w:unhideWhenUsed/>
    <w:qFormat/>
    <w:uiPriority w:val="99"/>
    <w:pPr>
      <w:spacing w:after="120" w:line="480" w:lineRule="auto"/>
    </w:pPr>
  </w:style>
  <w:style w:type="paragraph" w:styleId="20">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9"/>
    <w:next w:val="9"/>
    <w:link w:val="60"/>
    <w:autoRedefine/>
    <w:semiHidden/>
    <w:qFormat/>
    <w:uiPriority w:val="99"/>
    <w:rPr>
      <w:b/>
      <w:bCs/>
    </w:rPr>
  </w:style>
  <w:style w:type="paragraph" w:styleId="23">
    <w:name w:val="Body Text First Indent 2"/>
    <w:basedOn w:val="12"/>
    <w:autoRedefine/>
    <w:qFormat/>
    <w:uiPriority w:val="0"/>
    <w:pPr>
      <w:ind w:firstLine="420" w:firstLineChars="200"/>
    </w:pPr>
    <w:rPr>
      <w:color w:val="000000"/>
    </w:rPr>
  </w:style>
  <w:style w:type="table" w:styleId="25">
    <w:name w:val="Table Grid"/>
    <w:basedOn w:val="24"/>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locked/>
    <w:uiPriority w:val="0"/>
    <w:rPr>
      <w:b/>
      <w:bCs/>
    </w:rPr>
  </w:style>
  <w:style w:type="character" w:styleId="28">
    <w:name w:val="Hyperlink"/>
    <w:qFormat/>
    <w:uiPriority w:val="99"/>
    <w:rPr>
      <w:rFonts w:cs="Times New Roman"/>
      <w:color w:val="0000FF"/>
      <w:u w:val="single"/>
    </w:rPr>
  </w:style>
  <w:style w:type="character" w:styleId="29">
    <w:name w:val="annotation reference"/>
    <w:qFormat/>
    <w:uiPriority w:val="99"/>
    <w:rPr>
      <w:rFonts w:cs="Times New Roman"/>
      <w:sz w:val="21"/>
      <w:szCs w:val="21"/>
    </w:rPr>
  </w:style>
  <w:style w:type="paragraph" w:customStyle="1" w:styleId="30">
    <w:name w:val="正文2"/>
    <w:basedOn w:val="6"/>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1">
    <w:name w:val="样式 正文首行缩进 + 首行缩进:  1 字符"/>
    <w:basedOn w:val="1"/>
    <w:next w:val="1"/>
    <w:autoRedefine/>
    <w:qFormat/>
    <w:uiPriority w:val="0"/>
    <w:pPr>
      <w:adjustRightInd w:val="0"/>
      <w:snapToGrid w:val="0"/>
      <w:spacing w:line="360" w:lineRule="auto"/>
      <w:ind w:firstLine="200" w:firstLineChars="200"/>
    </w:pPr>
    <w:rPr>
      <w:rFonts w:cs="宋体"/>
      <w:sz w:val="24"/>
    </w:rPr>
  </w:style>
  <w:style w:type="paragraph" w:customStyle="1" w:styleId="3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3">
    <w:name w:val="标题 1 字符"/>
    <w:link w:val="3"/>
    <w:qFormat/>
    <w:locked/>
    <w:uiPriority w:val="99"/>
    <w:rPr>
      <w:rFonts w:ascii="Times New Roman" w:hAnsi="Times New Roman" w:eastAsia="宋体" w:cs="Times New Roman"/>
      <w:b/>
      <w:bCs/>
      <w:kern w:val="44"/>
      <w:sz w:val="44"/>
      <w:szCs w:val="44"/>
    </w:rPr>
  </w:style>
  <w:style w:type="character" w:customStyle="1" w:styleId="34">
    <w:name w:val="标题 2 字符"/>
    <w:link w:val="2"/>
    <w:qFormat/>
    <w:locked/>
    <w:uiPriority w:val="99"/>
    <w:rPr>
      <w:rFonts w:ascii="Cambria" w:hAnsi="Cambria" w:eastAsia="宋体" w:cs="Times New Roman"/>
      <w:b/>
      <w:bCs/>
      <w:kern w:val="2"/>
      <w:sz w:val="32"/>
      <w:szCs w:val="32"/>
    </w:rPr>
  </w:style>
  <w:style w:type="character" w:customStyle="1" w:styleId="35">
    <w:name w:val="标题 3 字符"/>
    <w:link w:val="4"/>
    <w:qFormat/>
    <w:locked/>
    <w:uiPriority w:val="99"/>
    <w:rPr>
      <w:rFonts w:eastAsia="宋体" w:cs="Times New Roman"/>
      <w:b/>
      <w:sz w:val="32"/>
    </w:rPr>
  </w:style>
  <w:style w:type="character" w:customStyle="1" w:styleId="36">
    <w:name w:val="标题 4 字符1"/>
    <w:link w:val="5"/>
    <w:autoRedefine/>
    <w:qFormat/>
    <w:locked/>
    <w:uiPriority w:val="99"/>
    <w:rPr>
      <w:rFonts w:ascii="Arial" w:hAnsi="Arial" w:eastAsia="黑体" w:cs="Times New Roman"/>
      <w:b/>
      <w:bCs/>
      <w:kern w:val="2"/>
      <w:sz w:val="28"/>
      <w:szCs w:val="28"/>
    </w:rPr>
  </w:style>
  <w:style w:type="character" w:customStyle="1" w:styleId="37">
    <w:name w:val="文档结构图 字符"/>
    <w:link w:val="8"/>
    <w:autoRedefine/>
    <w:qFormat/>
    <w:locked/>
    <w:uiPriority w:val="99"/>
    <w:rPr>
      <w:rFonts w:ascii="宋体" w:hAnsi="Times New Roman" w:eastAsia="宋体" w:cs="Times New Roman"/>
      <w:kern w:val="2"/>
      <w:sz w:val="18"/>
      <w:szCs w:val="18"/>
    </w:rPr>
  </w:style>
  <w:style w:type="character" w:customStyle="1" w:styleId="38">
    <w:name w:val="批注文字 字符"/>
    <w:link w:val="9"/>
    <w:autoRedefine/>
    <w:qFormat/>
    <w:locked/>
    <w:uiPriority w:val="99"/>
    <w:rPr>
      <w:rFonts w:ascii="Times New Roman" w:hAnsi="Times New Roman" w:cs="Times New Roman"/>
      <w:kern w:val="2"/>
      <w:sz w:val="21"/>
    </w:rPr>
  </w:style>
  <w:style w:type="character" w:customStyle="1" w:styleId="39">
    <w:name w:val="正文文本 字符"/>
    <w:link w:val="10"/>
    <w:autoRedefine/>
    <w:qFormat/>
    <w:locked/>
    <w:uiPriority w:val="99"/>
    <w:rPr>
      <w:rFonts w:ascii="Times New Roman" w:hAnsi="Times New Roman" w:eastAsia="宋体" w:cs="Times New Roman"/>
      <w:sz w:val="20"/>
      <w:szCs w:val="20"/>
    </w:rPr>
  </w:style>
  <w:style w:type="character" w:customStyle="1" w:styleId="40">
    <w:name w:val="批注框文本 字符"/>
    <w:link w:val="14"/>
    <w:autoRedefine/>
    <w:qFormat/>
    <w:locked/>
    <w:uiPriority w:val="99"/>
    <w:rPr>
      <w:rFonts w:ascii="Times New Roman" w:hAnsi="Times New Roman" w:eastAsia="宋体" w:cs="Times New Roman"/>
      <w:kern w:val="2"/>
      <w:sz w:val="18"/>
      <w:szCs w:val="18"/>
    </w:rPr>
  </w:style>
  <w:style w:type="character" w:customStyle="1" w:styleId="41">
    <w:name w:val="页脚 字符"/>
    <w:link w:val="15"/>
    <w:qFormat/>
    <w:locked/>
    <w:uiPriority w:val="99"/>
    <w:rPr>
      <w:rFonts w:ascii="Times New Roman" w:hAnsi="Times New Roman" w:eastAsia="宋体" w:cs="Times New Roman"/>
      <w:sz w:val="18"/>
      <w:szCs w:val="18"/>
    </w:rPr>
  </w:style>
  <w:style w:type="character" w:customStyle="1" w:styleId="42">
    <w:name w:val="页眉 字符"/>
    <w:link w:val="16"/>
    <w:qFormat/>
    <w:locked/>
    <w:uiPriority w:val="99"/>
    <w:rPr>
      <w:rFonts w:ascii="Times New Roman" w:hAnsi="Times New Roman" w:eastAsia="宋体" w:cs="Times New Roman"/>
      <w:sz w:val="18"/>
      <w:szCs w:val="18"/>
    </w:rPr>
  </w:style>
  <w:style w:type="character" w:customStyle="1" w:styleId="43">
    <w:name w:val="正文首行缩进 字符"/>
    <w:link w:val="11"/>
    <w:autoRedefine/>
    <w:qFormat/>
    <w:locked/>
    <w:uiPriority w:val="99"/>
    <w:rPr>
      <w:rFonts w:ascii="Times New Roman" w:hAnsi="Times New Roman" w:eastAsia="宋体" w:cs="Times New Roman"/>
      <w:sz w:val="20"/>
      <w:szCs w:val="20"/>
    </w:rPr>
  </w:style>
  <w:style w:type="character" w:customStyle="1" w:styleId="44">
    <w:name w:val="正文缩进2格 Char"/>
    <w:link w:val="45"/>
    <w:autoRedefine/>
    <w:qFormat/>
    <w:locked/>
    <w:uiPriority w:val="99"/>
    <w:rPr>
      <w:rFonts w:ascii="仿宋_GB2312" w:hAnsi="宋体" w:eastAsia="仿宋_GB2312"/>
      <w:sz w:val="31"/>
    </w:rPr>
  </w:style>
  <w:style w:type="paragraph" w:customStyle="1" w:styleId="45">
    <w:name w:val="正文缩进2格"/>
    <w:basedOn w:val="1"/>
    <w:link w:val="44"/>
    <w:autoRedefine/>
    <w:qFormat/>
    <w:uiPriority w:val="99"/>
    <w:pPr>
      <w:spacing w:line="600" w:lineRule="exact"/>
      <w:ind w:firstLine="639" w:firstLineChars="206"/>
    </w:pPr>
    <w:rPr>
      <w:rFonts w:ascii="仿宋_GB2312" w:hAnsi="宋体" w:eastAsia="仿宋_GB2312"/>
      <w:kern w:val="0"/>
      <w:sz w:val="31"/>
      <w:szCs w:val="31"/>
    </w:rPr>
  </w:style>
  <w:style w:type="paragraph" w:customStyle="1" w:styleId="46">
    <w:name w:val="列出段落1"/>
    <w:basedOn w:val="1"/>
    <w:autoRedefine/>
    <w:qFormat/>
    <w:uiPriority w:val="99"/>
    <w:pPr>
      <w:ind w:firstLine="420" w:firstLineChars="200"/>
    </w:pPr>
  </w:style>
  <w:style w:type="paragraph" w:customStyle="1" w:styleId="47">
    <w:name w:val="列出段落2"/>
    <w:basedOn w:val="1"/>
    <w:autoRedefine/>
    <w:qFormat/>
    <w:uiPriority w:val="99"/>
    <w:pPr>
      <w:ind w:firstLine="420" w:firstLineChars="200"/>
    </w:pPr>
  </w:style>
  <w:style w:type="paragraph" w:styleId="48">
    <w:name w:val="List Paragraph"/>
    <w:basedOn w:val="1"/>
    <w:autoRedefine/>
    <w:qFormat/>
    <w:uiPriority w:val="99"/>
    <w:pPr>
      <w:ind w:firstLine="420" w:firstLineChars="200"/>
    </w:pPr>
  </w:style>
  <w:style w:type="character" w:customStyle="1" w:styleId="49">
    <w:name w:val="fontstyle01"/>
    <w:qFormat/>
    <w:uiPriority w:val="99"/>
    <w:rPr>
      <w:rFonts w:ascii="仿宋" w:hAnsi="仿宋" w:eastAsia="仿宋" w:cs="Times New Roman"/>
      <w:color w:val="000000"/>
      <w:sz w:val="28"/>
      <w:szCs w:val="28"/>
    </w:rPr>
  </w:style>
  <w:style w:type="character" w:customStyle="1" w:styleId="50">
    <w:name w:val="！正文 Char"/>
    <w:link w:val="51"/>
    <w:qFormat/>
    <w:locked/>
    <w:uiPriority w:val="99"/>
    <w:rPr>
      <w:rFonts w:ascii="Arial" w:hAnsi="Arial"/>
      <w:sz w:val="24"/>
    </w:rPr>
  </w:style>
  <w:style w:type="paragraph" w:customStyle="1" w:styleId="51">
    <w:name w:val="！正文"/>
    <w:basedOn w:val="1"/>
    <w:link w:val="50"/>
    <w:qFormat/>
    <w:uiPriority w:val="99"/>
    <w:pPr>
      <w:spacing w:line="360" w:lineRule="auto"/>
      <w:ind w:firstLine="200" w:firstLineChars="200"/>
    </w:pPr>
    <w:rPr>
      <w:rFonts w:ascii="Arial" w:hAnsi="Arial" w:eastAsia="等线"/>
      <w:kern w:val="0"/>
      <w:sz w:val="24"/>
      <w:szCs w:val="24"/>
    </w:rPr>
  </w:style>
  <w:style w:type="paragraph" w:customStyle="1" w:styleId="52">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53">
    <w:name w:val="正文缩进 字符"/>
    <w:link w:val="6"/>
    <w:qFormat/>
    <w:locked/>
    <w:uiPriority w:val="99"/>
    <w:rPr>
      <w:sz w:val="24"/>
    </w:rPr>
  </w:style>
  <w:style w:type="paragraph" w:customStyle="1" w:styleId="54">
    <w:name w:val="标准书脚_奇数页"/>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5">
    <w:name w:val="纯文本 字符"/>
    <w:link w:val="13"/>
    <w:autoRedefine/>
    <w:qFormat/>
    <w:locked/>
    <w:uiPriority w:val="0"/>
    <w:rPr>
      <w:rFonts w:ascii="宋体" w:hAnsi="Courier New" w:eastAsia="宋体" w:cs="Times New Roman"/>
      <w:kern w:val="2"/>
      <w:sz w:val="21"/>
      <w:szCs w:val="21"/>
    </w:rPr>
  </w:style>
  <w:style w:type="character" w:customStyle="1" w:styleId="56">
    <w:name w:val="未处理的提及1"/>
    <w:semiHidden/>
    <w:qFormat/>
    <w:uiPriority w:val="99"/>
    <w:rPr>
      <w:rFonts w:cs="Times New Roman"/>
      <w:color w:val="605E5C"/>
      <w:shd w:val="clear" w:color="auto" w:fill="E1DFDD"/>
    </w:rPr>
  </w:style>
  <w:style w:type="paragraph" w:customStyle="1" w:styleId="57">
    <w:name w:val="样式"/>
    <w:basedOn w:val="1"/>
    <w:next w:val="48"/>
    <w:qFormat/>
    <w:uiPriority w:val="99"/>
    <w:pPr>
      <w:ind w:firstLine="420" w:firstLineChars="200"/>
    </w:pPr>
    <w:rPr>
      <w:rFonts w:ascii="Calibri" w:hAnsi="Calibri"/>
      <w:szCs w:val="22"/>
    </w:rPr>
  </w:style>
  <w:style w:type="character" w:customStyle="1" w:styleId="58">
    <w:name w:val="Body Text Indent 2 Char Char"/>
    <w:link w:val="59"/>
    <w:autoRedefine/>
    <w:qFormat/>
    <w:locked/>
    <w:uiPriority w:val="99"/>
  </w:style>
  <w:style w:type="paragraph" w:customStyle="1" w:styleId="59">
    <w:name w:val="正文文本缩进 21"/>
    <w:basedOn w:val="1"/>
    <w:link w:val="58"/>
    <w:qFormat/>
    <w:uiPriority w:val="99"/>
    <w:pPr>
      <w:adjustRightInd w:val="0"/>
      <w:spacing w:line="480" w:lineRule="auto"/>
      <w:ind w:firstLine="540"/>
    </w:pPr>
    <w:rPr>
      <w:rFonts w:ascii="Calibri" w:hAnsi="Calibri" w:eastAsia="等线"/>
      <w:kern w:val="0"/>
      <w:sz w:val="20"/>
    </w:rPr>
  </w:style>
  <w:style w:type="character" w:customStyle="1" w:styleId="60">
    <w:name w:val="批注主题 字符"/>
    <w:link w:val="22"/>
    <w:semiHidden/>
    <w:qFormat/>
    <w:locked/>
    <w:uiPriority w:val="99"/>
    <w:rPr>
      <w:rFonts w:ascii="Times New Roman" w:hAnsi="Times New Roman" w:eastAsia="宋体" w:cs="Times New Roman"/>
      <w:b/>
      <w:bCs/>
      <w:kern w:val="2"/>
      <w:sz w:val="21"/>
    </w:rPr>
  </w:style>
  <w:style w:type="character" w:customStyle="1" w:styleId="61">
    <w:name w:val="标题 4 字符"/>
    <w:autoRedefine/>
    <w:semiHidden/>
    <w:qFormat/>
    <w:uiPriority w:val="99"/>
    <w:rPr>
      <w:rFonts w:ascii="Cambria" w:hAnsi="Cambria" w:eastAsia="宋体" w:cs="Times New Roman"/>
      <w:b/>
      <w:bCs/>
      <w:kern w:val="2"/>
      <w:sz w:val="28"/>
      <w:szCs w:val="28"/>
    </w:rPr>
  </w:style>
  <w:style w:type="paragraph" w:customStyle="1" w:styleId="62">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3">
    <w:name w:val="致远要点"/>
    <w:basedOn w:val="48"/>
    <w:link w:val="64"/>
    <w:autoRedefine/>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4">
    <w:name w:val="致远要点 字符"/>
    <w:link w:val="63"/>
    <w:qFormat/>
    <w:locked/>
    <w:uiPriority w:val="99"/>
    <w:rPr>
      <w:rFonts w:ascii="黑体" w:hAnsi="黑体" w:eastAsia="黑体" w:cs="宋体"/>
      <w:kern w:val="2"/>
      <w:sz w:val="22"/>
      <w:szCs w:val="22"/>
    </w:rPr>
  </w:style>
  <w:style w:type="paragraph" w:customStyle="1" w:styleId="65">
    <w:name w:val="SANGFOR_6_正文"/>
    <w:basedOn w:val="1"/>
    <w:qFormat/>
    <w:uiPriority w:val="99"/>
    <w:pPr>
      <w:spacing w:line="360" w:lineRule="auto"/>
    </w:pPr>
    <w:rPr>
      <w:szCs w:val="24"/>
    </w:rPr>
  </w:style>
  <w:style w:type="paragraph" w:customStyle="1" w:styleId="66">
    <w:name w:val="列表段落1"/>
    <w:basedOn w:val="1"/>
    <w:autoRedefine/>
    <w:qFormat/>
    <w:uiPriority w:val="34"/>
    <w:pPr>
      <w:ind w:firstLine="420" w:firstLineChars="200"/>
    </w:pPr>
  </w:style>
  <w:style w:type="paragraph" w:customStyle="1" w:styleId="67">
    <w:name w:val="表格文字"/>
    <w:basedOn w:val="1"/>
    <w:autoRedefine/>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8">
    <w:name w:val="样式 小四 加粗 行距: 多倍行距 1.25 字行"/>
    <w:basedOn w:val="1"/>
    <w:autoRedefine/>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9">
    <w:name w:val="Normal_1"/>
    <w:autoRedefine/>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70">
    <w:name w:val="Heading 1_0"/>
    <w:basedOn w:val="69"/>
    <w:next w:val="69"/>
    <w:qFormat/>
    <w:uiPriority w:val="9"/>
    <w:pPr>
      <w:numPr>
        <w:ilvl w:val="0"/>
        <w:numId w:val="4"/>
      </w:numPr>
      <w:spacing w:before="120" w:after="120" w:line="312" w:lineRule="auto"/>
      <w:ind w:firstLine="0" w:firstLineChars="0"/>
      <w:outlineLvl w:val="0"/>
    </w:pPr>
    <w:rPr>
      <w:b/>
      <w:sz w:val="36"/>
      <w:szCs w:val="36"/>
    </w:rPr>
  </w:style>
  <w:style w:type="character" w:customStyle="1" w:styleId="71">
    <w:name w:val="ql-author-15932486"/>
    <w:autoRedefine/>
    <w:qFormat/>
    <w:uiPriority w:val="0"/>
  </w:style>
  <w:style w:type="paragraph" w:customStyle="1" w:styleId="72">
    <w:name w:val="ql-indent-1"/>
    <w:basedOn w:val="1"/>
    <w:autoRedefine/>
    <w:qFormat/>
    <w:uiPriority w:val="0"/>
    <w:pPr>
      <w:spacing w:before="100" w:beforeAutospacing="1" w:after="100" w:afterAutospacing="1"/>
    </w:pPr>
  </w:style>
  <w:style w:type="paragraph" w:customStyle="1" w:styleId="73">
    <w:name w:val="纯文本1"/>
    <w:basedOn w:val="1"/>
    <w:autoRedefine/>
    <w:qFormat/>
    <w:uiPriority w:val="0"/>
    <w:rPr>
      <w:rFonts w:ascii="宋体" w:hAnsi="Courier New"/>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7724</Words>
  <Characters>7897</Characters>
  <Lines>73</Lines>
  <Paragraphs>20</Paragraphs>
  <TotalTime>41</TotalTime>
  <ScaleCrop>false</ScaleCrop>
  <LinksUpToDate>false</LinksUpToDate>
  <CharactersWithSpaces>8426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Only One Boy</cp:lastModifiedBy>
  <cp:lastPrinted>2026-09-03T06:53:12Z</cp:lastPrinted>
  <dcterms:modified xsi:type="dcterms:W3CDTF">2026-09-03T06:53:16Z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9969136494F54019931415B2BFB68BBC_13</vt:lpwstr>
  </property>
  <property fmtid="{D5CDD505-2E9C-101B-9397-08002B2CF9AE}" pid="4" name="KSOTemplateDocerSaveRecord">
    <vt:lpwstr>eyJoZGlkIjoiODliMTNlMWQ3YmY4ODg4YTk3Y2M4NjZkYjQyNjQ5MjYiLCJ1c2VySWQiOiIyOTA0ODI4NzkifQ==</vt:lpwstr>
  </property>
</Properties>
</file>