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131EF">
      <w:pPr>
        <w:jc w:val="center"/>
        <w:rPr>
          <w:rFonts w:hint="eastAsia" w:ascii="仿宋_GB2312" w:hAnsi="仿宋_GB2312" w:eastAsia="仿宋_GB2312" w:cs="仿宋_GB2312"/>
          <w:b/>
          <w:bCs/>
          <w:sz w:val="32"/>
        </w:rPr>
      </w:pPr>
      <w:r>
        <w:rPr>
          <w:rFonts w:hint="eastAsia" w:ascii="仿宋_GB2312" w:hAnsi="仿宋_GB2312" w:eastAsia="仿宋_GB2312" w:cs="仿宋_GB2312"/>
          <w:b/>
          <w:bCs/>
          <w:sz w:val="32"/>
        </w:rPr>
        <w:t>采购公告</w:t>
      </w:r>
    </w:p>
    <w:p w14:paraId="2E655AF3">
      <w:pPr>
        <w:widowControl/>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至：投标人</w:t>
      </w:r>
    </w:p>
    <w:p w14:paraId="3F28E1E5">
      <w:pPr>
        <w:widowControl/>
        <w:snapToGrid w:val="0"/>
        <w:spacing w:line="360" w:lineRule="auto"/>
        <w:ind w:firstLine="525" w:firstLineChars="25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东莞市城市工程建设集团有限公司</w:t>
      </w:r>
      <w:r>
        <w:rPr>
          <w:rFonts w:hint="eastAsia" w:ascii="仿宋_GB2312" w:hAnsi="仿宋_GB2312" w:eastAsia="仿宋_GB2312" w:cs="仿宋_GB2312"/>
          <w:kern w:val="0"/>
          <w:szCs w:val="21"/>
        </w:rPr>
        <w:t>就</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b w:val="0"/>
          <w:bCs w:val="0"/>
          <w:color w:val="auto"/>
          <w:kern w:val="0"/>
          <w:sz w:val="21"/>
          <w:szCs w:val="21"/>
          <w:u w:val="single"/>
          <w:lang w:val="en-US" w:eastAsia="zh-CN"/>
        </w:rPr>
        <w:t>东莞市中心广场南广场活化改造提升项目电缆采购</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kern w:val="0"/>
          <w:szCs w:val="21"/>
        </w:rPr>
        <w:t>进行</w:t>
      </w:r>
      <w:r>
        <w:rPr>
          <w:rFonts w:hint="eastAsia" w:ascii="仿宋_GB2312" w:hAnsi="仿宋_GB2312" w:eastAsia="仿宋_GB2312" w:cs="仿宋_GB2312"/>
          <w:kern w:val="0"/>
          <w:szCs w:val="21"/>
          <w:u w:val="single"/>
          <w:lang w:val="en-US" w:eastAsia="zh-CN"/>
        </w:rPr>
        <w:t>公开</w:t>
      </w:r>
      <w:r>
        <w:rPr>
          <w:rFonts w:hint="eastAsia" w:ascii="仿宋_GB2312" w:hAnsi="仿宋_GB2312" w:eastAsia="仿宋_GB2312" w:cs="仿宋_GB2312"/>
          <w:kern w:val="0"/>
          <w:szCs w:val="21"/>
          <w:u w:val="single"/>
        </w:rPr>
        <w:t xml:space="preserve">采购 </w:t>
      </w:r>
      <w:r>
        <w:rPr>
          <w:rFonts w:hint="eastAsia" w:ascii="仿宋_GB2312" w:hAnsi="仿宋_GB2312" w:eastAsia="仿宋_GB2312" w:cs="仿宋_GB2312"/>
          <w:kern w:val="0"/>
          <w:szCs w:val="21"/>
        </w:rPr>
        <w:t>现将有关事项说明如下：</w:t>
      </w:r>
    </w:p>
    <w:p w14:paraId="1F6299A5">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项目名称</w:t>
      </w: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b w:val="0"/>
          <w:bCs w:val="0"/>
          <w:kern w:val="0"/>
          <w:sz w:val="21"/>
          <w:szCs w:val="21"/>
          <w:u w:val="single"/>
          <w:lang w:val="en-US" w:eastAsia="zh-CN"/>
        </w:rPr>
        <w:t>东莞市中心广场南广场活化改造提升项目电缆采购</w:t>
      </w:r>
      <w:r>
        <w:rPr>
          <w:rFonts w:hint="eastAsia" w:ascii="仿宋_GB2312" w:hAnsi="仿宋_GB2312" w:eastAsia="仿宋_GB2312" w:cs="仿宋_GB2312"/>
          <w:color w:val="auto"/>
          <w:kern w:val="0"/>
          <w:sz w:val="21"/>
          <w:szCs w:val="21"/>
          <w:u w:val="single"/>
          <w:lang w:val="en-US" w:eastAsia="zh-CN"/>
        </w:rPr>
        <w:t xml:space="preserve">  </w:t>
      </w:r>
    </w:p>
    <w:p w14:paraId="1133009C">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项目编号：</w:t>
      </w:r>
      <w:r>
        <w:rPr>
          <w:rFonts w:hint="eastAsia" w:ascii="仿宋_GB2312" w:hAnsi="仿宋_GB2312" w:eastAsia="仿宋_GB2312" w:cs="仿宋_GB2312"/>
          <w:color w:val="auto"/>
          <w:kern w:val="0"/>
          <w:sz w:val="21"/>
          <w:szCs w:val="21"/>
          <w:u w:val="single"/>
        </w:rPr>
        <w:t xml:space="preserve"> ZBCG-</w:t>
      </w:r>
      <w:r>
        <w:rPr>
          <w:rFonts w:hint="eastAsia" w:ascii="仿宋_GB2312" w:hAnsi="仿宋_GB2312" w:eastAsia="仿宋_GB2312" w:cs="仿宋_GB2312"/>
          <w:color w:val="auto"/>
          <w:kern w:val="0"/>
          <w:sz w:val="21"/>
          <w:szCs w:val="21"/>
          <w:u w:val="single"/>
          <w:lang w:eastAsia="zh-CN"/>
        </w:rPr>
        <w:t>202</w:t>
      </w:r>
      <w:r>
        <w:rPr>
          <w:rFonts w:hint="eastAsia" w:ascii="仿宋_GB2312" w:hAnsi="仿宋_GB2312" w:eastAsia="仿宋_GB2312" w:cs="仿宋_GB2312"/>
          <w:color w:val="auto"/>
          <w:kern w:val="0"/>
          <w:sz w:val="21"/>
          <w:szCs w:val="21"/>
          <w:u w:val="single"/>
          <w:lang w:val="en-US" w:eastAsia="zh-CN"/>
        </w:rPr>
        <w:t>6</w:t>
      </w:r>
      <w:r>
        <w:rPr>
          <w:rFonts w:hint="eastAsia" w:ascii="仿宋_GB2312" w:hAnsi="仿宋_GB2312" w:eastAsia="仿宋_GB2312" w:cs="仿宋_GB2312"/>
          <w:color w:val="auto"/>
          <w:kern w:val="0"/>
          <w:sz w:val="21"/>
          <w:szCs w:val="21"/>
          <w:u w:val="single"/>
        </w:rPr>
        <w:t>-</w:t>
      </w:r>
      <w:r>
        <w:rPr>
          <w:rFonts w:hint="eastAsia" w:ascii="仿宋_GB2312" w:hAnsi="仿宋_GB2312" w:eastAsia="仿宋_GB2312" w:cs="仿宋_GB2312"/>
          <w:color w:val="auto"/>
          <w:kern w:val="0"/>
          <w:sz w:val="21"/>
          <w:szCs w:val="21"/>
          <w:u w:val="single"/>
          <w:lang w:val="en-US" w:eastAsia="zh-CN"/>
        </w:rPr>
        <w:t>158</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lang w:val="en-US" w:eastAsia="zh-CN"/>
        </w:rPr>
        <w:t xml:space="preserve">  </w:t>
      </w:r>
      <w:bookmarkStart w:id="0" w:name="_GoBack"/>
      <w:bookmarkEnd w:id="0"/>
    </w:p>
    <w:p w14:paraId="69CC9C24">
      <w:pPr>
        <w:widowControl/>
        <w:numPr>
          <w:ilvl w:val="0"/>
          <w:numId w:val="0"/>
        </w:numPr>
        <w:snapToGrid w:val="0"/>
        <w:spacing w:line="360" w:lineRule="auto"/>
        <w:ind w:left="420" w:leftChars="0"/>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三、</w:t>
      </w:r>
      <w:r>
        <w:rPr>
          <w:rFonts w:hint="eastAsia" w:ascii="仿宋_GB2312" w:hAnsi="仿宋_GB2312" w:eastAsia="仿宋_GB2312" w:cs="仿宋_GB2312"/>
          <w:b/>
          <w:bCs/>
          <w:color w:val="auto"/>
          <w:kern w:val="0"/>
          <w:sz w:val="21"/>
          <w:szCs w:val="21"/>
        </w:rPr>
        <w:t>工程地点：</w:t>
      </w:r>
      <w:r>
        <w:rPr>
          <w:rFonts w:hint="eastAsia" w:ascii="仿宋_GB2312" w:hAnsi="仿宋_GB2312" w:eastAsia="仿宋_GB2312" w:cs="仿宋_GB2312"/>
          <w:color w:val="auto"/>
          <w:kern w:val="0"/>
          <w:sz w:val="21"/>
          <w:szCs w:val="21"/>
          <w:u w:val="single"/>
          <w:lang w:val="en-US" w:eastAsia="zh-CN"/>
        </w:rPr>
        <w:t xml:space="preserve">  东莞南城                    </w:t>
      </w:r>
    </w:p>
    <w:p w14:paraId="2E9A48C3">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rPr>
        <w:t>四、</w:t>
      </w:r>
      <w:r>
        <w:rPr>
          <w:rFonts w:hint="eastAsia" w:ascii="仿宋_GB2312" w:hAnsi="仿宋_GB2312" w:eastAsia="仿宋_GB2312" w:cs="仿宋_GB2312"/>
          <w:b/>
          <w:bCs/>
          <w:color w:val="auto"/>
          <w:kern w:val="0"/>
          <w:sz w:val="21"/>
          <w:szCs w:val="21"/>
          <w:lang w:val="en-US" w:eastAsia="zh-CN"/>
        </w:rPr>
        <w:t>采购限价</w:t>
      </w:r>
    </w:p>
    <w:p w14:paraId="2F28B021">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本项目</w:t>
      </w:r>
      <w:r>
        <w:rPr>
          <w:rFonts w:hint="eastAsia" w:ascii="仿宋_GB2312" w:hAnsi="仿宋_GB2312" w:eastAsia="仿宋_GB2312" w:cs="仿宋_GB2312"/>
          <w:color w:val="auto"/>
          <w:kern w:val="0"/>
          <w:sz w:val="21"/>
          <w:szCs w:val="21"/>
          <w:lang w:val="en-US" w:eastAsia="zh-CN"/>
        </w:rPr>
        <w:t>采购限价为</w:t>
      </w:r>
      <w:r>
        <w:rPr>
          <w:rFonts w:hint="eastAsia" w:ascii="仿宋_GB2312" w:hAnsi="仿宋_GB2312" w:eastAsia="仿宋_GB2312" w:cs="仿宋_GB2312"/>
          <w:color w:val="auto"/>
          <w:kern w:val="0"/>
          <w:sz w:val="21"/>
          <w:szCs w:val="21"/>
          <w:u w:val="single"/>
          <w:lang w:val="en-US" w:eastAsia="zh-CN"/>
        </w:rPr>
        <w:t xml:space="preserve">¥  869944.25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元（含税</w:t>
      </w:r>
      <w:r>
        <w:rPr>
          <w:rFonts w:hint="eastAsia" w:ascii="仿宋_GB2312" w:hAnsi="仿宋_GB2312" w:eastAsia="仿宋_GB2312" w:cs="仿宋_GB2312"/>
          <w:color w:val="auto"/>
          <w:kern w:val="0"/>
          <w:sz w:val="21"/>
          <w:szCs w:val="21"/>
          <w:u w:val="single"/>
          <w:lang w:val="en-US" w:eastAsia="zh-CN"/>
        </w:rPr>
        <w:t xml:space="preserve"> 13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捌拾陆万玖仟玖佰肆拾肆元贰角伍分     </w:t>
      </w:r>
      <w:r>
        <w:rPr>
          <w:rFonts w:hint="eastAsia" w:ascii="仿宋_GB2312" w:hAnsi="仿宋_GB2312" w:eastAsia="仿宋_GB2312" w:cs="仿宋_GB2312"/>
          <w:color w:val="auto"/>
          <w:kern w:val="0"/>
          <w:sz w:val="21"/>
          <w:szCs w:val="21"/>
          <w:u w:val="none"/>
          <w:lang w:val="en-US" w:eastAsia="zh-CN"/>
        </w:rPr>
        <w:t>;其中不含税价款为:(小写</w:t>
      </w:r>
      <w:r>
        <w:rPr>
          <w:rFonts w:hint="eastAsia" w:ascii="仿宋_GB2312" w:hAnsi="仿宋_GB2312" w:eastAsia="仿宋_GB2312" w:cs="仿宋_GB2312"/>
          <w:color w:val="auto"/>
          <w:kern w:val="0"/>
          <w:sz w:val="21"/>
          <w:szCs w:val="21"/>
          <w:u w:val="single"/>
          <w:lang w:val="en-US" w:eastAsia="zh-CN"/>
        </w:rPr>
        <w:t>)¥  769862.17   元</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柒拾陆万玖仟捌佰陆拾贰元壹角柒分    </w:t>
      </w:r>
      <w:r>
        <w:rPr>
          <w:rFonts w:hint="eastAsia" w:ascii="仿宋_GB2312" w:hAnsi="仿宋_GB2312" w:eastAsia="仿宋_GB2312" w:cs="仿宋_GB2312"/>
          <w:color w:val="auto"/>
          <w:kern w:val="0"/>
          <w:sz w:val="21"/>
          <w:szCs w:val="21"/>
          <w:u w:val="none"/>
          <w:lang w:val="en-US" w:eastAsia="zh-CN"/>
        </w:rPr>
        <w:t>;税金:(小写)</w:t>
      </w:r>
      <w:r>
        <w:rPr>
          <w:rFonts w:hint="eastAsia" w:ascii="仿宋_GB2312" w:hAnsi="仿宋_GB2312" w:eastAsia="仿宋_GB2312" w:cs="仿宋_GB2312"/>
          <w:color w:val="auto"/>
          <w:kern w:val="0"/>
          <w:sz w:val="21"/>
          <w:szCs w:val="21"/>
          <w:u w:val="single"/>
          <w:lang w:val="en-US" w:eastAsia="zh-CN"/>
        </w:rPr>
        <w:t>¥ 100082.08    元</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壹拾万零捌拾贰元零捌分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kern w:val="0"/>
          <w:szCs w:val="21"/>
          <w:lang w:val="en-US" w:eastAsia="zh-CN"/>
        </w:rPr>
        <w:t>（投标人报价不得高于采购限价）</w:t>
      </w:r>
    </w:p>
    <w:p w14:paraId="012A4521">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40" w:leftChars="0" w:right="0" w:rightChars="0" w:firstLine="422" w:firstLineChars="200"/>
        <w:jc w:val="left"/>
        <w:rPr>
          <w:rFonts w:hint="eastAsia" w:ascii="仿宋_GB2312" w:hAnsi="仿宋_GB2312" w:eastAsia="仿宋_GB2312" w:cs="仿宋_GB2312"/>
          <w:color w:val="auto"/>
          <w:sz w:val="21"/>
          <w:szCs w:val="21"/>
          <w:u w:val="single"/>
          <w:lang w:val="en-US" w:eastAsia="zh-CN"/>
        </w:rPr>
      </w:pPr>
      <w:r>
        <w:rPr>
          <w:rFonts w:hint="eastAsia" w:ascii="仿宋_GB2312" w:hAnsi="仿宋_GB2312" w:eastAsia="仿宋_GB2312" w:cs="仿宋_GB2312"/>
          <w:b/>
          <w:bCs/>
          <w:color w:val="auto"/>
          <w:kern w:val="0"/>
          <w:sz w:val="21"/>
          <w:szCs w:val="21"/>
          <w:lang w:val="en-US" w:eastAsia="zh-CN"/>
        </w:rPr>
        <w:t>五、</w:t>
      </w:r>
      <w:r>
        <w:rPr>
          <w:rFonts w:hint="eastAsia" w:ascii="仿宋_GB2312" w:hAnsi="仿宋_GB2312" w:eastAsia="仿宋_GB2312" w:cs="仿宋_GB2312"/>
          <w:b/>
          <w:bCs/>
          <w:color w:val="auto"/>
          <w:kern w:val="0"/>
          <w:sz w:val="21"/>
          <w:szCs w:val="21"/>
        </w:rPr>
        <w:t>工程概况</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color w:val="auto"/>
          <w:sz w:val="21"/>
          <w:szCs w:val="21"/>
          <w:u w:val="single"/>
          <w:lang w:val="en-US" w:eastAsia="zh-CN"/>
        </w:rPr>
        <w:t xml:space="preserve">  </w:t>
      </w:r>
      <w:r>
        <w:rPr>
          <w:rFonts w:hint="eastAsia" w:ascii="仿宋_GB2312" w:hAnsi="仿宋_GB2312" w:eastAsia="仿宋_GB2312" w:cs="仿宋_GB2312"/>
          <w:kern w:val="2"/>
          <w:sz w:val="21"/>
          <w:szCs w:val="21"/>
          <w:u w:val="single"/>
          <w:lang w:val="en-US" w:eastAsia="zh-CN" w:bidi="ar-SA"/>
        </w:rPr>
        <w:t>斜顶商业街建筑面积约2343.68㎡，占地面积约1734.76㎡，规划高度9.5m，对原办公楼外立面进行改造美化及室内装修，完善配套功能；水下区域建筑面积约4811.12㎡，占地面积约4811.12㎡，规划高度4.7m，原为地下商铺，拟改造为停车场（规划停车位97个）。</w:t>
      </w:r>
    </w:p>
    <w:p w14:paraId="72FD278A">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200"/>
        <w:textAlignment w:val="auto"/>
        <w:rPr>
          <w:rFonts w:hint="eastAsia" w:ascii="仿宋_GB2312" w:hAnsi="仿宋_GB2312" w:eastAsia="仿宋_GB2312" w:cs="仿宋_GB2312"/>
          <w:b/>
          <w:bCs/>
          <w:color w:val="auto"/>
          <w:kern w:val="0"/>
          <w:sz w:val="21"/>
          <w:szCs w:val="21"/>
          <w:u w:val="none"/>
          <w:lang w:val="en-US" w:eastAsia="zh-CN"/>
        </w:rPr>
      </w:pPr>
      <w:r>
        <w:rPr>
          <w:rFonts w:hint="eastAsia" w:ascii="仿宋_GB2312" w:hAnsi="仿宋_GB2312" w:eastAsia="仿宋_GB2312" w:cs="仿宋_GB2312"/>
          <w:b/>
          <w:bCs/>
          <w:color w:val="auto"/>
          <w:kern w:val="0"/>
          <w:sz w:val="21"/>
          <w:szCs w:val="21"/>
          <w:lang w:val="en-US" w:eastAsia="zh-CN"/>
        </w:rPr>
        <w:t>六、采购</w:t>
      </w:r>
      <w:r>
        <w:rPr>
          <w:rFonts w:hint="eastAsia" w:ascii="仿宋_GB2312" w:hAnsi="仿宋_GB2312" w:eastAsia="仿宋_GB2312" w:cs="仿宋_GB2312"/>
          <w:b/>
          <w:bCs/>
          <w:color w:val="auto"/>
          <w:kern w:val="0"/>
          <w:sz w:val="21"/>
          <w:szCs w:val="21"/>
        </w:rPr>
        <w:t>范围</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b/>
          <w:bCs/>
          <w:color w:val="auto"/>
          <w:kern w:val="0"/>
          <w:sz w:val="21"/>
          <w:szCs w:val="21"/>
          <w:u w:val="none"/>
          <w:lang w:val="en-US" w:eastAsia="zh-CN"/>
        </w:rPr>
        <w:t xml:space="preserve">  </w:t>
      </w:r>
    </w:p>
    <w:p w14:paraId="7D8DEF58">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20" w:firstLineChars="200"/>
        <w:textAlignment w:val="auto"/>
        <w:rPr>
          <w:rFonts w:hint="eastAsia" w:ascii="仿宋_GB2312" w:hAnsi="仿宋_GB2312" w:eastAsia="仿宋_GB2312" w:cs="仿宋_GB2312"/>
          <w:b/>
          <w:bCs/>
          <w:color w:val="auto"/>
          <w:kern w:val="0"/>
          <w:sz w:val="21"/>
          <w:szCs w:val="21"/>
          <w:u w:val="single"/>
        </w:rPr>
      </w:pPr>
      <w:r>
        <w:rPr>
          <w:rFonts w:hint="eastAsia" w:ascii="仿宋_GB2312" w:hAnsi="仿宋_GB2312" w:eastAsia="仿宋_GB2312" w:cs="仿宋_GB2312"/>
          <w:i w:val="0"/>
          <w:iCs w:val="0"/>
          <w:caps w:val="0"/>
          <w:color w:val="auto"/>
          <w:spacing w:val="0"/>
          <w:kern w:val="0"/>
          <w:sz w:val="21"/>
          <w:szCs w:val="21"/>
          <w:highlight w:val="none"/>
          <w:shd w:val="clear" w:color="auto" w:fill="auto"/>
        </w:rPr>
        <w:t>本项目的采购范围为东莞市中心广场南广场活化改造提升项目所需的电缆材料，共计19种规格型号，包括：WDZB-YJY系列（5×6、5×4、5×10、3×4、5×16、4×35+1×16、4×95+1×50、4×185+1×95、4×120+1×70）、WDZB1N-YJY系列（3×50、3×50+1×25、3×16、4×4、5×4、4×16）及NG-ABTLY系列（5×10、5×4、3×95+2×50、3×25+2×16）等，总长度约5284米。采购内容包括电缆的产品供应、包装、运输、保险、装卸及税费等，质量要求为国标电缆</w:t>
      </w:r>
      <w:r>
        <w:rPr>
          <w:rFonts w:hint="eastAsia" w:ascii="仿宋_GB2312" w:hAnsi="仿宋_GB2312" w:eastAsia="仿宋_GB2312" w:cs="仿宋_GB2312"/>
          <w:i w:val="0"/>
          <w:iCs w:val="0"/>
          <w:caps w:val="0"/>
          <w:color w:val="auto"/>
          <w:spacing w:val="0"/>
          <w:kern w:val="0"/>
          <w:sz w:val="21"/>
          <w:szCs w:val="21"/>
          <w:highlight w:val="none"/>
          <w:shd w:val="clear" w:color="auto" w:fill="auto"/>
          <w:lang w:eastAsia="zh-CN"/>
        </w:rPr>
        <w:t>。</w:t>
      </w:r>
      <w:r>
        <w:rPr>
          <w:rFonts w:hint="eastAsia" w:ascii="仿宋_GB2312" w:hAnsi="仿宋_GB2312" w:eastAsia="仿宋_GB2312" w:cs="仿宋_GB2312"/>
          <w:b w:val="0"/>
          <w:bCs w:val="0"/>
          <w:color w:val="auto"/>
          <w:kern w:val="0"/>
          <w:sz w:val="21"/>
          <w:szCs w:val="21"/>
          <w:highlight w:val="none"/>
          <w:u w:val="none"/>
          <w:lang w:val="en-US" w:eastAsia="zh-CN"/>
        </w:rPr>
        <w:t xml:space="preserve"> </w:t>
      </w:r>
    </w:p>
    <w:p w14:paraId="1606E524">
      <w:pPr>
        <w:widowControl/>
        <w:numPr>
          <w:ilvl w:val="0"/>
          <w:numId w:val="0"/>
        </w:numPr>
        <w:snapToGrid w:val="0"/>
        <w:spacing w:line="360" w:lineRule="auto"/>
        <w:ind w:left="40" w:leftChars="0" w:firstLine="422" w:firstLineChars="200"/>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七、服务</w:t>
      </w:r>
      <w:r>
        <w:rPr>
          <w:rFonts w:hint="eastAsia" w:ascii="仿宋_GB2312" w:hAnsi="仿宋_GB2312" w:eastAsia="仿宋_GB2312" w:cs="仿宋_GB2312"/>
          <w:b/>
          <w:bCs/>
          <w:color w:val="auto"/>
          <w:kern w:val="0"/>
          <w:sz w:val="21"/>
          <w:szCs w:val="21"/>
        </w:rPr>
        <w:t>期</w:t>
      </w:r>
      <w:r>
        <w:rPr>
          <w:rFonts w:hint="eastAsia" w:ascii="仿宋_GB2312" w:hAnsi="仿宋_GB2312" w:eastAsia="仿宋_GB2312" w:cs="仿宋_GB2312"/>
          <w:b/>
          <w:bCs/>
          <w:color w:val="auto"/>
          <w:kern w:val="0"/>
          <w:sz w:val="21"/>
          <w:szCs w:val="21"/>
          <w:lang w:val="en-US" w:eastAsia="zh-CN"/>
        </w:rPr>
        <w:t>及数量</w:t>
      </w:r>
    </w:p>
    <w:p w14:paraId="31B92B92">
      <w:pPr>
        <w:widowControl/>
        <w:numPr>
          <w:ilvl w:val="0"/>
          <w:numId w:val="0"/>
        </w:numPr>
        <w:snapToGrid w:val="0"/>
        <w:spacing w:line="360" w:lineRule="auto"/>
        <w:ind w:leftChars="0" w:firstLine="420" w:firstLineChars="20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highlight w:val="none"/>
          <w:lang w:val="en-US" w:eastAsia="zh-CN"/>
        </w:rPr>
        <w:t>送货时间及数量</w:t>
      </w:r>
      <w:r>
        <w:rPr>
          <w:rFonts w:hint="eastAsia" w:ascii="仿宋_GB2312" w:hAnsi="仿宋_GB2312" w:eastAsia="仿宋_GB2312" w:cs="仿宋_GB2312"/>
          <w:color w:val="auto"/>
          <w:kern w:val="0"/>
          <w:sz w:val="21"/>
          <w:szCs w:val="21"/>
          <w:highlight w:val="none"/>
        </w:rPr>
        <w:t>：所有产品</w:t>
      </w:r>
      <w:r>
        <w:rPr>
          <w:rFonts w:hint="eastAsia" w:ascii="仿宋_GB2312" w:hAnsi="仿宋_GB2312" w:eastAsia="仿宋_GB2312" w:cs="仿宋_GB2312"/>
          <w:color w:val="auto"/>
          <w:kern w:val="0"/>
          <w:sz w:val="21"/>
          <w:szCs w:val="21"/>
          <w:highlight w:val="none"/>
          <w:lang w:val="en-US" w:eastAsia="zh-CN"/>
        </w:rPr>
        <w:t>批次</w:t>
      </w:r>
      <w:r>
        <w:rPr>
          <w:rFonts w:hint="eastAsia" w:ascii="仿宋_GB2312" w:hAnsi="仿宋_GB2312" w:eastAsia="仿宋_GB2312" w:cs="仿宋_GB2312"/>
          <w:color w:val="auto"/>
          <w:kern w:val="0"/>
          <w:sz w:val="21"/>
          <w:szCs w:val="21"/>
          <w:highlight w:val="none"/>
        </w:rPr>
        <w:t>供货期为</w:t>
      </w:r>
      <w:r>
        <w:rPr>
          <w:rFonts w:hint="eastAsia" w:ascii="仿宋_GB2312" w:hAnsi="仿宋_GB2312" w:eastAsia="仿宋_GB2312" w:cs="仿宋_GB2312"/>
          <w:color w:val="auto"/>
          <w:kern w:val="0"/>
          <w:sz w:val="21"/>
          <w:szCs w:val="21"/>
          <w:highlight w:val="none"/>
          <w:u w:val="single"/>
          <w:lang w:val="en-US" w:eastAsia="zh-CN"/>
        </w:rPr>
        <w:t xml:space="preserve">  10  </w:t>
      </w:r>
      <w:r>
        <w:rPr>
          <w:rFonts w:hint="eastAsia" w:ascii="仿宋_GB2312" w:hAnsi="仿宋_GB2312" w:eastAsia="仿宋_GB2312" w:cs="仿宋_GB2312"/>
          <w:color w:val="auto"/>
          <w:kern w:val="0"/>
          <w:sz w:val="21"/>
          <w:szCs w:val="21"/>
          <w:highlight w:val="none"/>
        </w:rPr>
        <w:t>个日历天</w:t>
      </w:r>
      <w:r>
        <w:rPr>
          <w:rFonts w:hint="eastAsia" w:ascii="仿宋_GB2312" w:hAnsi="仿宋_GB2312" w:eastAsia="仿宋_GB2312" w:cs="仿宋_GB2312"/>
          <w:color w:val="auto"/>
          <w:kern w:val="0"/>
          <w:sz w:val="21"/>
          <w:szCs w:val="21"/>
          <w:highlight w:val="none"/>
          <w:lang w:val="en-US" w:eastAsia="zh-CN"/>
        </w:rPr>
        <w:t>内</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lang w:val="en-US" w:eastAsia="zh-CN"/>
        </w:rPr>
        <w:t>具体送货、备货时间以项目部正式通知为准，乙方承诺无条件配合甲方项目部根据施工进度安排对产品供货期的调整</w:t>
      </w:r>
      <w:r>
        <w:rPr>
          <w:rFonts w:hint="eastAsia" w:ascii="仿宋_GB2312" w:hAnsi="仿宋_GB2312" w:eastAsia="仿宋_GB2312" w:cs="仿宋_GB2312"/>
          <w:color w:val="auto"/>
          <w:kern w:val="0"/>
          <w:sz w:val="21"/>
          <w:szCs w:val="21"/>
        </w:rPr>
        <w:t>。</w:t>
      </w:r>
    </w:p>
    <w:p w14:paraId="1CCEDDBC">
      <w:pPr>
        <w:widowControl/>
        <w:numPr>
          <w:ilvl w:val="0"/>
          <w:numId w:val="0"/>
        </w:numPr>
        <w:snapToGrid w:val="0"/>
        <w:spacing w:line="360" w:lineRule="auto"/>
        <w:ind w:left="0" w:leftChars="0" w:firstLine="422" w:firstLineChars="200"/>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lang w:val="en-US" w:eastAsia="zh-CN"/>
        </w:rPr>
        <w:t>八、</w:t>
      </w:r>
      <w:r>
        <w:rPr>
          <w:rFonts w:hint="eastAsia" w:ascii="仿宋_GB2312" w:hAnsi="仿宋_GB2312" w:eastAsia="仿宋_GB2312" w:cs="仿宋_GB2312"/>
          <w:b/>
          <w:bCs/>
          <w:color w:val="auto"/>
          <w:kern w:val="0"/>
          <w:sz w:val="21"/>
          <w:szCs w:val="21"/>
        </w:rPr>
        <w:t>投标</w:t>
      </w:r>
      <w:r>
        <w:rPr>
          <w:rFonts w:hint="eastAsia" w:ascii="仿宋_GB2312" w:hAnsi="仿宋_GB2312" w:eastAsia="仿宋_GB2312" w:cs="仿宋_GB2312"/>
          <w:b/>
          <w:bCs/>
          <w:color w:val="auto"/>
          <w:kern w:val="0"/>
          <w:sz w:val="21"/>
          <w:szCs w:val="21"/>
          <w:highlight w:val="none"/>
        </w:rPr>
        <w:t>文件的递交时间及开标地点</w:t>
      </w:r>
    </w:p>
    <w:p w14:paraId="6151E6E1">
      <w:pPr>
        <w:widowControl/>
        <w:numPr>
          <w:ilvl w:val="0"/>
          <w:numId w:val="0"/>
        </w:numPr>
        <w:snapToGrid w:val="0"/>
        <w:spacing w:line="360" w:lineRule="auto"/>
        <w:ind w:left="0" w:leftChars="0" w:firstLine="420" w:firstLineChars="2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以密封形式于</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u w:val="single"/>
        </w:rPr>
        <w:t>年</w:t>
      </w:r>
      <w:r>
        <w:rPr>
          <w:rFonts w:hint="eastAsia" w:ascii="仿宋_GB2312" w:hAnsi="仿宋_GB2312" w:eastAsia="仿宋_GB2312" w:cs="仿宋_GB2312"/>
          <w:color w:val="auto"/>
          <w:kern w:val="0"/>
          <w:sz w:val="21"/>
          <w:szCs w:val="21"/>
          <w:highlight w:val="none"/>
          <w:u w:val="single"/>
          <w:lang w:val="en-US" w:eastAsia="zh-CN"/>
        </w:rPr>
        <w:t xml:space="preserve"> 08  </w:t>
      </w:r>
      <w:r>
        <w:rPr>
          <w:rFonts w:hint="eastAsia" w:ascii="仿宋_GB2312" w:hAnsi="仿宋_GB2312" w:eastAsia="仿宋_GB2312" w:cs="仿宋_GB2312"/>
          <w:color w:val="auto"/>
          <w:kern w:val="0"/>
          <w:sz w:val="21"/>
          <w:szCs w:val="21"/>
          <w:highlight w:val="none"/>
          <w:u w:val="single"/>
        </w:rPr>
        <w:t>月</w:t>
      </w:r>
      <w:r>
        <w:rPr>
          <w:rFonts w:hint="eastAsia" w:ascii="仿宋_GB2312" w:hAnsi="仿宋_GB2312" w:eastAsia="仿宋_GB2312" w:cs="仿宋_GB2312"/>
          <w:color w:val="auto"/>
          <w:kern w:val="0"/>
          <w:sz w:val="21"/>
          <w:szCs w:val="21"/>
          <w:highlight w:val="none"/>
          <w:u w:val="single"/>
          <w:lang w:val="en-US" w:eastAsia="zh-CN"/>
        </w:rPr>
        <w:t xml:space="preserve"> 31  </w:t>
      </w:r>
      <w:r>
        <w:rPr>
          <w:rFonts w:hint="eastAsia" w:ascii="仿宋_GB2312" w:hAnsi="仿宋_GB2312" w:eastAsia="仿宋_GB2312" w:cs="仿宋_GB2312"/>
          <w:color w:val="auto"/>
          <w:kern w:val="0"/>
          <w:sz w:val="21"/>
          <w:szCs w:val="21"/>
          <w:highlight w:val="none"/>
          <w:u w:val="single"/>
        </w:rPr>
        <w:t>日</w:t>
      </w:r>
      <w:r>
        <w:rPr>
          <w:rFonts w:hint="eastAsia" w:ascii="仿宋_GB2312" w:hAnsi="仿宋_GB2312" w:eastAsia="仿宋_GB2312" w:cs="仿宋_GB2312"/>
          <w:color w:val="auto"/>
          <w:kern w:val="0"/>
          <w:sz w:val="21"/>
          <w:szCs w:val="21"/>
          <w:highlight w:val="none"/>
          <w:u w:val="single"/>
          <w:lang w:val="en-US" w:eastAsia="zh-CN"/>
        </w:rPr>
        <w:t xml:space="preserve">  10  </w:t>
      </w:r>
      <w:r>
        <w:rPr>
          <w:rFonts w:hint="eastAsia" w:ascii="仿宋_GB2312" w:hAnsi="仿宋_GB2312" w:eastAsia="仿宋_GB2312" w:cs="仿宋_GB2312"/>
          <w:color w:val="auto"/>
          <w:kern w:val="0"/>
          <w:sz w:val="21"/>
          <w:szCs w:val="21"/>
          <w:highlight w:val="none"/>
          <w:u w:val="singl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u w:val="single"/>
        </w:rPr>
        <w:t>分</w:t>
      </w:r>
      <w:r>
        <w:rPr>
          <w:rFonts w:hint="eastAsia" w:ascii="仿宋_GB2312" w:hAnsi="仿宋_GB2312" w:eastAsia="仿宋_GB2312" w:cs="仿宋_GB2312"/>
          <w:color w:val="auto"/>
          <w:kern w:val="0"/>
          <w:sz w:val="21"/>
          <w:szCs w:val="21"/>
          <w:highlight w:val="none"/>
        </w:rPr>
        <w:t>前递交，截止时间为</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lang w:val="en-US" w:eastAsia="zh-CN"/>
        </w:rPr>
        <w:t>08</w:t>
      </w:r>
      <w:r>
        <w:rPr>
          <w:rFonts w:hint="eastAsia" w:ascii="仿宋_GB2312" w:hAnsi="仿宋_GB2312" w:eastAsia="仿宋_GB2312" w:cs="仿宋_GB2312"/>
          <w:color w:val="auto"/>
          <w:kern w:val="0"/>
          <w:sz w:val="21"/>
          <w:szCs w:val="21"/>
          <w:highlight w:val="none"/>
          <w:u w:val="single"/>
          <w:lang w:val="en-US" w:eastAsia="zh-CN"/>
        </w:rPr>
        <w:t xml:space="preserve">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u w:val="single"/>
          <w:lang w:val="en-US" w:eastAsia="zh-CN"/>
        </w:rPr>
        <w:t xml:space="preserve"> 31 </w:t>
      </w:r>
      <w:r>
        <w:rPr>
          <w:rFonts w:hint="eastAsia" w:ascii="仿宋_GB2312" w:hAnsi="仿宋_GB2312" w:eastAsia="仿宋_GB2312" w:cs="仿宋_GB2312"/>
          <w:color w:val="auto"/>
          <w:kern w:val="0"/>
          <w:sz w:val="21"/>
          <w:szCs w:val="21"/>
          <w:highlight w:val="none"/>
        </w:rPr>
        <w:t>日</w:t>
      </w:r>
      <w:r>
        <w:rPr>
          <w:rFonts w:hint="eastAsia" w:ascii="仿宋_GB2312" w:hAnsi="仿宋_GB2312" w:eastAsia="仿宋_GB2312" w:cs="仿宋_GB2312"/>
          <w:color w:val="auto"/>
          <w:kern w:val="0"/>
          <w:sz w:val="21"/>
          <w:szCs w:val="21"/>
          <w:highlight w:val="none"/>
          <w:u w:val="single"/>
          <w:lang w:val="en-US" w:eastAsia="zh-CN"/>
        </w:rPr>
        <w:t xml:space="preserve"> 10  </w:t>
      </w:r>
      <w:r>
        <w:rPr>
          <w:rFonts w:hint="eastAsia" w:ascii="仿宋_GB2312" w:hAnsi="仿宋_GB2312" w:eastAsia="仿宋_GB2312" w:cs="仿宋_GB2312"/>
          <w:color w:val="auto"/>
          <w:kern w:val="0"/>
          <w:sz w:val="21"/>
          <w:szCs w:val="21"/>
          <w:highlight w:val="non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rPr>
        <w:t>分，所有报价文件必须在规定的递交截止时间前按规定送达采购方，逾期恕不接受。</w:t>
      </w:r>
    </w:p>
    <w:p w14:paraId="38A06CF4">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开标地址：东莞市南城</w:t>
      </w:r>
      <w:r>
        <w:rPr>
          <w:rFonts w:hint="eastAsia" w:ascii="仿宋_GB2312" w:hAnsi="仿宋_GB2312" w:eastAsia="仿宋_GB2312" w:cs="仿宋_GB2312"/>
          <w:color w:val="auto"/>
          <w:kern w:val="0"/>
          <w:sz w:val="21"/>
          <w:szCs w:val="21"/>
          <w:highlight w:val="none"/>
          <w:lang w:val="en-US" w:eastAsia="zh-CN"/>
        </w:rPr>
        <w:t>街道城市风景街8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val="en-US" w:eastAsia="zh-CN"/>
        </w:rPr>
        <w:t>4</w:t>
      </w:r>
      <w:r>
        <w:rPr>
          <w:rFonts w:hint="eastAsia" w:ascii="仿宋_GB2312" w:hAnsi="仿宋_GB2312" w:eastAsia="仿宋_GB2312" w:cs="仿宋_GB2312"/>
          <w:color w:val="auto"/>
          <w:kern w:val="0"/>
          <w:sz w:val="21"/>
          <w:szCs w:val="21"/>
          <w:highlight w:val="none"/>
        </w:rPr>
        <w:t>层</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开标室。</w:t>
      </w:r>
    </w:p>
    <w:p w14:paraId="6E0B50FA">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lang w:val="en-US" w:eastAsia="zh-CN"/>
        </w:rPr>
        <w:t>九</w:t>
      </w:r>
      <w:r>
        <w:rPr>
          <w:rFonts w:hint="eastAsia" w:ascii="仿宋_GB2312" w:hAnsi="仿宋_GB2312" w:eastAsia="仿宋_GB2312" w:cs="仿宋_GB2312"/>
          <w:b/>
          <w:bCs/>
          <w:color w:val="auto"/>
          <w:kern w:val="0"/>
          <w:sz w:val="21"/>
          <w:szCs w:val="21"/>
          <w:highlight w:val="none"/>
        </w:rPr>
        <w:t>、注意事项</w:t>
      </w:r>
    </w:p>
    <w:p w14:paraId="3A5306D7">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1、投标人必须全面响应采购文件要求，投标人任何附加条件采购人一律不接受或视为废标。</w:t>
      </w:r>
    </w:p>
    <w:p w14:paraId="0C9509F6">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2、投标文件严禁出现不平衡报价。</w:t>
      </w:r>
    </w:p>
    <w:p w14:paraId="4ABF16A7">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3</w:t>
      </w:r>
      <w:r>
        <w:rPr>
          <w:rFonts w:hint="eastAsia" w:ascii="仿宋_GB2312" w:hAnsi="仿宋_GB2312" w:eastAsia="仿宋_GB2312" w:cs="仿宋_GB2312"/>
          <w:color w:val="auto"/>
          <w:kern w:val="0"/>
          <w:sz w:val="21"/>
          <w:szCs w:val="21"/>
          <w:highlight w:val="none"/>
        </w:rPr>
        <w:t>、质量要求：现行的施工规范要求</w:t>
      </w:r>
      <w:r>
        <w:rPr>
          <w:rFonts w:hint="eastAsia" w:ascii="仿宋_GB2312" w:hAnsi="仿宋_GB2312" w:eastAsia="仿宋_GB2312" w:cs="仿宋_GB2312"/>
          <w:color w:val="FF0000"/>
          <w:kern w:val="0"/>
          <w:szCs w:val="21"/>
        </w:rPr>
        <w:t>及用户需求书列明的质量管控要求</w:t>
      </w:r>
      <w:r>
        <w:rPr>
          <w:rFonts w:hint="eastAsia" w:ascii="仿宋_GB2312" w:hAnsi="仿宋_GB2312" w:eastAsia="仿宋_GB2312" w:cs="仿宋_GB2312"/>
          <w:color w:val="auto"/>
          <w:kern w:val="0"/>
          <w:sz w:val="21"/>
          <w:szCs w:val="21"/>
          <w:highlight w:val="none"/>
        </w:rPr>
        <w:t>。</w:t>
      </w:r>
    </w:p>
    <w:p w14:paraId="4FA31C2F">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采购</w:t>
      </w:r>
      <w:r>
        <w:rPr>
          <w:rFonts w:hint="eastAsia" w:ascii="仿宋_GB2312" w:hAnsi="仿宋_GB2312" w:eastAsia="仿宋_GB2312" w:cs="仿宋_GB2312"/>
          <w:b/>
          <w:bCs/>
          <w:color w:val="auto"/>
          <w:kern w:val="0"/>
          <w:sz w:val="21"/>
          <w:szCs w:val="21"/>
          <w:highlight w:val="none"/>
        </w:rPr>
        <w:t>文件获取</w:t>
      </w:r>
    </w:p>
    <w:p w14:paraId="169921D1">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官网（http:</w:t>
      </w:r>
      <w:r>
        <w:rPr>
          <w:rFonts w:hint="eastAsia" w:ascii="仿宋_GB2312" w:hAnsi="仿宋_GB2312" w:eastAsia="仿宋_GB2312" w:cs="仿宋_GB2312"/>
          <w:color w:val="auto"/>
          <w:kern w:val="0"/>
          <w:sz w:val="21"/>
          <w:szCs w:val="21"/>
          <w:highlight w:val="none"/>
          <w:lang w:val="en-US" w:eastAsia="zh-CN"/>
        </w:rPr>
        <w:t>/</w:t>
      </w:r>
      <w:r>
        <w:rPr>
          <w:rFonts w:hint="eastAsia" w:ascii="仿宋_GB2312" w:hAnsi="仿宋_GB2312" w:eastAsia="仿宋_GB2312" w:cs="仿宋_GB2312"/>
          <w:color w:val="auto"/>
          <w:kern w:val="0"/>
          <w:sz w:val="21"/>
          <w:szCs w:val="21"/>
          <w:highlight w:val="none"/>
        </w:rPr>
        <w:t>/</w:t>
      </w:r>
      <w:r>
        <w:rPr>
          <w:rFonts w:hint="eastAsia" w:ascii="仿宋_GB2312" w:hAnsi="仿宋_GB2312" w:eastAsia="仿宋_GB2312" w:cs="仿宋_GB2312"/>
          <w:color w:val="auto"/>
          <w:kern w:val="0"/>
          <w:sz w:val="21"/>
          <w:szCs w:val="21"/>
          <w:highlight w:val="none"/>
          <w:lang w:val="en-US" w:eastAsia="zh-CN"/>
        </w:rPr>
        <w:t>www.</w:t>
      </w:r>
      <w:r>
        <w:rPr>
          <w:rFonts w:hint="eastAsia" w:ascii="仿宋_GB2312" w:hAnsi="仿宋_GB2312" w:eastAsia="仿宋_GB2312" w:cs="仿宋_GB2312"/>
          <w:color w:val="auto"/>
          <w:kern w:val="0"/>
          <w:sz w:val="21"/>
          <w:szCs w:val="21"/>
          <w:highlight w:val="none"/>
        </w:rPr>
        <w:t>dggcc.cn）</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lang w:val="en-US" w:eastAsia="zh-CN"/>
        </w:rPr>
        <w:t>东实集团官网（</w:t>
      </w:r>
      <w:r>
        <w:rPr>
          <w:rFonts w:hint="eastAsia" w:ascii="仿宋_GB2312" w:hAnsi="仿宋_GB2312" w:eastAsia="仿宋_GB2312" w:cs="仿宋_GB2312"/>
          <w:color w:val="auto"/>
          <w:kern w:val="0"/>
          <w:sz w:val="21"/>
          <w:szCs w:val="21"/>
          <w:highlight w:val="none"/>
          <w:lang w:eastAsia="zh-CN"/>
        </w:rPr>
        <w:t>http://www.dgsy.com.cn）</w:t>
      </w:r>
      <w:r>
        <w:rPr>
          <w:rFonts w:hint="eastAsia" w:ascii="仿宋_GB2312" w:hAnsi="仿宋_GB2312" w:eastAsia="仿宋_GB2312" w:cs="仿宋_GB2312"/>
          <w:color w:val="auto"/>
          <w:kern w:val="0"/>
          <w:sz w:val="21"/>
          <w:szCs w:val="21"/>
          <w:highlight w:val="none"/>
        </w:rPr>
        <w:t>。</w:t>
      </w:r>
    </w:p>
    <w:p w14:paraId="06AE91F5">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lang w:val="en-US" w:eastAsia="zh-CN"/>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一</w:t>
      </w:r>
      <w:r>
        <w:rPr>
          <w:rFonts w:hint="eastAsia" w:ascii="仿宋_GB2312" w:hAnsi="仿宋_GB2312" w:eastAsia="仿宋_GB2312" w:cs="仿宋_GB2312"/>
          <w:b/>
          <w:bCs/>
          <w:color w:val="auto"/>
          <w:kern w:val="0"/>
          <w:sz w:val="21"/>
          <w:szCs w:val="21"/>
          <w:highlight w:val="none"/>
        </w:rPr>
        <w:t>、</w:t>
      </w:r>
      <w:r>
        <w:rPr>
          <w:rFonts w:hint="eastAsia" w:ascii="仿宋_GB2312" w:hAnsi="仿宋_GB2312" w:eastAsia="仿宋_GB2312" w:cs="仿宋_GB2312"/>
          <w:b/>
          <w:bCs/>
          <w:color w:val="auto"/>
          <w:kern w:val="0"/>
          <w:sz w:val="21"/>
          <w:szCs w:val="21"/>
          <w:highlight w:val="none"/>
          <w:lang w:val="en-US" w:eastAsia="zh-CN"/>
        </w:rPr>
        <w:t>其他及特别内容说明</w:t>
      </w:r>
    </w:p>
    <w:p w14:paraId="6DFD4493">
      <w:pPr>
        <w:widowControl/>
        <w:snapToGrid w:val="0"/>
        <w:spacing w:line="360" w:lineRule="auto"/>
        <w:ind w:left="0" w:leftChars="0" w:firstLine="367" w:firstLineChars="175"/>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参考品牌：</w:t>
      </w:r>
      <w:r>
        <w:rPr>
          <w:rFonts w:hint="eastAsia" w:ascii="仿宋_GB2312" w:hAnsi="仿宋_GB2312" w:eastAsia="仿宋_GB2312" w:cs="仿宋_GB2312"/>
          <w:b w:val="0"/>
          <w:bCs w:val="0"/>
          <w:color w:val="auto"/>
          <w:kern w:val="0"/>
          <w:sz w:val="21"/>
          <w:szCs w:val="21"/>
          <w:highlight w:val="none"/>
          <w:u w:val="single"/>
          <w:lang w:val="en-US" w:eastAsia="zh-CN"/>
        </w:rPr>
        <w:t xml:space="preserve">  详见预算清单   </w:t>
      </w:r>
      <w:r>
        <w:rPr>
          <w:rFonts w:hint="eastAsia" w:ascii="仿宋_GB2312" w:hAnsi="仿宋_GB2312" w:eastAsia="仿宋_GB2312" w:cs="仿宋_GB2312"/>
          <w:b w:val="0"/>
          <w:bCs w:val="0"/>
          <w:color w:val="auto"/>
          <w:kern w:val="0"/>
          <w:sz w:val="21"/>
          <w:szCs w:val="21"/>
          <w:highlight w:val="none"/>
          <w:lang w:val="en-US" w:eastAsia="zh-CN"/>
        </w:rPr>
        <w:t>；进场需经采购人审核同意方可使用。</w:t>
      </w:r>
    </w:p>
    <w:p w14:paraId="2A027348">
      <w:pPr>
        <w:widowControl/>
        <w:snapToGrid w:val="0"/>
        <w:spacing w:line="360" w:lineRule="auto"/>
        <w:ind w:left="0" w:leftChars="0" w:firstLine="369"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二</w:t>
      </w:r>
      <w:r>
        <w:rPr>
          <w:rFonts w:hint="eastAsia" w:ascii="仿宋_GB2312" w:hAnsi="仿宋_GB2312" w:eastAsia="仿宋_GB2312" w:cs="仿宋_GB2312"/>
          <w:color w:val="auto"/>
          <w:kern w:val="0"/>
          <w:sz w:val="21"/>
          <w:szCs w:val="21"/>
          <w:highlight w:val="none"/>
        </w:rPr>
        <w:t xml:space="preserve">、有关此次采购答疑事宜，按下列地址以书面或电话形式向采购人查询：  </w:t>
      </w:r>
    </w:p>
    <w:p w14:paraId="79F57453">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rPr>
        <w:t>采购人：</w:t>
      </w:r>
      <w:r>
        <w:rPr>
          <w:rFonts w:hint="eastAsia" w:ascii="仿宋_GB2312" w:hAnsi="仿宋_GB2312" w:eastAsia="仿宋_GB2312" w:cs="仿宋_GB2312"/>
          <w:color w:val="auto"/>
          <w:kern w:val="0"/>
          <w:sz w:val="21"/>
          <w:szCs w:val="21"/>
          <w:highlight w:val="none"/>
          <w:lang w:eastAsia="zh-CN"/>
        </w:rPr>
        <w:t>东莞市城市工程建设集团有限公司</w:t>
      </w:r>
    </w:p>
    <w:p w14:paraId="401BE9C7">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地址：东莞市南城区城市风景街</w:t>
      </w:r>
      <w:r>
        <w:rPr>
          <w:rFonts w:hint="eastAsia" w:ascii="仿宋_GB2312" w:hAnsi="仿宋_GB2312" w:eastAsia="仿宋_GB2312" w:cs="仿宋_GB2312"/>
          <w:color w:val="auto"/>
          <w:kern w:val="0"/>
          <w:sz w:val="21"/>
          <w:szCs w:val="21"/>
          <w:highlight w:val="none"/>
          <w:lang w:val="en-US" w:eastAsia="zh-CN"/>
        </w:rPr>
        <w:t>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b w:val="0"/>
          <w:bCs w:val="0"/>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层。</w:t>
      </w:r>
    </w:p>
    <w:p w14:paraId="2C6803F5">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rPr>
        <w:t>联系人：</w:t>
      </w:r>
      <w:r>
        <w:rPr>
          <w:rFonts w:hint="eastAsia" w:ascii="仿宋_GB2312" w:hAnsi="仿宋_GB2312" w:eastAsia="仿宋_GB2312" w:cs="仿宋_GB2312"/>
          <w:color w:val="auto"/>
          <w:kern w:val="0"/>
          <w:sz w:val="21"/>
          <w:szCs w:val="21"/>
          <w:highlight w:val="none"/>
          <w:lang w:val="en-US" w:eastAsia="zh-CN"/>
        </w:rPr>
        <w:t>黄工</w:t>
      </w:r>
      <w:r>
        <w:rPr>
          <w:rFonts w:hint="eastAsia" w:ascii="仿宋_GB2312" w:hAnsi="仿宋_GB2312" w:eastAsia="仿宋_GB2312" w:cs="仿宋_GB2312"/>
          <w:color w:val="auto"/>
          <w:kern w:val="0"/>
          <w:sz w:val="21"/>
          <w:szCs w:val="21"/>
          <w:highlight w:val="none"/>
        </w:rPr>
        <w:t xml:space="preserve">                   邮政编码：</w:t>
      </w:r>
      <w:r>
        <w:rPr>
          <w:rFonts w:hint="eastAsia" w:ascii="仿宋_GB2312" w:hAnsi="仿宋_GB2312" w:eastAsia="仿宋_GB2312" w:cs="仿宋_GB2312"/>
          <w:color w:val="auto"/>
          <w:kern w:val="0"/>
          <w:sz w:val="21"/>
          <w:szCs w:val="21"/>
          <w:highlight w:val="none"/>
          <w:lang w:val="en-US" w:eastAsia="zh-CN"/>
        </w:rPr>
        <w:t>523000</w:t>
      </w:r>
    </w:p>
    <w:p w14:paraId="49998353">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联系方式：</w:t>
      </w:r>
      <w:r>
        <w:rPr>
          <w:rFonts w:hint="eastAsia" w:ascii="仿宋_GB2312" w:hAnsi="仿宋_GB2312" w:eastAsia="仿宋_GB2312" w:cs="仿宋_GB2312"/>
          <w:color w:val="auto"/>
          <w:kern w:val="0"/>
          <w:sz w:val="21"/>
          <w:szCs w:val="21"/>
          <w:highlight w:val="none"/>
          <w:lang w:val="en-US" w:eastAsia="zh-CN"/>
        </w:rPr>
        <w:t>15017133726</w:t>
      </w:r>
      <w:r>
        <w:rPr>
          <w:rFonts w:hint="default"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仿宋_GB2312" w:eastAsia="仿宋_GB2312" w:cs="仿宋_GB2312"/>
          <w:color w:val="auto"/>
          <w:kern w:val="0"/>
          <w:sz w:val="21"/>
          <w:szCs w:val="21"/>
          <w:highlight w:val="none"/>
        </w:rPr>
        <w:t>传真：0769-39009090</w:t>
      </w:r>
    </w:p>
    <w:p w14:paraId="1B88F456">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16366854">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298DF079">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lang w:eastAsia="zh-CN"/>
        </w:rPr>
        <w:t>东莞市城市工程建设集团有限公司</w:t>
      </w:r>
    </w:p>
    <w:p w14:paraId="61153957">
      <w:pPr>
        <w:jc w:val="right"/>
      </w:pPr>
      <w:r>
        <w:rPr>
          <w:rFonts w:hint="eastAsia" w:ascii="仿宋_GB2312" w:hAnsi="仿宋_GB2312" w:eastAsia="仿宋_GB2312" w:cs="仿宋_GB2312"/>
          <w:color w:val="auto"/>
          <w:kern w:val="0"/>
          <w:sz w:val="21"/>
          <w:szCs w:val="21"/>
          <w:highlight w:val="non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lang w:val="en-US" w:eastAsia="zh-CN"/>
        </w:rPr>
        <w:t xml:space="preserve">  08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lang w:val="en-US" w:eastAsia="zh-CN"/>
        </w:rPr>
        <w:t xml:space="preserve">  26   </w:t>
      </w:r>
      <w:r>
        <w:rPr>
          <w:rFonts w:hint="eastAsia" w:ascii="仿宋_GB2312" w:hAnsi="仿宋_GB2312" w:eastAsia="仿宋_GB2312" w:cs="仿宋_GB2312"/>
          <w:color w:val="auto"/>
          <w:kern w:val="0"/>
          <w:sz w:val="21"/>
          <w:szCs w:val="21"/>
          <w:highlight w:val="none"/>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273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2026-08-26T01:43:32Z</dcterms:created>
  <dc:creator>lenovo</dc:creator>
  <cp:lastModifiedBy>黄惠东</cp:lastModifiedBy>
  <dcterms:modified xsi:type="dcterms:W3CDTF">2026-08-26T01:43:58Z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AD9E701FC1F64EC9B2A8175D191F9F5C_12</vt:lpwstr>
  </property>
</Properties>
</file>