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3EFC8">
      <w:pPr>
        <w:tabs>
          <w:tab w:val="left" w:pos="1787"/>
        </w:tabs>
        <w:rPr>
          <w:color w:val="auto"/>
        </w:rPr>
      </w:pPr>
      <w:r>
        <w:rPr>
          <w:rFonts w:hint="eastAsia"/>
          <w:color w:val="auto"/>
        </w:rPr>
        <w:tab/>
      </w:r>
    </w:p>
    <w:p w14:paraId="3712A53C">
      <w:pPr>
        <w:rPr>
          <w:color w:val="auto"/>
        </w:rPr>
      </w:pPr>
    </w:p>
    <w:p w14:paraId="6159BB39">
      <w:pPr>
        <w:ind w:right="-28"/>
        <w:jc w:val="center"/>
        <w:textAlignment w:val="bottom"/>
        <w:rPr>
          <w:rFonts w:ascii="兰米黑体" w:hAnsi="兰米黑体" w:eastAsia="兰米黑体" w:cs="兰米黑体"/>
          <w:bCs/>
          <w:color w:val="auto"/>
          <w:spacing w:val="57"/>
          <w:sz w:val="96"/>
          <w:szCs w:val="96"/>
        </w:rPr>
      </w:pPr>
      <w:r>
        <w:rPr>
          <w:rFonts w:hint="eastAsia" w:ascii="兰米黑体" w:hAnsi="兰米黑体" w:eastAsia="兰米黑体" w:cs="兰米黑体"/>
          <w:bCs/>
          <w:color w:val="auto"/>
          <w:spacing w:val="57"/>
          <w:sz w:val="96"/>
          <w:szCs w:val="96"/>
        </w:rPr>
        <w:t>公开采购文件</w:t>
      </w:r>
    </w:p>
    <w:p w14:paraId="4A705E09">
      <w:pPr>
        <w:rPr>
          <w:color w:val="auto"/>
        </w:rPr>
      </w:pPr>
    </w:p>
    <w:p w14:paraId="53D4616D">
      <w:pPr>
        <w:pStyle w:val="11"/>
        <w:rPr>
          <w:color w:val="auto"/>
        </w:rPr>
      </w:pPr>
    </w:p>
    <w:p w14:paraId="15AA6A7E">
      <w:pPr>
        <w:pStyle w:val="30"/>
        <w:ind w:firstLine="240"/>
        <w:rPr>
          <w:color w:val="auto"/>
        </w:rPr>
      </w:pPr>
    </w:p>
    <w:tbl>
      <w:tblPr>
        <w:tblStyle w:val="33"/>
        <w:tblW w:w="8816" w:type="dxa"/>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13"/>
        <w:gridCol w:w="6203"/>
      </w:tblGrid>
      <w:tr w14:paraId="31C8B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2613" w:type="dxa"/>
            <w:noWrap/>
            <w:vAlign w:val="center"/>
          </w:tcPr>
          <w:p w14:paraId="45C419B9">
            <w:pPr>
              <w:spacing w:before="200"/>
              <w:jc w:val="both"/>
              <w:rPr>
                <w:rFonts w:ascii="宋体" w:hAnsi="宋体" w:cs="宋体"/>
                <w:b/>
                <w:color w:val="auto"/>
                <w:sz w:val="32"/>
                <w:szCs w:val="24"/>
              </w:rPr>
            </w:pPr>
            <w:r>
              <w:rPr>
                <w:rFonts w:hint="eastAsia" w:ascii="宋体" w:hAnsi="宋体" w:cs="宋体"/>
                <w:b/>
                <w:color w:val="auto"/>
                <w:sz w:val="32"/>
                <w:szCs w:val="24"/>
              </w:rPr>
              <w:t>项目名称：</w:t>
            </w:r>
          </w:p>
        </w:tc>
        <w:tc>
          <w:tcPr>
            <w:tcW w:w="6203" w:type="dxa"/>
            <w:noWrap/>
            <w:vAlign w:val="center"/>
          </w:tcPr>
          <w:p w14:paraId="0F1B9FA8">
            <w:pPr>
              <w:spacing w:before="200"/>
              <w:jc w:val="both"/>
              <w:rPr>
                <w:rFonts w:ascii="宋体" w:hAnsi="宋体" w:cs="宋体"/>
                <w:b/>
                <w:color w:val="auto"/>
                <w:sz w:val="32"/>
                <w:szCs w:val="24"/>
              </w:rPr>
            </w:pPr>
            <w:r>
              <w:rPr>
                <w:rFonts w:hint="eastAsia" w:ascii="宋体" w:hAnsi="宋体" w:cs="宋体"/>
                <w:b/>
                <w:color w:val="auto"/>
                <w:sz w:val="32"/>
                <w:szCs w:val="24"/>
              </w:rPr>
              <w:t>2026年东莞市安居建设投资有限公司适老化家具采购</w:t>
            </w:r>
          </w:p>
        </w:tc>
      </w:tr>
      <w:tr w14:paraId="57A71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2613" w:type="dxa"/>
            <w:noWrap/>
            <w:vAlign w:val="center"/>
          </w:tcPr>
          <w:p w14:paraId="7BC2068A">
            <w:pPr>
              <w:spacing w:before="200"/>
              <w:jc w:val="both"/>
              <w:rPr>
                <w:rFonts w:ascii="宋体" w:hAnsi="宋体" w:cs="宋体"/>
                <w:b/>
                <w:color w:val="auto"/>
                <w:sz w:val="32"/>
                <w:szCs w:val="24"/>
              </w:rPr>
            </w:pPr>
            <w:r>
              <w:rPr>
                <w:rFonts w:hint="eastAsia" w:ascii="宋体" w:hAnsi="宋体" w:cs="宋体"/>
                <w:b/>
                <w:color w:val="auto"/>
                <w:sz w:val="32"/>
                <w:szCs w:val="24"/>
              </w:rPr>
              <w:t>项目采购编号：</w:t>
            </w:r>
          </w:p>
        </w:tc>
        <w:tc>
          <w:tcPr>
            <w:tcW w:w="6203" w:type="dxa"/>
            <w:noWrap/>
            <w:vAlign w:val="center"/>
          </w:tcPr>
          <w:p w14:paraId="5D81CD20">
            <w:pPr>
              <w:spacing w:before="200"/>
              <w:jc w:val="both"/>
              <w:rPr>
                <w:rFonts w:ascii="宋体" w:hAnsi="宋体" w:cs="宋体"/>
                <w:b/>
                <w:color w:val="auto"/>
                <w:sz w:val="32"/>
                <w:szCs w:val="24"/>
              </w:rPr>
            </w:pPr>
            <w:r>
              <w:rPr>
                <w:rFonts w:hint="eastAsia" w:ascii="宋体" w:hAnsi="宋体" w:cs="宋体"/>
                <w:b/>
                <w:color w:val="auto"/>
                <w:sz w:val="32"/>
                <w:szCs w:val="24"/>
              </w:rPr>
              <w:t>AJJS-SL-05-01-13(2026)</w:t>
            </w:r>
          </w:p>
        </w:tc>
      </w:tr>
      <w:tr w14:paraId="3B350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40CA1298">
            <w:pPr>
              <w:spacing w:before="200"/>
              <w:jc w:val="both"/>
              <w:rPr>
                <w:rFonts w:ascii="宋体" w:hAnsi="宋体" w:cs="宋体"/>
                <w:b/>
                <w:color w:val="auto"/>
                <w:sz w:val="32"/>
                <w:szCs w:val="24"/>
              </w:rPr>
            </w:pPr>
            <w:r>
              <w:rPr>
                <w:rFonts w:hint="eastAsia" w:ascii="宋体" w:hAnsi="宋体" w:cs="宋体"/>
                <w:b/>
                <w:color w:val="auto"/>
                <w:sz w:val="32"/>
                <w:szCs w:val="24"/>
              </w:rPr>
              <w:t>采购人：</w:t>
            </w:r>
          </w:p>
        </w:tc>
        <w:tc>
          <w:tcPr>
            <w:tcW w:w="6203" w:type="dxa"/>
            <w:noWrap/>
            <w:vAlign w:val="center"/>
          </w:tcPr>
          <w:p w14:paraId="2338201F">
            <w:pPr>
              <w:spacing w:before="200"/>
              <w:jc w:val="both"/>
              <w:rPr>
                <w:rFonts w:ascii="宋体" w:hAnsi="宋体" w:cs="宋体"/>
                <w:b/>
                <w:color w:val="auto"/>
                <w:sz w:val="32"/>
                <w:szCs w:val="24"/>
              </w:rPr>
            </w:pPr>
            <w:r>
              <w:rPr>
                <w:rFonts w:hint="eastAsia" w:ascii="宋体" w:hAnsi="宋体" w:cs="宋体"/>
                <w:b/>
                <w:color w:val="auto"/>
                <w:sz w:val="32"/>
                <w:szCs w:val="24"/>
              </w:rPr>
              <w:t>东莞市安居建设投资有限公司</w:t>
            </w:r>
          </w:p>
        </w:tc>
      </w:tr>
      <w:tr w14:paraId="0427A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7BC10A9C">
            <w:pPr>
              <w:spacing w:before="200"/>
              <w:jc w:val="both"/>
              <w:rPr>
                <w:rFonts w:ascii="宋体" w:hAnsi="宋体" w:cs="宋体"/>
                <w:b/>
                <w:color w:val="auto"/>
                <w:sz w:val="32"/>
                <w:szCs w:val="24"/>
              </w:rPr>
            </w:pPr>
            <w:r>
              <w:rPr>
                <w:rFonts w:hint="eastAsia" w:ascii="宋体" w:hAnsi="宋体" w:cs="宋体"/>
                <w:b/>
                <w:color w:val="auto"/>
                <w:sz w:val="32"/>
                <w:szCs w:val="24"/>
              </w:rPr>
              <w:t>采购代理：</w:t>
            </w:r>
          </w:p>
        </w:tc>
        <w:tc>
          <w:tcPr>
            <w:tcW w:w="6203" w:type="dxa"/>
            <w:noWrap/>
            <w:vAlign w:val="center"/>
          </w:tcPr>
          <w:p w14:paraId="37C10D4A">
            <w:pPr>
              <w:spacing w:before="200"/>
              <w:jc w:val="both"/>
              <w:rPr>
                <w:rFonts w:ascii="宋体" w:hAnsi="宋体" w:cs="宋体"/>
                <w:b/>
                <w:color w:val="auto"/>
                <w:sz w:val="32"/>
                <w:szCs w:val="24"/>
              </w:rPr>
            </w:pPr>
            <w:r>
              <w:rPr>
                <w:rFonts w:hint="eastAsia" w:ascii="宋体" w:hAnsi="宋体" w:cs="宋体"/>
                <w:b/>
                <w:color w:val="auto"/>
                <w:sz w:val="32"/>
                <w:szCs w:val="24"/>
              </w:rPr>
              <w:t>广东志正招标有限公司东莞分公司</w:t>
            </w:r>
          </w:p>
        </w:tc>
      </w:tr>
    </w:tbl>
    <w:p w14:paraId="00E06D4C">
      <w:pPr>
        <w:jc w:val="center"/>
        <w:rPr>
          <w:rFonts w:ascii="兰米黑体" w:eastAsia="兰米黑体"/>
          <w:color w:val="auto"/>
          <w:szCs w:val="21"/>
        </w:rPr>
      </w:pPr>
    </w:p>
    <w:p w14:paraId="3CCDA9F1">
      <w:pPr>
        <w:jc w:val="center"/>
        <w:rPr>
          <w:rFonts w:ascii="兰米黑体" w:eastAsia="兰米黑体"/>
          <w:color w:val="auto"/>
          <w:szCs w:val="21"/>
        </w:rPr>
      </w:pPr>
    </w:p>
    <w:p w14:paraId="38FD5845">
      <w:pPr>
        <w:jc w:val="center"/>
        <w:rPr>
          <w:rFonts w:ascii="兰米黑体" w:eastAsia="兰米黑体"/>
          <w:color w:val="auto"/>
          <w:szCs w:val="21"/>
        </w:rPr>
      </w:pPr>
    </w:p>
    <w:p w14:paraId="6A302C93">
      <w:pPr>
        <w:pStyle w:val="45"/>
        <w:ind w:firstLine="400"/>
        <w:rPr>
          <w:color w:val="auto"/>
        </w:rPr>
      </w:pPr>
    </w:p>
    <w:p w14:paraId="552AF79D">
      <w:pPr>
        <w:jc w:val="center"/>
        <w:rPr>
          <w:rFonts w:ascii="兰米黑体" w:eastAsia="兰米黑体"/>
          <w:color w:val="auto"/>
          <w:szCs w:val="21"/>
        </w:rPr>
      </w:pPr>
    </w:p>
    <w:p w14:paraId="6C6A37AC">
      <w:pPr>
        <w:jc w:val="center"/>
        <w:rPr>
          <w:rFonts w:ascii="兰米黑体" w:eastAsia="兰米黑体"/>
          <w:color w:val="auto"/>
          <w:szCs w:val="21"/>
        </w:rPr>
      </w:pPr>
    </w:p>
    <w:p w14:paraId="41E6A211">
      <w:pPr>
        <w:spacing w:before="200"/>
        <w:jc w:val="center"/>
        <w:rPr>
          <w:rFonts w:ascii="宋体" w:hAnsi="宋体" w:cs="宋体"/>
          <w:b/>
          <w:color w:val="auto"/>
          <w:sz w:val="32"/>
          <w:szCs w:val="24"/>
        </w:rPr>
      </w:pPr>
      <w:r>
        <w:rPr>
          <w:rFonts w:hint="eastAsia" w:ascii="宋体" w:hAnsi="宋体" w:cs="宋体"/>
          <w:b/>
          <w:color w:val="auto"/>
          <w:sz w:val="32"/>
          <w:szCs w:val="24"/>
        </w:rPr>
        <w:t>2026年08月</w:t>
      </w:r>
    </w:p>
    <w:p w14:paraId="2E4EC38B">
      <w:pPr>
        <w:rPr>
          <w:b/>
          <w:color w:val="auto"/>
        </w:rPr>
        <w:sectPr>
          <w:footerReference r:id="rId6" w:type="first"/>
          <w:footerReference r:id="rId5" w:type="default"/>
          <w:pgSz w:w="11906" w:h="16838"/>
          <w:pgMar w:top="1440" w:right="1800" w:bottom="1440" w:left="1800" w:header="708" w:footer="708" w:gutter="0"/>
          <w:pgNumType w:start="1"/>
          <w:cols w:space="708" w:num="1"/>
          <w:titlePg/>
          <w:docGrid w:type="lines" w:linePitch="360" w:charSpace="0"/>
        </w:sectPr>
      </w:pPr>
    </w:p>
    <w:p w14:paraId="1B41E213">
      <w:pPr>
        <w:pStyle w:val="25"/>
        <w:ind w:left="0" w:leftChars="0"/>
        <w:rPr>
          <w:color w:val="auto"/>
          <w:sz w:val="40"/>
          <w:szCs w:val="40"/>
        </w:rPr>
      </w:pPr>
      <w:r>
        <w:rPr>
          <w:rFonts w:hint="eastAsia"/>
          <w:color w:val="auto"/>
          <w:sz w:val="40"/>
          <w:szCs w:val="40"/>
        </w:rPr>
        <w:t>目录</w:t>
      </w:r>
    </w:p>
    <w:p w14:paraId="498AB85C">
      <w:pPr>
        <w:pStyle w:val="25"/>
        <w:tabs>
          <w:tab w:val="right" w:leader="dot" w:pos="8306"/>
          <w:tab w:val="clear" w:pos="8296"/>
        </w:tabs>
        <w:ind w:left="420"/>
        <w:rPr>
          <w:rFonts w:cs="宋体"/>
          <w:color w:val="auto"/>
          <w:sz w:val="21"/>
          <w:szCs w:val="21"/>
        </w:rPr>
      </w:pPr>
      <w:r>
        <w:rPr>
          <w:rFonts w:hint="eastAsia" w:cs="宋体"/>
          <w:color w:val="auto"/>
          <w:sz w:val="21"/>
          <w:szCs w:val="21"/>
        </w:rPr>
        <w:fldChar w:fldCharType="begin"/>
      </w:r>
      <w:r>
        <w:rPr>
          <w:rFonts w:hint="eastAsia" w:cs="宋体"/>
          <w:color w:val="auto"/>
          <w:sz w:val="21"/>
          <w:szCs w:val="21"/>
        </w:rPr>
        <w:instrText xml:space="preserve"> TOC \o "1-4" \h \z \u </w:instrText>
      </w:r>
      <w:r>
        <w:rPr>
          <w:rFonts w:hint="eastAsia" w:cs="宋体"/>
          <w:color w:val="auto"/>
          <w:sz w:val="21"/>
          <w:szCs w:val="21"/>
        </w:rPr>
        <w:fldChar w:fldCharType="separate"/>
      </w:r>
      <w:r>
        <w:rPr>
          <w:color w:val="auto"/>
        </w:rPr>
        <w:fldChar w:fldCharType="begin"/>
      </w:r>
      <w:r>
        <w:rPr>
          <w:color w:val="auto"/>
        </w:rPr>
        <w:instrText xml:space="preserve"> HYPERLINK \l "_Toc32607" </w:instrText>
      </w:r>
      <w:r>
        <w:rPr>
          <w:color w:val="auto"/>
        </w:rPr>
        <w:fldChar w:fldCharType="separate"/>
      </w:r>
      <w:r>
        <w:rPr>
          <w:rFonts w:hint="eastAsia" w:cs="宋体"/>
          <w:color w:val="auto"/>
          <w:sz w:val="21"/>
          <w:szCs w:val="21"/>
        </w:rPr>
        <w:t>第一部分投标邀请</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_Toc32607 \h </w:instrText>
      </w:r>
      <w:r>
        <w:rPr>
          <w:rFonts w:hint="eastAsia" w:cs="宋体"/>
          <w:color w:val="auto"/>
          <w:sz w:val="21"/>
          <w:szCs w:val="21"/>
        </w:rPr>
        <w:fldChar w:fldCharType="separate"/>
      </w:r>
      <w:r>
        <w:rPr>
          <w:rFonts w:hint="eastAsia" w:cs="宋体"/>
          <w:color w:val="auto"/>
          <w:sz w:val="21"/>
          <w:szCs w:val="21"/>
        </w:rPr>
        <w:t>4</w:t>
      </w:r>
      <w:r>
        <w:rPr>
          <w:rFonts w:hint="eastAsia" w:cs="宋体"/>
          <w:color w:val="auto"/>
          <w:sz w:val="21"/>
          <w:szCs w:val="21"/>
        </w:rPr>
        <w:fldChar w:fldCharType="end"/>
      </w:r>
      <w:r>
        <w:rPr>
          <w:rFonts w:hint="eastAsia" w:cs="宋体"/>
          <w:color w:val="auto"/>
          <w:sz w:val="21"/>
          <w:szCs w:val="21"/>
        </w:rPr>
        <w:fldChar w:fldCharType="end"/>
      </w:r>
    </w:p>
    <w:p w14:paraId="69CF89DF">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"_Toc21531" </w:instrText>
      </w:r>
      <w:r>
        <w:rPr>
          <w:color w:val="auto"/>
        </w:rPr>
        <w:fldChar w:fldCharType="separate"/>
      </w:r>
      <w:r>
        <w:rPr>
          <w:rFonts w:hint="eastAsia" w:cs="宋体"/>
          <w:color w:val="auto"/>
          <w:sz w:val="21"/>
          <w:szCs w:val="21"/>
        </w:rPr>
        <w:t>投标邀请书</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_Toc21531 \h </w:instrText>
      </w:r>
      <w:r>
        <w:rPr>
          <w:rFonts w:hint="eastAsia" w:cs="宋体"/>
          <w:color w:val="auto"/>
          <w:sz w:val="21"/>
          <w:szCs w:val="21"/>
        </w:rPr>
        <w:fldChar w:fldCharType="separate"/>
      </w:r>
      <w:r>
        <w:rPr>
          <w:rFonts w:hint="eastAsia" w:cs="宋体"/>
          <w:color w:val="auto"/>
          <w:sz w:val="21"/>
          <w:szCs w:val="21"/>
        </w:rPr>
        <w:t>4</w:t>
      </w:r>
      <w:r>
        <w:rPr>
          <w:rFonts w:hint="eastAsia" w:cs="宋体"/>
          <w:color w:val="auto"/>
          <w:sz w:val="21"/>
          <w:szCs w:val="21"/>
        </w:rPr>
        <w:fldChar w:fldCharType="end"/>
      </w:r>
      <w:r>
        <w:rPr>
          <w:rFonts w:hint="eastAsia" w:cs="宋体"/>
          <w:color w:val="auto"/>
          <w:sz w:val="21"/>
          <w:szCs w:val="21"/>
        </w:rPr>
        <w:fldChar w:fldCharType="end"/>
      </w:r>
    </w:p>
    <w:p w14:paraId="59E911CB">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"_Toc29320" </w:instrText>
      </w:r>
      <w:r>
        <w:rPr>
          <w:color w:val="auto"/>
        </w:rPr>
        <w:fldChar w:fldCharType="separate"/>
      </w:r>
      <w:r>
        <w:rPr>
          <w:rFonts w:hint="eastAsia" w:cs="宋体"/>
          <w:color w:val="auto"/>
          <w:sz w:val="21"/>
          <w:szCs w:val="21"/>
        </w:rPr>
        <w:t>第二部分相关资料表格</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_Toc29320 \h </w:instrText>
      </w:r>
      <w:r>
        <w:rPr>
          <w:rFonts w:hint="eastAsia" w:cs="宋体"/>
          <w:color w:val="auto"/>
          <w:sz w:val="21"/>
          <w:szCs w:val="21"/>
        </w:rPr>
        <w:fldChar w:fldCharType="separate"/>
      </w:r>
      <w:r>
        <w:rPr>
          <w:rFonts w:hint="eastAsia" w:cs="宋体"/>
          <w:color w:val="auto"/>
          <w:sz w:val="21"/>
          <w:szCs w:val="21"/>
        </w:rPr>
        <w:t>7</w:t>
      </w:r>
      <w:r>
        <w:rPr>
          <w:rFonts w:hint="eastAsia" w:cs="宋体"/>
          <w:color w:val="auto"/>
          <w:sz w:val="21"/>
          <w:szCs w:val="21"/>
        </w:rPr>
        <w:fldChar w:fldCharType="end"/>
      </w:r>
      <w:r>
        <w:rPr>
          <w:rFonts w:hint="eastAsia" w:cs="宋体"/>
          <w:color w:val="auto"/>
          <w:sz w:val="21"/>
          <w:szCs w:val="21"/>
        </w:rPr>
        <w:fldChar w:fldCharType="end"/>
      </w:r>
    </w:p>
    <w:p w14:paraId="5D5C7428">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"_Toc19937" </w:instrText>
      </w:r>
      <w:r>
        <w:rPr>
          <w:color w:val="auto"/>
        </w:rPr>
        <w:fldChar w:fldCharType="separate"/>
      </w:r>
      <w:r>
        <w:rPr>
          <w:rFonts w:hint="eastAsia" w:cs="宋体"/>
          <w:color w:val="auto"/>
          <w:sz w:val="21"/>
          <w:szCs w:val="21"/>
        </w:rPr>
        <w:t>第三部分用户需求书</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_Toc19937 \h </w:instrText>
      </w:r>
      <w:r>
        <w:rPr>
          <w:rFonts w:hint="eastAsia" w:cs="宋体"/>
          <w:color w:val="auto"/>
          <w:sz w:val="21"/>
          <w:szCs w:val="21"/>
        </w:rPr>
        <w:fldChar w:fldCharType="separate"/>
      </w:r>
      <w:r>
        <w:rPr>
          <w:rFonts w:hint="eastAsia" w:cs="宋体"/>
          <w:color w:val="auto"/>
          <w:sz w:val="21"/>
          <w:szCs w:val="21"/>
        </w:rPr>
        <w:t>16</w:t>
      </w:r>
      <w:r>
        <w:rPr>
          <w:rFonts w:hint="eastAsia" w:cs="宋体"/>
          <w:color w:val="auto"/>
          <w:sz w:val="21"/>
          <w:szCs w:val="21"/>
        </w:rPr>
        <w:fldChar w:fldCharType="end"/>
      </w:r>
      <w:r>
        <w:rPr>
          <w:rFonts w:hint="eastAsia" w:cs="宋体"/>
          <w:color w:val="auto"/>
          <w:sz w:val="21"/>
          <w:szCs w:val="21"/>
        </w:rPr>
        <w:fldChar w:fldCharType="end"/>
      </w:r>
    </w:p>
    <w:p w14:paraId="3EE11373">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"_Toc30484" </w:instrText>
      </w:r>
      <w:r>
        <w:rPr>
          <w:color w:val="auto"/>
        </w:rPr>
        <w:fldChar w:fldCharType="separate"/>
      </w:r>
      <w:r>
        <w:rPr>
          <w:rFonts w:hint="eastAsia" w:cs="宋体"/>
          <w:color w:val="auto"/>
          <w:sz w:val="21"/>
          <w:szCs w:val="21"/>
        </w:rPr>
        <w:t>第四部分投标人须知</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_Toc30484 \h </w:instrText>
      </w:r>
      <w:r>
        <w:rPr>
          <w:rFonts w:hint="eastAsia" w:cs="宋体"/>
          <w:color w:val="auto"/>
          <w:sz w:val="21"/>
          <w:szCs w:val="21"/>
        </w:rPr>
        <w:fldChar w:fldCharType="separate"/>
      </w:r>
      <w:r>
        <w:rPr>
          <w:rFonts w:hint="eastAsia" w:cs="宋体"/>
          <w:color w:val="auto"/>
          <w:sz w:val="21"/>
          <w:szCs w:val="21"/>
        </w:rPr>
        <w:t>39</w:t>
      </w:r>
      <w:r>
        <w:rPr>
          <w:rFonts w:hint="eastAsia" w:cs="宋体"/>
          <w:color w:val="auto"/>
          <w:sz w:val="21"/>
          <w:szCs w:val="21"/>
        </w:rPr>
        <w:fldChar w:fldCharType="end"/>
      </w:r>
      <w:r>
        <w:rPr>
          <w:rFonts w:hint="eastAsia" w:cs="宋体"/>
          <w:color w:val="auto"/>
          <w:sz w:val="21"/>
          <w:szCs w:val="21"/>
        </w:rPr>
        <w:fldChar w:fldCharType="end"/>
      </w:r>
    </w:p>
    <w:p w14:paraId="5BB3F25A">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"_Toc869" </w:instrText>
      </w:r>
      <w:r>
        <w:rPr>
          <w:color w:val="auto"/>
        </w:rPr>
        <w:fldChar w:fldCharType="separate"/>
      </w:r>
      <w:r>
        <w:rPr>
          <w:rFonts w:hint="eastAsia" w:cs="宋体"/>
          <w:color w:val="auto"/>
          <w:sz w:val="21"/>
          <w:szCs w:val="21"/>
        </w:rPr>
        <w:t>一、 说明</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_Toc869 \h </w:instrText>
      </w:r>
      <w:r>
        <w:rPr>
          <w:rFonts w:hint="eastAsia" w:cs="宋体"/>
          <w:color w:val="auto"/>
          <w:sz w:val="21"/>
          <w:szCs w:val="21"/>
        </w:rPr>
        <w:fldChar w:fldCharType="separate"/>
      </w:r>
      <w:r>
        <w:rPr>
          <w:rFonts w:hint="eastAsia" w:cs="宋体"/>
          <w:color w:val="auto"/>
          <w:sz w:val="21"/>
          <w:szCs w:val="21"/>
        </w:rPr>
        <w:t>39</w:t>
      </w:r>
      <w:r>
        <w:rPr>
          <w:rFonts w:hint="eastAsia" w:cs="宋体"/>
          <w:color w:val="auto"/>
          <w:sz w:val="21"/>
          <w:szCs w:val="21"/>
        </w:rPr>
        <w:fldChar w:fldCharType="end"/>
      </w:r>
      <w:r>
        <w:rPr>
          <w:rFonts w:hint="eastAsia" w:cs="宋体"/>
          <w:color w:val="auto"/>
          <w:sz w:val="21"/>
          <w:szCs w:val="21"/>
        </w:rPr>
        <w:fldChar w:fldCharType="end"/>
      </w:r>
    </w:p>
    <w:p w14:paraId="21653CCA">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"_Toc8421" </w:instrText>
      </w:r>
      <w:r>
        <w:rPr>
          <w:color w:val="auto"/>
        </w:rPr>
        <w:fldChar w:fldCharType="separate"/>
      </w:r>
      <w:r>
        <w:rPr>
          <w:rFonts w:hint="eastAsia" w:cs="宋体"/>
          <w:color w:val="auto"/>
          <w:sz w:val="21"/>
          <w:szCs w:val="21"/>
        </w:rPr>
        <w:t>二、 采购文件</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_Toc8421 \h </w:instrText>
      </w:r>
      <w:r>
        <w:rPr>
          <w:rFonts w:hint="eastAsia" w:cs="宋体"/>
          <w:color w:val="auto"/>
          <w:sz w:val="21"/>
          <w:szCs w:val="21"/>
        </w:rPr>
        <w:fldChar w:fldCharType="separate"/>
      </w:r>
      <w:r>
        <w:rPr>
          <w:rFonts w:hint="eastAsia" w:cs="宋体"/>
          <w:color w:val="auto"/>
          <w:sz w:val="21"/>
          <w:szCs w:val="21"/>
        </w:rPr>
        <w:t>41</w:t>
      </w:r>
      <w:r>
        <w:rPr>
          <w:rFonts w:hint="eastAsia" w:cs="宋体"/>
          <w:color w:val="auto"/>
          <w:sz w:val="21"/>
          <w:szCs w:val="21"/>
        </w:rPr>
        <w:fldChar w:fldCharType="end"/>
      </w:r>
      <w:r>
        <w:rPr>
          <w:rFonts w:hint="eastAsia" w:cs="宋体"/>
          <w:color w:val="auto"/>
          <w:sz w:val="21"/>
          <w:szCs w:val="21"/>
        </w:rPr>
        <w:fldChar w:fldCharType="end"/>
      </w:r>
    </w:p>
    <w:p w14:paraId="43D9DFE8">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"_Toc31398" </w:instrText>
      </w:r>
      <w:r>
        <w:rPr>
          <w:color w:val="auto"/>
        </w:rPr>
        <w:fldChar w:fldCharType="separate"/>
      </w:r>
      <w:r>
        <w:rPr>
          <w:rFonts w:hint="eastAsia" w:cs="宋体"/>
          <w:color w:val="auto"/>
          <w:sz w:val="21"/>
          <w:szCs w:val="21"/>
        </w:rPr>
        <w:t>三、 投标文件的编制</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_Toc31398 \h </w:instrText>
      </w:r>
      <w:r>
        <w:rPr>
          <w:rFonts w:hint="eastAsia" w:cs="宋体"/>
          <w:color w:val="auto"/>
          <w:sz w:val="21"/>
          <w:szCs w:val="21"/>
        </w:rPr>
        <w:fldChar w:fldCharType="separate"/>
      </w:r>
      <w:r>
        <w:rPr>
          <w:rFonts w:hint="eastAsia" w:cs="宋体"/>
          <w:color w:val="auto"/>
          <w:sz w:val="21"/>
          <w:szCs w:val="21"/>
        </w:rPr>
        <w:t>42</w:t>
      </w:r>
      <w:r>
        <w:rPr>
          <w:rFonts w:hint="eastAsia" w:cs="宋体"/>
          <w:color w:val="auto"/>
          <w:sz w:val="21"/>
          <w:szCs w:val="21"/>
        </w:rPr>
        <w:fldChar w:fldCharType="end"/>
      </w:r>
      <w:r>
        <w:rPr>
          <w:rFonts w:hint="eastAsia" w:cs="宋体"/>
          <w:color w:val="auto"/>
          <w:sz w:val="21"/>
          <w:szCs w:val="21"/>
        </w:rPr>
        <w:fldChar w:fldCharType="end"/>
      </w:r>
    </w:p>
    <w:p w14:paraId="186FAEE9">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"_Toc30534" </w:instrText>
      </w:r>
      <w:r>
        <w:rPr>
          <w:color w:val="auto"/>
        </w:rPr>
        <w:fldChar w:fldCharType="separate"/>
      </w:r>
      <w:r>
        <w:rPr>
          <w:rFonts w:hint="eastAsia" w:cs="宋体"/>
          <w:color w:val="auto"/>
          <w:sz w:val="21"/>
          <w:szCs w:val="21"/>
        </w:rPr>
        <w:t>四、 投标文件的递交</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_Toc30534 \h </w:instrText>
      </w:r>
      <w:r>
        <w:rPr>
          <w:rFonts w:hint="eastAsia" w:cs="宋体"/>
          <w:color w:val="auto"/>
          <w:sz w:val="21"/>
          <w:szCs w:val="21"/>
        </w:rPr>
        <w:fldChar w:fldCharType="separate"/>
      </w:r>
      <w:r>
        <w:rPr>
          <w:rFonts w:hint="eastAsia" w:cs="宋体"/>
          <w:color w:val="auto"/>
          <w:sz w:val="21"/>
          <w:szCs w:val="21"/>
        </w:rPr>
        <w:t>44</w:t>
      </w:r>
      <w:r>
        <w:rPr>
          <w:rFonts w:hint="eastAsia" w:cs="宋体"/>
          <w:color w:val="auto"/>
          <w:sz w:val="21"/>
          <w:szCs w:val="21"/>
        </w:rPr>
        <w:fldChar w:fldCharType="end"/>
      </w:r>
      <w:r>
        <w:rPr>
          <w:rFonts w:hint="eastAsia" w:cs="宋体"/>
          <w:color w:val="auto"/>
          <w:sz w:val="21"/>
          <w:szCs w:val="21"/>
        </w:rPr>
        <w:fldChar w:fldCharType="end"/>
      </w:r>
    </w:p>
    <w:p w14:paraId="0F95DC24">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"_Toc15373" </w:instrText>
      </w:r>
      <w:r>
        <w:rPr>
          <w:color w:val="auto"/>
        </w:rPr>
        <w:fldChar w:fldCharType="separate"/>
      </w:r>
      <w:r>
        <w:rPr>
          <w:rFonts w:hint="eastAsia" w:cs="宋体"/>
          <w:color w:val="auto"/>
          <w:sz w:val="21"/>
          <w:szCs w:val="21"/>
        </w:rPr>
        <w:t>五、 开标与评标</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_Toc15373 \h </w:instrText>
      </w:r>
      <w:r>
        <w:rPr>
          <w:rFonts w:hint="eastAsia" w:cs="宋体"/>
          <w:color w:val="auto"/>
          <w:sz w:val="21"/>
          <w:szCs w:val="21"/>
        </w:rPr>
        <w:fldChar w:fldCharType="separate"/>
      </w:r>
      <w:r>
        <w:rPr>
          <w:rFonts w:hint="eastAsia" w:cs="宋体"/>
          <w:color w:val="auto"/>
          <w:sz w:val="21"/>
          <w:szCs w:val="21"/>
        </w:rPr>
        <w:t>47</w:t>
      </w:r>
      <w:r>
        <w:rPr>
          <w:rFonts w:hint="eastAsia" w:cs="宋体"/>
          <w:color w:val="auto"/>
          <w:sz w:val="21"/>
          <w:szCs w:val="21"/>
        </w:rPr>
        <w:fldChar w:fldCharType="end"/>
      </w:r>
      <w:r>
        <w:rPr>
          <w:rFonts w:hint="eastAsia" w:cs="宋体"/>
          <w:color w:val="auto"/>
          <w:sz w:val="21"/>
          <w:szCs w:val="21"/>
        </w:rPr>
        <w:fldChar w:fldCharType="end"/>
      </w:r>
    </w:p>
    <w:p w14:paraId="032B0D1A">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"_Toc28314" </w:instrText>
      </w:r>
      <w:r>
        <w:rPr>
          <w:color w:val="auto"/>
        </w:rPr>
        <w:fldChar w:fldCharType="separate"/>
      </w:r>
      <w:r>
        <w:rPr>
          <w:rFonts w:hint="eastAsia" w:cs="宋体"/>
          <w:color w:val="auto"/>
          <w:sz w:val="21"/>
          <w:szCs w:val="21"/>
        </w:rPr>
        <w:t>六、 授予合同</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_Toc28314 \h </w:instrText>
      </w:r>
      <w:r>
        <w:rPr>
          <w:rFonts w:hint="eastAsia" w:cs="宋体"/>
          <w:color w:val="auto"/>
          <w:sz w:val="21"/>
          <w:szCs w:val="21"/>
        </w:rPr>
        <w:fldChar w:fldCharType="separate"/>
      </w:r>
      <w:r>
        <w:rPr>
          <w:rFonts w:hint="eastAsia" w:cs="宋体"/>
          <w:color w:val="auto"/>
          <w:sz w:val="21"/>
          <w:szCs w:val="21"/>
        </w:rPr>
        <w:t>50</w:t>
      </w:r>
      <w:r>
        <w:rPr>
          <w:rFonts w:hint="eastAsia" w:cs="宋体"/>
          <w:color w:val="auto"/>
          <w:sz w:val="21"/>
          <w:szCs w:val="21"/>
        </w:rPr>
        <w:fldChar w:fldCharType="end"/>
      </w:r>
      <w:r>
        <w:rPr>
          <w:rFonts w:hint="eastAsia" w:cs="宋体"/>
          <w:color w:val="auto"/>
          <w:sz w:val="21"/>
          <w:szCs w:val="21"/>
        </w:rPr>
        <w:fldChar w:fldCharType="end"/>
      </w:r>
    </w:p>
    <w:p w14:paraId="25A23E84">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"_Toc2530" </w:instrText>
      </w:r>
      <w:r>
        <w:rPr>
          <w:color w:val="auto"/>
        </w:rPr>
        <w:fldChar w:fldCharType="separate"/>
      </w:r>
      <w:r>
        <w:rPr>
          <w:rFonts w:hint="eastAsia" w:cs="宋体"/>
          <w:color w:val="auto"/>
          <w:sz w:val="21"/>
          <w:szCs w:val="21"/>
        </w:rPr>
        <w:t>七、 异议</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_Toc2530 \h </w:instrText>
      </w:r>
      <w:r>
        <w:rPr>
          <w:rFonts w:hint="eastAsia" w:cs="宋体"/>
          <w:color w:val="auto"/>
          <w:sz w:val="21"/>
          <w:szCs w:val="21"/>
        </w:rPr>
        <w:fldChar w:fldCharType="separate"/>
      </w:r>
      <w:r>
        <w:rPr>
          <w:rFonts w:hint="eastAsia" w:cs="宋体"/>
          <w:color w:val="auto"/>
          <w:sz w:val="21"/>
          <w:szCs w:val="21"/>
        </w:rPr>
        <w:t>53</w:t>
      </w:r>
      <w:r>
        <w:rPr>
          <w:rFonts w:hint="eastAsia" w:cs="宋体"/>
          <w:color w:val="auto"/>
          <w:sz w:val="21"/>
          <w:szCs w:val="21"/>
        </w:rPr>
        <w:fldChar w:fldCharType="end"/>
      </w:r>
      <w:r>
        <w:rPr>
          <w:rFonts w:hint="eastAsia" w:cs="宋体"/>
          <w:color w:val="auto"/>
          <w:sz w:val="21"/>
          <w:szCs w:val="21"/>
        </w:rPr>
        <w:fldChar w:fldCharType="end"/>
      </w:r>
    </w:p>
    <w:p w14:paraId="5C451DE7">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"_Toc29372" </w:instrText>
      </w:r>
      <w:r>
        <w:rPr>
          <w:color w:val="auto"/>
        </w:rPr>
        <w:fldChar w:fldCharType="separate"/>
      </w:r>
      <w:r>
        <w:rPr>
          <w:rFonts w:hint="eastAsia" w:cs="宋体"/>
          <w:color w:val="auto"/>
          <w:sz w:val="21"/>
          <w:szCs w:val="21"/>
        </w:rPr>
        <w:t>八、 其他</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_Toc29372 \h </w:instrText>
      </w:r>
      <w:r>
        <w:rPr>
          <w:rFonts w:hint="eastAsia" w:cs="宋体"/>
          <w:color w:val="auto"/>
          <w:sz w:val="21"/>
          <w:szCs w:val="21"/>
        </w:rPr>
        <w:fldChar w:fldCharType="separate"/>
      </w:r>
      <w:r>
        <w:rPr>
          <w:rFonts w:hint="eastAsia" w:cs="宋体"/>
          <w:color w:val="auto"/>
          <w:sz w:val="21"/>
          <w:szCs w:val="21"/>
        </w:rPr>
        <w:t>53</w:t>
      </w:r>
      <w:r>
        <w:rPr>
          <w:rFonts w:hint="eastAsia" w:cs="宋体"/>
          <w:color w:val="auto"/>
          <w:sz w:val="21"/>
          <w:szCs w:val="21"/>
        </w:rPr>
        <w:fldChar w:fldCharType="end"/>
      </w:r>
      <w:r>
        <w:rPr>
          <w:rFonts w:hint="eastAsia" w:cs="宋体"/>
          <w:color w:val="auto"/>
          <w:sz w:val="21"/>
          <w:szCs w:val="21"/>
        </w:rPr>
        <w:fldChar w:fldCharType="end"/>
      </w:r>
    </w:p>
    <w:p w14:paraId="6299107D">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"_Toc18733" </w:instrText>
      </w:r>
      <w:r>
        <w:rPr>
          <w:color w:val="auto"/>
        </w:rPr>
        <w:fldChar w:fldCharType="separate"/>
      </w:r>
      <w:r>
        <w:rPr>
          <w:rFonts w:hint="eastAsia" w:cs="宋体"/>
          <w:color w:val="auto"/>
          <w:sz w:val="21"/>
          <w:szCs w:val="21"/>
        </w:rPr>
        <w:t>第五部分  合同条款格式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_Toc18733 \h </w:instrText>
      </w:r>
      <w:r>
        <w:rPr>
          <w:rFonts w:hint="eastAsia" w:cs="宋体"/>
          <w:color w:val="auto"/>
          <w:sz w:val="21"/>
          <w:szCs w:val="21"/>
        </w:rPr>
        <w:fldChar w:fldCharType="separate"/>
      </w:r>
      <w:r>
        <w:rPr>
          <w:rFonts w:hint="eastAsia" w:cs="宋体"/>
          <w:color w:val="auto"/>
          <w:sz w:val="21"/>
          <w:szCs w:val="21"/>
        </w:rPr>
        <w:t>54</w:t>
      </w:r>
      <w:r>
        <w:rPr>
          <w:rFonts w:hint="eastAsia" w:cs="宋体"/>
          <w:color w:val="auto"/>
          <w:sz w:val="21"/>
          <w:szCs w:val="21"/>
        </w:rPr>
        <w:fldChar w:fldCharType="end"/>
      </w:r>
      <w:r>
        <w:rPr>
          <w:rFonts w:hint="eastAsia" w:cs="宋体"/>
          <w:color w:val="auto"/>
          <w:sz w:val="21"/>
          <w:szCs w:val="21"/>
        </w:rPr>
        <w:fldChar w:fldCharType="end"/>
      </w:r>
    </w:p>
    <w:p w14:paraId="251A88FE">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"_Toc2637" </w:instrText>
      </w:r>
      <w:r>
        <w:rPr>
          <w:color w:val="auto"/>
        </w:rPr>
        <w:fldChar w:fldCharType="separate"/>
      </w:r>
      <w:r>
        <w:rPr>
          <w:rFonts w:hint="eastAsia" w:cs="宋体"/>
          <w:color w:val="auto"/>
          <w:sz w:val="21"/>
          <w:szCs w:val="21"/>
        </w:rPr>
        <w:t>第六部分附件－投标文件格式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_Toc2637 \h </w:instrText>
      </w:r>
      <w:r>
        <w:rPr>
          <w:rFonts w:hint="eastAsia" w:cs="宋体"/>
          <w:color w:val="auto"/>
          <w:sz w:val="21"/>
          <w:szCs w:val="21"/>
        </w:rPr>
        <w:fldChar w:fldCharType="separate"/>
      </w:r>
      <w:r>
        <w:rPr>
          <w:rFonts w:hint="eastAsia" w:cs="宋体"/>
          <w:color w:val="auto"/>
          <w:sz w:val="21"/>
          <w:szCs w:val="21"/>
        </w:rPr>
        <w:t>66</w:t>
      </w:r>
      <w:r>
        <w:rPr>
          <w:rFonts w:hint="eastAsia" w:cs="宋体"/>
          <w:color w:val="auto"/>
          <w:sz w:val="21"/>
          <w:szCs w:val="21"/>
        </w:rPr>
        <w:fldChar w:fldCharType="end"/>
      </w:r>
      <w:r>
        <w:rPr>
          <w:rFonts w:hint="eastAsia" w:cs="宋体"/>
          <w:color w:val="auto"/>
          <w:sz w:val="21"/>
          <w:szCs w:val="21"/>
        </w:rPr>
        <w:fldChar w:fldCharType="end"/>
      </w:r>
    </w:p>
    <w:p w14:paraId="06063C3D">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"_Toc25141" </w:instrText>
      </w:r>
      <w:r>
        <w:rPr>
          <w:color w:val="auto"/>
        </w:rPr>
        <w:fldChar w:fldCharType="separate"/>
      </w:r>
      <w:r>
        <w:rPr>
          <w:rFonts w:hint="eastAsia" w:cs="宋体"/>
          <w:color w:val="auto"/>
          <w:sz w:val="21"/>
          <w:szCs w:val="21"/>
        </w:rPr>
        <w:t>投标文件目录</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_Toc25141 \h </w:instrText>
      </w:r>
      <w:r>
        <w:rPr>
          <w:rFonts w:hint="eastAsia" w:cs="宋体"/>
          <w:color w:val="auto"/>
          <w:sz w:val="21"/>
          <w:szCs w:val="21"/>
        </w:rPr>
        <w:fldChar w:fldCharType="separate"/>
      </w:r>
      <w:r>
        <w:rPr>
          <w:rFonts w:hint="eastAsia" w:cs="宋体"/>
          <w:color w:val="auto"/>
          <w:sz w:val="21"/>
          <w:szCs w:val="21"/>
        </w:rPr>
        <w:t>66</w:t>
      </w:r>
      <w:r>
        <w:rPr>
          <w:rFonts w:hint="eastAsia" w:cs="宋体"/>
          <w:color w:val="auto"/>
          <w:sz w:val="21"/>
          <w:szCs w:val="21"/>
        </w:rPr>
        <w:fldChar w:fldCharType="end"/>
      </w:r>
      <w:r>
        <w:rPr>
          <w:rFonts w:hint="eastAsia" w:cs="宋体"/>
          <w:color w:val="auto"/>
          <w:sz w:val="21"/>
          <w:szCs w:val="21"/>
        </w:rPr>
        <w:fldChar w:fldCharType="end"/>
      </w:r>
    </w:p>
    <w:p w14:paraId="384199F9">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"_Toc25753" </w:instrText>
      </w:r>
      <w:r>
        <w:rPr>
          <w:color w:val="auto"/>
        </w:rPr>
        <w:fldChar w:fldCharType="separate"/>
      </w:r>
      <w:r>
        <w:rPr>
          <w:rFonts w:hint="eastAsia" w:cs="宋体"/>
          <w:color w:val="auto"/>
          <w:sz w:val="21"/>
          <w:szCs w:val="21"/>
        </w:rPr>
        <w:t>附件1.评分标准索引表</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_Toc25753 \h </w:instrText>
      </w:r>
      <w:r>
        <w:rPr>
          <w:rFonts w:hint="eastAsia" w:cs="宋体"/>
          <w:color w:val="auto"/>
          <w:sz w:val="21"/>
          <w:szCs w:val="21"/>
        </w:rPr>
        <w:fldChar w:fldCharType="separate"/>
      </w:r>
      <w:r>
        <w:rPr>
          <w:rFonts w:hint="eastAsia" w:cs="宋体"/>
          <w:color w:val="auto"/>
          <w:sz w:val="21"/>
          <w:szCs w:val="21"/>
        </w:rPr>
        <w:t>68</w:t>
      </w:r>
      <w:r>
        <w:rPr>
          <w:rFonts w:hint="eastAsia" w:cs="宋体"/>
          <w:color w:val="auto"/>
          <w:sz w:val="21"/>
          <w:szCs w:val="21"/>
        </w:rPr>
        <w:fldChar w:fldCharType="end"/>
      </w:r>
      <w:r>
        <w:rPr>
          <w:rFonts w:hint="eastAsia" w:cs="宋体"/>
          <w:color w:val="auto"/>
          <w:sz w:val="21"/>
          <w:szCs w:val="21"/>
        </w:rPr>
        <w:fldChar w:fldCharType="end"/>
      </w:r>
    </w:p>
    <w:p w14:paraId="47BCA692">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"_Toc27461" </w:instrText>
      </w:r>
      <w:r>
        <w:rPr>
          <w:color w:val="auto"/>
        </w:rPr>
        <w:fldChar w:fldCharType="separate"/>
      </w:r>
      <w:r>
        <w:rPr>
          <w:rFonts w:hint="eastAsia" w:cs="宋体"/>
          <w:color w:val="auto"/>
          <w:sz w:val="21"/>
          <w:szCs w:val="21"/>
        </w:rPr>
        <w:t>价格文件</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_Toc27461 \h </w:instrText>
      </w:r>
      <w:r>
        <w:rPr>
          <w:rFonts w:hint="eastAsia" w:cs="宋体"/>
          <w:color w:val="auto"/>
          <w:sz w:val="21"/>
          <w:szCs w:val="21"/>
        </w:rPr>
        <w:fldChar w:fldCharType="separate"/>
      </w:r>
      <w:r>
        <w:rPr>
          <w:rFonts w:hint="eastAsia" w:cs="宋体"/>
          <w:color w:val="auto"/>
          <w:sz w:val="21"/>
          <w:szCs w:val="21"/>
        </w:rPr>
        <w:t>69</w:t>
      </w:r>
      <w:r>
        <w:rPr>
          <w:rFonts w:hint="eastAsia" w:cs="宋体"/>
          <w:color w:val="auto"/>
          <w:sz w:val="21"/>
          <w:szCs w:val="21"/>
        </w:rPr>
        <w:fldChar w:fldCharType="end"/>
      </w:r>
      <w:r>
        <w:rPr>
          <w:rFonts w:hint="eastAsia" w:cs="宋体"/>
          <w:color w:val="auto"/>
          <w:sz w:val="21"/>
          <w:szCs w:val="21"/>
        </w:rPr>
        <w:fldChar w:fldCharType="end"/>
      </w:r>
    </w:p>
    <w:p w14:paraId="2B4F02F6">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"_Toc26920" </w:instrText>
      </w:r>
      <w:r>
        <w:rPr>
          <w:color w:val="auto"/>
        </w:rPr>
        <w:fldChar w:fldCharType="separate"/>
      </w:r>
      <w:r>
        <w:rPr>
          <w:rFonts w:hint="eastAsia" w:cs="宋体"/>
          <w:color w:val="auto"/>
          <w:sz w:val="21"/>
          <w:szCs w:val="21"/>
        </w:rPr>
        <w:t>附件2.开标一览表格式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_Toc26920 \h </w:instrText>
      </w:r>
      <w:r>
        <w:rPr>
          <w:rFonts w:hint="eastAsia" w:cs="宋体"/>
          <w:color w:val="auto"/>
          <w:sz w:val="21"/>
          <w:szCs w:val="21"/>
        </w:rPr>
        <w:fldChar w:fldCharType="separate"/>
      </w:r>
      <w:r>
        <w:rPr>
          <w:rFonts w:hint="eastAsia" w:cs="宋体"/>
          <w:color w:val="auto"/>
          <w:sz w:val="21"/>
          <w:szCs w:val="21"/>
        </w:rPr>
        <w:t>70</w:t>
      </w:r>
      <w:r>
        <w:rPr>
          <w:rFonts w:hint="eastAsia" w:cs="宋体"/>
          <w:color w:val="auto"/>
          <w:sz w:val="21"/>
          <w:szCs w:val="21"/>
        </w:rPr>
        <w:fldChar w:fldCharType="end"/>
      </w:r>
      <w:r>
        <w:rPr>
          <w:rFonts w:hint="eastAsia" w:cs="宋体"/>
          <w:color w:val="auto"/>
          <w:sz w:val="21"/>
          <w:szCs w:val="21"/>
        </w:rPr>
        <w:fldChar w:fldCharType="end"/>
      </w:r>
    </w:p>
    <w:p w14:paraId="11315BA1">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"_Toc18295" </w:instrText>
      </w:r>
      <w:r>
        <w:rPr>
          <w:color w:val="auto"/>
        </w:rPr>
        <w:fldChar w:fldCharType="separate"/>
      </w:r>
      <w:r>
        <w:rPr>
          <w:rFonts w:hint="eastAsia" w:cs="宋体"/>
          <w:color w:val="auto"/>
          <w:sz w:val="21"/>
          <w:szCs w:val="21"/>
        </w:rPr>
        <w:t>附件3.报价明细表格式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_Toc18295 \h </w:instrText>
      </w:r>
      <w:r>
        <w:rPr>
          <w:rFonts w:hint="eastAsia" w:cs="宋体"/>
          <w:color w:val="auto"/>
          <w:sz w:val="21"/>
          <w:szCs w:val="21"/>
        </w:rPr>
        <w:fldChar w:fldCharType="separate"/>
      </w:r>
      <w:r>
        <w:rPr>
          <w:rFonts w:hint="eastAsia" w:cs="宋体"/>
          <w:color w:val="auto"/>
          <w:sz w:val="21"/>
          <w:szCs w:val="21"/>
        </w:rPr>
        <w:t>71</w:t>
      </w:r>
      <w:r>
        <w:rPr>
          <w:rFonts w:hint="eastAsia" w:cs="宋体"/>
          <w:color w:val="auto"/>
          <w:sz w:val="21"/>
          <w:szCs w:val="21"/>
        </w:rPr>
        <w:fldChar w:fldCharType="end"/>
      </w:r>
      <w:r>
        <w:rPr>
          <w:rFonts w:hint="eastAsia" w:cs="宋体"/>
          <w:color w:val="auto"/>
          <w:sz w:val="21"/>
          <w:szCs w:val="21"/>
        </w:rPr>
        <w:fldChar w:fldCharType="end"/>
      </w:r>
    </w:p>
    <w:p w14:paraId="2D94F52C">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"_Toc15247" </w:instrText>
      </w:r>
      <w:r>
        <w:rPr>
          <w:color w:val="auto"/>
        </w:rPr>
        <w:fldChar w:fldCharType="separate"/>
      </w:r>
      <w:r>
        <w:rPr>
          <w:rFonts w:hint="eastAsia" w:cs="宋体"/>
          <w:color w:val="auto"/>
          <w:sz w:val="21"/>
          <w:szCs w:val="21"/>
        </w:rPr>
        <w:t>商务文件</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_Toc15247 \h </w:instrText>
      </w:r>
      <w:r>
        <w:rPr>
          <w:rFonts w:hint="eastAsia" w:cs="宋体"/>
          <w:color w:val="auto"/>
          <w:sz w:val="21"/>
          <w:szCs w:val="21"/>
        </w:rPr>
        <w:fldChar w:fldCharType="separate"/>
      </w:r>
      <w:r>
        <w:rPr>
          <w:rFonts w:hint="eastAsia" w:cs="宋体"/>
          <w:color w:val="auto"/>
          <w:sz w:val="21"/>
          <w:szCs w:val="21"/>
        </w:rPr>
        <w:t>72</w:t>
      </w:r>
      <w:r>
        <w:rPr>
          <w:rFonts w:hint="eastAsia" w:cs="宋体"/>
          <w:color w:val="auto"/>
          <w:sz w:val="21"/>
          <w:szCs w:val="21"/>
        </w:rPr>
        <w:fldChar w:fldCharType="end"/>
      </w:r>
      <w:r>
        <w:rPr>
          <w:rFonts w:hint="eastAsia" w:cs="宋体"/>
          <w:color w:val="auto"/>
          <w:sz w:val="21"/>
          <w:szCs w:val="21"/>
        </w:rPr>
        <w:fldChar w:fldCharType="end"/>
      </w:r>
    </w:p>
    <w:p w14:paraId="468E6FFA">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"_Toc11624" </w:instrText>
      </w:r>
      <w:r>
        <w:rPr>
          <w:color w:val="auto"/>
        </w:rPr>
        <w:fldChar w:fldCharType="separate"/>
      </w:r>
      <w:r>
        <w:rPr>
          <w:rFonts w:hint="eastAsia" w:cs="宋体"/>
          <w:color w:val="auto"/>
          <w:sz w:val="21"/>
          <w:szCs w:val="21"/>
        </w:rPr>
        <w:t>附件4.投标书格式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_Toc11624 \h </w:instrText>
      </w:r>
      <w:r>
        <w:rPr>
          <w:rFonts w:hint="eastAsia" w:cs="宋体"/>
          <w:color w:val="auto"/>
          <w:sz w:val="21"/>
          <w:szCs w:val="21"/>
        </w:rPr>
        <w:fldChar w:fldCharType="separate"/>
      </w:r>
      <w:r>
        <w:rPr>
          <w:rFonts w:hint="eastAsia" w:cs="宋体"/>
          <w:color w:val="auto"/>
          <w:sz w:val="21"/>
          <w:szCs w:val="21"/>
        </w:rPr>
        <w:t>73</w:t>
      </w:r>
      <w:r>
        <w:rPr>
          <w:rFonts w:hint="eastAsia" w:cs="宋体"/>
          <w:color w:val="auto"/>
          <w:sz w:val="21"/>
          <w:szCs w:val="21"/>
        </w:rPr>
        <w:fldChar w:fldCharType="end"/>
      </w:r>
      <w:r>
        <w:rPr>
          <w:rFonts w:hint="eastAsia" w:cs="宋体"/>
          <w:color w:val="auto"/>
          <w:sz w:val="21"/>
          <w:szCs w:val="21"/>
        </w:rPr>
        <w:fldChar w:fldCharType="end"/>
      </w:r>
    </w:p>
    <w:p w14:paraId="616A9F3D">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"_Toc2628" </w:instrText>
      </w:r>
      <w:r>
        <w:rPr>
          <w:color w:val="auto"/>
        </w:rPr>
        <w:fldChar w:fldCharType="separate"/>
      </w:r>
      <w:r>
        <w:rPr>
          <w:rFonts w:hint="eastAsia" w:cs="宋体"/>
          <w:color w:val="auto"/>
          <w:sz w:val="21"/>
          <w:szCs w:val="21"/>
        </w:rPr>
        <w:t>附件5. 法定代表人证明书格式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_Toc2628 \h </w:instrText>
      </w:r>
      <w:r>
        <w:rPr>
          <w:rFonts w:hint="eastAsia" w:cs="宋体"/>
          <w:color w:val="auto"/>
          <w:sz w:val="21"/>
          <w:szCs w:val="21"/>
        </w:rPr>
        <w:fldChar w:fldCharType="separate"/>
      </w:r>
      <w:r>
        <w:rPr>
          <w:rFonts w:hint="eastAsia" w:cs="宋体"/>
          <w:color w:val="auto"/>
          <w:sz w:val="21"/>
          <w:szCs w:val="21"/>
        </w:rPr>
        <w:t>74</w:t>
      </w:r>
      <w:r>
        <w:rPr>
          <w:rFonts w:hint="eastAsia" w:cs="宋体"/>
          <w:color w:val="auto"/>
          <w:sz w:val="21"/>
          <w:szCs w:val="21"/>
        </w:rPr>
        <w:fldChar w:fldCharType="end"/>
      </w:r>
      <w:r>
        <w:rPr>
          <w:rFonts w:hint="eastAsia" w:cs="宋体"/>
          <w:color w:val="auto"/>
          <w:sz w:val="21"/>
          <w:szCs w:val="21"/>
        </w:rPr>
        <w:fldChar w:fldCharType="end"/>
      </w:r>
    </w:p>
    <w:p w14:paraId="526BC3B2">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"_Toc14173" </w:instrText>
      </w:r>
      <w:r>
        <w:rPr>
          <w:color w:val="auto"/>
        </w:rPr>
        <w:fldChar w:fldCharType="separate"/>
      </w:r>
      <w:r>
        <w:rPr>
          <w:rFonts w:hint="eastAsia" w:cs="宋体"/>
          <w:color w:val="auto"/>
          <w:sz w:val="21"/>
          <w:szCs w:val="21"/>
        </w:rPr>
        <w:t>附件6.法定代表人授权书格式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_Toc14173 \h </w:instrText>
      </w:r>
      <w:r>
        <w:rPr>
          <w:rFonts w:hint="eastAsia" w:cs="宋体"/>
          <w:color w:val="auto"/>
          <w:sz w:val="21"/>
          <w:szCs w:val="21"/>
        </w:rPr>
        <w:fldChar w:fldCharType="separate"/>
      </w:r>
      <w:r>
        <w:rPr>
          <w:rFonts w:hint="eastAsia" w:cs="宋体"/>
          <w:color w:val="auto"/>
          <w:sz w:val="21"/>
          <w:szCs w:val="21"/>
        </w:rPr>
        <w:t>75</w:t>
      </w:r>
      <w:r>
        <w:rPr>
          <w:rFonts w:hint="eastAsia" w:cs="宋体"/>
          <w:color w:val="auto"/>
          <w:sz w:val="21"/>
          <w:szCs w:val="21"/>
        </w:rPr>
        <w:fldChar w:fldCharType="end"/>
      </w:r>
      <w:r>
        <w:rPr>
          <w:rFonts w:hint="eastAsia" w:cs="宋体"/>
          <w:color w:val="auto"/>
          <w:sz w:val="21"/>
          <w:szCs w:val="21"/>
        </w:rPr>
        <w:fldChar w:fldCharType="end"/>
      </w:r>
    </w:p>
    <w:p w14:paraId="0B3F6A05">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"_Toc7697" </w:instrText>
      </w:r>
      <w:r>
        <w:rPr>
          <w:color w:val="auto"/>
        </w:rPr>
        <w:fldChar w:fldCharType="separate"/>
      </w:r>
      <w:r>
        <w:rPr>
          <w:rFonts w:hint="eastAsia" w:cs="宋体"/>
          <w:color w:val="auto"/>
          <w:sz w:val="21"/>
          <w:szCs w:val="21"/>
        </w:rPr>
        <w:t>附件7.资格申明</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_Toc7697 \h </w:instrText>
      </w:r>
      <w:r>
        <w:rPr>
          <w:rFonts w:hint="eastAsia" w:cs="宋体"/>
          <w:color w:val="auto"/>
          <w:sz w:val="21"/>
          <w:szCs w:val="21"/>
        </w:rPr>
        <w:fldChar w:fldCharType="separate"/>
      </w:r>
      <w:r>
        <w:rPr>
          <w:rFonts w:hint="eastAsia" w:cs="宋体"/>
          <w:color w:val="auto"/>
          <w:sz w:val="21"/>
          <w:szCs w:val="21"/>
        </w:rPr>
        <w:t>76</w:t>
      </w:r>
      <w:r>
        <w:rPr>
          <w:rFonts w:hint="eastAsia" w:cs="宋体"/>
          <w:color w:val="auto"/>
          <w:sz w:val="21"/>
          <w:szCs w:val="21"/>
        </w:rPr>
        <w:fldChar w:fldCharType="end"/>
      </w:r>
      <w:r>
        <w:rPr>
          <w:rFonts w:hint="eastAsia" w:cs="宋体"/>
          <w:color w:val="auto"/>
          <w:sz w:val="21"/>
          <w:szCs w:val="21"/>
        </w:rPr>
        <w:fldChar w:fldCharType="end"/>
      </w:r>
    </w:p>
    <w:p w14:paraId="1AD2F9F1">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"_Toc27561" </w:instrText>
      </w:r>
      <w:r>
        <w:rPr>
          <w:color w:val="auto"/>
        </w:rPr>
        <w:fldChar w:fldCharType="separate"/>
      </w:r>
      <w:r>
        <w:rPr>
          <w:rFonts w:hint="eastAsia" w:cs="宋体"/>
          <w:color w:val="auto"/>
          <w:sz w:val="21"/>
          <w:szCs w:val="21"/>
        </w:rPr>
        <w:t>附件8.营业执照</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_Toc27561 \h </w:instrText>
      </w:r>
      <w:r>
        <w:rPr>
          <w:rFonts w:hint="eastAsia" w:cs="宋体"/>
          <w:color w:val="auto"/>
          <w:sz w:val="21"/>
          <w:szCs w:val="21"/>
        </w:rPr>
        <w:fldChar w:fldCharType="separate"/>
      </w:r>
      <w:r>
        <w:rPr>
          <w:rFonts w:hint="eastAsia" w:cs="宋体"/>
          <w:color w:val="auto"/>
          <w:sz w:val="21"/>
          <w:szCs w:val="21"/>
        </w:rPr>
        <w:t>77</w:t>
      </w:r>
      <w:r>
        <w:rPr>
          <w:rFonts w:hint="eastAsia" w:cs="宋体"/>
          <w:color w:val="auto"/>
          <w:sz w:val="21"/>
          <w:szCs w:val="21"/>
        </w:rPr>
        <w:fldChar w:fldCharType="end"/>
      </w:r>
      <w:r>
        <w:rPr>
          <w:rFonts w:hint="eastAsia" w:cs="宋体"/>
          <w:color w:val="auto"/>
          <w:sz w:val="21"/>
          <w:szCs w:val="21"/>
        </w:rPr>
        <w:fldChar w:fldCharType="end"/>
      </w:r>
    </w:p>
    <w:p w14:paraId="2ACB47E7">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"_Toc23225" </w:instrText>
      </w:r>
      <w:r>
        <w:rPr>
          <w:color w:val="auto"/>
        </w:rPr>
        <w:fldChar w:fldCharType="separate"/>
      </w:r>
      <w:r>
        <w:rPr>
          <w:rFonts w:hint="eastAsia" w:cs="宋体"/>
          <w:color w:val="auto"/>
          <w:sz w:val="21"/>
          <w:szCs w:val="21"/>
        </w:rPr>
        <w:t>附件9.相关资质证明文件</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_Toc23225 \h </w:instrText>
      </w:r>
      <w:r>
        <w:rPr>
          <w:rFonts w:hint="eastAsia" w:cs="宋体"/>
          <w:color w:val="auto"/>
          <w:sz w:val="21"/>
          <w:szCs w:val="21"/>
        </w:rPr>
        <w:fldChar w:fldCharType="separate"/>
      </w:r>
      <w:r>
        <w:rPr>
          <w:rFonts w:hint="eastAsia" w:cs="宋体"/>
          <w:color w:val="auto"/>
          <w:sz w:val="21"/>
          <w:szCs w:val="21"/>
        </w:rPr>
        <w:t>78</w:t>
      </w:r>
      <w:r>
        <w:rPr>
          <w:rFonts w:hint="eastAsia" w:cs="宋体"/>
          <w:color w:val="auto"/>
          <w:sz w:val="21"/>
          <w:szCs w:val="21"/>
        </w:rPr>
        <w:fldChar w:fldCharType="end"/>
      </w:r>
      <w:r>
        <w:rPr>
          <w:rFonts w:hint="eastAsia" w:cs="宋体"/>
          <w:color w:val="auto"/>
          <w:sz w:val="21"/>
          <w:szCs w:val="21"/>
        </w:rPr>
        <w:fldChar w:fldCharType="end"/>
      </w:r>
    </w:p>
    <w:p w14:paraId="539228FB">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"_Toc4426" </w:instrText>
      </w:r>
      <w:r>
        <w:rPr>
          <w:color w:val="auto"/>
        </w:rPr>
        <w:fldChar w:fldCharType="separate"/>
      </w:r>
      <w:r>
        <w:rPr>
          <w:rFonts w:hint="eastAsia" w:cs="宋体"/>
          <w:color w:val="auto"/>
          <w:sz w:val="21"/>
          <w:szCs w:val="21"/>
        </w:rPr>
        <w:t>附件10.在经营活动中没有重大违法记录的书面声明格式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_Toc4426 \h </w:instrText>
      </w:r>
      <w:r>
        <w:rPr>
          <w:rFonts w:hint="eastAsia" w:cs="宋体"/>
          <w:color w:val="auto"/>
          <w:sz w:val="21"/>
          <w:szCs w:val="21"/>
        </w:rPr>
        <w:fldChar w:fldCharType="separate"/>
      </w:r>
      <w:r>
        <w:rPr>
          <w:rFonts w:hint="eastAsia" w:cs="宋体"/>
          <w:color w:val="auto"/>
          <w:sz w:val="21"/>
          <w:szCs w:val="21"/>
        </w:rPr>
        <w:t>79</w:t>
      </w:r>
      <w:r>
        <w:rPr>
          <w:rFonts w:hint="eastAsia" w:cs="宋体"/>
          <w:color w:val="auto"/>
          <w:sz w:val="21"/>
          <w:szCs w:val="21"/>
        </w:rPr>
        <w:fldChar w:fldCharType="end"/>
      </w:r>
      <w:r>
        <w:rPr>
          <w:rFonts w:hint="eastAsia" w:cs="宋体"/>
          <w:color w:val="auto"/>
          <w:sz w:val="21"/>
          <w:szCs w:val="21"/>
        </w:rPr>
        <w:fldChar w:fldCharType="end"/>
      </w:r>
    </w:p>
    <w:p w14:paraId="293B0AA3">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"_Toc16179" </w:instrText>
      </w:r>
      <w:r>
        <w:rPr>
          <w:color w:val="auto"/>
        </w:rPr>
        <w:fldChar w:fldCharType="separate"/>
      </w:r>
      <w:r>
        <w:rPr>
          <w:rFonts w:hint="eastAsia" w:cs="宋体"/>
          <w:color w:val="auto"/>
          <w:sz w:val="21"/>
          <w:szCs w:val="21"/>
        </w:rPr>
        <w:t>附件11.未被列入“信用中国”记录失信被执行人或重大税收违法失信主体或政府采购严重违法失信行为记录名单的证明资料</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_Toc16179 \h </w:instrText>
      </w:r>
      <w:r>
        <w:rPr>
          <w:rFonts w:hint="eastAsia" w:cs="宋体"/>
          <w:color w:val="auto"/>
          <w:sz w:val="21"/>
          <w:szCs w:val="21"/>
        </w:rPr>
        <w:fldChar w:fldCharType="separate"/>
      </w:r>
      <w:r>
        <w:rPr>
          <w:rFonts w:hint="eastAsia" w:cs="宋体"/>
          <w:color w:val="auto"/>
          <w:sz w:val="21"/>
          <w:szCs w:val="21"/>
        </w:rPr>
        <w:t>80</w:t>
      </w:r>
      <w:r>
        <w:rPr>
          <w:rFonts w:hint="eastAsia" w:cs="宋体"/>
          <w:color w:val="auto"/>
          <w:sz w:val="21"/>
          <w:szCs w:val="21"/>
        </w:rPr>
        <w:fldChar w:fldCharType="end"/>
      </w:r>
      <w:r>
        <w:rPr>
          <w:rFonts w:hint="eastAsia" w:cs="宋体"/>
          <w:color w:val="auto"/>
          <w:sz w:val="21"/>
          <w:szCs w:val="21"/>
        </w:rPr>
        <w:fldChar w:fldCharType="end"/>
      </w:r>
    </w:p>
    <w:p w14:paraId="5913E6CE">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"_Toc8381" </w:instrText>
      </w:r>
      <w:r>
        <w:rPr>
          <w:color w:val="auto"/>
        </w:rPr>
        <w:fldChar w:fldCharType="separate"/>
      </w:r>
      <w:r>
        <w:rPr>
          <w:rFonts w:hint="eastAsia" w:cs="宋体"/>
          <w:color w:val="auto"/>
          <w:sz w:val="21"/>
          <w:szCs w:val="21"/>
        </w:rPr>
        <w:t>附件12.承诺书格式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_Toc8381 \h </w:instrText>
      </w:r>
      <w:r>
        <w:rPr>
          <w:rFonts w:hint="eastAsia" w:cs="宋体"/>
          <w:color w:val="auto"/>
          <w:sz w:val="21"/>
          <w:szCs w:val="21"/>
        </w:rPr>
        <w:fldChar w:fldCharType="separate"/>
      </w:r>
      <w:r>
        <w:rPr>
          <w:rFonts w:hint="eastAsia" w:cs="宋体"/>
          <w:color w:val="auto"/>
          <w:sz w:val="21"/>
          <w:szCs w:val="21"/>
        </w:rPr>
        <w:t>81</w:t>
      </w:r>
      <w:r>
        <w:rPr>
          <w:rFonts w:hint="eastAsia" w:cs="宋体"/>
          <w:color w:val="auto"/>
          <w:sz w:val="21"/>
          <w:szCs w:val="21"/>
        </w:rPr>
        <w:fldChar w:fldCharType="end"/>
      </w:r>
      <w:r>
        <w:rPr>
          <w:rFonts w:hint="eastAsia" w:cs="宋体"/>
          <w:color w:val="auto"/>
          <w:sz w:val="21"/>
          <w:szCs w:val="21"/>
        </w:rPr>
        <w:fldChar w:fldCharType="end"/>
      </w:r>
    </w:p>
    <w:p w14:paraId="6B8A53A3">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"_Toc17024" </w:instrText>
      </w:r>
      <w:r>
        <w:rPr>
          <w:color w:val="auto"/>
        </w:rPr>
        <w:fldChar w:fldCharType="separate"/>
      </w:r>
      <w:r>
        <w:rPr>
          <w:rFonts w:hint="eastAsia" w:cs="宋体"/>
          <w:color w:val="auto"/>
          <w:sz w:val="21"/>
          <w:szCs w:val="21"/>
        </w:rPr>
        <w:t>附件13.商务需求条款偏离表格式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_Toc17024 \h </w:instrText>
      </w:r>
      <w:r>
        <w:rPr>
          <w:rFonts w:hint="eastAsia" w:cs="宋体"/>
          <w:color w:val="auto"/>
          <w:sz w:val="21"/>
          <w:szCs w:val="21"/>
        </w:rPr>
        <w:fldChar w:fldCharType="separate"/>
      </w:r>
      <w:r>
        <w:rPr>
          <w:rFonts w:hint="eastAsia" w:cs="宋体"/>
          <w:color w:val="auto"/>
          <w:sz w:val="21"/>
          <w:szCs w:val="21"/>
        </w:rPr>
        <w:t>82</w:t>
      </w:r>
      <w:r>
        <w:rPr>
          <w:rFonts w:hint="eastAsia" w:cs="宋体"/>
          <w:color w:val="auto"/>
          <w:sz w:val="21"/>
          <w:szCs w:val="21"/>
        </w:rPr>
        <w:fldChar w:fldCharType="end"/>
      </w:r>
      <w:r>
        <w:rPr>
          <w:rFonts w:hint="eastAsia" w:cs="宋体"/>
          <w:color w:val="auto"/>
          <w:sz w:val="21"/>
          <w:szCs w:val="21"/>
        </w:rPr>
        <w:fldChar w:fldCharType="end"/>
      </w:r>
    </w:p>
    <w:p w14:paraId="34B77626">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"_Toc12642" </w:instrText>
      </w:r>
      <w:r>
        <w:rPr>
          <w:color w:val="auto"/>
        </w:rPr>
        <w:fldChar w:fldCharType="separate"/>
      </w:r>
      <w:r>
        <w:rPr>
          <w:rFonts w:hint="eastAsia" w:cs="宋体"/>
          <w:color w:val="auto"/>
          <w:sz w:val="21"/>
          <w:szCs w:val="21"/>
        </w:rPr>
        <w:t>附件14.业绩表</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_Toc12642 \h </w:instrText>
      </w:r>
      <w:r>
        <w:rPr>
          <w:rFonts w:hint="eastAsia" w:cs="宋体"/>
          <w:color w:val="auto"/>
          <w:sz w:val="21"/>
          <w:szCs w:val="21"/>
        </w:rPr>
        <w:fldChar w:fldCharType="separate"/>
      </w:r>
      <w:r>
        <w:rPr>
          <w:rFonts w:hint="eastAsia" w:cs="宋体"/>
          <w:color w:val="auto"/>
          <w:sz w:val="21"/>
          <w:szCs w:val="21"/>
        </w:rPr>
        <w:t>83</w:t>
      </w:r>
      <w:r>
        <w:rPr>
          <w:rFonts w:hint="eastAsia" w:cs="宋体"/>
          <w:color w:val="auto"/>
          <w:sz w:val="21"/>
          <w:szCs w:val="21"/>
        </w:rPr>
        <w:fldChar w:fldCharType="end"/>
      </w:r>
      <w:r>
        <w:rPr>
          <w:rFonts w:hint="eastAsia" w:cs="宋体"/>
          <w:color w:val="auto"/>
          <w:sz w:val="21"/>
          <w:szCs w:val="21"/>
        </w:rPr>
        <w:fldChar w:fldCharType="end"/>
      </w:r>
    </w:p>
    <w:p w14:paraId="7D3C52DD">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"_Toc23072" </w:instrText>
      </w:r>
      <w:r>
        <w:rPr>
          <w:color w:val="auto"/>
        </w:rPr>
        <w:fldChar w:fldCharType="separate"/>
      </w:r>
      <w:r>
        <w:rPr>
          <w:rFonts w:hint="eastAsia" w:cs="宋体"/>
          <w:color w:val="auto"/>
          <w:sz w:val="21"/>
          <w:szCs w:val="21"/>
        </w:rPr>
        <w:t>附件15.联合体协议书（如有）</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_Toc23072 \h </w:instrText>
      </w:r>
      <w:r>
        <w:rPr>
          <w:rFonts w:hint="eastAsia" w:cs="宋体"/>
          <w:color w:val="auto"/>
          <w:sz w:val="21"/>
          <w:szCs w:val="21"/>
        </w:rPr>
        <w:fldChar w:fldCharType="separate"/>
      </w:r>
      <w:r>
        <w:rPr>
          <w:rFonts w:hint="eastAsia" w:cs="宋体"/>
          <w:color w:val="auto"/>
          <w:sz w:val="21"/>
          <w:szCs w:val="21"/>
        </w:rPr>
        <w:t>84</w:t>
      </w:r>
      <w:r>
        <w:rPr>
          <w:rFonts w:hint="eastAsia" w:cs="宋体"/>
          <w:color w:val="auto"/>
          <w:sz w:val="21"/>
          <w:szCs w:val="21"/>
        </w:rPr>
        <w:fldChar w:fldCharType="end"/>
      </w:r>
      <w:r>
        <w:rPr>
          <w:rFonts w:hint="eastAsia" w:cs="宋体"/>
          <w:color w:val="auto"/>
          <w:sz w:val="21"/>
          <w:szCs w:val="21"/>
        </w:rPr>
        <w:fldChar w:fldCharType="end"/>
      </w:r>
    </w:p>
    <w:p w14:paraId="0E43D7EF">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"_Toc29272" </w:instrText>
      </w:r>
      <w:r>
        <w:rPr>
          <w:color w:val="auto"/>
        </w:rPr>
        <w:fldChar w:fldCharType="separate"/>
      </w:r>
      <w:r>
        <w:rPr>
          <w:rFonts w:hint="eastAsia" w:cs="宋体"/>
          <w:color w:val="auto"/>
          <w:sz w:val="21"/>
          <w:szCs w:val="21"/>
        </w:rPr>
        <w:t>附件16.体系认证资料</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_Toc29272 \h </w:instrText>
      </w:r>
      <w:r>
        <w:rPr>
          <w:rFonts w:hint="eastAsia" w:cs="宋体"/>
          <w:color w:val="auto"/>
          <w:sz w:val="21"/>
          <w:szCs w:val="21"/>
        </w:rPr>
        <w:fldChar w:fldCharType="separate"/>
      </w:r>
      <w:r>
        <w:rPr>
          <w:rFonts w:hint="eastAsia" w:cs="宋体"/>
          <w:color w:val="auto"/>
          <w:sz w:val="21"/>
          <w:szCs w:val="21"/>
        </w:rPr>
        <w:t>86</w:t>
      </w:r>
      <w:r>
        <w:rPr>
          <w:rFonts w:hint="eastAsia" w:cs="宋体"/>
          <w:color w:val="auto"/>
          <w:sz w:val="21"/>
          <w:szCs w:val="21"/>
        </w:rPr>
        <w:fldChar w:fldCharType="end"/>
      </w:r>
      <w:r>
        <w:rPr>
          <w:rFonts w:hint="eastAsia" w:cs="宋体"/>
          <w:color w:val="auto"/>
          <w:sz w:val="21"/>
          <w:szCs w:val="21"/>
        </w:rPr>
        <w:fldChar w:fldCharType="end"/>
      </w:r>
    </w:p>
    <w:p w14:paraId="5BBF91D0">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"_Toc18165" </w:instrText>
      </w:r>
      <w:r>
        <w:rPr>
          <w:color w:val="auto"/>
        </w:rPr>
        <w:fldChar w:fldCharType="separate"/>
      </w:r>
      <w:r>
        <w:rPr>
          <w:rFonts w:hint="eastAsia" w:cs="宋体"/>
          <w:color w:val="auto"/>
          <w:sz w:val="21"/>
          <w:szCs w:val="21"/>
        </w:rPr>
        <w:t>附件17.财务资料</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_Toc18165 \h </w:instrText>
      </w:r>
      <w:r>
        <w:rPr>
          <w:rFonts w:hint="eastAsia" w:cs="宋体"/>
          <w:color w:val="auto"/>
          <w:sz w:val="21"/>
          <w:szCs w:val="21"/>
        </w:rPr>
        <w:fldChar w:fldCharType="separate"/>
      </w:r>
      <w:r>
        <w:rPr>
          <w:rFonts w:hint="eastAsia" w:cs="宋体"/>
          <w:color w:val="auto"/>
          <w:sz w:val="21"/>
          <w:szCs w:val="21"/>
        </w:rPr>
        <w:t>86</w:t>
      </w:r>
      <w:r>
        <w:rPr>
          <w:rFonts w:hint="eastAsia" w:cs="宋体"/>
          <w:color w:val="auto"/>
          <w:sz w:val="21"/>
          <w:szCs w:val="21"/>
        </w:rPr>
        <w:fldChar w:fldCharType="end"/>
      </w:r>
      <w:r>
        <w:rPr>
          <w:rFonts w:hint="eastAsia" w:cs="宋体"/>
          <w:color w:val="auto"/>
          <w:sz w:val="21"/>
          <w:szCs w:val="21"/>
        </w:rPr>
        <w:fldChar w:fldCharType="end"/>
      </w:r>
    </w:p>
    <w:p w14:paraId="5F49B5EC">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"_Toc7839" </w:instrText>
      </w:r>
      <w:r>
        <w:rPr>
          <w:color w:val="auto"/>
        </w:rPr>
        <w:fldChar w:fldCharType="separate"/>
      </w:r>
      <w:r>
        <w:rPr>
          <w:rFonts w:hint="eastAsia" w:cs="宋体"/>
          <w:color w:val="auto"/>
          <w:sz w:val="21"/>
          <w:szCs w:val="21"/>
        </w:rPr>
        <w:t>附件18.实施本项目的有关人员资料表格式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_Toc7839 \h </w:instrText>
      </w:r>
      <w:r>
        <w:rPr>
          <w:rFonts w:hint="eastAsia" w:cs="宋体"/>
          <w:color w:val="auto"/>
          <w:sz w:val="21"/>
          <w:szCs w:val="21"/>
        </w:rPr>
        <w:fldChar w:fldCharType="separate"/>
      </w:r>
      <w:r>
        <w:rPr>
          <w:rFonts w:hint="eastAsia" w:cs="宋体"/>
          <w:color w:val="auto"/>
          <w:sz w:val="21"/>
          <w:szCs w:val="21"/>
        </w:rPr>
        <w:t>86</w:t>
      </w:r>
      <w:r>
        <w:rPr>
          <w:rFonts w:hint="eastAsia" w:cs="宋体"/>
          <w:color w:val="auto"/>
          <w:sz w:val="21"/>
          <w:szCs w:val="21"/>
        </w:rPr>
        <w:fldChar w:fldCharType="end"/>
      </w:r>
      <w:r>
        <w:rPr>
          <w:rFonts w:hint="eastAsia" w:cs="宋体"/>
          <w:color w:val="auto"/>
          <w:sz w:val="21"/>
          <w:szCs w:val="21"/>
        </w:rPr>
        <w:fldChar w:fldCharType="end"/>
      </w:r>
    </w:p>
    <w:p w14:paraId="29D50503">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"_Toc1935" </w:instrText>
      </w:r>
      <w:r>
        <w:rPr>
          <w:color w:val="auto"/>
        </w:rPr>
        <w:fldChar w:fldCharType="separate"/>
      </w:r>
      <w:r>
        <w:rPr>
          <w:rFonts w:hint="eastAsia" w:cs="宋体"/>
          <w:color w:val="auto"/>
          <w:sz w:val="21"/>
          <w:szCs w:val="21"/>
        </w:rPr>
        <w:t>技术文件</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_Toc1935 \h </w:instrText>
      </w:r>
      <w:r>
        <w:rPr>
          <w:rFonts w:hint="eastAsia" w:cs="宋体"/>
          <w:color w:val="auto"/>
          <w:sz w:val="21"/>
          <w:szCs w:val="21"/>
        </w:rPr>
        <w:fldChar w:fldCharType="separate"/>
      </w:r>
      <w:r>
        <w:rPr>
          <w:rFonts w:hint="eastAsia" w:cs="宋体"/>
          <w:color w:val="auto"/>
          <w:sz w:val="21"/>
          <w:szCs w:val="21"/>
        </w:rPr>
        <w:t>87</w:t>
      </w:r>
      <w:r>
        <w:rPr>
          <w:rFonts w:hint="eastAsia" w:cs="宋体"/>
          <w:color w:val="auto"/>
          <w:sz w:val="21"/>
          <w:szCs w:val="21"/>
        </w:rPr>
        <w:fldChar w:fldCharType="end"/>
      </w:r>
      <w:r>
        <w:rPr>
          <w:rFonts w:hint="eastAsia" w:cs="宋体"/>
          <w:color w:val="auto"/>
          <w:sz w:val="21"/>
          <w:szCs w:val="21"/>
        </w:rPr>
        <w:fldChar w:fldCharType="end"/>
      </w:r>
    </w:p>
    <w:p w14:paraId="6C2E1B9B">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"_Toc27563" </w:instrText>
      </w:r>
      <w:r>
        <w:rPr>
          <w:color w:val="auto"/>
        </w:rPr>
        <w:fldChar w:fldCharType="separate"/>
      </w:r>
      <w:r>
        <w:rPr>
          <w:rFonts w:hint="eastAsia" w:cs="宋体"/>
          <w:color w:val="auto"/>
          <w:sz w:val="21"/>
          <w:szCs w:val="21"/>
        </w:rPr>
        <w:t>附件19. 技术规格偏离表格式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_Toc27563 \h </w:instrText>
      </w:r>
      <w:r>
        <w:rPr>
          <w:rFonts w:hint="eastAsia" w:cs="宋体"/>
          <w:color w:val="auto"/>
          <w:sz w:val="21"/>
          <w:szCs w:val="21"/>
        </w:rPr>
        <w:fldChar w:fldCharType="separate"/>
      </w:r>
      <w:r>
        <w:rPr>
          <w:rFonts w:hint="eastAsia" w:cs="宋体"/>
          <w:color w:val="auto"/>
          <w:sz w:val="21"/>
          <w:szCs w:val="21"/>
        </w:rPr>
        <w:t>88</w:t>
      </w:r>
      <w:r>
        <w:rPr>
          <w:rFonts w:hint="eastAsia" w:cs="宋体"/>
          <w:color w:val="auto"/>
          <w:sz w:val="21"/>
          <w:szCs w:val="21"/>
        </w:rPr>
        <w:fldChar w:fldCharType="end"/>
      </w:r>
      <w:r>
        <w:rPr>
          <w:rFonts w:hint="eastAsia" w:cs="宋体"/>
          <w:color w:val="auto"/>
          <w:sz w:val="21"/>
          <w:szCs w:val="21"/>
        </w:rPr>
        <w:fldChar w:fldCharType="end"/>
      </w:r>
    </w:p>
    <w:p w14:paraId="3FE5E924">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"_Toc13485" </w:instrText>
      </w:r>
      <w:r>
        <w:rPr>
          <w:color w:val="auto"/>
        </w:rPr>
        <w:fldChar w:fldCharType="separate"/>
      </w:r>
      <w:r>
        <w:rPr>
          <w:rFonts w:hint="eastAsia" w:cs="宋体"/>
          <w:color w:val="auto"/>
          <w:sz w:val="21"/>
          <w:szCs w:val="21"/>
        </w:rPr>
        <w:t>附件20.项目实施方案格式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_Toc13485 \h </w:instrText>
      </w:r>
      <w:r>
        <w:rPr>
          <w:rFonts w:hint="eastAsia" w:cs="宋体"/>
          <w:color w:val="auto"/>
          <w:sz w:val="21"/>
          <w:szCs w:val="21"/>
        </w:rPr>
        <w:fldChar w:fldCharType="separate"/>
      </w:r>
      <w:r>
        <w:rPr>
          <w:rFonts w:hint="eastAsia" w:cs="宋体"/>
          <w:color w:val="auto"/>
          <w:sz w:val="21"/>
          <w:szCs w:val="21"/>
        </w:rPr>
        <w:t>89</w:t>
      </w:r>
      <w:r>
        <w:rPr>
          <w:rFonts w:hint="eastAsia" w:cs="宋体"/>
          <w:color w:val="auto"/>
          <w:sz w:val="21"/>
          <w:szCs w:val="21"/>
        </w:rPr>
        <w:fldChar w:fldCharType="end"/>
      </w:r>
      <w:r>
        <w:rPr>
          <w:rFonts w:hint="eastAsia" w:cs="宋体"/>
          <w:color w:val="auto"/>
          <w:sz w:val="21"/>
          <w:szCs w:val="21"/>
        </w:rPr>
        <w:fldChar w:fldCharType="end"/>
      </w:r>
    </w:p>
    <w:p w14:paraId="722DF034">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"_Toc23141" </w:instrText>
      </w:r>
      <w:r>
        <w:rPr>
          <w:color w:val="auto"/>
        </w:rPr>
        <w:fldChar w:fldCharType="separate"/>
      </w:r>
      <w:r>
        <w:rPr>
          <w:rFonts w:hint="eastAsia" w:cs="宋体"/>
          <w:color w:val="auto"/>
          <w:sz w:val="21"/>
          <w:szCs w:val="21"/>
        </w:rPr>
        <w:t>附件21.不可撤销履约保函</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_Toc23141 \h </w:instrText>
      </w:r>
      <w:r>
        <w:rPr>
          <w:rFonts w:hint="eastAsia" w:cs="宋体"/>
          <w:color w:val="auto"/>
          <w:sz w:val="21"/>
          <w:szCs w:val="21"/>
        </w:rPr>
        <w:fldChar w:fldCharType="separate"/>
      </w:r>
      <w:r>
        <w:rPr>
          <w:rFonts w:hint="eastAsia" w:cs="宋体"/>
          <w:color w:val="auto"/>
          <w:sz w:val="21"/>
          <w:szCs w:val="21"/>
        </w:rPr>
        <w:t>90</w:t>
      </w:r>
      <w:r>
        <w:rPr>
          <w:rFonts w:hint="eastAsia" w:cs="宋体"/>
          <w:color w:val="auto"/>
          <w:sz w:val="21"/>
          <w:szCs w:val="21"/>
        </w:rPr>
        <w:fldChar w:fldCharType="end"/>
      </w:r>
      <w:r>
        <w:rPr>
          <w:rFonts w:hint="eastAsia" w:cs="宋体"/>
          <w:color w:val="auto"/>
          <w:sz w:val="21"/>
          <w:szCs w:val="21"/>
        </w:rPr>
        <w:fldChar w:fldCharType="end"/>
      </w:r>
    </w:p>
    <w:p w14:paraId="6764EAD5">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"_Toc20570" </w:instrText>
      </w:r>
      <w:r>
        <w:rPr>
          <w:color w:val="auto"/>
        </w:rPr>
        <w:fldChar w:fldCharType="separate"/>
      </w:r>
      <w:r>
        <w:rPr>
          <w:rFonts w:hint="eastAsia" w:cs="宋体"/>
          <w:color w:val="auto"/>
          <w:sz w:val="21"/>
          <w:szCs w:val="21"/>
        </w:rPr>
        <w:t>附件22.预付款保函（适用于预付款支付）</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_Toc20570 \h </w:instrText>
      </w:r>
      <w:r>
        <w:rPr>
          <w:rFonts w:hint="eastAsia" w:cs="宋体"/>
          <w:color w:val="auto"/>
          <w:sz w:val="21"/>
          <w:szCs w:val="21"/>
        </w:rPr>
        <w:fldChar w:fldCharType="separate"/>
      </w:r>
      <w:r>
        <w:rPr>
          <w:rFonts w:hint="eastAsia" w:cs="宋体"/>
          <w:color w:val="auto"/>
          <w:sz w:val="21"/>
          <w:szCs w:val="21"/>
        </w:rPr>
        <w:t>91</w:t>
      </w:r>
      <w:r>
        <w:rPr>
          <w:rFonts w:hint="eastAsia" w:cs="宋体"/>
          <w:color w:val="auto"/>
          <w:sz w:val="21"/>
          <w:szCs w:val="21"/>
        </w:rPr>
        <w:fldChar w:fldCharType="end"/>
      </w:r>
      <w:r>
        <w:rPr>
          <w:rFonts w:hint="eastAsia" w:cs="宋体"/>
          <w:color w:val="auto"/>
          <w:sz w:val="21"/>
          <w:szCs w:val="21"/>
        </w:rPr>
        <w:fldChar w:fldCharType="end"/>
      </w:r>
    </w:p>
    <w:p w14:paraId="2591D59B">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"_Toc28753" </w:instrText>
      </w:r>
      <w:r>
        <w:rPr>
          <w:color w:val="auto"/>
        </w:rPr>
        <w:fldChar w:fldCharType="separate"/>
      </w:r>
      <w:r>
        <w:rPr>
          <w:rFonts w:hint="eastAsia" w:cs="宋体"/>
          <w:color w:val="auto"/>
          <w:sz w:val="21"/>
          <w:szCs w:val="21"/>
        </w:rPr>
        <w:t>唱标信封</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_Toc28753 \h </w:instrText>
      </w:r>
      <w:r>
        <w:rPr>
          <w:rFonts w:hint="eastAsia" w:cs="宋体"/>
          <w:color w:val="auto"/>
          <w:sz w:val="21"/>
          <w:szCs w:val="21"/>
        </w:rPr>
        <w:fldChar w:fldCharType="separate"/>
      </w:r>
      <w:r>
        <w:rPr>
          <w:rFonts w:hint="eastAsia" w:cs="宋体"/>
          <w:color w:val="auto"/>
          <w:sz w:val="21"/>
          <w:szCs w:val="21"/>
        </w:rPr>
        <w:t>92</w:t>
      </w:r>
      <w:r>
        <w:rPr>
          <w:rFonts w:hint="eastAsia" w:cs="宋体"/>
          <w:color w:val="auto"/>
          <w:sz w:val="21"/>
          <w:szCs w:val="21"/>
        </w:rPr>
        <w:fldChar w:fldCharType="end"/>
      </w:r>
      <w:r>
        <w:rPr>
          <w:rFonts w:hint="eastAsia" w:cs="宋体"/>
          <w:color w:val="auto"/>
          <w:sz w:val="21"/>
          <w:szCs w:val="21"/>
        </w:rPr>
        <w:fldChar w:fldCharType="end"/>
      </w:r>
    </w:p>
    <w:p w14:paraId="66BC682F">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"_Toc12632" </w:instrText>
      </w:r>
      <w:r>
        <w:rPr>
          <w:color w:val="auto"/>
        </w:rPr>
        <w:fldChar w:fldCharType="separate"/>
      </w:r>
      <w:r>
        <w:rPr>
          <w:rFonts w:hint="eastAsia" w:cs="宋体"/>
          <w:color w:val="auto"/>
          <w:sz w:val="21"/>
          <w:szCs w:val="21"/>
        </w:rPr>
        <w:t>附件23.唱标信封内装（内容务必与投标文件正本一致）</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_Toc12632 \h </w:instrText>
      </w:r>
      <w:r>
        <w:rPr>
          <w:rFonts w:hint="eastAsia" w:cs="宋体"/>
          <w:color w:val="auto"/>
          <w:sz w:val="21"/>
          <w:szCs w:val="21"/>
        </w:rPr>
        <w:fldChar w:fldCharType="separate"/>
      </w:r>
      <w:r>
        <w:rPr>
          <w:rFonts w:hint="eastAsia" w:cs="宋体"/>
          <w:color w:val="auto"/>
          <w:sz w:val="21"/>
          <w:szCs w:val="21"/>
        </w:rPr>
        <w:t>93</w:t>
      </w:r>
      <w:r>
        <w:rPr>
          <w:rFonts w:hint="eastAsia" w:cs="宋体"/>
          <w:color w:val="auto"/>
          <w:sz w:val="21"/>
          <w:szCs w:val="21"/>
        </w:rPr>
        <w:fldChar w:fldCharType="end"/>
      </w:r>
      <w:r>
        <w:rPr>
          <w:rFonts w:hint="eastAsia" w:cs="宋体"/>
          <w:color w:val="auto"/>
          <w:sz w:val="21"/>
          <w:szCs w:val="21"/>
        </w:rPr>
        <w:fldChar w:fldCharType="end"/>
      </w:r>
    </w:p>
    <w:p w14:paraId="64F5BAD9">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"_Toc22575" </w:instrText>
      </w:r>
      <w:r>
        <w:rPr>
          <w:color w:val="auto"/>
        </w:rPr>
        <w:fldChar w:fldCharType="separate"/>
      </w:r>
      <w:r>
        <w:rPr>
          <w:rFonts w:hint="eastAsia" w:cs="宋体"/>
          <w:color w:val="auto"/>
          <w:sz w:val="21"/>
          <w:szCs w:val="21"/>
        </w:rPr>
        <w:t>附件24. 法定代表人证明书格式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_Toc22575 \h </w:instrText>
      </w:r>
      <w:r>
        <w:rPr>
          <w:rFonts w:hint="eastAsia" w:cs="宋体"/>
          <w:color w:val="auto"/>
          <w:sz w:val="21"/>
          <w:szCs w:val="21"/>
        </w:rPr>
        <w:fldChar w:fldCharType="separate"/>
      </w:r>
      <w:r>
        <w:rPr>
          <w:rFonts w:hint="eastAsia" w:cs="宋体"/>
          <w:color w:val="auto"/>
          <w:sz w:val="21"/>
          <w:szCs w:val="21"/>
        </w:rPr>
        <w:t>94</w:t>
      </w:r>
      <w:r>
        <w:rPr>
          <w:rFonts w:hint="eastAsia" w:cs="宋体"/>
          <w:color w:val="auto"/>
          <w:sz w:val="21"/>
          <w:szCs w:val="21"/>
        </w:rPr>
        <w:fldChar w:fldCharType="end"/>
      </w:r>
      <w:r>
        <w:rPr>
          <w:rFonts w:hint="eastAsia" w:cs="宋体"/>
          <w:color w:val="auto"/>
          <w:sz w:val="21"/>
          <w:szCs w:val="21"/>
        </w:rPr>
        <w:fldChar w:fldCharType="end"/>
      </w:r>
    </w:p>
    <w:p w14:paraId="420E06A0">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"_Toc32722" </w:instrText>
      </w:r>
      <w:r>
        <w:rPr>
          <w:color w:val="auto"/>
        </w:rPr>
        <w:fldChar w:fldCharType="separate"/>
      </w:r>
      <w:r>
        <w:rPr>
          <w:rFonts w:hint="eastAsia" w:cs="宋体"/>
          <w:color w:val="auto"/>
          <w:sz w:val="21"/>
          <w:szCs w:val="21"/>
        </w:rPr>
        <w:t>附件25.法定代表人授权书格式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_Toc32722 \h </w:instrText>
      </w:r>
      <w:r>
        <w:rPr>
          <w:rFonts w:hint="eastAsia" w:cs="宋体"/>
          <w:color w:val="auto"/>
          <w:sz w:val="21"/>
          <w:szCs w:val="21"/>
        </w:rPr>
        <w:fldChar w:fldCharType="separate"/>
      </w:r>
      <w:r>
        <w:rPr>
          <w:rFonts w:hint="eastAsia" w:cs="宋体"/>
          <w:color w:val="auto"/>
          <w:sz w:val="21"/>
          <w:szCs w:val="21"/>
        </w:rPr>
        <w:t>95</w:t>
      </w:r>
      <w:r>
        <w:rPr>
          <w:rFonts w:hint="eastAsia" w:cs="宋体"/>
          <w:color w:val="auto"/>
          <w:sz w:val="21"/>
          <w:szCs w:val="21"/>
        </w:rPr>
        <w:fldChar w:fldCharType="end"/>
      </w:r>
      <w:r>
        <w:rPr>
          <w:rFonts w:hint="eastAsia" w:cs="宋体"/>
          <w:color w:val="auto"/>
          <w:sz w:val="21"/>
          <w:szCs w:val="21"/>
        </w:rPr>
        <w:fldChar w:fldCharType="end"/>
      </w:r>
    </w:p>
    <w:p w14:paraId="2F210244">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"_Toc26275" </w:instrText>
      </w:r>
      <w:r>
        <w:rPr>
          <w:color w:val="auto"/>
        </w:rPr>
        <w:fldChar w:fldCharType="separate"/>
      </w:r>
      <w:r>
        <w:rPr>
          <w:rFonts w:hint="eastAsia" w:cs="宋体"/>
          <w:color w:val="auto"/>
          <w:sz w:val="21"/>
          <w:szCs w:val="21"/>
        </w:rPr>
        <w:t>附件26.投标保证金汇入情况说明格式</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_Toc26275 \h </w:instrText>
      </w:r>
      <w:r>
        <w:rPr>
          <w:rFonts w:hint="eastAsia" w:cs="宋体"/>
          <w:color w:val="auto"/>
          <w:sz w:val="21"/>
          <w:szCs w:val="21"/>
        </w:rPr>
        <w:fldChar w:fldCharType="separate"/>
      </w:r>
      <w:r>
        <w:rPr>
          <w:rFonts w:hint="eastAsia" w:cs="宋体"/>
          <w:color w:val="auto"/>
          <w:sz w:val="21"/>
          <w:szCs w:val="21"/>
        </w:rPr>
        <w:t>96</w:t>
      </w:r>
      <w:r>
        <w:rPr>
          <w:rFonts w:hint="eastAsia" w:cs="宋体"/>
          <w:color w:val="auto"/>
          <w:sz w:val="21"/>
          <w:szCs w:val="21"/>
        </w:rPr>
        <w:fldChar w:fldCharType="end"/>
      </w:r>
      <w:r>
        <w:rPr>
          <w:rFonts w:hint="eastAsia" w:cs="宋体"/>
          <w:color w:val="auto"/>
          <w:sz w:val="21"/>
          <w:szCs w:val="21"/>
        </w:rPr>
        <w:fldChar w:fldCharType="end"/>
      </w:r>
    </w:p>
    <w:p w14:paraId="2060B1E3">
      <w:pPr>
        <w:pStyle w:val="25"/>
        <w:tabs>
          <w:tab w:val="right" w:leader="dot" w:pos="8306"/>
          <w:tab w:val="clear" w:pos="8296"/>
        </w:tabs>
        <w:ind w:left="420"/>
        <w:rPr>
          <w:rFonts w:cs="宋体"/>
          <w:color w:val="auto"/>
          <w:sz w:val="21"/>
          <w:szCs w:val="21"/>
        </w:rPr>
      </w:pPr>
      <w:r>
        <w:rPr>
          <w:color w:val="auto"/>
        </w:rPr>
        <w:fldChar w:fldCharType="begin"/>
      </w:r>
      <w:r>
        <w:rPr>
          <w:color w:val="auto"/>
        </w:rPr>
        <w:instrText xml:space="preserve"> HYPERLINK \l "_Toc16902" </w:instrText>
      </w:r>
      <w:r>
        <w:rPr>
          <w:color w:val="auto"/>
        </w:rPr>
        <w:fldChar w:fldCharType="separate"/>
      </w:r>
      <w:r>
        <w:rPr>
          <w:rFonts w:hint="eastAsia" w:cs="宋体"/>
          <w:color w:val="auto"/>
          <w:sz w:val="21"/>
          <w:szCs w:val="21"/>
        </w:rPr>
        <w:t>附件27.投标文件电子文件（U盘）</w:t>
      </w:r>
      <w:r>
        <w:rPr>
          <w:rFonts w:hint="eastAsia" w:cs="宋体"/>
          <w:color w:val="auto"/>
          <w:sz w:val="21"/>
          <w:szCs w:val="21"/>
        </w:rPr>
        <w:tab/>
      </w:r>
      <w:r>
        <w:rPr>
          <w:rFonts w:hint="eastAsia" w:cs="宋体"/>
          <w:color w:val="auto"/>
          <w:sz w:val="21"/>
          <w:szCs w:val="21"/>
        </w:rPr>
        <w:fldChar w:fldCharType="begin"/>
      </w:r>
      <w:r>
        <w:rPr>
          <w:rFonts w:hint="eastAsia" w:cs="宋体"/>
          <w:color w:val="auto"/>
          <w:sz w:val="21"/>
          <w:szCs w:val="21"/>
        </w:rPr>
        <w:instrText xml:space="preserve"> PAGEREF _Toc16902 \h </w:instrText>
      </w:r>
      <w:r>
        <w:rPr>
          <w:rFonts w:hint="eastAsia" w:cs="宋体"/>
          <w:color w:val="auto"/>
          <w:sz w:val="21"/>
          <w:szCs w:val="21"/>
        </w:rPr>
        <w:fldChar w:fldCharType="separate"/>
      </w:r>
      <w:r>
        <w:rPr>
          <w:rFonts w:hint="eastAsia" w:cs="宋体"/>
          <w:color w:val="auto"/>
          <w:sz w:val="21"/>
          <w:szCs w:val="21"/>
        </w:rPr>
        <w:t>97</w:t>
      </w:r>
      <w:r>
        <w:rPr>
          <w:rFonts w:hint="eastAsia" w:cs="宋体"/>
          <w:color w:val="auto"/>
          <w:sz w:val="21"/>
          <w:szCs w:val="21"/>
        </w:rPr>
        <w:fldChar w:fldCharType="end"/>
      </w:r>
      <w:r>
        <w:rPr>
          <w:rFonts w:hint="eastAsia" w:cs="宋体"/>
          <w:color w:val="auto"/>
          <w:sz w:val="21"/>
          <w:szCs w:val="21"/>
        </w:rPr>
        <w:fldChar w:fldCharType="end"/>
      </w:r>
    </w:p>
    <w:p w14:paraId="38951A5F">
      <w:pPr>
        <w:pStyle w:val="25"/>
        <w:tabs>
          <w:tab w:val="right" w:leader="dot" w:pos="8306"/>
          <w:tab w:val="clear" w:pos="8296"/>
        </w:tabs>
        <w:ind w:left="420"/>
        <w:rPr>
          <w:rFonts w:cs="宋体"/>
          <w:color w:val="auto"/>
          <w:sz w:val="21"/>
          <w:szCs w:val="21"/>
        </w:rPr>
      </w:pPr>
      <w:r>
        <w:rPr>
          <w:rFonts w:hint="eastAsia" w:cs="宋体"/>
          <w:color w:val="auto"/>
          <w:sz w:val="21"/>
          <w:szCs w:val="21"/>
        </w:rPr>
        <w:fldChar w:fldCharType="end"/>
      </w:r>
    </w:p>
    <w:p w14:paraId="4B217E3C">
      <w:pPr>
        <w:rPr>
          <w:rFonts w:ascii="宋体" w:hAnsi="宋体" w:cs="宋体"/>
          <w:color w:val="auto"/>
          <w:szCs w:val="21"/>
        </w:rPr>
      </w:pPr>
    </w:p>
    <w:p w14:paraId="5EF4A7D3">
      <w:pPr>
        <w:pStyle w:val="11"/>
        <w:rPr>
          <w:color w:val="auto"/>
          <w:sz w:val="21"/>
          <w:szCs w:val="21"/>
          <w:lang w:val="en-US" w:bidi="ar-SA"/>
        </w:rPr>
      </w:pPr>
    </w:p>
    <w:p w14:paraId="6AD7364C">
      <w:pPr>
        <w:pStyle w:val="11"/>
        <w:rPr>
          <w:color w:val="auto"/>
          <w:sz w:val="21"/>
          <w:szCs w:val="21"/>
          <w:lang w:val="en-US" w:bidi="ar-SA"/>
        </w:rPr>
      </w:pPr>
    </w:p>
    <w:p w14:paraId="5D4AE9FC">
      <w:pPr>
        <w:pStyle w:val="11"/>
        <w:rPr>
          <w:color w:val="auto"/>
          <w:sz w:val="21"/>
          <w:szCs w:val="21"/>
          <w:lang w:val="en-US" w:bidi="ar-SA"/>
        </w:rPr>
      </w:pPr>
    </w:p>
    <w:p w14:paraId="1DFF4370">
      <w:pPr>
        <w:pStyle w:val="11"/>
        <w:rPr>
          <w:color w:val="auto"/>
          <w:sz w:val="21"/>
          <w:szCs w:val="21"/>
          <w:lang w:val="en-US" w:bidi="ar-SA"/>
        </w:rPr>
      </w:pPr>
    </w:p>
    <w:p w14:paraId="64CADFD3">
      <w:pPr>
        <w:pStyle w:val="11"/>
        <w:rPr>
          <w:color w:val="auto"/>
          <w:sz w:val="21"/>
          <w:szCs w:val="21"/>
          <w:lang w:val="en-US" w:bidi="ar-SA"/>
        </w:rPr>
      </w:pPr>
    </w:p>
    <w:p w14:paraId="55F98E13">
      <w:pPr>
        <w:pStyle w:val="11"/>
        <w:rPr>
          <w:color w:val="auto"/>
          <w:sz w:val="21"/>
          <w:szCs w:val="21"/>
          <w:lang w:val="en-US" w:bidi="ar-SA"/>
        </w:rPr>
      </w:pPr>
    </w:p>
    <w:p w14:paraId="61CC425F">
      <w:pPr>
        <w:rPr>
          <w:color w:val="auto"/>
          <w:sz w:val="28"/>
          <w:szCs w:val="28"/>
        </w:rPr>
      </w:pPr>
      <w:bookmarkStart w:id="0" w:name="_Toc19779"/>
      <w:bookmarkStart w:id="1" w:name="_Toc12301"/>
      <w:bookmarkStart w:id="2" w:name="_Toc27043"/>
      <w:r>
        <w:rPr>
          <w:rFonts w:hint="eastAsia"/>
          <w:color w:val="auto"/>
          <w:sz w:val="28"/>
          <w:szCs w:val="28"/>
        </w:rPr>
        <w:br w:type="page"/>
      </w:r>
    </w:p>
    <w:p w14:paraId="741B1DAF">
      <w:pPr>
        <w:pStyle w:val="3"/>
        <w:spacing w:before="0" w:after="0" w:line="240" w:lineRule="auto"/>
        <w:rPr>
          <w:color w:val="auto"/>
          <w:sz w:val="28"/>
          <w:szCs w:val="28"/>
        </w:rPr>
      </w:pPr>
      <w:bookmarkStart w:id="3" w:name="_Toc32607"/>
      <w:r>
        <w:rPr>
          <w:rFonts w:hint="eastAsia"/>
          <w:color w:val="auto"/>
          <w:sz w:val="28"/>
          <w:szCs w:val="28"/>
        </w:rPr>
        <w:t>第一部分投标邀请</w:t>
      </w:r>
      <w:bookmarkEnd w:id="0"/>
      <w:bookmarkEnd w:id="1"/>
      <w:bookmarkEnd w:id="2"/>
      <w:bookmarkEnd w:id="3"/>
    </w:p>
    <w:p w14:paraId="4F4EC759">
      <w:pPr>
        <w:pStyle w:val="4"/>
        <w:spacing w:before="0" w:after="0" w:line="360" w:lineRule="auto"/>
        <w:jc w:val="center"/>
        <w:rPr>
          <w:rFonts w:ascii="宋体" w:hAnsi="宋体" w:cs="宋体"/>
          <w:color w:val="auto"/>
        </w:rPr>
      </w:pPr>
      <w:bookmarkStart w:id="4" w:name="_Toc21531"/>
      <w:bookmarkStart w:id="5" w:name="_Toc32058"/>
      <w:bookmarkStart w:id="6" w:name="_Toc4629"/>
      <w:bookmarkStart w:id="7" w:name="_Toc2452"/>
      <w:bookmarkStart w:id="8" w:name="_Toc31763"/>
      <w:r>
        <w:rPr>
          <w:rFonts w:hint="eastAsia" w:ascii="宋体" w:hAnsi="宋体" w:cs="宋体"/>
          <w:color w:val="auto"/>
        </w:rPr>
        <w:t>投标邀请书</w:t>
      </w:r>
      <w:bookmarkEnd w:id="4"/>
      <w:bookmarkEnd w:id="5"/>
      <w:bookmarkEnd w:id="6"/>
      <w:bookmarkEnd w:id="7"/>
      <w:bookmarkEnd w:id="8"/>
    </w:p>
    <w:p w14:paraId="1C427614">
      <w:pPr>
        <w:ind w:firstLine="422" w:firstLineChars="200"/>
        <w:rPr>
          <w:rFonts w:ascii="宋体" w:hAnsi="宋体"/>
          <w:color w:val="auto"/>
          <w:szCs w:val="21"/>
        </w:rPr>
      </w:pPr>
      <w:r>
        <w:rPr>
          <w:rFonts w:hint="eastAsia" w:ascii="宋体" w:hAnsi="宋体"/>
          <w:b/>
          <w:bCs/>
          <w:color w:val="auto"/>
          <w:szCs w:val="21"/>
          <w:u w:val="single"/>
        </w:rPr>
        <w:t>广东志正招标有限公司东莞分公司</w:t>
      </w:r>
      <w:r>
        <w:rPr>
          <w:rFonts w:ascii="宋体" w:hAnsi="宋体"/>
          <w:color w:val="auto"/>
          <w:szCs w:val="21"/>
        </w:rPr>
        <w:t>（以下简称</w:t>
      </w:r>
      <w:r>
        <w:rPr>
          <w:rFonts w:hint="eastAsia" w:ascii="宋体" w:hAnsi="宋体"/>
          <w:color w:val="auto"/>
          <w:szCs w:val="21"/>
        </w:rPr>
        <w:t>“采购代理机构”</w:t>
      </w:r>
      <w:r>
        <w:rPr>
          <w:rFonts w:ascii="宋体" w:hAnsi="宋体"/>
          <w:color w:val="auto"/>
          <w:szCs w:val="21"/>
        </w:rPr>
        <w:t>）受</w:t>
      </w:r>
      <w:r>
        <w:rPr>
          <w:rFonts w:hint="eastAsia" w:ascii="宋体" w:hAnsi="宋体"/>
          <w:b/>
          <w:color w:val="auto"/>
          <w:szCs w:val="21"/>
          <w:u w:val="single"/>
        </w:rPr>
        <w:t>东莞市安居建设投资有限公司</w:t>
      </w:r>
      <w:r>
        <w:rPr>
          <w:rFonts w:ascii="宋体" w:hAnsi="宋体"/>
          <w:color w:val="auto"/>
          <w:szCs w:val="21"/>
        </w:rPr>
        <w:t>（以下简称</w:t>
      </w:r>
      <w:r>
        <w:rPr>
          <w:rFonts w:hint="eastAsia" w:ascii="宋体" w:hAnsi="宋体"/>
          <w:color w:val="auto"/>
          <w:szCs w:val="21"/>
        </w:rPr>
        <w:t>“采购人”</w:t>
      </w:r>
      <w:r>
        <w:rPr>
          <w:rFonts w:ascii="宋体" w:hAnsi="宋体"/>
          <w:color w:val="auto"/>
          <w:szCs w:val="21"/>
        </w:rPr>
        <w:t>）委托，</w:t>
      </w:r>
      <w:r>
        <w:rPr>
          <w:rFonts w:hint="eastAsia" w:ascii="宋体" w:hAnsi="宋体"/>
          <w:color w:val="auto"/>
          <w:szCs w:val="21"/>
        </w:rPr>
        <w:t>现</w:t>
      </w:r>
      <w:r>
        <w:rPr>
          <w:rFonts w:ascii="宋体" w:hAnsi="宋体"/>
          <w:color w:val="auto"/>
          <w:szCs w:val="21"/>
        </w:rPr>
        <w:t>就</w:t>
      </w:r>
      <w:r>
        <w:rPr>
          <w:rFonts w:hint="eastAsia" w:ascii="宋体" w:hAnsi="宋体"/>
          <w:b/>
          <w:color w:val="auto"/>
          <w:szCs w:val="21"/>
          <w:u w:val="single"/>
        </w:rPr>
        <w:t>2026年东莞市安居建设投资有限公司适老化家具采购</w:t>
      </w:r>
      <w:r>
        <w:rPr>
          <w:rFonts w:hint="eastAsia" w:ascii="宋体" w:hAnsi="宋体"/>
          <w:color w:val="auto"/>
          <w:szCs w:val="21"/>
        </w:rPr>
        <w:t>（项目编号：</w:t>
      </w:r>
      <w:r>
        <w:rPr>
          <w:rFonts w:hint="eastAsia" w:ascii="宋体" w:hAnsi="宋体"/>
          <w:b/>
          <w:bCs/>
          <w:color w:val="auto"/>
          <w:szCs w:val="21"/>
        </w:rPr>
        <w:t>AJJS-SL-05-01-13(2026)</w:t>
      </w:r>
      <w:r>
        <w:rPr>
          <w:rFonts w:hint="eastAsia" w:ascii="宋体" w:hAnsi="宋体"/>
          <w:color w:val="auto"/>
          <w:szCs w:val="21"/>
        </w:rPr>
        <w:t>）</w:t>
      </w:r>
      <w:r>
        <w:rPr>
          <w:rFonts w:hint="eastAsia" w:ascii="宋体" w:hAnsi="宋体" w:cs="Times New Roman"/>
          <w:color w:val="auto"/>
          <w:szCs w:val="21"/>
        </w:rPr>
        <w:t>进行国内公开采购</w:t>
      </w:r>
      <w:r>
        <w:rPr>
          <w:rFonts w:hint="eastAsia" w:ascii="宋体" w:hAnsi="宋体"/>
          <w:color w:val="auto"/>
          <w:szCs w:val="21"/>
        </w:rPr>
        <w:t>，欢迎符合采购文件要求的国内投标人参加投标</w:t>
      </w:r>
      <w:r>
        <w:rPr>
          <w:rFonts w:ascii="宋体" w:hAnsi="宋体"/>
          <w:color w:val="auto"/>
          <w:szCs w:val="21"/>
        </w:rPr>
        <w:t>。有关事项如下：</w:t>
      </w:r>
    </w:p>
    <w:p w14:paraId="3CB8A173">
      <w:pPr>
        <w:ind w:firstLine="413" w:firstLineChars="196"/>
        <w:rPr>
          <w:rFonts w:ascii="宋体" w:hAnsi="宋体"/>
          <w:b/>
          <w:color w:val="auto"/>
          <w:szCs w:val="21"/>
        </w:rPr>
      </w:pPr>
    </w:p>
    <w:p w14:paraId="12169DDC">
      <w:pPr>
        <w:outlineLvl w:val="1"/>
        <w:rPr>
          <w:rFonts w:ascii="宋体" w:hAnsi="宋体"/>
          <w:b/>
          <w:color w:val="auto"/>
          <w:szCs w:val="21"/>
        </w:rPr>
      </w:pPr>
      <w:bookmarkStart w:id="9" w:name="_Toc27701"/>
      <w:r>
        <w:rPr>
          <w:rFonts w:hint="eastAsia" w:ascii="宋体" w:hAnsi="宋体"/>
          <w:b/>
          <w:color w:val="auto"/>
          <w:szCs w:val="21"/>
        </w:rPr>
        <w:t>一、采购项目概况</w:t>
      </w:r>
      <w:bookmarkEnd w:id="9"/>
    </w:p>
    <w:p w14:paraId="08B2B5AD">
      <w:pPr>
        <w:ind w:firstLine="420" w:firstLineChars="200"/>
        <w:rPr>
          <w:rFonts w:ascii="宋体" w:hAnsi="宋体"/>
          <w:bCs/>
          <w:color w:val="auto"/>
          <w:szCs w:val="21"/>
        </w:rPr>
      </w:pPr>
      <w:r>
        <w:rPr>
          <w:rFonts w:ascii="宋体" w:hAnsi="宋体"/>
          <w:color w:val="auto"/>
          <w:szCs w:val="21"/>
        </w:rPr>
        <w:t>1</w:t>
      </w:r>
      <w:r>
        <w:rPr>
          <w:rFonts w:hint="eastAsia" w:ascii="宋体" w:hAnsi="宋体"/>
          <w:color w:val="auto"/>
          <w:szCs w:val="21"/>
        </w:rPr>
        <w:t>、采购</w:t>
      </w:r>
      <w:r>
        <w:rPr>
          <w:rFonts w:ascii="宋体" w:hAnsi="宋体"/>
          <w:color w:val="auto"/>
          <w:szCs w:val="21"/>
        </w:rPr>
        <w:t>项目名称</w:t>
      </w:r>
      <w:r>
        <w:rPr>
          <w:rFonts w:hint="eastAsia" w:ascii="宋体" w:hAnsi="宋体"/>
          <w:color w:val="auto"/>
          <w:szCs w:val="21"/>
        </w:rPr>
        <w:t>：</w:t>
      </w:r>
      <w:r>
        <w:rPr>
          <w:rFonts w:hint="eastAsia" w:ascii="宋体" w:hAnsi="宋体"/>
          <w:bCs/>
          <w:color w:val="auto"/>
          <w:szCs w:val="21"/>
          <w:u w:val="single"/>
        </w:rPr>
        <w:t>2026年东莞市安居建设投资有限公司适老化家具采购</w:t>
      </w:r>
    </w:p>
    <w:p w14:paraId="4AF05C87">
      <w:pPr>
        <w:ind w:firstLine="420" w:firstLineChars="200"/>
        <w:rPr>
          <w:rFonts w:ascii="宋体" w:hAnsi="宋体"/>
          <w:bCs/>
          <w:color w:val="auto"/>
          <w:szCs w:val="21"/>
          <w:u w:val="single"/>
        </w:rPr>
      </w:pPr>
      <w:r>
        <w:rPr>
          <w:rFonts w:hint="eastAsia" w:ascii="宋体" w:hAnsi="宋体"/>
          <w:color w:val="auto"/>
          <w:szCs w:val="21"/>
        </w:rPr>
        <w:t>2、</w:t>
      </w:r>
      <w:r>
        <w:rPr>
          <w:rFonts w:ascii="宋体" w:hAnsi="宋体"/>
          <w:color w:val="auto"/>
          <w:szCs w:val="21"/>
        </w:rPr>
        <w:t>预算金额（</w:t>
      </w:r>
      <w:r>
        <w:rPr>
          <w:rFonts w:hint="eastAsia" w:ascii="宋体" w:hAnsi="宋体"/>
          <w:color w:val="auto"/>
          <w:szCs w:val="21"/>
        </w:rPr>
        <w:t>元</w:t>
      </w:r>
      <w:r>
        <w:rPr>
          <w:rFonts w:ascii="宋体" w:hAnsi="宋体"/>
          <w:color w:val="auto"/>
          <w:szCs w:val="21"/>
        </w:rPr>
        <w:t>）</w:t>
      </w:r>
      <w:r>
        <w:rPr>
          <w:rFonts w:hint="eastAsia" w:ascii="宋体" w:hAnsi="宋体"/>
          <w:color w:val="auto"/>
          <w:szCs w:val="21"/>
        </w:rPr>
        <w:t>：</w:t>
      </w:r>
      <w:r>
        <w:rPr>
          <w:rFonts w:ascii="宋体" w:hAnsi="宋体"/>
          <w:bCs/>
          <w:color w:val="auto"/>
          <w:szCs w:val="21"/>
          <w:u w:val="single"/>
        </w:rPr>
        <w:t>¥</w:t>
      </w:r>
      <w:r>
        <w:rPr>
          <w:rFonts w:hint="eastAsia" w:ascii="宋体" w:hAnsi="宋体"/>
          <w:bCs/>
          <w:color w:val="auto"/>
          <w:szCs w:val="21"/>
          <w:u w:val="single"/>
        </w:rPr>
        <w:t>541,698.76元</w:t>
      </w:r>
      <w:r>
        <w:rPr>
          <w:rFonts w:ascii="宋体" w:hAnsi="宋体"/>
          <w:bCs/>
          <w:color w:val="auto"/>
          <w:szCs w:val="21"/>
          <w:u w:val="single"/>
        </w:rPr>
        <w:t>。</w:t>
      </w:r>
    </w:p>
    <w:p w14:paraId="021A871B">
      <w:pPr>
        <w:ind w:firstLine="420" w:firstLineChars="200"/>
        <w:rPr>
          <w:rFonts w:ascii="宋体" w:hAnsi="宋体"/>
          <w:color w:val="auto"/>
          <w:szCs w:val="21"/>
        </w:rPr>
      </w:pPr>
      <w:r>
        <w:rPr>
          <w:rFonts w:hint="eastAsia" w:ascii="宋体" w:hAnsi="宋体"/>
          <w:color w:val="auto"/>
          <w:szCs w:val="21"/>
        </w:rPr>
        <w:t>4、本项目</w:t>
      </w:r>
      <w:r>
        <w:rPr>
          <w:rFonts w:hint="eastAsia" w:ascii="宋体" w:hAnsi="宋体"/>
          <w:b/>
          <w:bCs/>
          <w:color w:val="auto"/>
          <w:szCs w:val="21"/>
        </w:rPr>
        <w:t>不接受</w:t>
      </w:r>
      <w:r>
        <w:rPr>
          <w:rFonts w:hint="eastAsia" w:ascii="宋体" w:hAnsi="宋体"/>
          <w:color w:val="auto"/>
          <w:szCs w:val="21"/>
        </w:rPr>
        <w:t>联合体投标。</w:t>
      </w:r>
    </w:p>
    <w:p w14:paraId="4EBDC50A">
      <w:pPr>
        <w:ind w:firstLine="420" w:firstLineChars="200"/>
        <w:rPr>
          <w:rFonts w:ascii="宋体" w:hAnsi="宋体"/>
          <w:color w:val="auto"/>
          <w:szCs w:val="21"/>
        </w:rPr>
      </w:pPr>
      <w:r>
        <w:rPr>
          <w:rFonts w:hint="eastAsia" w:ascii="宋体" w:hAnsi="宋体"/>
          <w:color w:val="auto"/>
          <w:szCs w:val="21"/>
        </w:rPr>
        <w:t>5、项目内容:</w:t>
      </w:r>
      <w:r>
        <w:rPr>
          <w:rFonts w:hint="eastAsia" w:ascii="宋体" w:hAnsi="宋体"/>
          <w:bCs/>
          <w:color w:val="auto"/>
          <w:szCs w:val="21"/>
        </w:rPr>
        <w:t>2026年东莞市安居建设投资有限公司适老化家具采购</w:t>
      </w:r>
    </w:p>
    <w:p w14:paraId="613CED3F">
      <w:pPr>
        <w:ind w:firstLine="420" w:firstLineChars="200"/>
        <w:outlineLvl w:val="2"/>
        <w:rPr>
          <w:rFonts w:ascii="宋体" w:hAnsi="宋体"/>
          <w:color w:val="auto"/>
          <w:szCs w:val="21"/>
        </w:rPr>
      </w:pPr>
      <w:bookmarkStart w:id="10" w:name="_Toc19113"/>
      <w:r>
        <w:rPr>
          <w:rFonts w:hint="eastAsia" w:ascii="宋体" w:hAnsi="宋体"/>
          <w:color w:val="auto"/>
          <w:szCs w:val="21"/>
        </w:rPr>
        <w:t>6、项目需求：详细内容请参阅采购文件第三部分《用户需求书》。</w:t>
      </w:r>
      <w:bookmarkEnd w:id="10"/>
    </w:p>
    <w:p w14:paraId="796667D8">
      <w:pPr>
        <w:outlineLvl w:val="1"/>
        <w:rPr>
          <w:rFonts w:ascii="宋体" w:hAnsi="宋体"/>
          <w:b/>
          <w:color w:val="auto"/>
          <w:szCs w:val="21"/>
        </w:rPr>
      </w:pPr>
      <w:bookmarkStart w:id="11" w:name="_Toc15856"/>
      <w:r>
        <w:rPr>
          <w:rFonts w:hint="eastAsia" w:ascii="宋体" w:hAnsi="宋体"/>
          <w:b/>
          <w:color w:val="auto"/>
          <w:szCs w:val="21"/>
        </w:rPr>
        <w:t>二、投标人资格要求</w:t>
      </w:r>
      <w:bookmarkEnd w:id="11"/>
    </w:p>
    <w:p w14:paraId="68AAC121">
      <w:pPr>
        <w:ind w:firstLine="411" w:firstLineChars="196"/>
        <w:outlineLvl w:val="2"/>
        <w:rPr>
          <w:rFonts w:ascii="宋体" w:hAnsi="宋体" w:cs="宋体"/>
          <w:color w:val="auto"/>
          <w:szCs w:val="21"/>
        </w:rPr>
      </w:pPr>
      <w:bookmarkStart w:id="12" w:name="_Toc28512"/>
      <w:r>
        <w:rPr>
          <w:rFonts w:hint="eastAsia" w:ascii="宋体" w:hAnsi="宋体" w:cs="宋体"/>
          <w:color w:val="auto"/>
          <w:szCs w:val="21"/>
        </w:rPr>
        <w:t>1、一般要求：</w:t>
      </w:r>
      <w:bookmarkEnd w:id="12"/>
    </w:p>
    <w:p w14:paraId="79BFEBF9">
      <w:pPr>
        <w:ind w:firstLine="420" w:firstLineChars="200"/>
        <w:rPr>
          <w:rFonts w:ascii="宋体" w:hAnsi="宋体" w:cs="宋体"/>
          <w:color w:val="auto"/>
          <w:szCs w:val="21"/>
        </w:rPr>
      </w:pPr>
      <w:r>
        <w:rPr>
          <w:rFonts w:hint="eastAsia" w:ascii="宋体" w:hAnsi="宋体" w:cs="宋体"/>
          <w:color w:val="auto"/>
          <w:szCs w:val="21"/>
        </w:rPr>
        <w:t>（1）投标人须为在中华人民共和国境内登记注册的具有独立承担民事责任能力的法人或其他组织【提供《营业执照》复印件（加盖公章）或《事业单位法人证书》复印件（加盖公章）或其他主体证书复印件（加盖公章）】。</w:t>
      </w:r>
    </w:p>
    <w:p w14:paraId="52CC9941">
      <w:pPr>
        <w:ind w:firstLine="420" w:firstLineChars="200"/>
        <w:rPr>
          <w:rFonts w:ascii="宋体" w:hAnsi="宋体" w:cs="宋体"/>
          <w:color w:val="auto"/>
          <w:szCs w:val="21"/>
        </w:rPr>
      </w:pPr>
      <w:r>
        <w:rPr>
          <w:rFonts w:hint="eastAsia" w:ascii="宋体" w:hAnsi="宋体" w:cs="宋体"/>
          <w:color w:val="auto"/>
          <w:szCs w:val="21"/>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0E203EBD">
      <w:pPr>
        <w:ind w:firstLine="420" w:firstLineChars="200"/>
        <w:rPr>
          <w:rFonts w:ascii="宋体" w:hAnsi="宋体" w:cs="宋体"/>
          <w:color w:val="auto"/>
          <w:szCs w:val="21"/>
        </w:rPr>
      </w:pPr>
      <w:r>
        <w:rPr>
          <w:rFonts w:hint="eastAsia" w:ascii="宋体" w:hAnsi="宋体" w:cs="宋体"/>
          <w:color w:val="auto"/>
          <w:szCs w:val="21"/>
        </w:rPr>
        <w:t>（3）投标人的单位负责人为同一人或者存在直接控股、管理关系的不同投标人，不得参加同一合同项下的采购活动。</w:t>
      </w:r>
    </w:p>
    <w:p w14:paraId="06139043">
      <w:pPr>
        <w:ind w:firstLine="420" w:firstLineChars="200"/>
        <w:rPr>
          <w:rFonts w:ascii="宋体" w:hAnsi="宋体" w:cs="宋体"/>
          <w:color w:val="auto"/>
          <w:szCs w:val="21"/>
        </w:rPr>
      </w:pPr>
      <w:r>
        <w:rPr>
          <w:rFonts w:hint="eastAsia" w:ascii="宋体" w:hAnsi="宋体" w:cs="宋体"/>
          <w:color w:val="auto"/>
          <w:szCs w:val="21"/>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p w14:paraId="37920546">
      <w:pPr>
        <w:ind w:firstLine="420" w:firstLineChars="200"/>
        <w:rPr>
          <w:rFonts w:ascii="宋体" w:hAnsi="宋体" w:cs="宋体"/>
          <w:color w:val="auto"/>
          <w:szCs w:val="21"/>
        </w:rPr>
      </w:pPr>
      <w:r>
        <w:rPr>
          <w:rFonts w:hint="eastAsia" w:ascii="宋体" w:hAnsi="宋体" w:cs="宋体"/>
          <w:color w:val="auto"/>
          <w:szCs w:val="21"/>
        </w:rPr>
        <w:t>（5）投标人自招标公告发布之日起前两年内，在经营活动中没有因串通投标、弄虚作假、行贿、转包、违法分包、挂靠、死亡事故违法违规行为受到行政、刑事处罚的。以代理机构于投标截止日当天在“信用中国”网站查询结果为准。</w:t>
      </w:r>
    </w:p>
    <w:p w14:paraId="77E12B56">
      <w:pPr>
        <w:rPr>
          <w:rFonts w:ascii="宋体" w:hAnsi="宋体"/>
          <w:b/>
          <w:color w:val="auto"/>
          <w:szCs w:val="21"/>
        </w:rPr>
      </w:pPr>
    </w:p>
    <w:p w14:paraId="14488B70">
      <w:pPr>
        <w:outlineLvl w:val="1"/>
        <w:rPr>
          <w:rFonts w:ascii="宋体" w:hAnsi="宋体"/>
          <w:b/>
          <w:color w:val="auto"/>
          <w:szCs w:val="21"/>
        </w:rPr>
      </w:pPr>
      <w:bookmarkStart w:id="13" w:name="_Toc21431"/>
      <w:r>
        <w:rPr>
          <w:rFonts w:hint="eastAsia" w:ascii="宋体" w:hAnsi="宋体"/>
          <w:b/>
          <w:color w:val="auto"/>
          <w:szCs w:val="21"/>
        </w:rPr>
        <w:t>三、获取采购文件方式及要求</w:t>
      </w:r>
      <w:bookmarkEnd w:id="13"/>
    </w:p>
    <w:p w14:paraId="3E1A11A4">
      <w:pPr>
        <w:wordWrap w:val="0"/>
        <w:ind w:firstLine="420" w:firstLineChars="200"/>
        <w:rPr>
          <w:rFonts w:ascii="宋体" w:hAnsi="宋体" w:cs="宋体"/>
          <w:color w:val="auto"/>
          <w:szCs w:val="21"/>
        </w:rPr>
      </w:pPr>
      <w:r>
        <w:rPr>
          <w:rFonts w:hint="eastAsia" w:ascii="宋体" w:hAnsi="宋体" w:cs="宋体"/>
          <w:color w:val="auto"/>
          <w:szCs w:val="21"/>
        </w:rPr>
        <w:t>本项目不进行实名登记报名，拟参加投标的投标人可于投标截止时间前自行网上下载采购文件。采购文件下载地址：</w:t>
      </w:r>
      <w:r>
        <w:rPr>
          <w:rFonts w:hint="eastAsia" w:ascii="宋体" w:hAnsi="宋体" w:cs="宋体"/>
          <w:color w:val="auto"/>
          <w:szCs w:val="21"/>
          <w:u w:val="single"/>
        </w:rPr>
        <w:t>中国招标投标公共服务平台（http://www.cebpubservice.com/）、东莞实业投资控股集团有限公司-招标采购栏目（http://www.dgsy.com.cn/）、东莞市安居建设投资有限公司（下属公司）（http://www.0769anju.com/）、广东志正招标有限公司东莞分公司官网（http://www.zztender.com/）</w:t>
      </w:r>
      <w:r>
        <w:rPr>
          <w:rFonts w:hint="eastAsia" w:ascii="宋体" w:hAnsi="宋体" w:cs="宋体"/>
          <w:color w:val="auto"/>
          <w:szCs w:val="21"/>
        </w:rPr>
        <w:t>。</w:t>
      </w:r>
    </w:p>
    <w:p w14:paraId="0923A523">
      <w:pPr>
        <w:rPr>
          <w:color w:val="auto"/>
        </w:rPr>
      </w:pPr>
    </w:p>
    <w:p w14:paraId="3782DA0D">
      <w:pPr>
        <w:outlineLvl w:val="1"/>
        <w:rPr>
          <w:rFonts w:ascii="宋体" w:hAnsi="宋体"/>
          <w:b/>
          <w:color w:val="auto"/>
          <w:szCs w:val="21"/>
        </w:rPr>
      </w:pPr>
      <w:bookmarkStart w:id="14" w:name="_Toc11636"/>
      <w:r>
        <w:rPr>
          <w:rFonts w:hint="eastAsia" w:ascii="宋体" w:hAnsi="宋体"/>
          <w:b/>
          <w:color w:val="auto"/>
          <w:szCs w:val="21"/>
        </w:rPr>
        <w:t>四、投标文件的递交</w:t>
      </w:r>
      <w:bookmarkEnd w:id="14"/>
    </w:p>
    <w:p w14:paraId="31F3F040">
      <w:pPr>
        <w:ind w:firstLine="420" w:firstLineChars="200"/>
        <w:rPr>
          <w:rFonts w:ascii="宋体" w:hAnsi="宋体"/>
          <w:color w:val="auto"/>
          <w:szCs w:val="21"/>
        </w:rPr>
      </w:pPr>
      <w:r>
        <w:rPr>
          <w:rFonts w:hint="eastAsia" w:ascii="宋体" w:hAnsi="宋体"/>
          <w:color w:val="auto"/>
          <w:szCs w:val="21"/>
        </w:rPr>
        <w:t>1、递交投标文件时间：</w:t>
      </w:r>
      <w:r>
        <w:rPr>
          <w:rFonts w:hint="eastAsia" w:ascii="宋体" w:hAnsi="宋体" w:cs="宋体"/>
          <w:color w:val="auto"/>
          <w:szCs w:val="21"/>
        </w:rPr>
        <w:t>2026年</w:t>
      </w:r>
      <w:r>
        <w:rPr>
          <w:rFonts w:hint="eastAsia" w:ascii="宋体" w:hAnsi="宋体" w:cs="宋体"/>
          <w:color w:val="auto"/>
          <w:szCs w:val="21"/>
          <w:lang w:val="en-US" w:eastAsia="zh-CN"/>
        </w:rPr>
        <w:t>09</w:t>
      </w:r>
      <w:r>
        <w:rPr>
          <w:rFonts w:hint="eastAsia" w:ascii="宋体" w:hAnsi="宋体" w:cs="宋体"/>
          <w:color w:val="auto"/>
          <w:szCs w:val="21"/>
        </w:rPr>
        <w:t>月</w:t>
      </w:r>
      <w:r>
        <w:rPr>
          <w:rFonts w:hint="eastAsia" w:ascii="宋体" w:hAnsi="宋体" w:cs="宋体"/>
          <w:color w:val="auto"/>
          <w:szCs w:val="21"/>
          <w:lang w:val="en-US" w:eastAsia="zh-CN"/>
        </w:rPr>
        <w:t>15</w:t>
      </w:r>
      <w:r>
        <w:rPr>
          <w:rFonts w:hint="eastAsia" w:ascii="宋体" w:hAnsi="宋体" w:cs="宋体"/>
          <w:color w:val="auto"/>
          <w:szCs w:val="21"/>
        </w:rPr>
        <w:t>日（</w:t>
      </w:r>
      <w:r>
        <w:rPr>
          <w:rFonts w:hint="eastAsia" w:ascii="宋体" w:hAnsi="宋体"/>
          <w:color w:val="auto"/>
          <w:szCs w:val="21"/>
        </w:rPr>
        <w:t xml:space="preserve">北京时间） </w:t>
      </w:r>
      <w:r>
        <w:rPr>
          <w:rFonts w:hint="eastAsia" w:ascii="宋体" w:hAnsi="宋体"/>
          <w:color w:val="auto"/>
          <w:szCs w:val="21"/>
          <w:lang w:val="en-US" w:eastAsia="zh-CN"/>
        </w:rPr>
        <w:t>14</w:t>
      </w:r>
      <w:r>
        <w:rPr>
          <w:rFonts w:hint="eastAsia" w:ascii="宋体" w:hAnsi="宋体"/>
          <w:color w:val="auto"/>
          <w:szCs w:val="21"/>
        </w:rPr>
        <w:t>:</w:t>
      </w:r>
      <w:r>
        <w:rPr>
          <w:rFonts w:hint="eastAsia" w:ascii="宋体" w:hAnsi="宋体"/>
          <w:color w:val="auto"/>
          <w:szCs w:val="21"/>
          <w:lang w:val="en-US" w:eastAsia="zh-CN"/>
        </w:rPr>
        <w:t>30</w:t>
      </w:r>
      <w:r>
        <w:rPr>
          <w:rFonts w:ascii="宋体" w:hAnsi="宋体"/>
          <w:color w:val="auto"/>
          <w:szCs w:val="21"/>
        </w:rPr>
        <w:t>-</w:t>
      </w:r>
      <w:r>
        <w:rPr>
          <w:rFonts w:hint="eastAsia" w:ascii="宋体" w:hAnsi="宋体"/>
          <w:color w:val="auto"/>
          <w:szCs w:val="21"/>
          <w:lang w:val="en-US" w:eastAsia="zh-CN"/>
        </w:rPr>
        <w:t>15</w:t>
      </w:r>
      <w:r>
        <w:rPr>
          <w:rFonts w:hint="eastAsia" w:ascii="宋体" w:hAnsi="宋体"/>
          <w:color w:val="auto"/>
          <w:szCs w:val="21"/>
        </w:rPr>
        <w:t>:</w:t>
      </w:r>
      <w:r>
        <w:rPr>
          <w:rFonts w:hint="eastAsia" w:ascii="宋体" w:hAnsi="宋体"/>
          <w:color w:val="auto"/>
          <w:szCs w:val="21"/>
          <w:lang w:val="en-US" w:eastAsia="zh-CN"/>
        </w:rPr>
        <w:t>0</w:t>
      </w:r>
      <w:r>
        <w:rPr>
          <w:rFonts w:hint="eastAsia" w:ascii="宋体" w:hAnsi="宋体"/>
          <w:color w:val="auto"/>
          <w:szCs w:val="21"/>
        </w:rPr>
        <w:t>0。</w:t>
      </w:r>
    </w:p>
    <w:p w14:paraId="7654A4AF">
      <w:pPr>
        <w:ind w:firstLine="420" w:firstLineChars="200"/>
        <w:rPr>
          <w:rFonts w:ascii="宋体" w:hAnsi="宋体"/>
          <w:color w:val="auto"/>
          <w:szCs w:val="21"/>
        </w:rPr>
      </w:pPr>
      <w:r>
        <w:rPr>
          <w:rFonts w:hint="eastAsia" w:ascii="宋体" w:hAnsi="宋体"/>
          <w:color w:val="auto"/>
          <w:szCs w:val="21"/>
        </w:rPr>
        <w:t>2、递交投标文件</w:t>
      </w:r>
      <w:r>
        <w:rPr>
          <w:rFonts w:ascii="宋体" w:hAnsi="宋体"/>
          <w:color w:val="auto"/>
          <w:szCs w:val="21"/>
        </w:rPr>
        <w:t>截止</w:t>
      </w:r>
      <w:r>
        <w:rPr>
          <w:rFonts w:hint="eastAsia" w:ascii="宋体" w:hAnsi="宋体"/>
          <w:color w:val="auto"/>
          <w:szCs w:val="21"/>
        </w:rPr>
        <w:t>及开标时间：</w:t>
      </w:r>
      <w:r>
        <w:rPr>
          <w:rFonts w:hint="eastAsia" w:ascii="宋体" w:hAnsi="宋体" w:cs="宋体"/>
          <w:color w:val="auto"/>
          <w:szCs w:val="21"/>
        </w:rPr>
        <w:t>2026年</w:t>
      </w:r>
      <w:r>
        <w:rPr>
          <w:rFonts w:hint="eastAsia" w:ascii="宋体" w:hAnsi="宋体" w:cs="宋体"/>
          <w:color w:val="auto"/>
          <w:szCs w:val="21"/>
          <w:lang w:val="en-US" w:eastAsia="zh-CN"/>
        </w:rPr>
        <w:t>09</w:t>
      </w:r>
      <w:r>
        <w:rPr>
          <w:rFonts w:hint="eastAsia" w:ascii="宋体" w:hAnsi="宋体" w:cs="宋体"/>
          <w:color w:val="auto"/>
          <w:szCs w:val="21"/>
        </w:rPr>
        <w:t>月</w:t>
      </w:r>
      <w:r>
        <w:rPr>
          <w:rFonts w:hint="eastAsia" w:ascii="宋体" w:hAnsi="宋体" w:cs="宋体"/>
          <w:color w:val="auto"/>
          <w:szCs w:val="21"/>
          <w:lang w:val="en-US" w:eastAsia="zh-CN"/>
        </w:rPr>
        <w:t>15</w:t>
      </w:r>
      <w:r>
        <w:rPr>
          <w:rFonts w:hint="eastAsia" w:ascii="宋体" w:hAnsi="宋体" w:cs="宋体"/>
          <w:color w:val="auto"/>
          <w:szCs w:val="21"/>
        </w:rPr>
        <w:t xml:space="preserve">日 </w:t>
      </w:r>
      <w:r>
        <w:rPr>
          <w:rFonts w:hint="eastAsia" w:ascii="宋体" w:hAnsi="宋体"/>
          <w:color w:val="auto"/>
          <w:szCs w:val="21"/>
          <w:lang w:val="en-US" w:eastAsia="zh-CN"/>
        </w:rPr>
        <w:t>15</w:t>
      </w:r>
      <w:r>
        <w:rPr>
          <w:rFonts w:hint="eastAsia" w:ascii="宋体" w:hAnsi="宋体"/>
          <w:color w:val="auto"/>
          <w:szCs w:val="21"/>
        </w:rPr>
        <w:t>:</w:t>
      </w:r>
      <w:r>
        <w:rPr>
          <w:rFonts w:hint="eastAsia" w:ascii="宋体" w:hAnsi="宋体"/>
          <w:color w:val="auto"/>
          <w:szCs w:val="21"/>
          <w:lang w:val="en-US" w:eastAsia="zh-CN"/>
        </w:rPr>
        <w:t>00</w:t>
      </w:r>
      <w:r>
        <w:rPr>
          <w:rFonts w:hint="eastAsia" w:ascii="宋体" w:hAnsi="宋体"/>
          <w:color w:val="auto"/>
          <w:szCs w:val="21"/>
        </w:rPr>
        <w:t>（北京时间），所有投标文件应于截止时间之前递交，迟交或以电报、传真形式的投标文件将拒绝接收。</w:t>
      </w:r>
    </w:p>
    <w:p w14:paraId="283EBAD2">
      <w:pPr>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开标地点</w:t>
      </w:r>
      <w:r>
        <w:rPr>
          <w:rFonts w:hint="eastAsia" w:ascii="宋体" w:hAnsi="宋体"/>
          <w:color w:val="auto"/>
          <w:szCs w:val="21"/>
        </w:rPr>
        <w:t>：广东省东莞市旗峰路190号城市花园商贸中心10楼开标室。</w:t>
      </w:r>
    </w:p>
    <w:p w14:paraId="0991DDD6">
      <w:pPr>
        <w:ind w:firstLine="420" w:firstLineChars="200"/>
        <w:outlineLvl w:val="2"/>
        <w:rPr>
          <w:rFonts w:ascii="宋体" w:hAnsi="宋体"/>
          <w:color w:val="auto"/>
          <w:szCs w:val="21"/>
        </w:rPr>
      </w:pPr>
      <w:bookmarkStart w:id="15" w:name="_Toc31203"/>
      <w:r>
        <w:rPr>
          <w:rFonts w:hint="eastAsia" w:ascii="宋体" w:hAnsi="宋体"/>
          <w:color w:val="auto"/>
          <w:szCs w:val="21"/>
        </w:rPr>
        <w:t>4、出现以下情形时，采购代理机构不予接收投标（响应）文件：</w:t>
      </w:r>
      <w:bookmarkEnd w:id="15"/>
    </w:p>
    <w:p w14:paraId="3BF82286">
      <w:pPr>
        <w:ind w:firstLine="420" w:firstLineChars="200"/>
        <w:rPr>
          <w:rFonts w:ascii="宋体" w:hAnsi="宋体"/>
          <w:color w:val="auto"/>
          <w:szCs w:val="21"/>
        </w:rPr>
      </w:pPr>
      <w:r>
        <w:rPr>
          <w:rFonts w:ascii="宋体" w:hAnsi="宋体"/>
          <w:color w:val="auto"/>
          <w:szCs w:val="21"/>
        </w:rPr>
        <w:tab/>
      </w:r>
      <w:r>
        <w:rPr>
          <w:rFonts w:hint="eastAsia" w:ascii="宋体" w:hAnsi="宋体"/>
          <w:color w:val="auto"/>
          <w:szCs w:val="21"/>
        </w:rPr>
        <w:t>（</w:t>
      </w:r>
      <w:r>
        <w:rPr>
          <w:rFonts w:ascii="宋体" w:hAnsi="宋体"/>
          <w:color w:val="auto"/>
          <w:szCs w:val="21"/>
        </w:rPr>
        <w:t>1</w:t>
      </w:r>
      <w:r>
        <w:rPr>
          <w:rFonts w:hint="eastAsia" w:ascii="宋体" w:hAnsi="宋体"/>
          <w:color w:val="auto"/>
          <w:szCs w:val="21"/>
        </w:rPr>
        <w:t>）逾期送达或者未送达指定地点的；</w:t>
      </w:r>
    </w:p>
    <w:p w14:paraId="395148F8">
      <w:pPr>
        <w:ind w:firstLine="420" w:firstLineChars="200"/>
        <w:rPr>
          <w:rFonts w:ascii="宋体" w:hAnsi="宋体"/>
          <w:color w:val="auto"/>
          <w:szCs w:val="21"/>
        </w:rPr>
      </w:pPr>
      <w:r>
        <w:rPr>
          <w:rFonts w:ascii="宋体" w:hAnsi="宋体"/>
          <w:color w:val="auto"/>
          <w:szCs w:val="21"/>
        </w:rPr>
        <w:tab/>
      </w:r>
      <w:r>
        <w:rPr>
          <w:rFonts w:hint="eastAsia" w:ascii="宋体" w:hAnsi="宋体"/>
          <w:color w:val="auto"/>
          <w:szCs w:val="21"/>
        </w:rPr>
        <w:t>（</w:t>
      </w:r>
      <w:r>
        <w:rPr>
          <w:rFonts w:ascii="宋体" w:hAnsi="宋体"/>
          <w:color w:val="auto"/>
          <w:szCs w:val="21"/>
        </w:rPr>
        <w:t>2</w:t>
      </w:r>
      <w:r>
        <w:rPr>
          <w:rFonts w:hint="eastAsia" w:ascii="宋体" w:hAnsi="宋体"/>
          <w:color w:val="auto"/>
          <w:szCs w:val="21"/>
        </w:rPr>
        <w:t>）未按采购文件要求密封的。</w:t>
      </w:r>
    </w:p>
    <w:p w14:paraId="7E692735">
      <w:pPr>
        <w:pStyle w:val="45"/>
        <w:ind w:firstLine="400"/>
        <w:rPr>
          <w:color w:val="auto"/>
        </w:rPr>
      </w:pPr>
    </w:p>
    <w:p w14:paraId="231229A5">
      <w:pPr>
        <w:outlineLvl w:val="1"/>
        <w:rPr>
          <w:rFonts w:ascii="宋体" w:hAnsi="宋体"/>
          <w:b/>
          <w:color w:val="auto"/>
          <w:szCs w:val="21"/>
        </w:rPr>
      </w:pPr>
      <w:bookmarkStart w:id="16" w:name="_Toc32208"/>
      <w:r>
        <w:rPr>
          <w:rFonts w:hint="eastAsia" w:ascii="宋体" w:hAnsi="宋体"/>
          <w:b/>
          <w:color w:val="auto"/>
          <w:szCs w:val="21"/>
        </w:rPr>
        <w:t>五、发布公告的媒介</w:t>
      </w:r>
      <w:bookmarkEnd w:id="16"/>
    </w:p>
    <w:p w14:paraId="0AD46F7E">
      <w:pPr>
        <w:pStyle w:val="45"/>
        <w:spacing w:line="360" w:lineRule="auto"/>
        <w:outlineLvl w:val="2"/>
        <w:rPr>
          <w:rFonts w:ascii="宋体" w:hAnsi="宋体" w:eastAsia="宋体" w:cs="宋体"/>
          <w:color w:val="auto"/>
          <w:sz w:val="21"/>
          <w:szCs w:val="21"/>
        </w:rPr>
      </w:pPr>
      <w:bookmarkStart w:id="17" w:name="_Toc5070"/>
      <w:r>
        <w:rPr>
          <w:rFonts w:hint="eastAsia" w:ascii="宋体" w:hAnsi="宋体" w:eastAsia="宋体" w:cs="宋体"/>
          <w:color w:val="auto"/>
          <w:sz w:val="21"/>
          <w:szCs w:val="21"/>
        </w:rPr>
        <w:t>1、采购公告发布媒介：</w:t>
      </w:r>
      <w:bookmarkEnd w:id="17"/>
    </w:p>
    <w:p w14:paraId="12C5F25E">
      <w:pPr>
        <w:pStyle w:val="45"/>
        <w:spacing w:line="360" w:lineRule="auto"/>
        <w:rPr>
          <w:rFonts w:ascii="宋体" w:hAnsi="宋体" w:eastAsia="宋体" w:cs="宋体"/>
          <w:color w:val="auto"/>
          <w:sz w:val="21"/>
          <w:szCs w:val="21"/>
        </w:rPr>
      </w:pPr>
      <w:r>
        <w:rPr>
          <w:rFonts w:hint="eastAsia" w:ascii="宋体" w:hAnsi="宋体" w:eastAsia="宋体" w:cs="宋体"/>
          <w:color w:val="auto"/>
          <w:sz w:val="21"/>
          <w:szCs w:val="21"/>
          <w:u w:val="single"/>
        </w:rPr>
        <w:t>中国招标投标公共服务平台（http://www.cebpubservice.com/）、东莞实业投资控股集团有限公司-招标采购栏目（http://www.dgsy.com.cn/）、东莞市安居建设投资有限公司（http://www.0769anju.com/）、代理公司官网（http://www.zztender.com/）</w:t>
      </w:r>
      <w:r>
        <w:rPr>
          <w:rFonts w:hint="eastAsia" w:ascii="宋体" w:hAnsi="宋体" w:eastAsia="宋体" w:cs="宋体"/>
          <w:color w:val="auto"/>
          <w:sz w:val="21"/>
          <w:szCs w:val="21"/>
        </w:rPr>
        <w:t>。</w:t>
      </w:r>
    </w:p>
    <w:p w14:paraId="4EEFBF76">
      <w:pPr>
        <w:pStyle w:val="45"/>
        <w:spacing w:line="360" w:lineRule="auto"/>
        <w:outlineLvl w:val="2"/>
        <w:rPr>
          <w:rFonts w:ascii="宋体" w:hAnsi="宋体" w:eastAsia="宋体" w:cs="宋体"/>
          <w:bCs/>
          <w:color w:val="auto"/>
          <w:sz w:val="21"/>
          <w:szCs w:val="21"/>
        </w:rPr>
      </w:pPr>
      <w:bookmarkStart w:id="18" w:name="_Toc5170"/>
      <w:r>
        <w:rPr>
          <w:rFonts w:hint="eastAsia" w:ascii="宋体" w:hAnsi="宋体" w:eastAsia="宋体" w:cs="宋体"/>
          <w:bCs/>
          <w:color w:val="auto"/>
          <w:sz w:val="21"/>
          <w:szCs w:val="21"/>
        </w:rPr>
        <w:t>2、结果公告发布媒介：</w:t>
      </w:r>
      <w:bookmarkEnd w:id="18"/>
    </w:p>
    <w:p w14:paraId="5E90FE5D">
      <w:pPr>
        <w:pStyle w:val="45"/>
        <w:spacing w:line="360" w:lineRule="auto"/>
        <w:rPr>
          <w:rFonts w:ascii="宋体" w:hAnsi="宋体" w:eastAsia="宋体" w:cs="宋体"/>
          <w:bCs/>
          <w:color w:val="auto"/>
          <w:sz w:val="21"/>
          <w:szCs w:val="21"/>
        </w:rPr>
      </w:pPr>
      <w:r>
        <w:rPr>
          <w:rFonts w:hint="eastAsia" w:ascii="宋体" w:hAnsi="宋体" w:eastAsia="宋体" w:cs="宋体"/>
          <w:color w:val="auto"/>
          <w:sz w:val="21"/>
          <w:szCs w:val="21"/>
        </w:rPr>
        <w:t>东莞实业投资控股集团有限公司-招标采购栏目（http://www.dgsy.com.cn/）。</w:t>
      </w:r>
    </w:p>
    <w:p w14:paraId="7B7B1038">
      <w:pPr>
        <w:ind w:firstLine="413" w:firstLineChars="196"/>
        <w:rPr>
          <w:rFonts w:ascii="宋体" w:hAnsi="宋体"/>
          <w:b/>
          <w:color w:val="auto"/>
          <w:szCs w:val="21"/>
        </w:rPr>
      </w:pPr>
    </w:p>
    <w:p w14:paraId="3B2A3DC3">
      <w:pPr>
        <w:outlineLvl w:val="1"/>
        <w:rPr>
          <w:rFonts w:ascii="宋体" w:hAnsi="宋体"/>
          <w:b/>
          <w:color w:val="auto"/>
          <w:szCs w:val="21"/>
        </w:rPr>
      </w:pPr>
      <w:bookmarkStart w:id="19" w:name="_Toc5340"/>
      <w:r>
        <w:rPr>
          <w:rFonts w:hint="eastAsia" w:ascii="宋体" w:hAnsi="宋体"/>
          <w:b/>
          <w:color w:val="auto"/>
          <w:szCs w:val="21"/>
        </w:rPr>
        <w:t>六、采购人及采购代理机构的名称、地址和联系方法</w:t>
      </w:r>
      <w:bookmarkEnd w:id="19"/>
    </w:p>
    <w:p w14:paraId="5E9040C6">
      <w:pPr>
        <w:ind w:firstLine="420" w:firstLineChars="200"/>
        <w:rPr>
          <w:rFonts w:ascii="宋体" w:hAnsi="宋体" w:cs="宋体"/>
          <w:bCs/>
          <w:color w:val="auto"/>
          <w:szCs w:val="21"/>
        </w:rPr>
      </w:pPr>
      <w:r>
        <w:rPr>
          <w:rFonts w:hint="eastAsia" w:ascii="宋体" w:hAnsi="宋体" w:cs="宋体"/>
          <w:bCs/>
          <w:color w:val="auto"/>
          <w:szCs w:val="21"/>
        </w:rPr>
        <w:t>采购人名称：</w:t>
      </w:r>
      <w:r>
        <w:rPr>
          <w:rFonts w:hint="eastAsia" w:ascii="宋体" w:hAnsi="宋体" w:cs="宋体"/>
          <w:color w:val="auto"/>
          <w:szCs w:val="21"/>
        </w:rPr>
        <w:t>东莞市安居建设投资有限公司</w:t>
      </w:r>
    </w:p>
    <w:p w14:paraId="5F11CB16">
      <w:pPr>
        <w:ind w:firstLine="420" w:firstLineChars="200"/>
        <w:rPr>
          <w:rFonts w:ascii="宋体" w:hAnsi="宋体" w:cs="宋体"/>
          <w:bCs/>
          <w:color w:val="auto"/>
          <w:szCs w:val="21"/>
        </w:rPr>
      </w:pPr>
      <w:r>
        <w:rPr>
          <w:rFonts w:hint="eastAsia" w:ascii="宋体" w:hAnsi="宋体" w:cs="宋体"/>
          <w:bCs/>
          <w:color w:val="auto"/>
          <w:szCs w:val="21"/>
        </w:rPr>
        <w:t>采购人联系人：</w:t>
      </w:r>
      <w:r>
        <w:rPr>
          <w:rFonts w:hint="eastAsia"/>
          <w:color w:val="auto"/>
        </w:rPr>
        <w:t>江先生</w:t>
      </w:r>
      <w:r>
        <w:rPr>
          <w:rFonts w:hint="eastAsia" w:ascii="宋体" w:hAnsi="宋体" w:cs="宋体"/>
          <w:bCs/>
          <w:color w:val="auto"/>
          <w:szCs w:val="21"/>
        </w:rPr>
        <w:t xml:space="preserve"> </w:t>
      </w:r>
    </w:p>
    <w:p w14:paraId="48A8FF0E">
      <w:pPr>
        <w:ind w:firstLine="420" w:firstLineChars="200"/>
        <w:rPr>
          <w:rFonts w:ascii="宋体" w:hAnsi="宋体" w:cs="宋体"/>
          <w:bCs/>
          <w:color w:val="auto"/>
          <w:szCs w:val="21"/>
        </w:rPr>
      </w:pPr>
      <w:r>
        <w:rPr>
          <w:rFonts w:hint="eastAsia" w:ascii="宋体" w:hAnsi="宋体" w:cs="宋体"/>
          <w:bCs/>
          <w:color w:val="auto"/>
          <w:szCs w:val="21"/>
        </w:rPr>
        <w:t>采购人地址：广东省东莞市东城街道莞长路东城段27号6栋101室</w:t>
      </w:r>
    </w:p>
    <w:p w14:paraId="164DA3CA">
      <w:pPr>
        <w:ind w:firstLine="420" w:firstLineChars="200"/>
        <w:rPr>
          <w:rFonts w:ascii="宋体" w:hAnsi="宋体" w:cs="宋体"/>
          <w:bCs/>
          <w:color w:val="auto"/>
          <w:szCs w:val="21"/>
        </w:rPr>
      </w:pPr>
      <w:r>
        <w:rPr>
          <w:rFonts w:hint="eastAsia" w:ascii="宋体" w:hAnsi="宋体" w:cs="宋体"/>
          <w:bCs/>
          <w:color w:val="auto"/>
          <w:szCs w:val="21"/>
        </w:rPr>
        <w:t>采购人联系电话：</w:t>
      </w:r>
      <w:r>
        <w:rPr>
          <w:rFonts w:hint="eastAsia" w:ascii="宋体" w:hAnsi="宋体" w:cs="宋体"/>
          <w:color w:val="auto"/>
          <w:szCs w:val="21"/>
        </w:rPr>
        <w:t xml:space="preserve"> 0769-</w:t>
      </w:r>
      <w:r>
        <w:rPr>
          <w:rFonts w:ascii="宋体" w:hAnsi="宋体"/>
          <w:color w:val="auto"/>
          <w:szCs w:val="21"/>
        </w:rPr>
        <w:t>22226146</w:t>
      </w:r>
    </w:p>
    <w:p w14:paraId="3B913ED8">
      <w:pPr>
        <w:ind w:firstLine="420" w:firstLineChars="200"/>
        <w:rPr>
          <w:rFonts w:ascii="宋体" w:hAnsi="宋体"/>
          <w:color w:val="auto"/>
          <w:szCs w:val="21"/>
        </w:rPr>
      </w:pPr>
    </w:p>
    <w:p w14:paraId="4E24C2BA">
      <w:pPr>
        <w:ind w:firstLine="420" w:firstLineChars="200"/>
        <w:rPr>
          <w:rFonts w:ascii="宋体" w:hAnsi="宋体"/>
          <w:color w:val="auto"/>
          <w:szCs w:val="21"/>
        </w:rPr>
      </w:pPr>
      <w:r>
        <w:rPr>
          <w:rFonts w:hint="eastAsia" w:ascii="宋体" w:hAnsi="宋体"/>
          <w:color w:val="auto"/>
          <w:szCs w:val="21"/>
        </w:rPr>
        <w:t>采购代理机构名称：广东志正招标有限公司东莞分公司</w:t>
      </w:r>
    </w:p>
    <w:p w14:paraId="734F46BD">
      <w:pPr>
        <w:ind w:firstLine="420" w:firstLineChars="200"/>
        <w:rPr>
          <w:rFonts w:ascii="宋体" w:hAnsi="宋体"/>
          <w:color w:val="auto"/>
          <w:szCs w:val="21"/>
        </w:rPr>
      </w:pPr>
      <w:r>
        <w:rPr>
          <w:rFonts w:hint="eastAsia" w:ascii="宋体" w:hAnsi="宋体"/>
          <w:color w:val="auto"/>
          <w:szCs w:val="21"/>
        </w:rPr>
        <w:t>采购代理机构地址：广东省东莞市旗峰路190号城市花园商贸中心903室</w:t>
      </w:r>
    </w:p>
    <w:p w14:paraId="4359B373">
      <w:pPr>
        <w:ind w:firstLine="420" w:firstLineChars="200"/>
        <w:rPr>
          <w:rFonts w:ascii="宋体" w:hAnsi="宋体"/>
          <w:color w:val="auto"/>
          <w:szCs w:val="21"/>
        </w:rPr>
      </w:pPr>
      <w:r>
        <w:rPr>
          <w:rFonts w:hint="eastAsia" w:ascii="宋体" w:hAnsi="宋体"/>
          <w:color w:val="auto"/>
          <w:szCs w:val="21"/>
        </w:rPr>
        <w:t>采购代理机构联系人：黎先生</w:t>
      </w:r>
    </w:p>
    <w:p w14:paraId="6346271B">
      <w:pPr>
        <w:ind w:firstLine="420" w:firstLineChars="200"/>
        <w:rPr>
          <w:rFonts w:ascii="宋体" w:hAnsi="宋体"/>
          <w:color w:val="auto"/>
          <w:szCs w:val="21"/>
        </w:rPr>
      </w:pPr>
      <w:r>
        <w:rPr>
          <w:rFonts w:hint="eastAsia" w:ascii="宋体" w:hAnsi="宋体"/>
          <w:color w:val="auto"/>
          <w:szCs w:val="21"/>
        </w:rPr>
        <w:t>采购代理机构联系电话：0769-22306832</w:t>
      </w:r>
    </w:p>
    <w:p w14:paraId="155718F8">
      <w:pPr>
        <w:ind w:firstLine="420" w:firstLineChars="200"/>
        <w:rPr>
          <w:color w:val="auto"/>
        </w:rPr>
      </w:pPr>
      <w:r>
        <w:rPr>
          <w:rFonts w:hint="eastAsia" w:ascii="宋体" w:hAnsi="宋体"/>
          <w:color w:val="auto"/>
          <w:szCs w:val="21"/>
        </w:rPr>
        <w:t>采购代理机构邮箱：546797358@qq.com</w:t>
      </w:r>
    </w:p>
    <w:p w14:paraId="4965939F">
      <w:pPr>
        <w:ind w:firstLine="420" w:firstLineChars="200"/>
        <w:rPr>
          <w:color w:val="auto"/>
        </w:rPr>
      </w:pPr>
    </w:p>
    <w:p w14:paraId="58DD1712">
      <w:pPr>
        <w:adjustRightInd/>
        <w:snapToGrid/>
        <w:spacing w:line="400" w:lineRule="exact"/>
        <w:ind w:right="752" w:rightChars="358"/>
        <w:jc w:val="right"/>
        <w:rPr>
          <w:rFonts w:ascii="宋体" w:hAnsi="宋体" w:cs="宋体"/>
          <w:color w:val="auto"/>
          <w:szCs w:val="21"/>
        </w:rPr>
      </w:pPr>
      <w:r>
        <w:rPr>
          <w:rFonts w:hint="eastAsia" w:ascii="宋体" w:hAnsi="宋体" w:cs="宋体"/>
          <w:color w:val="auto"/>
          <w:szCs w:val="21"/>
        </w:rPr>
        <w:t xml:space="preserve">广东志正招标有限公司东莞分公司          </w:t>
      </w:r>
    </w:p>
    <w:p w14:paraId="34CB055A">
      <w:pPr>
        <w:adjustRightInd/>
        <w:snapToGrid/>
        <w:spacing w:line="400" w:lineRule="exact"/>
        <w:ind w:right="752" w:rightChars="358"/>
        <w:jc w:val="right"/>
        <w:rPr>
          <w:rFonts w:ascii="兰米黑体" w:hAnsi="宋体" w:eastAsia="兰米黑体"/>
          <w:color w:val="auto"/>
        </w:rPr>
      </w:pPr>
      <w:r>
        <w:rPr>
          <w:rFonts w:hint="eastAsia" w:ascii="宋体" w:hAnsi="宋体" w:cs="宋体"/>
          <w:color w:val="auto"/>
          <w:szCs w:val="21"/>
        </w:rPr>
        <w:t>2026年</w:t>
      </w:r>
      <w:r>
        <w:rPr>
          <w:rFonts w:hint="eastAsia" w:ascii="宋体" w:hAnsi="宋体" w:cs="宋体"/>
          <w:color w:val="auto"/>
          <w:szCs w:val="21"/>
          <w:lang w:val="en-US" w:eastAsia="zh-CN"/>
        </w:rPr>
        <w:t>08</w:t>
      </w:r>
      <w:r>
        <w:rPr>
          <w:rFonts w:hint="eastAsia" w:ascii="宋体" w:hAnsi="宋体" w:cs="宋体"/>
          <w:color w:val="auto"/>
          <w:szCs w:val="21"/>
        </w:rPr>
        <w:t>月</w:t>
      </w:r>
      <w:r>
        <w:rPr>
          <w:rFonts w:hint="eastAsia" w:ascii="宋体" w:hAnsi="宋体" w:cs="宋体"/>
          <w:color w:val="auto"/>
          <w:szCs w:val="21"/>
          <w:lang w:val="en-US" w:eastAsia="zh-CN"/>
        </w:rPr>
        <w:t>25</w:t>
      </w:r>
      <w:r>
        <w:rPr>
          <w:rFonts w:hint="eastAsia" w:ascii="宋体" w:hAnsi="宋体" w:cs="宋体"/>
          <w:color w:val="auto"/>
          <w:szCs w:val="21"/>
        </w:rPr>
        <w:t>日</w:t>
      </w:r>
      <w:r>
        <w:rPr>
          <w:rFonts w:hint="eastAsia" w:ascii="宋体" w:hAnsi="宋体" w:cs="宋体"/>
          <w:color w:val="auto"/>
          <w:szCs w:val="21"/>
        </w:rPr>
        <w:br w:type="page"/>
      </w:r>
    </w:p>
    <w:p w14:paraId="6B99122D">
      <w:pPr>
        <w:pStyle w:val="3"/>
        <w:spacing w:before="0" w:after="0" w:line="240" w:lineRule="auto"/>
        <w:rPr>
          <w:color w:val="auto"/>
          <w:sz w:val="28"/>
          <w:szCs w:val="28"/>
        </w:rPr>
      </w:pPr>
      <w:bookmarkStart w:id="20" w:name="_Toc16705"/>
      <w:bookmarkStart w:id="21" w:name="_Toc12356"/>
      <w:bookmarkStart w:id="22" w:name="_Toc14223"/>
      <w:bookmarkStart w:id="23" w:name="_Toc29320"/>
      <w:r>
        <w:rPr>
          <w:rFonts w:hint="eastAsia"/>
          <w:color w:val="auto"/>
          <w:sz w:val="28"/>
          <w:szCs w:val="28"/>
        </w:rPr>
        <w:t>第二部分相关资料表格</w:t>
      </w:r>
      <w:bookmarkEnd w:id="20"/>
      <w:bookmarkEnd w:id="21"/>
      <w:bookmarkEnd w:id="22"/>
      <w:bookmarkEnd w:id="23"/>
    </w:p>
    <w:p w14:paraId="6A5B494C">
      <w:pPr>
        <w:pStyle w:val="4"/>
        <w:spacing w:before="0" w:after="0" w:line="240" w:lineRule="auto"/>
        <w:jc w:val="center"/>
        <w:rPr>
          <w:rFonts w:ascii="宋体" w:hAnsi="宋体" w:cs="宋体"/>
          <w:color w:val="auto"/>
          <w:sz w:val="24"/>
          <w:szCs w:val="24"/>
        </w:rPr>
      </w:pPr>
      <w:bookmarkStart w:id="24" w:name="_Toc14271"/>
      <w:bookmarkStart w:id="25" w:name="_Toc6390"/>
      <w:bookmarkStart w:id="26" w:name="_Toc1824"/>
      <w:bookmarkStart w:id="27" w:name="_Toc19192"/>
      <w:r>
        <w:rPr>
          <w:rFonts w:hint="eastAsia" w:ascii="宋体" w:hAnsi="宋体" w:cs="宋体"/>
          <w:color w:val="auto"/>
          <w:sz w:val="24"/>
          <w:szCs w:val="24"/>
        </w:rPr>
        <w:t>附表一：投标资料表</w:t>
      </w:r>
      <w:bookmarkEnd w:id="24"/>
      <w:bookmarkEnd w:id="25"/>
      <w:bookmarkEnd w:id="26"/>
      <w:bookmarkEnd w:id="27"/>
    </w:p>
    <w:tbl>
      <w:tblPr>
        <w:tblStyle w:val="32"/>
        <w:tblW w:w="841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01"/>
        <w:gridCol w:w="2250"/>
        <w:gridCol w:w="5359"/>
      </w:tblGrid>
      <w:tr w14:paraId="321C5A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tcBorders>
              <w:tl2br w:val="nil"/>
              <w:tr2bl w:val="nil"/>
            </w:tcBorders>
            <w:vAlign w:val="center"/>
          </w:tcPr>
          <w:p w14:paraId="4B17D9AD">
            <w:pPr>
              <w:jc w:val="center"/>
              <w:rPr>
                <w:rFonts w:ascii="宋体" w:hAnsi="宋体"/>
                <w:color w:val="auto"/>
                <w:szCs w:val="21"/>
              </w:rPr>
            </w:pPr>
            <w:r>
              <w:rPr>
                <w:rFonts w:hint="eastAsia" w:ascii="宋体" w:hAnsi="宋体"/>
                <w:color w:val="auto"/>
                <w:szCs w:val="21"/>
              </w:rPr>
              <w:t>序号</w:t>
            </w:r>
          </w:p>
        </w:tc>
        <w:tc>
          <w:tcPr>
            <w:tcW w:w="7609" w:type="dxa"/>
            <w:gridSpan w:val="2"/>
            <w:tcBorders>
              <w:tl2br w:val="nil"/>
              <w:tr2bl w:val="nil"/>
            </w:tcBorders>
            <w:vAlign w:val="center"/>
          </w:tcPr>
          <w:p w14:paraId="6D069F5B">
            <w:pPr>
              <w:jc w:val="center"/>
              <w:rPr>
                <w:rFonts w:ascii="宋体" w:hAnsi="宋体"/>
                <w:b/>
                <w:color w:val="auto"/>
                <w:szCs w:val="21"/>
              </w:rPr>
            </w:pPr>
            <w:r>
              <w:rPr>
                <w:rFonts w:hint="eastAsia" w:ascii="宋体" w:hAnsi="宋体"/>
                <w:b/>
                <w:color w:val="auto"/>
                <w:szCs w:val="21"/>
              </w:rPr>
              <w:t>内容</w:t>
            </w:r>
          </w:p>
        </w:tc>
      </w:tr>
      <w:tr w14:paraId="549DFF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551" w:hRule="atLeast"/>
          <w:jc w:val="center"/>
        </w:trPr>
        <w:tc>
          <w:tcPr>
            <w:tcW w:w="8410" w:type="dxa"/>
            <w:gridSpan w:val="3"/>
            <w:tcBorders>
              <w:tl2br w:val="nil"/>
              <w:tr2bl w:val="nil"/>
            </w:tcBorders>
            <w:vAlign w:val="center"/>
          </w:tcPr>
          <w:p w14:paraId="04BFFEC8">
            <w:pPr>
              <w:jc w:val="center"/>
              <w:rPr>
                <w:rFonts w:ascii="宋体" w:hAnsi="宋体"/>
                <w:b/>
                <w:color w:val="auto"/>
                <w:szCs w:val="21"/>
              </w:rPr>
            </w:pPr>
            <w:r>
              <w:rPr>
                <w:rFonts w:hint="eastAsia" w:ascii="宋体" w:hAnsi="宋体"/>
                <w:b/>
                <w:color w:val="auto"/>
                <w:szCs w:val="21"/>
              </w:rPr>
              <w:t>一、说明</w:t>
            </w:r>
          </w:p>
        </w:tc>
      </w:tr>
      <w:tr w14:paraId="6800DB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4C6CDC5B">
            <w:pPr>
              <w:jc w:val="center"/>
              <w:rPr>
                <w:rFonts w:ascii="宋体" w:hAnsi="宋体"/>
                <w:color w:val="auto"/>
                <w:szCs w:val="21"/>
              </w:rPr>
            </w:pPr>
            <w:r>
              <w:rPr>
                <w:rFonts w:hint="eastAsia" w:ascii="宋体" w:hAnsi="宋体"/>
                <w:color w:val="auto"/>
                <w:szCs w:val="21"/>
              </w:rPr>
              <w:t>1</w:t>
            </w:r>
          </w:p>
        </w:tc>
        <w:tc>
          <w:tcPr>
            <w:tcW w:w="7609" w:type="dxa"/>
            <w:gridSpan w:val="2"/>
            <w:tcBorders>
              <w:tl2br w:val="nil"/>
              <w:tr2bl w:val="nil"/>
            </w:tcBorders>
            <w:vAlign w:val="center"/>
          </w:tcPr>
          <w:p w14:paraId="074E7590">
            <w:pPr>
              <w:rPr>
                <w:rFonts w:ascii="宋体" w:hAnsi="宋体"/>
                <w:b/>
                <w:bCs/>
                <w:color w:val="auto"/>
                <w:szCs w:val="21"/>
              </w:rPr>
            </w:pPr>
            <w:r>
              <w:rPr>
                <w:rFonts w:hint="eastAsia" w:ascii="宋体" w:hAnsi="宋体"/>
                <w:b/>
                <w:bCs/>
                <w:color w:val="auto"/>
                <w:szCs w:val="21"/>
              </w:rPr>
              <w:t>项目最高限价（</w:t>
            </w:r>
            <w:r>
              <w:rPr>
                <w:rFonts w:hint="eastAsia" w:ascii="宋体" w:hAnsi="宋体"/>
                <w:b/>
                <w:bCs/>
                <w:color w:val="auto"/>
                <w:szCs w:val="21"/>
                <w:u w:val="single"/>
              </w:rPr>
              <w:t>单位：元</w:t>
            </w:r>
            <w:r>
              <w:rPr>
                <w:rFonts w:hint="eastAsia" w:ascii="宋体" w:hAnsi="宋体"/>
                <w:b/>
                <w:bCs/>
                <w:color w:val="auto"/>
                <w:szCs w:val="21"/>
              </w:rPr>
              <w:t>）</w:t>
            </w:r>
          </w:p>
        </w:tc>
      </w:tr>
      <w:tr w14:paraId="237AA9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03EC9EFC">
            <w:pPr>
              <w:jc w:val="center"/>
              <w:rPr>
                <w:rFonts w:ascii="宋体" w:hAnsi="宋体"/>
                <w:color w:val="auto"/>
                <w:szCs w:val="21"/>
              </w:rPr>
            </w:pPr>
          </w:p>
        </w:tc>
        <w:tc>
          <w:tcPr>
            <w:tcW w:w="7609" w:type="dxa"/>
            <w:gridSpan w:val="2"/>
            <w:tcBorders>
              <w:tl2br w:val="nil"/>
              <w:tr2bl w:val="nil"/>
            </w:tcBorders>
            <w:vAlign w:val="center"/>
          </w:tcPr>
          <w:p w14:paraId="279BEA5D">
            <w:pPr>
              <w:rPr>
                <w:rFonts w:ascii="宋体" w:hAnsi="宋体"/>
                <w:b/>
                <w:bCs/>
                <w:color w:val="auto"/>
                <w:szCs w:val="21"/>
              </w:rPr>
            </w:pPr>
            <w:r>
              <w:rPr>
                <w:rFonts w:hint="eastAsia" w:ascii="宋体" w:hAnsi="宋体"/>
                <w:color w:val="auto"/>
                <w:szCs w:val="21"/>
              </w:rPr>
              <w:t>与项目预算一致。</w:t>
            </w:r>
          </w:p>
        </w:tc>
      </w:tr>
      <w:tr w14:paraId="7C16EA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restart"/>
            <w:tcBorders>
              <w:tl2br w:val="nil"/>
              <w:tr2bl w:val="nil"/>
            </w:tcBorders>
            <w:vAlign w:val="center"/>
          </w:tcPr>
          <w:p w14:paraId="33D22520">
            <w:pPr>
              <w:jc w:val="center"/>
              <w:rPr>
                <w:rFonts w:ascii="宋体" w:hAnsi="宋体"/>
                <w:color w:val="auto"/>
                <w:szCs w:val="21"/>
              </w:rPr>
            </w:pPr>
            <w:r>
              <w:rPr>
                <w:rFonts w:hint="eastAsia" w:ascii="宋体" w:hAnsi="宋体"/>
                <w:color w:val="auto"/>
                <w:szCs w:val="21"/>
              </w:rPr>
              <w:t>2</w:t>
            </w:r>
          </w:p>
        </w:tc>
        <w:tc>
          <w:tcPr>
            <w:tcW w:w="7609" w:type="dxa"/>
            <w:gridSpan w:val="2"/>
            <w:tcBorders>
              <w:tl2br w:val="nil"/>
              <w:tr2bl w:val="nil"/>
            </w:tcBorders>
            <w:vAlign w:val="center"/>
          </w:tcPr>
          <w:p w14:paraId="1FE700D0">
            <w:pPr>
              <w:rPr>
                <w:rFonts w:ascii="宋体" w:hAnsi="宋体"/>
                <w:b/>
                <w:bCs/>
                <w:color w:val="auto"/>
                <w:szCs w:val="21"/>
              </w:rPr>
            </w:pPr>
            <w:r>
              <w:rPr>
                <w:rFonts w:hint="eastAsia" w:ascii="宋体" w:hAnsi="宋体"/>
                <w:b/>
                <w:bCs/>
                <w:color w:val="auto"/>
                <w:szCs w:val="21"/>
              </w:rPr>
              <w:t>发包方式</w:t>
            </w:r>
          </w:p>
        </w:tc>
      </w:tr>
      <w:tr w14:paraId="55A187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162680E9">
            <w:pPr>
              <w:jc w:val="center"/>
              <w:rPr>
                <w:rFonts w:ascii="宋体" w:hAnsi="宋体"/>
                <w:color w:val="auto"/>
                <w:szCs w:val="21"/>
              </w:rPr>
            </w:pPr>
          </w:p>
        </w:tc>
        <w:tc>
          <w:tcPr>
            <w:tcW w:w="7609" w:type="dxa"/>
            <w:gridSpan w:val="2"/>
            <w:tcBorders>
              <w:tl2br w:val="nil"/>
              <w:tr2bl w:val="nil"/>
            </w:tcBorders>
            <w:vAlign w:val="center"/>
          </w:tcPr>
          <w:p w14:paraId="5E2C1953">
            <w:pPr>
              <w:rPr>
                <w:rFonts w:ascii="宋体" w:hAnsi="宋体"/>
                <w:b/>
                <w:bCs/>
                <w:color w:val="auto"/>
                <w:szCs w:val="21"/>
              </w:rPr>
            </w:pPr>
            <w:r>
              <w:rPr>
                <w:rFonts w:hint="eastAsia" w:ascii="宋体" w:hAnsi="宋体"/>
                <w:bCs/>
                <w:color w:val="auto"/>
                <w:szCs w:val="21"/>
              </w:rPr>
              <w:t>☑</w:t>
            </w:r>
            <w:r>
              <w:rPr>
                <w:rFonts w:hint="eastAsia" w:ascii="宋体" w:hAnsi="宋体"/>
                <w:b/>
                <w:bCs/>
                <w:color w:val="auto"/>
                <w:szCs w:val="21"/>
              </w:rPr>
              <w:t>固定总价包干；</w:t>
            </w:r>
          </w:p>
          <w:p w14:paraId="5CD46535">
            <w:pPr>
              <w:rPr>
                <w:rFonts w:ascii="宋体" w:hAnsi="宋体"/>
                <w:b/>
                <w:bCs/>
                <w:color w:val="auto"/>
                <w:szCs w:val="21"/>
              </w:rPr>
            </w:pPr>
            <w:r>
              <w:rPr>
                <w:rFonts w:hint="eastAsia" w:ascii="宋体" w:hAnsi="宋体"/>
                <w:bCs/>
                <w:color w:val="auto"/>
                <w:szCs w:val="21"/>
              </w:rPr>
              <w:t>□</w:t>
            </w:r>
            <w:r>
              <w:rPr>
                <w:rFonts w:hint="eastAsia" w:ascii="宋体" w:hAnsi="宋体"/>
                <w:b/>
                <w:bCs/>
                <w:color w:val="auto"/>
                <w:szCs w:val="21"/>
              </w:rPr>
              <w:t>固定单价暂定总价包干；</w:t>
            </w:r>
          </w:p>
          <w:p w14:paraId="5B3B9D36">
            <w:pPr>
              <w:rPr>
                <w:rFonts w:ascii="宋体" w:hAnsi="宋体"/>
                <w:b/>
                <w:bCs/>
                <w:color w:val="auto"/>
                <w:szCs w:val="21"/>
                <w:u w:val="single"/>
              </w:rPr>
            </w:pPr>
            <w:r>
              <w:rPr>
                <w:rFonts w:hint="eastAsia" w:ascii="宋体" w:hAnsi="宋体"/>
                <w:bCs/>
                <w:color w:val="auto"/>
                <w:szCs w:val="21"/>
              </w:rPr>
              <w:t>□</w:t>
            </w:r>
            <w:r>
              <w:rPr>
                <w:rFonts w:hint="eastAsia" w:ascii="宋体" w:hAnsi="宋体"/>
                <w:b/>
                <w:bCs/>
                <w:color w:val="auto"/>
                <w:szCs w:val="21"/>
              </w:rPr>
              <w:t>费率</w:t>
            </w:r>
            <w:r>
              <w:rPr>
                <w:rFonts w:hint="eastAsia" w:ascii="宋体" w:hAnsi="宋体"/>
                <w:b/>
                <w:bCs/>
                <w:color w:val="auto"/>
                <w:szCs w:val="21"/>
                <w:u w:val="single"/>
              </w:rPr>
              <w:t xml:space="preserve">         ；</w:t>
            </w:r>
          </w:p>
          <w:p w14:paraId="190AFD3B">
            <w:pPr>
              <w:rPr>
                <w:rFonts w:ascii="宋体" w:hAnsi="宋体"/>
                <w:b/>
                <w:bCs/>
                <w:color w:val="auto"/>
                <w:szCs w:val="21"/>
              </w:rPr>
            </w:pPr>
            <w:r>
              <w:rPr>
                <w:rFonts w:hint="eastAsia" w:ascii="宋体" w:hAnsi="宋体"/>
                <w:bCs/>
                <w:color w:val="auto"/>
                <w:szCs w:val="21"/>
              </w:rPr>
              <w:t>□</w:t>
            </w:r>
            <w:r>
              <w:rPr>
                <w:rFonts w:hint="eastAsia" w:ascii="宋体" w:hAnsi="宋体"/>
                <w:b/>
                <w:bCs/>
                <w:color w:val="auto"/>
                <w:szCs w:val="21"/>
              </w:rPr>
              <w:t>其他</w:t>
            </w:r>
            <w:r>
              <w:rPr>
                <w:rFonts w:hint="eastAsia" w:ascii="宋体" w:hAnsi="宋体"/>
                <w:b/>
                <w:bCs/>
                <w:color w:val="auto"/>
                <w:szCs w:val="21"/>
                <w:u w:val="single"/>
              </w:rPr>
              <w:t xml:space="preserve">           </w:t>
            </w:r>
            <w:r>
              <w:rPr>
                <w:rFonts w:hint="eastAsia" w:ascii="宋体" w:hAnsi="宋体"/>
                <w:b/>
                <w:bCs/>
                <w:color w:val="auto"/>
                <w:szCs w:val="21"/>
              </w:rPr>
              <w:t>；</w:t>
            </w:r>
            <w:bookmarkStart w:id="505" w:name="_GoBack"/>
            <w:bookmarkEnd w:id="505"/>
          </w:p>
        </w:tc>
      </w:tr>
      <w:tr w14:paraId="736EFB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30D3E1B1">
            <w:pPr>
              <w:jc w:val="center"/>
              <w:rPr>
                <w:rFonts w:ascii="宋体" w:hAnsi="宋体"/>
                <w:color w:val="auto"/>
                <w:szCs w:val="21"/>
              </w:rPr>
            </w:pPr>
            <w:r>
              <w:rPr>
                <w:rFonts w:hint="eastAsia" w:ascii="宋体" w:hAnsi="宋体"/>
                <w:color w:val="auto"/>
                <w:szCs w:val="21"/>
              </w:rPr>
              <w:t>3</w:t>
            </w:r>
          </w:p>
        </w:tc>
        <w:tc>
          <w:tcPr>
            <w:tcW w:w="7609" w:type="dxa"/>
            <w:gridSpan w:val="2"/>
            <w:tcBorders>
              <w:tl2br w:val="nil"/>
              <w:tr2bl w:val="nil"/>
            </w:tcBorders>
            <w:vAlign w:val="center"/>
          </w:tcPr>
          <w:p w14:paraId="4B861F63">
            <w:pPr>
              <w:rPr>
                <w:rFonts w:ascii="宋体" w:hAnsi="宋体"/>
                <w:b/>
                <w:bCs/>
                <w:color w:val="auto"/>
                <w:szCs w:val="21"/>
              </w:rPr>
            </w:pPr>
            <w:r>
              <w:rPr>
                <w:rFonts w:hint="eastAsia" w:ascii="宋体" w:hAnsi="宋体"/>
                <w:b/>
                <w:bCs/>
                <w:color w:val="auto"/>
                <w:szCs w:val="21"/>
              </w:rPr>
              <w:t>资金来源</w:t>
            </w:r>
          </w:p>
        </w:tc>
      </w:tr>
      <w:tr w14:paraId="1BE7B2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03C16ADD">
            <w:pPr>
              <w:jc w:val="center"/>
              <w:rPr>
                <w:rFonts w:ascii="宋体" w:hAnsi="宋体"/>
                <w:color w:val="auto"/>
                <w:szCs w:val="21"/>
              </w:rPr>
            </w:pPr>
          </w:p>
        </w:tc>
        <w:tc>
          <w:tcPr>
            <w:tcW w:w="7609" w:type="dxa"/>
            <w:gridSpan w:val="2"/>
            <w:tcBorders>
              <w:tl2br w:val="nil"/>
              <w:tr2bl w:val="nil"/>
            </w:tcBorders>
            <w:vAlign w:val="center"/>
          </w:tcPr>
          <w:p w14:paraId="2E2D5376">
            <w:pPr>
              <w:rPr>
                <w:rFonts w:ascii="宋体" w:hAnsi="宋体"/>
                <w:b/>
                <w:bCs/>
                <w:color w:val="auto"/>
                <w:szCs w:val="21"/>
              </w:rPr>
            </w:pPr>
            <w:r>
              <w:rPr>
                <w:rFonts w:hint="eastAsia" w:ascii="宋体" w:hAnsi="宋体"/>
                <w:color w:val="auto"/>
                <w:szCs w:val="21"/>
                <w:u w:val="single"/>
              </w:rPr>
              <w:t>自筹资金。</w:t>
            </w:r>
          </w:p>
        </w:tc>
      </w:tr>
      <w:tr w14:paraId="1765C8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22A5A06B">
            <w:pPr>
              <w:jc w:val="center"/>
              <w:rPr>
                <w:rFonts w:ascii="宋体" w:hAnsi="宋体"/>
                <w:color w:val="auto"/>
                <w:szCs w:val="21"/>
              </w:rPr>
            </w:pPr>
            <w:r>
              <w:rPr>
                <w:rFonts w:hint="eastAsia" w:ascii="宋体" w:hAnsi="宋体"/>
                <w:color w:val="auto"/>
                <w:szCs w:val="21"/>
              </w:rPr>
              <w:t>4</w:t>
            </w:r>
          </w:p>
        </w:tc>
        <w:tc>
          <w:tcPr>
            <w:tcW w:w="7609" w:type="dxa"/>
            <w:gridSpan w:val="2"/>
            <w:tcBorders>
              <w:tl2br w:val="nil"/>
              <w:tr2bl w:val="nil"/>
            </w:tcBorders>
            <w:vAlign w:val="center"/>
          </w:tcPr>
          <w:p w14:paraId="4707F599">
            <w:pPr>
              <w:rPr>
                <w:rFonts w:ascii="宋体" w:hAnsi="宋体"/>
                <w:b/>
                <w:color w:val="auto"/>
                <w:szCs w:val="21"/>
              </w:rPr>
            </w:pPr>
            <w:r>
              <w:rPr>
                <w:rFonts w:hint="eastAsia" w:ascii="宋体" w:hAnsi="宋体"/>
                <w:b/>
                <w:color w:val="auto"/>
                <w:szCs w:val="21"/>
              </w:rPr>
              <w:t>踏勘现场</w:t>
            </w:r>
          </w:p>
        </w:tc>
      </w:tr>
      <w:tr w14:paraId="119062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36C6A8E8">
            <w:pPr>
              <w:jc w:val="center"/>
              <w:rPr>
                <w:rFonts w:ascii="宋体" w:hAnsi="宋体"/>
                <w:color w:val="auto"/>
                <w:szCs w:val="21"/>
              </w:rPr>
            </w:pPr>
          </w:p>
        </w:tc>
        <w:tc>
          <w:tcPr>
            <w:tcW w:w="7609" w:type="dxa"/>
            <w:gridSpan w:val="2"/>
            <w:tcBorders>
              <w:tl2br w:val="nil"/>
              <w:tr2bl w:val="nil"/>
            </w:tcBorders>
            <w:vAlign w:val="center"/>
          </w:tcPr>
          <w:p w14:paraId="7E4AA5AB">
            <w:pPr>
              <w:rPr>
                <w:rFonts w:ascii="宋体" w:hAnsi="宋体"/>
                <w:bCs/>
                <w:color w:val="auto"/>
                <w:szCs w:val="21"/>
              </w:rPr>
            </w:pPr>
            <w:r>
              <w:rPr>
                <w:rFonts w:hint="eastAsia" w:ascii="宋体" w:hAnsi="宋体"/>
                <w:bCs/>
                <w:color w:val="auto"/>
                <w:szCs w:val="21"/>
              </w:rPr>
              <w:t>□不组织 。</w:t>
            </w:r>
          </w:p>
          <w:p w14:paraId="10C285B6">
            <w:pPr>
              <w:rPr>
                <w:rFonts w:ascii="宋体" w:hAnsi="宋体"/>
                <w:bCs/>
                <w:color w:val="auto"/>
                <w:szCs w:val="21"/>
              </w:rPr>
            </w:pPr>
            <w:r>
              <w:rPr>
                <w:rFonts w:hint="eastAsia" w:ascii="宋体" w:hAnsi="宋体"/>
                <w:bCs/>
                <w:color w:val="auto"/>
                <w:szCs w:val="21"/>
              </w:rPr>
              <w:t>☑组织，踏勘现场时间、地点：</w:t>
            </w:r>
            <w:r>
              <w:rPr>
                <w:rFonts w:hint="eastAsia" w:ascii="宋体" w:hAnsi="宋体"/>
                <w:bCs/>
                <w:color w:val="auto"/>
                <w:szCs w:val="21"/>
                <w:u w:val="single"/>
              </w:rPr>
              <w:t>勘察现场联系人：陈先生18664680958。地址：东莞市大岭山镇建卫南街8号。投标人自行与联系人预约参观时间，参观时间为2026年08月2</w:t>
            </w:r>
            <w:r>
              <w:rPr>
                <w:rFonts w:hint="eastAsia" w:ascii="宋体" w:hAnsi="宋体"/>
                <w:bCs/>
                <w:color w:val="auto"/>
                <w:szCs w:val="21"/>
                <w:u w:val="single"/>
                <w:lang w:val="en-US" w:eastAsia="zh-CN"/>
              </w:rPr>
              <w:t>6</w:t>
            </w:r>
            <w:r>
              <w:rPr>
                <w:rFonts w:hint="eastAsia" w:ascii="宋体" w:hAnsi="宋体"/>
                <w:bCs/>
                <w:color w:val="auto"/>
                <w:szCs w:val="21"/>
                <w:u w:val="single"/>
              </w:rPr>
              <w:t>日至2026年</w:t>
            </w:r>
            <w:r>
              <w:rPr>
                <w:rFonts w:hint="eastAsia" w:ascii="宋体" w:hAnsi="宋体"/>
                <w:bCs/>
                <w:color w:val="auto"/>
                <w:szCs w:val="21"/>
                <w:u w:val="single"/>
                <w:lang w:val="en-US" w:eastAsia="zh-CN"/>
              </w:rPr>
              <w:t>09</w:t>
            </w:r>
            <w:r>
              <w:rPr>
                <w:rFonts w:hint="eastAsia" w:ascii="宋体" w:hAnsi="宋体"/>
                <w:bCs/>
                <w:color w:val="auto"/>
                <w:szCs w:val="21"/>
                <w:u w:val="single"/>
              </w:rPr>
              <w:t>月</w:t>
            </w:r>
            <w:r>
              <w:rPr>
                <w:rFonts w:hint="eastAsia" w:ascii="宋体" w:hAnsi="宋体"/>
                <w:bCs/>
                <w:color w:val="auto"/>
                <w:szCs w:val="21"/>
                <w:u w:val="single"/>
                <w:lang w:val="en-US" w:eastAsia="zh-CN"/>
              </w:rPr>
              <w:t>04</w:t>
            </w:r>
            <w:r>
              <w:rPr>
                <w:rFonts w:hint="eastAsia" w:ascii="宋体" w:hAnsi="宋体"/>
                <w:bCs/>
                <w:color w:val="auto"/>
                <w:szCs w:val="21"/>
                <w:u w:val="single"/>
              </w:rPr>
              <w:t>日上午09:00至12:00，下午14:30至17:30（北京时间，法定节假日除外）。</w:t>
            </w:r>
            <w:r>
              <w:rPr>
                <w:rFonts w:hint="eastAsia" w:ascii="宋体" w:hAnsi="宋体"/>
                <w:bCs/>
                <w:color w:val="auto"/>
                <w:szCs w:val="21"/>
              </w:rPr>
              <w:t xml:space="preserve"> </w:t>
            </w:r>
          </w:p>
        </w:tc>
      </w:tr>
      <w:tr w14:paraId="57B75A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629" w:hRule="atLeast"/>
          <w:jc w:val="center"/>
        </w:trPr>
        <w:tc>
          <w:tcPr>
            <w:tcW w:w="8410" w:type="dxa"/>
            <w:gridSpan w:val="3"/>
            <w:tcBorders>
              <w:tl2br w:val="nil"/>
              <w:tr2bl w:val="nil"/>
            </w:tcBorders>
            <w:vAlign w:val="center"/>
          </w:tcPr>
          <w:p w14:paraId="6B2DD0FD">
            <w:pPr>
              <w:jc w:val="center"/>
              <w:rPr>
                <w:rFonts w:ascii="宋体" w:hAnsi="宋体"/>
                <w:b/>
                <w:color w:val="auto"/>
                <w:szCs w:val="21"/>
              </w:rPr>
            </w:pPr>
            <w:r>
              <w:rPr>
                <w:rFonts w:hint="eastAsia" w:ascii="宋体" w:hAnsi="宋体"/>
                <w:b/>
                <w:color w:val="auto"/>
                <w:szCs w:val="21"/>
              </w:rPr>
              <w:t>二、投标文件的编制</w:t>
            </w:r>
          </w:p>
        </w:tc>
      </w:tr>
      <w:tr w14:paraId="71BBBB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3022F257">
            <w:pPr>
              <w:jc w:val="center"/>
              <w:rPr>
                <w:rFonts w:ascii="宋体" w:hAnsi="宋体"/>
                <w:color w:val="auto"/>
                <w:szCs w:val="21"/>
              </w:rPr>
            </w:pPr>
            <w:r>
              <w:rPr>
                <w:rFonts w:hint="eastAsia" w:ascii="宋体" w:hAnsi="宋体"/>
                <w:color w:val="auto"/>
                <w:szCs w:val="21"/>
              </w:rPr>
              <w:t>5</w:t>
            </w:r>
          </w:p>
        </w:tc>
        <w:tc>
          <w:tcPr>
            <w:tcW w:w="7609" w:type="dxa"/>
            <w:gridSpan w:val="2"/>
            <w:tcBorders>
              <w:tl2br w:val="nil"/>
              <w:tr2bl w:val="nil"/>
            </w:tcBorders>
            <w:vAlign w:val="center"/>
          </w:tcPr>
          <w:p w14:paraId="47B7D037">
            <w:pPr>
              <w:rPr>
                <w:rFonts w:ascii="宋体" w:hAnsi="宋体"/>
                <w:b/>
                <w:color w:val="auto"/>
                <w:szCs w:val="21"/>
              </w:rPr>
            </w:pPr>
            <w:r>
              <w:rPr>
                <w:rFonts w:hint="eastAsia" w:ascii="宋体" w:hAnsi="宋体"/>
                <w:b/>
                <w:color w:val="auto"/>
                <w:szCs w:val="21"/>
              </w:rPr>
              <w:t>投标语言</w:t>
            </w:r>
          </w:p>
        </w:tc>
      </w:tr>
      <w:tr w14:paraId="2D90C72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4A0D5356">
            <w:pPr>
              <w:jc w:val="center"/>
              <w:rPr>
                <w:rFonts w:ascii="宋体" w:hAnsi="宋体"/>
                <w:color w:val="auto"/>
                <w:szCs w:val="21"/>
              </w:rPr>
            </w:pPr>
          </w:p>
        </w:tc>
        <w:tc>
          <w:tcPr>
            <w:tcW w:w="7609" w:type="dxa"/>
            <w:gridSpan w:val="2"/>
            <w:tcBorders>
              <w:tl2br w:val="nil"/>
              <w:tr2bl w:val="nil"/>
            </w:tcBorders>
            <w:vAlign w:val="center"/>
          </w:tcPr>
          <w:p w14:paraId="7C42E67A">
            <w:pPr>
              <w:rPr>
                <w:rFonts w:ascii="宋体" w:hAnsi="宋体"/>
                <w:b/>
                <w:color w:val="auto"/>
                <w:szCs w:val="21"/>
              </w:rPr>
            </w:pPr>
            <w:r>
              <w:rPr>
                <w:rFonts w:hint="eastAsia" w:ascii="宋体" w:hAnsi="宋体"/>
                <w:color w:val="auto"/>
                <w:szCs w:val="21"/>
              </w:rPr>
              <w:t>中文。</w:t>
            </w:r>
          </w:p>
        </w:tc>
      </w:tr>
      <w:tr w14:paraId="327CB6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26355F04">
            <w:pPr>
              <w:jc w:val="center"/>
              <w:rPr>
                <w:rFonts w:ascii="宋体" w:hAnsi="宋体"/>
                <w:color w:val="auto"/>
                <w:szCs w:val="21"/>
              </w:rPr>
            </w:pPr>
            <w:r>
              <w:rPr>
                <w:rFonts w:hint="eastAsia" w:ascii="宋体" w:hAnsi="宋体"/>
                <w:color w:val="auto"/>
                <w:szCs w:val="21"/>
              </w:rPr>
              <w:t>6</w:t>
            </w:r>
          </w:p>
        </w:tc>
        <w:tc>
          <w:tcPr>
            <w:tcW w:w="7609" w:type="dxa"/>
            <w:gridSpan w:val="2"/>
            <w:tcBorders>
              <w:tl2br w:val="nil"/>
              <w:tr2bl w:val="nil"/>
            </w:tcBorders>
            <w:vAlign w:val="center"/>
          </w:tcPr>
          <w:p w14:paraId="688ADE3D">
            <w:pPr>
              <w:jc w:val="both"/>
              <w:rPr>
                <w:rFonts w:ascii="宋体" w:hAnsi="宋体"/>
                <w:b/>
                <w:color w:val="auto"/>
                <w:szCs w:val="21"/>
              </w:rPr>
            </w:pPr>
            <w:r>
              <w:rPr>
                <w:rFonts w:hint="eastAsia" w:ascii="宋体" w:hAnsi="宋体"/>
                <w:b/>
                <w:color w:val="auto"/>
                <w:szCs w:val="21"/>
              </w:rPr>
              <w:t>投标报价</w:t>
            </w:r>
          </w:p>
        </w:tc>
      </w:tr>
      <w:tr w14:paraId="0A1181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756F85DB">
            <w:pPr>
              <w:jc w:val="center"/>
              <w:rPr>
                <w:rFonts w:ascii="宋体" w:hAnsi="宋体"/>
                <w:color w:val="auto"/>
                <w:szCs w:val="21"/>
              </w:rPr>
            </w:pPr>
          </w:p>
        </w:tc>
        <w:tc>
          <w:tcPr>
            <w:tcW w:w="7609" w:type="dxa"/>
            <w:gridSpan w:val="2"/>
            <w:tcBorders>
              <w:tl2br w:val="nil"/>
              <w:tr2bl w:val="nil"/>
            </w:tcBorders>
            <w:vAlign w:val="center"/>
          </w:tcPr>
          <w:p w14:paraId="526F11FA">
            <w:pPr>
              <w:jc w:val="both"/>
              <w:rPr>
                <w:rFonts w:ascii="宋体" w:hAnsi="宋体"/>
                <w:color w:val="auto"/>
                <w:szCs w:val="21"/>
              </w:rPr>
            </w:pPr>
            <w:r>
              <w:rPr>
                <w:rFonts w:hint="eastAsia" w:ascii="宋体" w:hAnsi="宋体"/>
                <w:color w:val="auto"/>
                <w:szCs w:val="21"/>
              </w:rPr>
              <w:t>详见投标人须知。</w:t>
            </w:r>
          </w:p>
        </w:tc>
      </w:tr>
      <w:tr w14:paraId="5C7C02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jc w:val="center"/>
        </w:trPr>
        <w:tc>
          <w:tcPr>
            <w:tcW w:w="801" w:type="dxa"/>
            <w:vMerge w:val="restart"/>
            <w:tcBorders>
              <w:tl2br w:val="nil"/>
              <w:tr2bl w:val="nil"/>
            </w:tcBorders>
            <w:vAlign w:val="center"/>
          </w:tcPr>
          <w:p w14:paraId="5CA40757">
            <w:pPr>
              <w:jc w:val="center"/>
              <w:rPr>
                <w:rFonts w:ascii="宋体" w:hAnsi="宋体"/>
                <w:color w:val="auto"/>
                <w:szCs w:val="21"/>
              </w:rPr>
            </w:pPr>
            <w:r>
              <w:rPr>
                <w:rFonts w:hint="eastAsia" w:ascii="宋体" w:hAnsi="宋体"/>
                <w:color w:val="auto"/>
                <w:szCs w:val="21"/>
              </w:rPr>
              <w:t>7</w:t>
            </w:r>
          </w:p>
        </w:tc>
        <w:tc>
          <w:tcPr>
            <w:tcW w:w="7609" w:type="dxa"/>
            <w:gridSpan w:val="2"/>
            <w:tcBorders>
              <w:tl2br w:val="nil"/>
              <w:tr2bl w:val="nil"/>
            </w:tcBorders>
            <w:vAlign w:val="center"/>
          </w:tcPr>
          <w:p w14:paraId="1BBA7DE2">
            <w:pPr>
              <w:jc w:val="both"/>
              <w:rPr>
                <w:rFonts w:ascii="宋体" w:hAnsi="宋体" w:cs="宋体"/>
                <w:b/>
                <w:color w:val="auto"/>
                <w:szCs w:val="21"/>
                <w:u w:val="single"/>
              </w:rPr>
            </w:pPr>
            <w:r>
              <w:rPr>
                <w:rFonts w:hint="eastAsia" w:ascii="宋体" w:hAnsi="宋体" w:cs="宋体"/>
                <w:b/>
                <w:color w:val="auto"/>
                <w:szCs w:val="21"/>
                <w:u w:val="single"/>
              </w:rPr>
              <w:t>投标保证金</w:t>
            </w:r>
          </w:p>
        </w:tc>
      </w:tr>
      <w:tr w14:paraId="52A5A5C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jc w:val="center"/>
        </w:trPr>
        <w:tc>
          <w:tcPr>
            <w:tcW w:w="801" w:type="dxa"/>
            <w:vMerge w:val="continue"/>
            <w:tcBorders>
              <w:tl2br w:val="nil"/>
              <w:tr2bl w:val="nil"/>
            </w:tcBorders>
            <w:vAlign w:val="center"/>
          </w:tcPr>
          <w:p w14:paraId="1C76A3DC">
            <w:pPr>
              <w:jc w:val="center"/>
              <w:rPr>
                <w:rFonts w:ascii="宋体" w:hAnsi="宋体"/>
                <w:color w:val="auto"/>
                <w:szCs w:val="21"/>
              </w:rPr>
            </w:pPr>
          </w:p>
        </w:tc>
        <w:tc>
          <w:tcPr>
            <w:tcW w:w="7609" w:type="dxa"/>
            <w:gridSpan w:val="2"/>
            <w:tcBorders>
              <w:tl2br w:val="nil"/>
              <w:tr2bl w:val="nil"/>
            </w:tcBorders>
            <w:vAlign w:val="center"/>
          </w:tcPr>
          <w:p w14:paraId="0E78FD9A">
            <w:pPr>
              <w:jc w:val="both"/>
              <w:rPr>
                <w:rFonts w:ascii="宋体" w:hAnsi="宋体" w:cs="宋体"/>
                <w:b/>
                <w:color w:val="auto"/>
                <w:szCs w:val="21"/>
                <w:u w:val="single"/>
              </w:rPr>
            </w:pPr>
            <w:r>
              <w:rPr>
                <w:rFonts w:hint="eastAsia" w:ascii="宋体" w:hAnsi="宋体" w:cs="宋体"/>
                <w:b/>
                <w:color w:val="auto"/>
                <w:szCs w:val="21"/>
              </w:rPr>
              <w:t>（1）投标保证金金额：</w:t>
            </w:r>
            <w:r>
              <w:rPr>
                <w:rFonts w:hint="eastAsia" w:ascii="宋体" w:hAnsi="宋体" w:cs="宋体"/>
                <w:b/>
                <w:color w:val="auto"/>
                <w:szCs w:val="21"/>
                <w:u w:val="single"/>
              </w:rPr>
              <w:t>人民币壹万零捌佰叁拾叁元玖角柒分整（¥10,833</w:t>
            </w:r>
            <w:r>
              <w:rPr>
                <w:rFonts w:ascii="宋体" w:hAnsi="宋体" w:cs="宋体"/>
                <w:b/>
                <w:color w:val="auto"/>
                <w:szCs w:val="21"/>
                <w:u w:val="single"/>
              </w:rPr>
              <w:t>.</w:t>
            </w:r>
            <w:r>
              <w:rPr>
                <w:rFonts w:hint="eastAsia" w:ascii="宋体" w:hAnsi="宋体" w:cs="宋体"/>
                <w:b/>
                <w:color w:val="auto"/>
                <w:szCs w:val="21"/>
                <w:u w:val="single"/>
              </w:rPr>
              <w:t>97元）</w:t>
            </w:r>
          </w:p>
        </w:tc>
      </w:tr>
      <w:tr w14:paraId="777E2DE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273" w:hRule="atLeast"/>
          <w:jc w:val="center"/>
        </w:trPr>
        <w:tc>
          <w:tcPr>
            <w:tcW w:w="801" w:type="dxa"/>
            <w:vMerge w:val="continue"/>
            <w:tcBorders>
              <w:tl2br w:val="nil"/>
              <w:tr2bl w:val="nil"/>
            </w:tcBorders>
            <w:vAlign w:val="center"/>
          </w:tcPr>
          <w:p w14:paraId="37D5C345">
            <w:pPr>
              <w:jc w:val="center"/>
              <w:rPr>
                <w:rFonts w:ascii="宋体" w:hAnsi="宋体"/>
                <w:color w:val="auto"/>
                <w:szCs w:val="21"/>
              </w:rPr>
            </w:pPr>
          </w:p>
        </w:tc>
        <w:tc>
          <w:tcPr>
            <w:tcW w:w="7609" w:type="dxa"/>
            <w:gridSpan w:val="2"/>
            <w:tcBorders>
              <w:tl2br w:val="nil"/>
              <w:tr2bl w:val="nil"/>
            </w:tcBorders>
            <w:vAlign w:val="center"/>
          </w:tcPr>
          <w:p w14:paraId="1EB11133">
            <w:pPr>
              <w:tabs>
                <w:tab w:val="left" w:pos="567"/>
              </w:tabs>
              <w:jc w:val="both"/>
              <w:rPr>
                <w:rFonts w:hAnsi="宋体"/>
                <w:color w:val="auto"/>
                <w:kern w:val="2"/>
                <w:szCs w:val="21"/>
                <w:lang w:val="zh-CN"/>
              </w:rPr>
            </w:pPr>
            <w:r>
              <w:rPr>
                <w:rFonts w:hint="eastAsia" w:ascii="宋体" w:hAnsi="宋体"/>
                <w:color w:val="auto"/>
                <w:szCs w:val="21"/>
              </w:rPr>
              <w:t>（2）</w:t>
            </w:r>
            <w:r>
              <w:rPr>
                <w:rFonts w:hint="eastAsia" w:hAnsi="宋体"/>
                <w:color w:val="auto"/>
                <w:kern w:val="2"/>
                <w:szCs w:val="21"/>
                <w:lang w:val="zh-CN"/>
              </w:rPr>
              <w:t>投标保证金采用转帐、电汇方式提交，应符合以下要求：采用银行转账、电汇方式提交的，保证金汇入以下投标保证金专用账户，不接收由以投标人分支机构、私人帐户和其他单位转入的保证金。投标保证金必须在投标文件递交截止前到账，投标保证金未按规定时间到达指定账户或提交金额不足的，将被视为无效投标。且在备注或用途中注明本项目的项目编号。</w:t>
            </w:r>
          </w:p>
          <w:p w14:paraId="09ED90EC">
            <w:pPr>
              <w:tabs>
                <w:tab w:val="left" w:pos="567"/>
              </w:tabs>
              <w:ind w:left="567" w:hanging="567"/>
              <w:jc w:val="both"/>
              <w:rPr>
                <w:rFonts w:hAnsi="宋体"/>
                <w:color w:val="auto"/>
                <w:kern w:val="2"/>
                <w:szCs w:val="21"/>
                <w:lang w:val="zh-CN"/>
              </w:rPr>
            </w:pPr>
            <w:r>
              <w:rPr>
                <w:rFonts w:hint="eastAsia" w:hAnsi="宋体"/>
                <w:color w:val="auto"/>
                <w:kern w:val="2"/>
                <w:szCs w:val="21"/>
                <w:lang w:val="zh-CN"/>
              </w:rPr>
              <w:t>投标保证金专用账户如下：</w:t>
            </w:r>
          </w:p>
          <w:p w14:paraId="79DD5478">
            <w:pPr>
              <w:tabs>
                <w:tab w:val="left" w:pos="567"/>
              </w:tabs>
              <w:ind w:firstLine="420" w:firstLineChars="200"/>
              <w:jc w:val="both"/>
              <w:rPr>
                <w:rFonts w:hAnsi="宋体" w:cs="宋体"/>
                <w:color w:val="auto"/>
                <w:kern w:val="2"/>
                <w:szCs w:val="21"/>
                <w:lang w:val="zh-CN"/>
              </w:rPr>
            </w:pPr>
            <w:r>
              <w:rPr>
                <w:rFonts w:hint="eastAsia" w:hAnsi="宋体" w:cs="宋体"/>
                <w:color w:val="auto"/>
                <w:kern w:val="2"/>
                <w:szCs w:val="21"/>
                <w:lang w:val="zh-CN"/>
              </w:rPr>
              <w:t xml:space="preserve">帐户名称： </w:t>
            </w:r>
            <w:r>
              <w:rPr>
                <w:rFonts w:hint="eastAsia" w:hAnsi="宋体" w:cs="宋体"/>
                <w:color w:val="auto"/>
                <w:kern w:val="2"/>
                <w:szCs w:val="21"/>
                <w:u w:val="single"/>
              </w:rPr>
              <w:t xml:space="preserve">  广东志正招标有限公司东莞分公司  </w:t>
            </w:r>
            <w:r>
              <w:rPr>
                <w:rFonts w:hint="eastAsia" w:hAnsi="宋体" w:cs="宋体"/>
                <w:color w:val="auto"/>
                <w:kern w:val="2"/>
                <w:szCs w:val="21"/>
                <w:lang w:val="zh-CN"/>
              </w:rPr>
              <w:t>；</w:t>
            </w:r>
          </w:p>
          <w:p w14:paraId="3AFE7C46">
            <w:pPr>
              <w:tabs>
                <w:tab w:val="left" w:pos="567"/>
              </w:tabs>
              <w:ind w:firstLine="420" w:firstLineChars="200"/>
              <w:jc w:val="both"/>
              <w:rPr>
                <w:rFonts w:hAnsi="宋体" w:cs="宋体"/>
                <w:color w:val="auto"/>
                <w:kern w:val="2"/>
                <w:szCs w:val="21"/>
                <w:lang w:val="zh-CN"/>
              </w:rPr>
            </w:pPr>
            <w:r>
              <w:rPr>
                <w:rFonts w:hint="eastAsia" w:hAnsi="宋体" w:cs="宋体"/>
                <w:color w:val="auto"/>
                <w:kern w:val="2"/>
                <w:szCs w:val="21"/>
                <w:lang w:val="zh-CN"/>
              </w:rPr>
              <w:t xml:space="preserve">开户银行： </w:t>
            </w:r>
            <w:r>
              <w:rPr>
                <w:rFonts w:hint="eastAsia" w:hAnsi="宋体" w:cs="宋体"/>
                <w:color w:val="auto"/>
                <w:kern w:val="2"/>
                <w:szCs w:val="21"/>
                <w:u w:val="single"/>
              </w:rPr>
              <w:t xml:space="preserve">  招商银行东莞分行东城支行  </w:t>
            </w:r>
            <w:r>
              <w:rPr>
                <w:rFonts w:hint="eastAsia" w:hAnsi="宋体" w:cs="宋体"/>
                <w:color w:val="auto"/>
                <w:kern w:val="2"/>
                <w:szCs w:val="21"/>
                <w:lang w:val="zh-CN"/>
              </w:rPr>
              <w:t>；</w:t>
            </w:r>
          </w:p>
          <w:p w14:paraId="4FF26CDC">
            <w:pPr>
              <w:tabs>
                <w:tab w:val="left" w:pos="567"/>
              </w:tabs>
              <w:ind w:firstLine="420" w:firstLineChars="200"/>
              <w:jc w:val="both"/>
              <w:rPr>
                <w:rFonts w:hAnsi="宋体" w:cs="宋体"/>
                <w:color w:val="auto"/>
                <w:kern w:val="2"/>
                <w:szCs w:val="21"/>
                <w:lang w:val="zh-CN"/>
              </w:rPr>
            </w:pPr>
            <w:r>
              <w:rPr>
                <w:rFonts w:hint="eastAsia" w:hAnsi="宋体" w:cs="宋体"/>
                <w:color w:val="auto"/>
                <w:kern w:val="2"/>
                <w:szCs w:val="21"/>
                <w:lang w:val="zh-CN"/>
              </w:rPr>
              <w:t xml:space="preserve">银行帐号： </w:t>
            </w:r>
            <w:r>
              <w:rPr>
                <w:rFonts w:hint="eastAsia" w:hAnsi="宋体" w:cs="宋体"/>
                <w:color w:val="auto"/>
                <w:kern w:val="2"/>
                <w:szCs w:val="21"/>
                <w:u w:val="single"/>
              </w:rPr>
              <w:t xml:space="preserve"> </w:t>
            </w:r>
            <w:r>
              <w:rPr>
                <w:rFonts w:hint="eastAsia" w:ascii="宋体" w:hAnsi="宋体" w:cs="宋体"/>
                <w:color w:val="auto"/>
                <w:kern w:val="2"/>
                <w:szCs w:val="21"/>
                <w:u w:val="single"/>
              </w:rPr>
              <w:t xml:space="preserve"> 769904271810788 </w:t>
            </w:r>
            <w:r>
              <w:rPr>
                <w:rFonts w:hint="eastAsia" w:hAnsi="宋体" w:cs="宋体"/>
                <w:color w:val="auto"/>
                <w:kern w:val="2"/>
                <w:szCs w:val="21"/>
                <w:u w:val="single"/>
              </w:rPr>
              <w:t xml:space="preserve"> </w:t>
            </w:r>
            <w:r>
              <w:rPr>
                <w:rFonts w:hint="eastAsia" w:hAnsi="宋体" w:cs="宋体"/>
                <w:color w:val="auto"/>
                <w:kern w:val="2"/>
                <w:szCs w:val="21"/>
                <w:lang w:val="zh-CN"/>
              </w:rPr>
              <w:t>；</w:t>
            </w:r>
          </w:p>
          <w:p w14:paraId="22470F30">
            <w:pPr>
              <w:tabs>
                <w:tab w:val="left" w:pos="567"/>
              </w:tabs>
              <w:ind w:firstLine="420" w:firstLineChars="200"/>
              <w:jc w:val="both"/>
              <w:rPr>
                <w:rFonts w:hAnsi="宋体" w:cs="宋体"/>
                <w:color w:val="auto"/>
                <w:kern w:val="2"/>
                <w:szCs w:val="21"/>
                <w:u w:val="single"/>
                <w:lang w:val="zh-CN"/>
              </w:rPr>
            </w:pPr>
            <w:r>
              <w:rPr>
                <w:rFonts w:hint="eastAsia" w:hAnsi="宋体" w:cs="宋体"/>
                <w:color w:val="auto"/>
                <w:kern w:val="2"/>
                <w:szCs w:val="21"/>
                <w:u w:val="single"/>
              </w:rPr>
              <w:t>保证金相关事宜联系人：彭小姐     联系电话：0769-22306832</w:t>
            </w:r>
          </w:p>
          <w:p w14:paraId="1B1E610F">
            <w:pPr>
              <w:tabs>
                <w:tab w:val="left" w:pos="567"/>
              </w:tabs>
              <w:ind w:firstLine="422" w:firstLineChars="200"/>
              <w:jc w:val="both"/>
              <w:rPr>
                <w:rFonts w:ascii="宋体" w:hAnsi="宋体"/>
                <w:b/>
                <w:color w:val="auto"/>
                <w:szCs w:val="21"/>
              </w:rPr>
            </w:pPr>
            <w:r>
              <w:rPr>
                <w:rFonts w:hint="eastAsia" w:hAnsi="宋体" w:cs="宋体"/>
                <w:b/>
                <w:color w:val="auto"/>
                <w:szCs w:val="21"/>
              </w:rPr>
              <w:t>（注：各投标人在转帐或电汇时须在用途栏上备注项目编号，及项目名称，如有字数限制项目名称可简写。）</w:t>
            </w:r>
          </w:p>
        </w:tc>
      </w:tr>
      <w:tr w14:paraId="0462BD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20" w:hRule="atLeast"/>
          <w:jc w:val="center"/>
        </w:trPr>
        <w:tc>
          <w:tcPr>
            <w:tcW w:w="801" w:type="dxa"/>
            <w:vMerge w:val="restart"/>
            <w:tcBorders>
              <w:tl2br w:val="nil"/>
              <w:tr2bl w:val="nil"/>
            </w:tcBorders>
            <w:vAlign w:val="center"/>
          </w:tcPr>
          <w:p w14:paraId="3EB3CC43">
            <w:pPr>
              <w:jc w:val="center"/>
              <w:rPr>
                <w:rFonts w:ascii="宋体" w:hAnsi="宋体"/>
                <w:color w:val="auto"/>
                <w:szCs w:val="21"/>
              </w:rPr>
            </w:pPr>
            <w:r>
              <w:rPr>
                <w:rFonts w:hint="eastAsia" w:ascii="宋体" w:hAnsi="宋体"/>
                <w:color w:val="auto"/>
                <w:szCs w:val="21"/>
              </w:rPr>
              <w:t>8</w:t>
            </w:r>
          </w:p>
        </w:tc>
        <w:tc>
          <w:tcPr>
            <w:tcW w:w="7609" w:type="dxa"/>
            <w:gridSpan w:val="2"/>
            <w:tcBorders>
              <w:tl2br w:val="nil"/>
              <w:tr2bl w:val="nil"/>
            </w:tcBorders>
            <w:vAlign w:val="center"/>
          </w:tcPr>
          <w:p w14:paraId="12AFFBFC">
            <w:pPr>
              <w:jc w:val="both"/>
              <w:rPr>
                <w:rFonts w:ascii="宋体" w:hAnsi="宋体"/>
                <w:b/>
                <w:bCs/>
                <w:color w:val="auto"/>
                <w:szCs w:val="21"/>
                <w:lang w:val="zh-CN"/>
              </w:rPr>
            </w:pPr>
            <w:r>
              <w:rPr>
                <w:rFonts w:hint="eastAsia" w:ascii="宋体" w:hAnsi="宋体"/>
                <w:b/>
                <w:bCs/>
                <w:color w:val="auto"/>
                <w:szCs w:val="21"/>
                <w:lang w:val="zh-CN"/>
              </w:rPr>
              <w:t>投标保证金退还</w:t>
            </w:r>
          </w:p>
        </w:tc>
      </w:tr>
      <w:tr w14:paraId="615344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704" w:hRule="atLeast"/>
          <w:jc w:val="center"/>
        </w:trPr>
        <w:tc>
          <w:tcPr>
            <w:tcW w:w="801" w:type="dxa"/>
            <w:vMerge w:val="continue"/>
            <w:tcBorders>
              <w:tl2br w:val="nil"/>
              <w:tr2bl w:val="nil"/>
            </w:tcBorders>
            <w:vAlign w:val="center"/>
          </w:tcPr>
          <w:p w14:paraId="5B117D1D">
            <w:pPr>
              <w:jc w:val="center"/>
              <w:rPr>
                <w:rFonts w:ascii="宋体" w:hAnsi="宋体"/>
                <w:color w:val="auto"/>
                <w:szCs w:val="21"/>
              </w:rPr>
            </w:pPr>
          </w:p>
        </w:tc>
        <w:tc>
          <w:tcPr>
            <w:tcW w:w="7609" w:type="dxa"/>
            <w:gridSpan w:val="2"/>
            <w:tcBorders>
              <w:tl2br w:val="nil"/>
              <w:tr2bl w:val="nil"/>
            </w:tcBorders>
            <w:vAlign w:val="center"/>
          </w:tcPr>
          <w:p w14:paraId="48F9A125">
            <w:pPr>
              <w:jc w:val="both"/>
              <w:rPr>
                <w:rFonts w:ascii="宋体" w:hAnsi="宋体"/>
                <w:color w:val="auto"/>
                <w:szCs w:val="21"/>
                <w:lang w:val="zh-CN"/>
              </w:rPr>
            </w:pPr>
            <w:r>
              <w:rPr>
                <w:rFonts w:hint="eastAsia" w:ascii="宋体" w:hAnsi="宋体"/>
                <w:color w:val="auto"/>
                <w:szCs w:val="21"/>
                <w:lang w:val="zh-CN"/>
              </w:rPr>
              <w:t>（</w:t>
            </w:r>
            <w:r>
              <w:rPr>
                <w:rFonts w:hint="eastAsia" w:ascii="宋体" w:hAnsi="宋体"/>
                <w:color w:val="auto"/>
                <w:szCs w:val="21"/>
              </w:rPr>
              <w:t>1</w:t>
            </w:r>
            <w:r>
              <w:rPr>
                <w:rFonts w:hint="eastAsia" w:ascii="宋体" w:hAnsi="宋体"/>
                <w:color w:val="auto"/>
                <w:szCs w:val="21"/>
                <w:lang w:val="zh-CN"/>
              </w:rPr>
              <w:t>）未中标的投标人的保证金应当在中标通知书发出后退还，中标</w:t>
            </w:r>
            <w:r>
              <w:rPr>
                <w:rFonts w:hint="eastAsia" w:ascii="宋体" w:hAnsi="宋体"/>
                <w:color w:val="auto"/>
                <w:szCs w:val="21"/>
              </w:rPr>
              <w:t>的</w:t>
            </w:r>
            <w:r>
              <w:rPr>
                <w:rFonts w:hint="eastAsia" w:ascii="宋体" w:hAnsi="宋体"/>
                <w:color w:val="auto"/>
                <w:szCs w:val="21"/>
                <w:lang w:val="zh-CN"/>
              </w:rPr>
              <w:t>投标人的保证金应当在采购合同签订</w:t>
            </w:r>
            <w:r>
              <w:rPr>
                <w:rFonts w:hint="eastAsia" w:ascii="宋体" w:hAnsi="宋体"/>
                <w:color w:val="auto"/>
                <w:szCs w:val="21"/>
              </w:rPr>
              <w:t>并缴纳履约保证金</w:t>
            </w:r>
            <w:r>
              <w:rPr>
                <w:rFonts w:hint="eastAsia" w:ascii="宋体" w:hAnsi="宋体"/>
                <w:color w:val="auto"/>
                <w:szCs w:val="21"/>
                <w:lang w:val="zh-CN"/>
              </w:rPr>
              <w:t>后退还。</w:t>
            </w:r>
          </w:p>
          <w:p w14:paraId="2BA7D997">
            <w:pPr>
              <w:jc w:val="both"/>
              <w:rPr>
                <w:color w:val="auto"/>
              </w:rPr>
            </w:pPr>
            <w:r>
              <w:rPr>
                <w:rFonts w:hint="eastAsia" w:ascii="宋体" w:hAnsi="宋体"/>
                <w:color w:val="auto"/>
                <w:szCs w:val="21"/>
                <w:lang w:val="zh-CN"/>
              </w:rPr>
              <w:t>（</w:t>
            </w:r>
            <w:r>
              <w:rPr>
                <w:rFonts w:hint="eastAsia" w:ascii="宋体" w:hAnsi="宋体"/>
                <w:color w:val="auto"/>
                <w:szCs w:val="21"/>
              </w:rPr>
              <w:t>2</w:t>
            </w:r>
            <w:r>
              <w:rPr>
                <w:rFonts w:hint="eastAsia" w:ascii="宋体" w:hAnsi="宋体"/>
                <w:color w:val="auto"/>
                <w:szCs w:val="21"/>
                <w:lang w:val="zh-CN"/>
              </w:rPr>
              <w:t>）为方便退还未中标的投标人的保证金，投标人应制作《投标保证金汇入情况说明》随唱标信封一并递交。</w:t>
            </w:r>
          </w:p>
        </w:tc>
      </w:tr>
      <w:tr w14:paraId="7C8D6C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52846416">
            <w:pPr>
              <w:jc w:val="center"/>
              <w:rPr>
                <w:rFonts w:ascii="宋体" w:hAnsi="宋体"/>
                <w:color w:val="auto"/>
                <w:szCs w:val="21"/>
              </w:rPr>
            </w:pPr>
            <w:r>
              <w:rPr>
                <w:rFonts w:hint="eastAsia" w:ascii="宋体" w:hAnsi="宋体"/>
                <w:color w:val="auto"/>
                <w:szCs w:val="21"/>
              </w:rPr>
              <w:t>9</w:t>
            </w:r>
          </w:p>
        </w:tc>
        <w:tc>
          <w:tcPr>
            <w:tcW w:w="7609" w:type="dxa"/>
            <w:gridSpan w:val="2"/>
            <w:tcBorders>
              <w:tl2br w:val="nil"/>
              <w:tr2bl w:val="nil"/>
            </w:tcBorders>
            <w:vAlign w:val="center"/>
          </w:tcPr>
          <w:p w14:paraId="3C008F7C">
            <w:pPr>
              <w:jc w:val="both"/>
              <w:rPr>
                <w:rFonts w:ascii="宋体" w:hAnsi="宋体"/>
                <w:b/>
                <w:color w:val="auto"/>
                <w:szCs w:val="21"/>
              </w:rPr>
            </w:pPr>
            <w:r>
              <w:rPr>
                <w:rFonts w:hint="eastAsia" w:ascii="宋体" w:hAnsi="宋体"/>
                <w:b/>
                <w:color w:val="auto"/>
                <w:szCs w:val="21"/>
              </w:rPr>
              <w:t>投标有效期</w:t>
            </w:r>
          </w:p>
        </w:tc>
      </w:tr>
      <w:tr w14:paraId="667559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588F0083">
            <w:pPr>
              <w:jc w:val="center"/>
              <w:rPr>
                <w:rFonts w:ascii="宋体" w:hAnsi="宋体"/>
                <w:color w:val="auto"/>
                <w:szCs w:val="21"/>
              </w:rPr>
            </w:pPr>
          </w:p>
        </w:tc>
        <w:tc>
          <w:tcPr>
            <w:tcW w:w="7609" w:type="dxa"/>
            <w:gridSpan w:val="2"/>
            <w:tcBorders>
              <w:tl2br w:val="nil"/>
              <w:tr2bl w:val="nil"/>
            </w:tcBorders>
            <w:vAlign w:val="center"/>
          </w:tcPr>
          <w:p w14:paraId="01138F84">
            <w:pPr>
              <w:jc w:val="both"/>
              <w:rPr>
                <w:rFonts w:ascii="宋体" w:hAnsi="宋体"/>
                <w:b/>
                <w:color w:val="auto"/>
                <w:szCs w:val="21"/>
              </w:rPr>
            </w:pPr>
            <w:r>
              <w:rPr>
                <w:rFonts w:hint="eastAsia" w:ascii="宋体" w:hAnsi="宋体"/>
                <w:color w:val="auto"/>
                <w:szCs w:val="21"/>
              </w:rPr>
              <w:t>九十天。</w:t>
            </w:r>
          </w:p>
        </w:tc>
      </w:tr>
      <w:tr w14:paraId="3EBE98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restart"/>
            <w:tcBorders>
              <w:tl2br w:val="nil"/>
              <w:tr2bl w:val="nil"/>
            </w:tcBorders>
            <w:vAlign w:val="center"/>
          </w:tcPr>
          <w:p w14:paraId="3F0986F1">
            <w:pPr>
              <w:jc w:val="center"/>
              <w:rPr>
                <w:rFonts w:ascii="宋体" w:hAnsi="宋体"/>
                <w:color w:val="auto"/>
                <w:szCs w:val="21"/>
              </w:rPr>
            </w:pPr>
            <w:r>
              <w:rPr>
                <w:rFonts w:hint="eastAsia" w:ascii="宋体" w:hAnsi="宋体"/>
                <w:color w:val="auto"/>
                <w:szCs w:val="21"/>
              </w:rPr>
              <w:t>10</w:t>
            </w:r>
          </w:p>
        </w:tc>
        <w:tc>
          <w:tcPr>
            <w:tcW w:w="7609" w:type="dxa"/>
            <w:gridSpan w:val="2"/>
            <w:tcBorders>
              <w:tl2br w:val="nil"/>
              <w:tr2bl w:val="nil"/>
            </w:tcBorders>
            <w:vAlign w:val="center"/>
          </w:tcPr>
          <w:p w14:paraId="6B8A968D">
            <w:pPr>
              <w:rPr>
                <w:rFonts w:ascii="宋体" w:hAnsi="宋体"/>
                <w:b/>
                <w:color w:val="auto"/>
                <w:szCs w:val="21"/>
              </w:rPr>
            </w:pPr>
            <w:r>
              <w:rPr>
                <w:rFonts w:hint="eastAsia" w:ascii="宋体" w:hAnsi="宋体"/>
                <w:b/>
                <w:color w:val="auto"/>
                <w:szCs w:val="21"/>
              </w:rPr>
              <w:t>投标人应提交以下投标文件（投标文件由唱标信封、价格文件、商务文件、技术文件、电子文档五部分组成；价格文件、商务文件、技术文件分别单独装订成册，电子文档装入唱标信封一同封装；具体编制和封装要求详见第四部分投标人须知）</w:t>
            </w:r>
          </w:p>
        </w:tc>
      </w:tr>
      <w:tr w14:paraId="0D0CC31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30F1560A">
            <w:pPr>
              <w:jc w:val="center"/>
              <w:rPr>
                <w:rFonts w:ascii="宋体" w:hAnsi="宋体"/>
                <w:color w:val="auto"/>
                <w:szCs w:val="21"/>
              </w:rPr>
            </w:pPr>
          </w:p>
        </w:tc>
        <w:tc>
          <w:tcPr>
            <w:tcW w:w="2250" w:type="dxa"/>
            <w:tcBorders>
              <w:tl2br w:val="nil"/>
              <w:tr2bl w:val="nil"/>
            </w:tcBorders>
            <w:vAlign w:val="center"/>
          </w:tcPr>
          <w:p w14:paraId="357E8E68">
            <w:pPr>
              <w:jc w:val="center"/>
              <w:rPr>
                <w:rFonts w:ascii="宋体" w:hAnsi="宋体"/>
                <w:b/>
                <w:color w:val="auto"/>
                <w:szCs w:val="21"/>
              </w:rPr>
            </w:pPr>
            <w:r>
              <w:rPr>
                <w:rFonts w:hint="eastAsia" w:ascii="宋体" w:hAnsi="宋体"/>
                <w:b/>
                <w:color w:val="auto"/>
                <w:szCs w:val="21"/>
              </w:rPr>
              <w:t>投标文件类型</w:t>
            </w:r>
          </w:p>
        </w:tc>
        <w:tc>
          <w:tcPr>
            <w:tcW w:w="5359" w:type="dxa"/>
            <w:tcBorders>
              <w:tl2br w:val="nil"/>
              <w:tr2bl w:val="nil"/>
            </w:tcBorders>
            <w:vAlign w:val="center"/>
          </w:tcPr>
          <w:p w14:paraId="5329FE47">
            <w:pPr>
              <w:jc w:val="center"/>
              <w:rPr>
                <w:rFonts w:ascii="宋体" w:hAnsi="宋体"/>
                <w:b/>
                <w:color w:val="auto"/>
                <w:szCs w:val="21"/>
              </w:rPr>
            </w:pPr>
            <w:r>
              <w:rPr>
                <w:rFonts w:hint="eastAsia" w:ascii="宋体" w:hAnsi="宋体"/>
                <w:b/>
                <w:color w:val="auto"/>
                <w:szCs w:val="21"/>
              </w:rPr>
              <w:t>份数</w:t>
            </w:r>
          </w:p>
        </w:tc>
      </w:tr>
      <w:tr w14:paraId="3150506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3DA5D06E">
            <w:pPr>
              <w:jc w:val="center"/>
              <w:rPr>
                <w:rFonts w:ascii="宋体" w:hAnsi="宋体"/>
                <w:color w:val="auto"/>
                <w:szCs w:val="21"/>
              </w:rPr>
            </w:pPr>
          </w:p>
        </w:tc>
        <w:tc>
          <w:tcPr>
            <w:tcW w:w="2250" w:type="dxa"/>
            <w:tcBorders>
              <w:tl2br w:val="nil"/>
              <w:tr2bl w:val="nil"/>
            </w:tcBorders>
            <w:vAlign w:val="center"/>
          </w:tcPr>
          <w:p w14:paraId="1D39DBD6">
            <w:pPr>
              <w:jc w:val="center"/>
              <w:rPr>
                <w:rFonts w:ascii="宋体" w:hAnsi="宋体"/>
                <w:b/>
                <w:color w:val="auto"/>
                <w:szCs w:val="21"/>
              </w:rPr>
            </w:pPr>
            <w:r>
              <w:rPr>
                <w:rFonts w:hint="eastAsia" w:ascii="宋体" w:hAnsi="宋体"/>
                <w:b/>
                <w:color w:val="auto"/>
                <w:szCs w:val="21"/>
              </w:rPr>
              <w:t>唱标信封</w:t>
            </w:r>
          </w:p>
        </w:tc>
        <w:tc>
          <w:tcPr>
            <w:tcW w:w="5359" w:type="dxa"/>
            <w:tcBorders>
              <w:tl2br w:val="nil"/>
              <w:tr2bl w:val="nil"/>
            </w:tcBorders>
            <w:vAlign w:val="center"/>
          </w:tcPr>
          <w:p w14:paraId="4FB36C58">
            <w:pPr>
              <w:jc w:val="center"/>
              <w:rPr>
                <w:rFonts w:ascii="宋体" w:hAnsi="宋体"/>
                <w:b/>
                <w:color w:val="auto"/>
                <w:szCs w:val="21"/>
              </w:rPr>
            </w:pPr>
            <w:r>
              <w:rPr>
                <w:rFonts w:hint="eastAsia" w:ascii="宋体" w:hAnsi="宋体"/>
                <w:b/>
                <w:color w:val="auto"/>
                <w:szCs w:val="21"/>
              </w:rPr>
              <w:t>1</w:t>
            </w:r>
          </w:p>
        </w:tc>
      </w:tr>
      <w:tr w14:paraId="5EEFF47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712835A2">
            <w:pPr>
              <w:jc w:val="center"/>
              <w:rPr>
                <w:rFonts w:ascii="宋体" w:hAnsi="宋体"/>
                <w:color w:val="auto"/>
                <w:szCs w:val="21"/>
              </w:rPr>
            </w:pPr>
          </w:p>
        </w:tc>
        <w:tc>
          <w:tcPr>
            <w:tcW w:w="2250" w:type="dxa"/>
            <w:tcBorders>
              <w:tl2br w:val="nil"/>
              <w:tr2bl w:val="nil"/>
            </w:tcBorders>
            <w:vAlign w:val="center"/>
          </w:tcPr>
          <w:p w14:paraId="2E9E81FC">
            <w:pPr>
              <w:jc w:val="center"/>
              <w:rPr>
                <w:rFonts w:ascii="宋体" w:hAnsi="宋体"/>
                <w:b/>
                <w:color w:val="auto"/>
                <w:szCs w:val="21"/>
              </w:rPr>
            </w:pPr>
            <w:r>
              <w:rPr>
                <w:rFonts w:hint="eastAsia" w:ascii="宋体" w:hAnsi="宋体"/>
                <w:b/>
                <w:color w:val="auto"/>
                <w:szCs w:val="21"/>
              </w:rPr>
              <w:t>投标文件正本</w:t>
            </w:r>
          </w:p>
        </w:tc>
        <w:tc>
          <w:tcPr>
            <w:tcW w:w="5359" w:type="dxa"/>
            <w:tcBorders>
              <w:tl2br w:val="nil"/>
              <w:tr2bl w:val="nil"/>
            </w:tcBorders>
            <w:vAlign w:val="center"/>
          </w:tcPr>
          <w:p w14:paraId="11ED7D63">
            <w:pPr>
              <w:jc w:val="center"/>
              <w:rPr>
                <w:rFonts w:ascii="宋体" w:hAnsi="宋体"/>
                <w:b/>
                <w:color w:val="auto"/>
                <w:szCs w:val="21"/>
              </w:rPr>
            </w:pPr>
            <w:r>
              <w:rPr>
                <w:rFonts w:hint="eastAsia" w:ascii="宋体" w:hAnsi="宋体"/>
                <w:b/>
                <w:color w:val="auto"/>
                <w:szCs w:val="21"/>
              </w:rPr>
              <w:t>1</w:t>
            </w:r>
          </w:p>
        </w:tc>
      </w:tr>
      <w:tr w14:paraId="7E5B6A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801" w:type="dxa"/>
            <w:vMerge w:val="continue"/>
            <w:tcBorders>
              <w:tl2br w:val="nil"/>
              <w:tr2bl w:val="nil"/>
            </w:tcBorders>
            <w:vAlign w:val="center"/>
          </w:tcPr>
          <w:p w14:paraId="3682473B">
            <w:pPr>
              <w:jc w:val="center"/>
              <w:rPr>
                <w:rFonts w:ascii="宋体" w:hAnsi="宋体"/>
                <w:color w:val="auto"/>
                <w:szCs w:val="21"/>
              </w:rPr>
            </w:pPr>
          </w:p>
        </w:tc>
        <w:tc>
          <w:tcPr>
            <w:tcW w:w="2250" w:type="dxa"/>
            <w:tcBorders>
              <w:tl2br w:val="nil"/>
              <w:tr2bl w:val="nil"/>
            </w:tcBorders>
            <w:vAlign w:val="center"/>
          </w:tcPr>
          <w:p w14:paraId="3EF37FA5">
            <w:pPr>
              <w:jc w:val="center"/>
              <w:rPr>
                <w:rFonts w:ascii="宋体" w:hAnsi="宋体"/>
                <w:b/>
                <w:color w:val="auto"/>
                <w:szCs w:val="21"/>
              </w:rPr>
            </w:pPr>
            <w:r>
              <w:rPr>
                <w:rFonts w:hint="eastAsia" w:ascii="宋体" w:hAnsi="宋体"/>
                <w:b/>
                <w:color w:val="auto"/>
                <w:szCs w:val="21"/>
              </w:rPr>
              <w:t>投标文件副本</w:t>
            </w:r>
          </w:p>
        </w:tc>
        <w:tc>
          <w:tcPr>
            <w:tcW w:w="5359" w:type="dxa"/>
            <w:tcBorders>
              <w:tl2br w:val="nil"/>
              <w:tr2bl w:val="nil"/>
            </w:tcBorders>
            <w:vAlign w:val="center"/>
          </w:tcPr>
          <w:p w14:paraId="1E74B549">
            <w:pPr>
              <w:jc w:val="center"/>
              <w:rPr>
                <w:rFonts w:ascii="宋体" w:hAnsi="宋体"/>
                <w:b/>
                <w:color w:val="auto"/>
                <w:szCs w:val="21"/>
              </w:rPr>
            </w:pPr>
            <w:r>
              <w:rPr>
                <w:rFonts w:hint="eastAsia" w:ascii="宋体" w:hAnsi="宋体"/>
                <w:bCs/>
                <w:color w:val="auto"/>
                <w:szCs w:val="21"/>
              </w:rPr>
              <w:t>☑</w:t>
            </w:r>
            <w:r>
              <w:rPr>
                <w:rFonts w:hint="eastAsia" w:ascii="宋体" w:hAnsi="宋体"/>
                <w:b/>
                <w:color w:val="auto"/>
                <w:szCs w:val="21"/>
              </w:rPr>
              <w:t xml:space="preserve">5 </w:t>
            </w:r>
            <w:r>
              <w:rPr>
                <w:rFonts w:hint="eastAsia" w:ascii="宋体" w:hAnsi="宋体"/>
                <w:bCs/>
                <w:color w:val="auto"/>
                <w:szCs w:val="21"/>
              </w:rPr>
              <w:t>□</w:t>
            </w:r>
            <w:r>
              <w:rPr>
                <w:rFonts w:hint="eastAsia" w:ascii="宋体" w:hAnsi="宋体"/>
                <w:b/>
                <w:color w:val="auto"/>
                <w:szCs w:val="21"/>
              </w:rPr>
              <w:t>7</w:t>
            </w:r>
          </w:p>
        </w:tc>
      </w:tr>
      <w:tr w14:paraId="0FDD3B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14217218">
            <w:pPr>
              <w:jc w:val="center"/>
              <w:rPr>
                <w:rFonts w:ascii="宋体" w:hAnsi="宋体"/>
                <w:color w:val="auto"/>
                <w:szCs w:val="21"/>
              </w:rPr>
            </w:pPr>
          </w:p>
        </w:tc>
        <w:tc>
          <w:tcPr>
            <w:tcW w:w="2250" w:type="dxa"/>
            <w:vMerge w:val="restart"/>
            <w:tcBorders>
              <w:tl2br w:val="nil"/>
              <w:tr2bl w:val="nil"/>
            </w:tcBorders>
            <w:vAlign w:val="center"/>
          </w:tcPr>
          <w:p w14:paraId="6222C986">
            <w:pPr>
              <w:jc w:val="center"/>
              <w:rPr>
                <w:rFonts w:ascii="宋体" w:hAnsi="宋体"/>
                <w:b/>
                <w:color w:val="auto"/>
                <w:szCs w:val="21"/>
              </w:rPr>
            </w:pPr>
            <w:r>
              <w:rPr>
                <w:rFonts w:hint="eastAsia" w:ascii="宋体" w:hAnsi="宋体"/>
                <w:b/>
                <w:color w:val="auto"/>
                <w:szCs w:val="21"/>
              </w:rPr>
              <w:t>电子文档</w:t>
            </w:r>
          </w:p>
        </w:tc>
        <w:tc>
          <w:tcPr>
            <w:tcW w:w="5359" w:type="dxa"/>
            <w:tcBorders>
              <w:tl2br w:val="nil"/>
              <w:tr2bl w:val="nil"/>
            </w:tcBorders>
            <w:vAlign w:val="center"/>
          </w:tcPr>
          <w:p w14:paraId="6B9A0C78">
            <w:pPr>
              <w:jc w:val="center"/>
              <w:rPr>
                <w:rFonts w:ascii="宋体" w:hAnsi="宋体"/>
                <w:b/>
                <w:color w:val="auto"/>
                <w:szCs w:val="21"/>
              </w:rPr>
            </w:pPr>
            <w:r>
              <w:rPr>
                <w:rFonts w:hint="eastAsia" w:ascii="宋体" w:hAnsi="宋体"/>
                <w:b/>
                <w:color w:val="auto"/>
                <w:szCs w:val="21"/>
              </w:rPr>
              <w:t>1</w:t>
            </w:r>
          </w:p>
        </w:tc>
      </w:tr>
      <w:tr w14:paraId="036F6B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3550AEF7">
            <w:pPr>
              <w:jc w:val="center"/>
              <w:rPr>
                <w:rFonts w:ascii="宋体" w:hAnsi="宋体"/>
                <w:color w:val="auto"/>
                <w:szCs w:val="21"/>
              </w:rPr>
            </w:pPr>
          </w:p>
        </w:tc>
        <w:tc>
          <w:tcPr>
            <w:tcW w:w="2250" w:type="dxa"/>
            <w:vMerge w:val="continue"/>
            <w:tcBorders>
              <w:tl2br w:val="nil"/>
              <w:tr2bl w:val="nil"/>
            </w:tcBorders>
            <w:vAlign w:val="center"/>
          </w:tcPr>
          <w:p w14:paraId="73551896">
            <w:pPr>
              <w:jc w:val="center"/>
              <w:rPr>
                <w:rFonts w:ascii="宋体" w:hAnsi="宋体"/>
                <w:b/>
                <w:color w:val="auto"/>
                <w:szCs w:val="21"/>
              </w:rPr>
            </w:pPr>
          </w:p>
        </w:tc>
        <w:tc>
          <w:tcPr>
            <w:tcW w:w="5359" w:type="dxa"/>
            <w:tcBorders>
              <w:tl2br w:val="nil"/>
              <w:tr2bl w:val="nil"/>
            </w:tcBorders>
            <w:vAlign w:val="center"/>
          </w:tcPr>
          <w:p w14:paraId="229D310C">
            <w:pPr>
              <w:jc w:val="center"/>
              <w:rPr>
                <w:rFonts w:ascii="宋体" w:hAnsi="宋体"/>
                <w:b/>
                <w:color w:val="auto"/>
                <w:szCs w:val="21"/>
              </w:rPr>
            </w:pPr>
            <w:r>
              <w:rPr>
                <w:rFonts w:hint="eastAsia" w:ascii="宋体" w:hAnsi="宋体" w:cs="Times New Roman"/>
                <w:b/>
                <w:color w:val="auto"/>
                <w:szCs w:val="21"/>
              </w:rPr>
              <w:t>U盘，须含盖章版PDF投标文件和WORD版投标文件各一版，文字采用WORD文档，计算表格采用 EXCEL文档。</w:t>
            </w:r>
          </w:p>
        </w:tc>
      </w:tr>
      <w:tr w14:paraId="1947CE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857" w:hRule="atLeast"/>
          <w:jc w:val="center"/>
        </w:trPr>
        <w:tc>
          <w:tcPr>
            <w:tcW w:w="8410" w:type="dxa"/>
            <w:gridSpan w:val="3"/>
            <w:tcBorders>
              <w:tl2br w:val="nil"/>
              <w:tr2bl w:val="nil"/>
            </w:tcBorders>
            <w:vAlign w:val="center"/>
          </w:tcPr>
          <w:p w14:paraId="64728AE8">
            <w:pPr>
              <w:jc w:val="center"/>
              <w:rPr>
                <w:rFonts w:ascii="宋体" w:hAnsi="宋体"/>
                <w:b/>
                <w:color w:val="auto"/>
                <w:szCs w:val="21"/>
              </w:rPr>
            </w:pPr>
            <w:r>
              <w:rPr>
                <w:rFonts w:hint="eastAsia" w:ascii="宋体" w:hAnsi="宋体"/>
                <w:b/>
                <w:color w:val="auto"/>
                <w:szCs w:val="21"/>
              </w:rPr>
              <w:t>三、开标与评标</w:t>
            </w:r>
          </w:p>
        </w:tc>
      </w:tr>
      <w:tr w14:paraId="29755B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72CA1E1A">
            <w:pPr>
              <w:jc w:val="center"/>
              <w:rPr>
                <w:rFonts w:ascii="宋体" w:hAnsi="宋体"/>
                <w:color w:val="auto"/>
                <w:szCs w:val="21"/>
              </w:rPr>
            </w:pPr>
            <w:r>
              <w:rPr>
                <w:rFonts w:hint="eastAsia" w:ascii="宋体" w:hAnsi="宋体"/>
                <w:color w:val="auto"/>
                <w:szCs w:val="21"/>
              </w:rPr>
              <w:t>11</w:t>
            </w:r>
          </w:p>
        </w:tc>
        <w:tc>
          <w:tcPr>
            <w:tcW w:w="7609" w:type="dxa"/>
            <w:gridSpan w:val="2"/>
            <w:tcBorders>
              <w:tl2br w:val="nil"/>
              <w:tr2bl w:val="nil"/>
            </w:tcBorders>
            <w:vAlign w:val="center"/>
          </w:tcPr>
          <w:p w14:paraId="4EF1B338">
            <w:pPr>
              <w:jc w:val="both"/>
              <w:rPr>
                <w:rFonts w:ascii="宋体" w:hAnsi="宋体"/>
                <w:color w:val="auto"/>
                <w:szCs w:val="21"/>
              </w:rPr>
            </w:pPr>
            <w:r>
              <w:rPr>
                <w:rFonts w:hint="eastAsia" w:ascii="宋体" w:hAnsi="宋体"/>
                <w:b/>
                <w:color w:val="auto"/>
                <w:szCs w:val="21"/>
              </w:rPr>
              <w:t>本项目评标方法</w:t>
            </w:r>
          </w:p>
        </w:tc>
      </w:tr>
      <w:tr w14:paraId="46E569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163907BA">
            <w:pPr>
              <w:jc w:val="center"/>
              <w:rPr>
                <w:rFonts w:ascii="宋体" w:hAnsi="宋体"/>
                <w:color w:val="auto"/>
                <w:szCs w:val="21"/>
              </w:rPr>
            </w:pPr>
          </w:p>
        </w:tc>
        <w:tc>
          <w:tcPr>
            <w:tcW w:w="7609" w:type="dxa"/>
            <w:gridSpan w:val="2"/>
            <w:tcBorders>
              <w:tl2br w:val="nil"/>
              <w:tr2bl w:val="nil"/>
            </w:tcBorders>
            <w:vAlign w:val="center"/>
          </w:tcPr>
          <w:p w14:paraId="24EA2DA2">
            <w:pPr>
              <w:jc w:val="both"/>
              <w:rPr>
                <w:rFonts w:ascii="宋体" w:hAnsi="宋体"/>
                <w:b/>
                <w:color w:val="auto"/>
                <w:szCs w:val="21"/>
              </w:rPr>
            </w:pPr>
            <w:r>
              <w:rPr>
                <w:rFonts w:hint="eastAsia" w:ascii="宋体" w:hAnsi="宋体"/>
                <w:color w:val="auto"/>
                <w:szCs w:val="21"/>
              </w:rPr>
              <w:t>综合评分法。</w:t>
            </w:r>
          </w:p>
        </w:tc>
      </w:tr>
      <w:tr w14:paraId="3FBCA7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69FF098D">
            <w:pPr>
              <w:jc w:val="center"/>
              <w:rPr>
                <w:rFonts w:ascii="宋体" w:hAnsi="宋体"/>
                <w:color w:val="auto"/>
                <w:szCs w:val="21"/>
              </w:rPr>
            </w:pPr>
            <w:r>
              <w:rPr>
                <w:rFonts w:hint="eastAsia" w:ascii="宋体" w:hAnsi="宋体"/>
                <w:color w:val="auto"/>
                <w:szCs w:val="21"/>
              </w:rPr>
              <w:t>12</w:t>
            </w:r>
          </w:p>
        </w:tc>
        <w:tc>
          <w:tcPr>
            <w:tcW w:w="7609" w:type="dxa"/>
            <w:gridSpan w:val="2"/>
            <w:tcBorders>
              <w:tl2br w:val="nil"/>
              <w:tr2bl w:val="nil"/>
            </w:tcBorders>
            <w:vAlign w:val="center"/>
          </w:tcPr>
          <w:p w14:paraId="781E5C02">
            <w:pPr>
              <w:jc w:val="both"/>
              <w:rPr>
                <w:rFonts w:ascii="宋体" w:hAnsi="宋体"/>
                <w:b/>
                <w:color w:val="auto"/>
                <w:szCs w:val="21"/>
              </w:rPr>
            </w:pPr>
            <w:r>
              <w:rPr>
                <w:rFonts w:hint="eastAsia" w:ascii="宋体" w:hAnsi="宋体"/>
                <w:b/>
                <w:color w:val="auto"/>
                <w:szCs w:val="21"/>
              </w:rPr>
              <w:t>综合评分法评分因素和权重分值</w:t>
            </w:r>
          </w:p>
        </w:tc>
      </w:tr>
      <w:tr w14:paraId="7D6D42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4368F2BB">
            <w:pPr>
              <w:jc w:val="center"/>
              <w:rPr>
                <w:rFonts w:ascii="宋体" w:hAnsi="宋体"/>
                <w:color w:val="auto"/>
                <w:szCs w:val="21"/>
              </w:rPr>
            </w:pPr>
          </w:p>
        </w:tc>
        <w:tc>
          <w:tcPr>
            <w:tcW w:w="7609" w:type="dxa"/>
            <w:gridSpan w:val="2"/>
            <w:tcBorders>
              <w:tl2br w:val="nil"/>
              <w:tr2bl w:val="nil"/>
            </w:tcBorders>
            <w:vAlign w:val="center"/>
          </w:tcPr>
          <w:p w14:paraId="2C34B76B">
            <w:pPr>
              <w:jc w:val="both"/>
              <w:rPr>
                <w:rFonts w:ascii="宋体" w:hAnsi="宋体"/>
                <w:b/>
                <w:color w:val="auto"/>
                <w:szCs w:val="21"/>
              </w:rPr>
            </w:pPr>
            <w:r>
              <w:rPr>
                <w:rFonts w:hint="eastAsia" w:ascii="宋体" w:hAnsi="宋体"/>
                <w:color w:val="auto"/>
                <w:szCs w:val="21"/>
              </w:rPr>
              <w:t>见附表二。</w:t>
            </w:r>
          </w:p>
        </w:tc>
      </w:tr>
      <w:tr w14:paraId="486D95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restart"/>
            <w:tcBorders>
              <w:tl2br w:val="nil"/>
              <w:tr2bl w:val="nil"/>
            </w:tcBorders>
            <w:vAlign w:val="center"/>
          </w:tcPr>
          <w:p w14:paraId="6394D01F">
            <w:pPr>
              <w:jc w:val="center"/>
              <w:rPr>
                <w:rFonts w:ascii="宋体" w:hAnsi="宋体"/>
                <w:color w:val="auto"/>
                <w:szCs w:val="21"/>
              </w:rPr>
            </w:pPr>
            <w:r>
              <w:rPr>
                <w:rFonts w:hint="eastAsia" w:ascii="宋体" w:hAnsi="宋体"/>
                <w:color w:val="auto"/>
                <w:szCs w:val="21"/>
              </w:rPr>
              <w:t>13</w:t>
            </w:r>
          </w:p>
        </w:tc>
        <w:tc>
          <w:tcPr>
            <w:tcW w:w="7609" w:type="dxa"/>
            <w:gridSpan w:val="2"/>
            <w:tcBorders>
              <w:tl2br w:val="nil"/>
              <w:tr2bl w:val="nil"/>
            </w:tcBorders>
            <w:vAlign w:val="center"/>
          </w:tcPr>
          <w:p w14:paraId="5F011ACA">
            <w:pPr>
              <w:jc w:val="both"/>
              <w:rPr>
                <w:rFonts w:ascii="宋体" w:hAnsi="宋体"/>
                <w:color w:val="auto"/>
                <w:szCs w:val="21"/>
              </w:rPr>
            </w:pPr>
            <w:r>
              <w:rPr>
                <w:rFonts w:hint="eastAsia" w:ascii="宋体" w:hAnsi="宋体"/>
                <w:b/>
                <w:color w:val="auto"/>
                <w:szCs w:val="21"/>
              </w:rPr>
              <w:t>评标委员会</w:t>
            </w:r>
          </w:p>
        </w:tc>
      </w:tr>
      <w:tr w14:paraId="078856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2F1E213C">
            <w:pPr>
              <w:jc w:val="center"/>
              <w:rPr>
                <w:rFonts w:ascii="宋体" w:hAnsi="宋体"/>
                <w:color w:val="auto"/>
                <w:szCs w:val="21"/>
              </w:rPr>
            </w:pPr>
          </w:p>
        </w:tc>
        <w:tc>
          <w:tcPr>
            <w:tcW w:w="7609" w:type="dxa"/>
            <w:gridSpan w:val="2"/>
            <w:tcBorders>
              <w:tl2br w:val="nil"/>
              <w:tr2bl w:val="nil"/>
            </w:tcBorders>
            <w:vAlign w:val="center"/>
          </w:tcPr>
          <w:p w14:paraId="31EDB6BE">
            <w:pPr>
              <w:jc w:val="both"/>
              <w:rPr>
                <w:rFonts w:ascii="宋体" w:hAnsi="宋体"/>
                <w:color w:val="auto"/>
                <w:szCs w:val="21"/>
              </w:rPr>
            </w:pPr>
            <w:r>
              <w:rPr>
                <w:rFonts w:hint="eastAsia" w:ascii="宋体" w:hAnsi="宋体"/>
                <w:color w:val="auto"/>
                <w:szCs w:val="21"/>
              </w:rPr>
              <w:t>评标委员会成员共</w:t>
            </w:r>
            <w:r>
              <w:rPr>
                <w:rFonts w:hint="eastAsia" w:ascii="宋体" w:hAnsi="宋体"/>
                <w:color w:val="auto"/>
                <w:szCs w:val="21"/>
                <w:u w:val="single"/>
              </w:rPr>
              <w:t xml:space="preserve"> 五</w:t>
            </w:r>
            <w:r>
              <w:rPr>
                <w:rFonts w:hint="eastAsia" w:ascii="宋体" w:hAnsi="宋体"/>
                <w:color w:val="auto"/>
                <w:szCs w:val="21"/>
              </w:rPr>
              <w:t>人：</w:t>
            </w:r>
            <w:r>
              <w:rPr>
                <w:rFonts w:hint="eastAsia" w:ascii="宋体" w:hAnsi="宋体"/>
                <w:color w:val="auto"/>
                <w:szCs w:val="21"/>
                <w:lang w:val="zh-CN"/>
              </w:rPr>
              <w:t>评标委员会由</w:t>
            </w:r>
            <w:r>
              <w:rPr>
                <w:rFonts w:hint="eastAsia"/>
                <w:color w:val="auto"/>
              </w:rPr>
              <w:t>采购人的代表（如有）</w:t>
            </w:r>
            <w:r>
              <w:rPr>
                <w:rFonts w:hint="eastAsia" w:ascii="宋体" w:hAnsi="宋体"/>
                <w:color w:val="auto"/>
                <w:szCs w:val="21"/>
                <w:lang w:val="zh-CN"/>
              </w:rPr>
              <w:t>和</w:t>
            </w:r>
            <w:r>
              <w:rPr>
                <w:rFonts w:hint="eastAsia" w:ascii="宋体" w:hAnsi="宋体"/>
                <w:color w:val="auto"/>
                <w:szCs w:val="21"/>
              </w:rPr>
              <w:t>有关方面的</w:t>
            </w:r>
            <w:r>
              <w:rPr>
                <w:rFonts w:hint="eastAsia" w:ascii="宋体" w:hAnsi="宋体"/>
                <w:color w:val="auto"/>
                <w:szCs w:val="21"/>
                <w:lang w:val="zh-CN"/>
              </w:rPr>
              <w:t>专家组成，</w:t>
            </w:r>
            <w:r>
              <w:rPr>
                <w:rFonts w:hint="eastAsia" w:ascii="宋体" w:hAnsi="宋体"/>
                <w:color w:val="auto"/>
                <w:szCs w:val="21"/>
              </w:rPr>
              <w:t>成员人数为五人或五人以上单数</w:t>
            </w:r>
            <w:r>
              <w:rPr>
                <w:rFonts w:hint="eastAsia" w:ascii="宋体" w:hAnsi="宋体"/>
                <w:color w:val="auto"/>
                <w:szCs w:val="21"/>
                <w:lang w:val="zh-CN"/>
              </w:rPr>
              <w:t>，其中专家不得少于成员总数的三分之二。</w:t>
            </w:r>
          </w:p>
        </w:tc>
      </w:tr>
      <w:tr w14:paraId="6059B9E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748" w:hRule="atLeast"/>
          <w:jc w:val="center"/>
        </w:trPr>
        <w:tc>
          <w:tcPr>
            <w:tcW w:w="8410" w:type="dxa"/>
            <w:gridSpan w:val="3"/>
            <w:tcBorders>
              <w:tl2br w:val="nil"/>
              <w:tr2bl w:val="nil"/>
            </w:tcBorders>
            <w:vAlign w:val="center"/>
          </w:tcPr>
          <w:p w14:paraId="146ACD7C">
            <w:pPr>
              <w:jc w:val="center"/>
              <w:rPr>
                <w:rFonts w:ascii="宋体" w:hAnsi="宋体"/>
                <w:b/>
                <w:color w:val="auto"/>
                <w:szCs w:val="21"/>
              </w:rPr>
            </w:pPr>
            <w:r>
              <w:rPr>
                <w:rFonts w:hint="eastAsia" w:ascii="宋体" w:hAnsi="宋体"/>
                <w:b/>
                <w:color w:val="auto"/>
                <w:szCs w:val="21"/>
              </w:rPr>
              <w:t>四、授予合同</w:t>
            </w:r>
          </w:p>
        </w:tc>
      </w:tr>
      <w:tr w14:paraId="5028BE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9" w:hRule="atLeast"/>
          <w:jc w:val="center"/>
        </w:trPr>
        <w:tc>
          <w:tcPr>
            <w:tcW w:w="801" w:type="dxa"/>
            <w:vMerge w:val="restart"/>
            <w:tcBorders>
              <w:tl2br w:val="nil"/>
              <w:tr2bl w:val="nil"/>
            </w:tcBorders>
            <w:vAlign w:val="center"/>
          </w:tcPr>
          <w:p w14:paraId="6D3CD08A">
            <w:pPr>
              <w:jc w:val="center"/>
              <w:rPr>
                <w:rFonts w:ascii="宋体" w:hAnsi="宋体"/>
                <w:color w:val="auto"/>
                <w:szCs w:val="21"/>
              </w:rPr>
            </w:pPr>
            <w:r>
              <w:rPr>
                <w:rFonts w:hint="eastAsia" w:ascii="宋体" w:hAnsi="宋体"/>
                <w:color w:val="auto"/>
                <w:szCs w:val="21"/>
              </w:rPr>
              <w:t>14</w:t>
            </w:r>
          </w:p>
        </w:tc>
        <w:tc>
          <w:tcPr>
            <w:tcW w:w="7609" w:type="dxa"/>
            <w:gridSpan w:val="2"/>
            <w:tcBorders>
              <w:tl2br w:val="nil"/>
              <w:tr2bl w:val="nil"/>
            </w:tcBorders>
            <w:shd w:val="clear" w:color="auto" w:fill="auto"/>
            <w:vAlign w:val="center"/>
          </w:tcPr>
          <w:p w14:paraId="51193C3D">
            <w:pPr>
              <w:jc w:val="both"/>
              <w:rPr>
                <w:rFonts w:ascii="宋体" w:hAnsi="宋体"/>
                <w:b/>
                <w:color w:val="auto"/>
                <w:szCs w:val="21"/>
              </w:rPr>
            </w:pPr>
            <w:r>
              <w:rPr>
                <w:rFonts w:hint="eastAsia" w:ascii="宋体" w:hAnsi="宋体"/>
                <w:b/>
                <w:color w:val="auto"/>
                <w:szCs w:val="21"/>
              </w:rPr>
              <w:t>履约担保</w:t>
            </w:r>
          </w:p>
        </w:tc>
      </w:tr>
      <w:tr w14:paraId="2352C8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40" w:hRule="atLeast"/>
          <w:jc w:val="center"/>
        </w:trPr>
        <w:tc>
          <w:tcPr>
            <w:tcW w:w="801" w:type="dxa"/>
            <w:vMerge w:val="continue"/>
            <w:tcBorders>
              <w:tl2br w:val="nil"/>
              <w:tr2bl w:val="nil"/>
            </w:tcBorders>
            <w:vAlign w:val="center"/>
          </w:tcPr>
          <w:p w14:paraId="46254754">
            <w:pPr>
              <w:jc w:val="center"/>
              <w:rPr>
                <w:rFonts w:ascii="宋体" w:hAnsi="宋体"/>
                <w:color w:val="auto"/>
                <w:szCs w:val="21"/>
              </w:rPr>
            </w:pPr>
          </w:p>
        </w:tc>
        <w:tc>
          <w:tcPr>
            <w:tcW w:w="7609" w:type="dxa"/>
            <w:gridSpan w:val="2"/>
            <w:tcBorders>
              <w:tl2br w:val="nil"/>
              <w:tr2bl w:val="nil"/>
            </w:tcBorders>
            <w:shd w:val="clear" w:color="auto" w:fill="auto"/>
            <w:vAlign w:val="center"/>
          </w:tcPr>
          <w:p w14:paraId="1F2E477F">
            <w:pPr>
              <w:jc w:val="both"/>
              <w:rPr>
                <w:rFonts w:ascii="宋体" w:hAnsi="宋体"/>
                <w:color w:val="auto"/>
                <w:szCs w:val="21"/>
              </w:rPr>
            </w:pPr>
            <w:r>
              <w:rPr>
                <w:rFonts w:hint="eastAsia" w:ascii="宋体" w:hAnsi="宋体"/>
                <w:color w:val="auto"/>
                <w:szCs w:val="21"/>
              </w:rPr>
              <w:t>1.履约担保金额为：</w:t>
            </w:r>
            <w:r>
              <w:rPr>
                <w:rFonts w:hint="eastAsia" w:ascii="宋体" w:hAnsi="宋体"/>
                <w:color w:val="auto"/>
                <w:szCs w:val="21"/>
                <w:u w:val="single"/>
              </w:rPr>
              <w:t>合同预算总金额的</w:t>
            </w:r>
            <w:r>
              <w:rPr>
                <w:rFonts w:ascii="宋体" w:hAnsi="宋体"/>
                <w:color w:val="auto"/>
                <w:szCs w:val="21"/>
                <w:u w:val="single"/>
              </w:rPr>
              <w:t>5%</w:t>
            </w:r>
            <w:r>
              <w:rPr>
                <w:rFonts w:hint="eastAsia" w:ascii="宋体" w:hAnsi="宋体"/>
                <w:color w:val="auto"/>
                <w:szCs w:val="21"/>
                <w:u w:val="single"/>
              </w:rPr>
              <w:t>。</w:t>
            </w:r>
          </w:p>
          <w:p w14:paraId="4D798EC7">
            <w:pPr>
              <w:jc w:val="both"/>
              <w:rPr>
                <w:rFonts w:ascii="宋体" w:hAnsi="宋体"/>
                <w:color w:val="auto"/>
                <w:szCs w:val="21"/>
              </w:rPr>
            </w:pPr>
            <w:r>
              <w:rPr>
                <w:rFonts w:hint="eastAsia" w:ascii="宋体" w:hAnsi="宋体"/>
                <w:color w:val="auto"/>
                <w:szCs w:val="21"/>
              </w:rPr>
              <w:t>2</w:t>
            </w:r>
            <w:r>
              <w:rPr>
                <w:rFonts w:ascii="宋体" w:hAnsi="宋体"/>
                <w:color w:val="auto"/>
                <w:szCs w:val="21"/>
              </w:rPr>
              <w:t>.</w:t>
            </w:r>
            <w:r>
              <w:rPr>
                <w:rFonts w:hint="eastAsia" w:ascii="宋体" w:hAnsi="宋体"/>
                <w:color w:val="auto"/>
                <w:szCs w:val="21"/>
              </w:rPr>
              <w:t>履约保证金账户信息：</w:t>
            </w:r>
          </w:p>
          <w:p w14:paraId="4B67589C">
            <w:pPr>
              <w:ind w:firstLine="420" w:firstLineChars="200"/>
              <w:jc w:val="both"/>
              <w:rPr>
                <w:rFonts w:ascii="宋体" w:hAnsi="宋体"/>
                <w:color w:val="auto"/>
                <w:szCs w:val="21"/>
              </w:rPr>
            </w:pPr>
            <w:r>
              <w:rPr>
                <w:rFonts w:hint="eastAsia" w:ascii="宋体" w:hAnsi="宋体"/>
                <w:color w:val="auto"/>
                <w:szCs w:val="21"/>
              </w:rPr>
              <w:t>账户名称：</w:t>
            </w:r>
            <w:r>
              <w:rPr>
                <w:rFonts w:hint="eastAsia" w:ascii="宋体" w:hAnsi="宋体"/>
                <w:color w:val="auto"/>
                <w:szCs w:val="21"/>
                <w:u w:val="single"/>
              </w:rPr>
              <w:t>东莞市安居建设投资有限公司</w:t>
            </w:r>
            <w:r>
              <w:rPr>
                <w:rFonts w:hint="eastAsia" w:hAnsi="宋体" w:cs="宋体"/>
                <w:color w:val="auto"/>
                <w:kern w:val="2"/>
                <w:szCs w:val="21"/>
                <w:lang w:val="zh-CN"/>
              </w:rPr>
              <w:t>；</w:t>
            </w:r>
          </w:p>
          <w:p w14:paraId="56BF3D39">
            <w:pPr>
              <w:ind w:firstLine="420" w:firstLineChars="200"/>
              <w:jc w:val="both"/>
              <w:rPr>
                <w:rFonts w:ascii="宋体" w:hAnsi="宋体"/>
                <w:color w:val="auto"/>
                <w:szCs w:val="21"/>
              </w:rPr>
            </w:pPr>
            <w:r>
              <w:rPr>
                <w:rFonts w:hint="eastAsia" w:ascii="宋体" w:hAnsi="宋体"/>
                <w:color w:val="auto"/>
                <w:szCs w:val="21"/>
              </w:rPr>
              <w:t>开户银行：</w:t>
            </w:r>
            <w:r>
              <w:rPr>
                <w:rFonts w:hint="eastAsia" w:ascii="宋体" w:hAnsi="宋体" w:cs="宋体"/>
                <w:color w:val="auto"/>
                <w:szCs w:val="21"/>
                <w:u w:val="single"/>
              </w:rPr>
              <w:t>中国建设银行东莞愉景支行</w:t>
            </w:r>
            <w:r>
              <w:rPr>
                <w:rFonts w:hint="eastAsia" w:hAnsi="宋体" w:cs="宋体"/>
                <w:color w:val="auto"/>
                <w:kern w:val="2"/>
                <w:szCs w:val="21"/>
                <w:lang w:val="zh-CN"/>
              </w:rPr>
              <w:t>；</w:t>
            </w:r>
            <w:r>
              <w:rPr>
                <w:rFonts w:hint="eastAsia" w:ascii="宋体" w:hAnsi="宋体"/>
                <w:color w:val="auto"/>
                <w:szCs w:val="21"/>
              </w:rPr>
              <w:t xml:space="preserve"> </w:t>
            </w:r>
          </w:p>
          <w:p w14:paraId="019CAAC6">
            <w:pPr>
              <w:ind w:firstLine="420" w:firstLineChars="200"/>
              <w:jc w:val="both"/>
              <w:rPr>
                <w:rFonts w:ascii="宋体" w:hAnsi="宋体"/>
                <w:color w:val="auto"/>
                <w:szCs w:val="21"/>
              </w:rPr>
            </w:pPr>
            <w:r>
              <w:rPr>
                <w:rFonts w:hint="eastAsia" w:ascii="宋体" w:hAnsi="宋体"/>
                <w:color w:val="auto"/>
                <w:szCs w:val="21"/>
              </w:rPr>
              <w:t>银行账号：</w:t>
            </w:r>
            <w:r>
              <w:rPr>
                <w:rFonts w:hint="eastAsia" w:ascii="宋体" w:hAnsi="宋体"/>
                <w:color w:val="auto"/>
                <w:szCs w:val="21"/>
                <w:u w:val="single"/>
              </w:rPr>
              <w:t>4405 0177 5937 0000 0219</w:t>
            </w:r>
            <w:r>
              <w:rPr>
                <w:rFonts w:hint="eastAsia" w:hAnsi="宋体" w:cs="宋体"/>
                <w:color w:val="auto"/>
                <w:kern w:val="2"/>
                <w:szCs w:val="21"/>
                <w:lang w:val="zh-CN"/>
              </w:rPr>
              <w:t>；</w:t>
            </w:r>
          </w:p>
          <w:p w14:paraId="72501317">
            <w:pPr>
              <w:jc w:val="both"/>
              <w:rPr>
                <w:rFonts w:ascii="宋体" w:hAnsi="宋体"/>
                <w:color w:val="auto"/>
                <w:szCs w:val="21"/>
              </w:rPr>
            </w:pPr>
            <w:r>
              <w:rPr>
                <w:rFonts w:hint="eastAsia" w:ascii="宋体" w:hAnsi="宋体"/>
                <w:color w:val="auto"/>
                <w:szCs w:val="21"/>
              </w:rPr>
              <w:t>3.中标人在采购（合同签署）时提交履约担保，履约担保金额不超过成交合同金额的10%，如果中标人提交的履约保函的有效期先于合同要求的履约保函有效期到达，中标人应在原提交的履约保函有效期满前15天，无条件办理保函延期手续。否则，视为中标人违约，采购人可在保函到期前将保函金额转为现金存入履约保证金帐户。</w:t>
            </w:r>
          </w:p>
          <w:p w14:paraId="04F95D29">
            <w:pPr>
              <w:jc w:val="both"/>
              <w:rPr>
                <w:rFonts w:ascii="宋体" w:hAnsi="宋体"/>
                <w:color w:val="auto"/>
                <w:szCs w:val="21"/>
              </w:rPr>
            </w:pPr>
            <w:r>
              <w:rPr>
                <w:rFonts w:hint="eastAsia" w:ascii="宋体" w:hAnsi="宋体"/>
                <w:color w:val="auto"/>
                <w:szCs w:val="21"/>
              </w:rPr>
              <w:t>4.履约担保期限从合同签订之日起至项目完工验收合格并结算完毕后，经双方签字</w:t>
            </w:r>
            <w:r>
              <w:rPr>
                <w:rFonts w:hint="eastAsia" w:ascii="宋体" w:hAnsi="宋体"/>
                <w:color w:val="auto"/>
                <w:szCs w:val="21"/>
                <w:u w:val="single"/>
              </w:rPr>
              <w:t xml:space="preserve">  7  </w:t>
            </w:r>
            <w:r>
              <w:rPr>
                <w:rFonts w:hint="eastAsia" w:ascii="宋体" w:hAnsi="宋体"/>
                <w:color w:val="auto"/>
                <w:szCs w:val="21"/>
              </w:rPr>
              <w:t>天内保持有效。</w:t>
            </w:r>
          </w:p>
          <w:p w14:paraId="6D779A06">
            <w:pPr>
              <w:jc w:val="both"/>
              <w:rPr>
                <w:rFonts w:ascii="宋体" w:hAnsi="宋体"/>
                <w:color w:val="auto"/>
                <w:szCs w:val="21"/>
              </w:rPr>
            </w:pPr>
            <w:r>
              <w:rPr>
                <w:rFonts w:hint="eastAsia" w:ascii="宋体" w:hAnsi="宋体"/>
                <w:color w:val="auto"/>
                <w:szCs w:val="21"/>
              </w:rPr>
              <w:t>5、履约担保要求：</w:t>
            </w:r>
          </w:p>
          <w:p w14:paraId="205CD7DC">
            <w:pPr>
              <w:jc w:val="both"/>
              <w:rPr>
                <w:rFonts w:ascii="宋体" w:hAnsi="宋体"/>
                <w:color w:val="auto"/>
                <w:szCs w:val="21"/>
              </w:rPr>
            </w:pPr>
            <w:r>
              <w:rPr>
                <w:rFonts w:hint="eastAsia" w:ascii="宋体" w:hAnsi="宋体"/>
                <w:color w:val="auto"/>
                <w:szCs w:val="21"/>
              </w:rPr>
              <w:t>（1）履约保函。中标人须以银行保函形式提供履约保证金，则该银行保函应：</w:t>
            </w:r>
          </w:p>
          <w:p w14:paraId="24D1DA2E">
            <w:pPr>
              <w:jc w:val="both"/>
              <w:rPr>
                <w:rFonts w:ascii="宋体" w:hAnsi="宋体"/>
                <w:color w:val="auto"/>
                <w:szCs w:val="21"/>
              </w:rPr>
            </w:pPr>
            <w:r>
              <w:rPr>
                <w:rFonts w:hint="eastAsia" w:ascii="宋体" w:hAnsi="宋体"/>
                <w:color w:val="auto"/>
                <w:szCs w:val="21"/>
              </w:rPr>
              <w:t>①保函应由银行支行或以上银行机构开具，非东莞市行政区内的银行开具的保函要由银行所在地公证部门出具的公证书。</w:t>
            </w:r>
          </w:p>
          <w:p w14:paraId="21ABE696">
            <w:pPr>
              <w:jc w:val="both"/>
              <w:rPr>
                <w:rFonts w:ascii="宋体" w:hAnsi="宋体"/>
                <w:color w:val="auto"/>
                <w:szCs w:val="21"/>
              </w:rPr>
            </w:pPr>
            <w:r>
              <w:rPr>
                <w:rFonts w:hint="eastAsia" w:ascii="宋体" w:hAnsi="宋体"/>
                <w:color w:val="auto"/>
                <w:szCs w:val="21"/>
              </w:rPr>
              <w:t>②保函的格式参考投标文件附件中提供的无条件不可撤销履约保函格式，保函担保期内若项目未能按期竣工，保函必须延期，办理延期手续时在银行方面所产生费用由中标人负责。</w:t>
            </w:r>
          </w:p>
          <w:p w14:paraId="5AB9D418">
            <w:pPr>
              <w:jc w:val="both"/>
              <w:rPr>
                <w:rFonts w:ascii="宋体" w:hAnsi="宋体"/>
                <w:color w:val="auto"/>
                <w:szCs w:val="21"/>
              </w:rPr>
            </w:pPr>
            <w:r>
              <w:rPr>
                <w:rFonts w:hint="eastAsia" w:ascii="宋体" w:hAnsi="宋体"/>
                <w:color w:val="auto"/>
                <w:szCs w:val="21"/>
              </w:rPr>
              <w:t>③履约保函必须打印，手写、涂改无效。</w:t>
            </w:r>
          </w:p>
          <w:p w14:paraId="260A8120">
            <w:pPr>
              <w:jc w:val="both"/>
              <w:rPr>
                <w:rFonts w:ascii="宋体" w:hAnsi="宋体"/>
                <w:color w:val="auto"/>
                <w:szCs w:val="21"/>
              </w:rPr>
            </w:pPr>
            <w:r>
              <w:rPr>
                <w:rFonts w:hint="eastAsia" w:ascii="宋体" w:hAnsi="宋体"/>
                <w:color w:val="auto"/>
                <w:szCs w:val="21"/>
              </w:rPr>
              <w:t>（2）若中标人不能按本采购文件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7C086B62">
            <w:pPr>
              <w:jc w:val="both"/>
              <w:rPr>
                <w:rFonts w:ascii="宋体" w:hAnsi="宋体"/>
                <w:color w:val="auto"/>
                <w:szCs w:val="21"/>
              </w:rPr>
            </w:pPr>
            <w:r>
              <w:rPr>
                <w:rFonts w:hint="eastAsia" w:ascii="宋体" w:hAnsi="宋体"/>
                <w:color w:val="auto"/>
                <w:szCs w:val="21"/>
              </w:rPr>
              <w:t>（3）为取得履约担保所需的费用，由中标人承担；若工期延误，履约担保时间延长，延长费用由中标人承担。</w:t>
            </w:r>
          </w:p>
          <w:p w14:paraId="6A0C88BC">
            <w:pPr>
              <w:jc w:val="both"/>
              <w:rPr>
                <w:rFonts w:ascii="宋体" w:hAnsi="宋体"/>
                <w:color w:val="auto"/>
                <w:szCs w:val="21"/>
              </w:rPr>
            </w:pPr>
            <w:r>
              <w:rPr>
                <w:rFonts w:hint="eastAsia" w:ascii="宋体" w:hAnsi="宋体"/>
                <w:color w:val="auto"/>
                <w:szCs w:val="21"/>
              </w:rPr>
              <w:t>（4）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7DE67121">
            <w:pPr>
              <w:jc w:val="both"/>
              <w:rPr>
                <w:rFonts w:ascii="宋体" w:hAnsi="宋体"/>
                <w:color w:val="auto"/>
                <w:szCs w:val="21"/>
              </w:rPr>
            </w:pPr>
            <w:r>
              <w:rPr>
                <w:rFonts w:hint="eastAsia" w:ascii="宋体" w:hAnsi="宋体"/>
                <w:color w:val="auto"/>
                <w:szCs w:val="21"/>
              </w:rPr>
              <w:t>（5）下列任何情况发生时，采购人有权行使享有的担保权利：</w:t>
            </w:r>
          </w:p>
          <w:p w14:paraId="0C8F0138">
            <w:pPr>
              <w:jc w:val="both"/>
              <w:rPr>
                <w:rFonts w:ascii="宋体" w:hAnsi="宋体"/>
                <w:color w:val="auto"/>
                <w:szCs w:val="21"/>
              </w:rPr>
            </w:pPr>
            <w:r>
              <w:rPr>
                <w:rFonts w:hint="eastAsia" w:ascii="宋体" w:hAnsi="宋体"/>
                <w:color w:val="auto"/>
                <w:szCs w:val="21"/>
              </w:rPr>
              <w:t>①中标人将本项目转让给他人，或者在投标文件中未说明，且未经采购人同意，将中标项目分包给他人的；</w:t>
            </w:r>
          </w:p>
          <w:p w14:paraId="652E6921">
            <w:pPr>
              <w:jc w:val="both"/>
              <w:rPr>
                <w:rFonts w:ascii="宋体" w:hAnsi="宋体"/>
                <w:color w:val="auto"/>
                <w:szCs w:val="21"/>
              </w:rPr>
            </w:pPr>
            <w:r>
              <w:rPr>
                <w:rFonts w:hint="eastAsia" w:ascii="宋体" w:hAnsi="宋体"/>
                <w:color w:val="auto"/>
                <w:szCs w:val="21"/>
              </w:rPr>
              <w:t>②中标人在履行采购合同期间，违反有关法律法规的规定及合同约定的条款，损害了采购人的利益。</w:t>
            </w:r>
          </w:p>
          <w:p w14:paraId="40840223">
            <w:pPr>
              <w:jc w:val="both"/>
              <w:rPr>
                <w:rFonts w:ascii="宋体" w:hAnsi="宋体"/>
                <w:b/>
                <w:color w:val="auto"/>
                <w:szCs w:val="21"/>
              </w:rPr>
            </w:pPr>
            <w:r>
              <w:rPr>
                <w:rFonts w:hint="eastAsia" w:ascii="宋体" w:hAnsi="宋体"/>
                <w:color w:val="auto"/>
                <w:szCs w:val="21"/>
              </w:rPr>
              <w:t>（6）在整个项目验收合格后，中标人向采购人提交退回履约担保的申请，采购人办理履约担保退还手续。</w:t>
            </w:r>
          </w:p>
        </w:tc>
      </w:tr>
      <w:tr w14:paraId="41938E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42" w:hRule="atLeast"/>
          <w:jc w:val="center"/>
        </w:trPr>
        <w:tc>
          <w:tcPr>
            <w:tcW w:w="801" w:type="dxa"/>
            <w:vMerge w:val="restart"/>
            <w:tcBorders>
              <w:tl2br w:val="nil"/>
              <w:tr2bl w:val="nil"/>
            </w:tcBorders>
            <w:vAlign w:val="center"/>
          </w:tcPr>
          <w:p w14:paraId="39EEB412">
            <w:pPr>
              <w:jc w:val="center"/>
              <w:rPr>
                <w:rFonts w:ascii="宋体" w:hAnsi="宋体"/>
                <w:color w:val="auto"/>
                <w:szCs w:val="21"/>
              </w:rPr>
            </w:pPr>
            <w:r>
              <w:rPr>
                <w:rFonts w:hint="eastAsia" w:ascii="宋体" w:hAnsi="宋体"/>
                <w:color w:val="auto"/>
                <w:szCs w:val="21"/>
              </w:rPr>
              <w:t>15</w:t>
            </w:r>
          </w:p>
        </w:tc>
        <w:tc>
          <w:tcPr>
            <w:tcW w:w="7609" w:type="dxa"/>
            <w:gridSpan w:val="2"/>
            <w:tcBorders>
              <w:tl2br w:val="nil"/>
              <w:tr2bl w:val="nil"/>
            </w:tcBorders>
            <w:vAlign w:val="center"/>
          </w:tcPr>
          <w:p w14:paraId="157EEE95">
            <w:pPr>
              <w:jc w:val="both"/>
              <w:rPr>
                <w:rFonts w:ascii="宋体" w:hAnsi="宋体"/>
                <w:b/>
                <w:color w:val="auto"/>
                <w:szCs w:val="21"/>
              </w:rPr>
            </w:pPr>
            <w:r>
              <w:rPr>
                <w:rFonts w:hint="eastAsia" w:ascii="宋体" w:hAnsi="宋体"/>
                <w:b/>
                <w:color w:val="auto"/>
                <w:szCs w:val="21"/>
              </w:rPr>
              <w:t>中标服务费</w:t>
            </w:r>
          </w:p>
        </w:tc>
      </w:tr>
      <w:tr w14:paraId="753964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88" w:hRule="atLeast"/>
          <w:jc w:val="center"/>
        </w:trPr>
        <w:tc>
          <w:tcPr>
            <w:tcW w:w="801" w:type="dxa"/>
            <w:vMerge w:val="continue"/>
            <w:tcBorders>
              <w:tl2br w:val="nil"/>
              <w:tr2bl w:val="nil"/>
            </w:tcBorders>
            <w:vAlign w:val="center"/>
          </w:tcPr>
          <w:p w14:paraId="54BBF8A8">
            <w:pPr>
              <w:jc w:val="center"/>
              <w:rPr>
                <w:rFonts w:ascii="宋体" w:hAnsi="宋体"/>
                <w:color w:val="auto"/>
                <w:szCs w:val="21"/>
              </w:rPr>
            </w:pPr>
          </w:p>
        </w:tc>
        <w:tc>
          <w:tcPr>
            <w:tcW w:w="7609" w:type="dxa"/>
            <w:gridSpan w:val="2"/>
            <w:tcBorders>
              <w:tl2br w:val="nil"/>
              <w:tr2bl w:val="nil"/>
            </w:tcBorders>
            <w:vAlign w:val="center"/>
          </w:tcPr>
          <w:p w14:paraId="4A3F30A1">
            <w:pPr>
              <w:widowControl w:val="0"/>
              <w:tabs>
                <w:tab w:val="left" w:pos="907"/>
              </w:tabs>
              <w:adjustRightInd/>
              <w:snapToGrid/>
              <w:jc w:val="both"/>
              <w:rPr>
                <w:rFonts w:ascii="宋体" w:hAnsi="宋体"/>
                <w:color w:val="auto"/>
                <w:szCs w:val="21"/>
              </w:rPr>
            </w:pPr>
            <w:r>
              <w:rPr>
                <w:rFonts w:hint="eastAsia" w:ascii="宋体" w:hAnsi="宋体"/>
                <w:color w:val="auto"/>
                <w:szCs w:val="21"/>
              </w:rPr>
              <w:t>本项目中标服务费由采购人支付。</w:t>
            </w:r>
          </w:p>
        </w:tc>
      </w:tr>
      <w:tr w14:paraId="0CFA4E2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087" w:hRule="atLeast"/>
          <w:jc w:val="center"/>
        </w:trPr>
        <w:tc>
          <w:tcPr>
            <w:tcW w:w="8410" w:type="dxa"/>
            <w:gridSpan w:val="3"/>
            <w:tcBorders>
              <w:tl2br w:val="nil"/>
              <w:tr2bl w:val="nil"/>
            </w:tcBorders>
            <w:vAlign w:val="center"/>
          </w:tcPr>
          <w:p w14:paraId="35BF750D">
            <w:pPr>
              <w:widowControl w:val="0"/>
              <w:tabs>
                <w:tab w:val="left" w:pos="907"/>
              </w:tabs>
              <w:adjustRightInd/>
              <w:snapToGrid/>
              <w:ind w:firstLine="420" w:firstLineChars="200"/>
              <w:jc w:val="both"/>
              <w:rPr>
                <w:rFonts w:ascii="宋体" w:hAnsi="宋体"/>
                <w:color w:val="auto"/>
                <w:szCs w:val="21"/>
              </w:rPr>
            </w:pPr>
            <w:r>
              <w:rPr>
                <w:rFonts w:hint="eastAsia" w:ascii="宋体" w:hAnsi="宋体"/>
                <w:color w:val="auto"/>
                <w:szCs w:val="21"/>
              </w:rPr>
              <w:t>注：本表关于要采购项目的具体资料，是对投标人须知的具体补充和修改，如有矛盾，应以本资料表为准。不满足采购文件中 “★”条款的投标文件将作无效投标处理。</w:t>
            </w:r>
          </w:p>
        </w:tc>
      </w:tr>
    </w:tbl>
    <w:p w14:paraId="79955DF2">
      <w:pPr>
        <w:jc w:val="center"/>
        <w:rPr>
          <w:color w:val="auto"/>
        </w:rPr>
      </w:pPr>
      <w:r>
        <w:rPr>
          <w:rFonts w:hint="eastAsia"/>
          <w:color w:val="auto"/>
        </w:rPr>
        <w:br w:type="page"/>
      </w:r>
    </w:p>
    <w:p w14:paraId="7242120F">
      <w:pPr>
        <w:pStyle w:val="4"/>
        <w:spacing w:before="0" w:after="0" w:line="240" w:lineRule="auto"/>
        <w:jc w:val="center"/>
        <w:rPr>
          <w:rFonts w:ascii="宋体" w:hAnsi="宋体" w:cs="宋体"/>
          <w:color w:val="auto"/>
          <w:sz w:val="24"/>
          <w:szCs w:val="24"/>
        </w:rPr>
      </w:pPr>
      <w:bookmarkStart w:id="28" w:name="_Toc13435"/>
      <w:bookmarkStart w:id="29" w:name="_Toc444"/>
      <w:bookmarkStart w:id="30" w:name="_Toc31741"/>
      <w:bookmarkStart w:id="31" w:name="_Toc31223"/>
      <w:bookmarkStart w:id="32" w:name="_Toc17239"/>
      <w:r>
        <w:rPr>
          <w:rFonts w:hint="eastAsia" w:ascii="宋体" w:hAnsi="宋体" w:cs="宋体"/>
          <w:color w:val="auto"/>
          <w:sz w:val="24"/>
          <w:szCs w:val="24"/>
        </w:rPr>
        <w:t>附表二：商务技术评分及价格权重表（满分100分）</w:t>
      </w:r>
      <w:bookmarkEnd w:id="28"/>
      <w:bookmarkEnd w:id="29"/>
      <w:bookmarkEnd w:id="30"/>
      <w:bookmarkEnd w:id="31"/>
      <w:bookmarkEnd w:id="32"/>
    </w:p>
    <w:tbl>
      <w:tblPr>
        <w:tblStyle w:val="32"/>
        <w:tblW w:w="8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564"/>
        <w:gridCol w:w="151"/>
        <w:gridCol w:w="837"/>
        <w:gridCol w:w="5741"/>
      </w:tblGrid>
      <w:tr w14:paraId="5118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noWrap/>
            <w:vAlign w:val="center"/>
          </w:tcPr>
          <w:p w14:paraId="6BBBC11B">
            <w:pPr>
              <w:jc w:val="center"/>
              <w:rPr>
                <w:rFonts w:ascii="宋体" w:hAnsi="宋体"/>
                <w:b/>
                <w:bCs/>
                <w:color w:val="auto"/>
                <w:szCs w:val="21"/>
              </w:rPr>
            </w:pPr>
            <w:r>
              <w:rPr>
                <w:rFonts w:hint="eastAsia" w:ascii="宋体" w:hAnsi="宋体"/>
                <w:b/>
                <w:bCs/>
                <w:color w:val="auto"/>
                <w:szCs w:val="21"/>
              </w:rPr>
              <w:t>序号</w:t>
            </w:r>
          </w:p>
        </w:tc>
        <w:tc>
          <w:tcPr>
            <w:tcW w:w="1715" w:type="dxa"/>
            <w:gridSpan w:val="2"/>
            <w:tcBorders>
              <w:top w:val="single" w:color="auto" w:sz="4" w:space="0"/>
              <w:left w:val="single" w:color="auto" w:sz="4" w:space="0"/>
              <w:bottom w:val="single" w:color="auto" w:sz="4" w:space="0"/>
              <w:right w:val="single" w:color="auto" w:sz="4" w:space="0"/>
            </w:tcBorders>
            <w:noWrap/>
            <w:vAlign w:val="center"/>
          </w:tcPr>
          <w:p w14:paraId="1CEC2C29">
            <w:pPr>
              <w:jc w:val="center"/>
              <w:rPr>
                <w:rFonts w:ascii="宋体" w:hAnsi="宋体"/>
                <w:b/>
                <w:bCs/>
                <w:color w:val="auto"/>
                <w:szCs w:val="21"/>
              </w:rPr>
            </w:pPr>
            <w:r>
              <w:rPr>
                <w:rFonts w:hint="eastAsia" w:ascii="宋体" w:hAnsi="宋体"/>
                <w:b/>
                <w:bCs/>
                <w:color w:val="auto"/>
                <w:szCs w:val="21"/>
              </w:rPr>
              <w:t>评审项目</w:t>
            </w:r>
          </w:p>
        </w:tc>
        <w:tc>
          <w:tcPr>
            <w:tcW w:w="837" w:type="dxa"/>
            <w:tcBorders>
              <w:top w:val="single" w:color="auto" w:sz="4" w:space="0"/>
              <w:left w:val="single" w:color="auto" w:sz="4" w:space="0"/>
              <w:bottom w:val="single" w:color="auto" w:sz="4" w:space="0"/>
              <w:right w:val="single" w:color="auto" w:sz="4" w:space="0"/>
            </w:tcBorders>
            <w:noWrap/>
            <w:vAlign w:val="center"/>
          </w:tcPr>
          <w:p w14:paraId="2B66E468">
            <w:pPr>
              <w:jc w:val="center"/>
              <w:rPr>
                <w:rFonts w:ascii="宋体" w:hAnsi="宋体"/>
                <w:b/>
                <w:bCs/>
                <w:color w:val="auto"/>
                <w:szCs w:val="21"/>
              </w:rPr>
            </w:pPr>
            <w:r>
              <w:rPr>
                <w:rFonts w:hint="eastAsia" w:ascii="宋体" w:hAnsi="宋体"/>
                <w:b/>
                <w:bCs/>
                <w:color w:val="auto"/>
                <w:szCs w:val="21"/>
              </w:rPr>
              <w:t>分值</w:t>
            </w:r>
          </w:p>
        </w:tc>
        <w:tc>
          <w:tcPr>
            <w:tcW w:w="5741" w:type="dxa"/>
            <w:tcBorders>
              <w:top w:val="single" w:color="auto" w:sz="4" w:space="0"/>
              <w:left w:val="single" w:color="auto" w:sz="4" w:space="0"/>
              <w:bottom w:val="single" w:color="auto" w:sz="4" w:space="0"/>
              <w:right w:val="single" w:color="auto" w:sz="4" w:space="0"/>
            </w:tcBorders>
            <w:noWrap/>
            <w:vAlign w:val="center"/>
          </w:tcPr>
          <w:p w14:paraId="25553683">
            <w:pPr>
              <w:jc w:val="center"/>
              <w:rPr>
                <w:rFonts w:ascii="宋体" w:hAnsi="宋体"/>
                <w:b/>
                <w:bCs/>
                <w:color w:val="auto"/>
                <w:szCs w:val="21"/>
              </w:rPr>
            </w:pPr>
            <w:r>
              <w:rPr>
                <w:rFonts w:hint="eastAsia" w:ascii="宋体" w:hAnsi="宋体"/>
                <w:b/>
                <w:bCs/>
                <w:color w:val="auto"/>
                <w:szCs w:val="21"/>
              </w:rPr>
              <w:t>评审细则</w:t>
            </w:r>
          </w:p>
        </w:tc>
      </w:tr>
      <w:tr w14:paraId="1C8D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7" w:type="dxa"/>
            <w:gridSpan w:val="5"/>
            <w:tcBorders>
              <w:top w:val="single" w:color="auto" w:sz="4" w:space="0"/>
              <w:left w:val="single" w:color="auto" w:sz="4" w:space="0"/>
              <w:bottom w:val="single" w:color="auto" w:sz="4" w:space="0"/>
              <w:right w:val="single" w:color="auto" w:sz="4" w:space="0"/>
            </w:tcBorders>
            <w:noWrap/>
            <w:vAlign w:val="center"/>
          </w:tcPr>
          <w:p w14:paraId="4531A4D9">
            <w:pPr>
              <w:rPr>
                <w:rFonts w:ascii="宋体" w:hAnsi="宋体"/>
                <w:color w:val="auto"/>
                <w:szCs w:val="21"/>
              </w:rPr>
            </w:pPr>
            <w:r>
              <w:rPr>
                <w:rFonts w:hint="eastAsia" w:ascii="宋体" w:hAnsi="宋体"/>
                <w:color w:val="auto"/>
                <w:szCs w:val="21"/>
              </w:rPr>
              <w:t>商务评审（30分）</w:t>
            </w:r>
          </w:p>
        </w:tc>
      </w:tr>
      <w:tr w14:paraId="0BBA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noWrap/>
            <w:vAlign w:val="center"/>
          </w:tcPr>
          <w:p w14:paraId="0C9242F0">
            <w:pPr>
              <w:rPr>
                <w:rFonts w:ascii="宋体" w:hAnsi="宋体"/>
                <w:color w:val="auto"/>
                <w:szCs w:val="21"/>
              </w:rPr>
            </w:pPr>
            <w:r>
              <w:rPr>
                <w:rFonts w:hint="eastAsia" w:ascii="宋体" w:hAnsi="宋体"/>
                <w:color w:val="auto"/>
                <w:szCs w:val="21"/>
              </w:rPr>
              <w:t>1</w:t>
            </w:r>
          </w:p>
        </w:tc>
        <w:tc>
          <w:tcPr>
            <w:tcW w:w="1715" w:type="dxa"/>
            <w:gridSpan w:val="2"/>
            <w:tcBorders>
              <w:top w:val="single" w:color="auto" w:sz="4" w:space="0"/>
              <w:left w:val="single" w:color="auto" w:sz="4" w:space="0"/>
              <w:bottom w:val="single" w:color="auto" w:sz="4" w:space="0"/>
              <w:right w:val="single" w:color="auto" w:sz="4" w:space="0"/>
            </w:tcBorders>
            <w:noWrap/>
            <w:vAlign w:val="center"/>
          </w:tcPr>
          <w:p w14:paraId="621E9693">
            <w:pPr>
              <w:rPr>
                <w:rFonts w:ascii="宋体" w:hAnsi="宋体"/>
                <w:color w:val="auto"/>
                <w:szCs w:val="21"/>
              </w:rPr>
            </w:pPr>
            <w:r>
              <w:rPr>
                <w:rFonts w:hint="eastAsia" w:ascii="宋体" w:hAnsi="宋体"/>
                <w:color w:val="auto"/>
                <w:szCs w:val="21"/>
              </w:rPr>
              <w:t>财务状况</w:t>
            </w:r>
          </w:p>
        </w:tc>
        <w:tc>
          <w:tcPr>
            <w:tcW w:w="837" w:type="dxa"/>
            <w:tcBorders>
              <w:top w:val="single" w:color="auto" w:sz="4" w:space="0"/>
              <w:left w:val="single" w:color="auto" w:sz="4" w:space="0"/>
              <w:bottom w:val="single" w:color="auto" w:sz="4" w:space="0"/>
              <w:right w:val="single" w:color="auto" w:sz="4" w:space="0"/>
            </w:tcBorders>
            <w:noWrap/>
            <w:vAlign w:val="center"/>
          </w:tcPr>
          <w:p w14:paraId="4A8377BE">
            <w:pPr>
              <w:rPr>
                <w:rFonts w:ascii="宋体" w:hAnsi="宋体"/>
                <w:color w:val="auto"/>
                <w:szCs w:val="21"/>
              </w:rPr>
            </w:pPr>
            <w:r>
              <w:rPr>
                <w:rFonts w:hint="eastAsia" w:ascii="宋体" w:hAnsi="宋体"/>
                <w:color w:val="auto"/>
                <w:szCs w:val="21"/>
              </w:rPr>
              <w:t>4分</w:t>
            </w:r>
          </w:p>
        </w:tc>
        <w:tc>
          <w:tcPr>
            <w:tcW w:w="5741" w:type="dxa"/>
            <w:tcBorders>
              <w:top w:val="single" w:color="auto" w:sz="4" w:space="0"/>
              <w:left w:val="single" w:color="auto" w:sz="4" w:space="0"/>
              <w:bottom w:val="single" w:color="auto" w:sz="4" w:space="0"/>
              <w:right w:val="single" w:color="auto" w:sz="4" w:space="0"/>
            </w:tcBorders>
            <w:noWrap/>
            <w:vAlign w:val="center"/>
          </w:tcPr>
          <w:p w14:paraId="309594E8">
            <w:pPr>
              <w:rPr>
                <w:rFonts w:ascii="宋体" w:hAnsi="宋体"/>
                <w:color w:val="auto"/>
                <w:szCs w:val="21"/>
              </w:rPr>
            </w:pPr>
            <w:r>
              <w:rPr>
                <w:rFonts w:hint="eastAsia" w:ascii="宋体" w:hAnsi="宋体"/>
                <w:color w:val="auto"/>
                <w:szCs w:val="21"/>
              </w:rPr>
              <w:t>投标人提供2023年、2024年、2025年经第三方会计师事务所审计的完整财务审计报告（含财务报表及附注）。净利润连续三年为正数的得4分，连续两年为正数得2分，一年为正数得1分，未提供或提供不完整的不得分。</w:t>
            </w:r>
          </w:p>
          <w:p w14:paraId="757E5CCC">
            <w:pPr>
              <w:rPr>
                <w:rFonts w:ascii="宋体" w:hAnsi="宋体"/>
                <w:color w:val="auto"/>
                <w:szCs w:val="21"/>
              </w:rPr>
            </w:pPr>
            <w:r>
              <w:rPr>
                <w:rFonts w:hint="eastAsia" w:ascii="宋体" w:hAnsi="宋体"/>
                <w:color w:val="auto"/>
                <w:szCs w:val="21"/>
              </w:rPr>
              <w:t>注：须提供经第三方会计师事务所审计的完整财务审计报告（含财务报表及附注）复印件加盖投标人公章，未提供或提供不完整的不得分。</w:t>
            </w:r>
          </w:p>
        </w:tc>
      </w:tr>
      <w:tr w14:paraId="7B77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2"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14:paraId="1F1A1C0E">
            <w:pPr>
              <w:rPr>
                <w:rFonts w:ascii="宋体" w:hAnsi="宋体"/>
                <w:color w:val="auto"/>
                <w:szCs w:val="21"/>
              </w:rPr>
            </w:pPr>
            <w:r>
              <w:rPr>
                <w:rFonts w:hint="eastAsia" w:ascii="宋体" w:hAnsi="宋体"/>
                <w:color w:val="auto"/>
                <w:szCs w:val="21"/>
              </w:rPr>
              <w:t>2</w:t>
            </w:r>
          </w:p>
        </w:tc>
        <w:tc>
          <w:tcPr>
            <w:tcW w:w="1715" w:type="dxa"/>
            <w:gridSpan w:val="2"/>
            <w:tcBorders>
              <w:top w:val="single" w:color="auto" w:sz="4" w:space="0"/>
              <w:left w:val="single" w:color="auto" w:sz="4" w:space="0"/>
              <w:bottom w:val="single" w:color="auto" w:sz="4" w:space="0"/>
              <w:right w:val="single" w:color="auto" w:sz="4" w:space="0"/>
            </w:tcBorders>
            <w:noWrap/>
            <w:vAlign w:val="center"/>
          </w:tcPr>
          <w:p w14:paraId="47B2FFAE">
            <w:pPr>
              <w:rPr>
                <w:rFonts w:ascii="宋体" w:hAnsi="宋体"/>
                <w:color w:val="auto"/>
                <w:szCs w:val="21"/>
              </w:rPr>
            </w:pPr>
            <w:r>
              <w:rPr>
                <w:rFonts w:hint="eastAsia" w:ascii="宋体" w:hAnsi="宋体"/>
                <w:color w:val="auto"/>
                <w:szCs w:val="21"/>
              </w:rPr>
              <w:t>体系及产品认证</w:t>
            </w:r>
          </w:p>
        </w:tc>
        <w:tc>
          <w:tcPr>
            <w:tcW w:w="837" w:type="dxa"/>
            <w:tcBorders>
              <w:top w:val="single" w:color="auto" w:sz="4" w:space="0"/>
              <w:left w:val="single" w:color="auto" w:sz="4" w:space="0"/>
              <w:bottom w:val="single" w:color="auto" w:sz="4" w:space="0"/>
              <w:right w:val="single" w:color="auto" w:sz="4" w:space="0"/>
            </w:tcBorders>
            <w:noWrap/>
            <w:vAlign w:val="center"/>
          </w:tcPr>
          <w:p w14:paraId="390791B3">
            <w:pPr>
              <w:rPr>
                <w:rFonts w:ascii="宋体" w:hAnsi="宋体"/>
                <w:color w:val="auto"/>
                <w:szCs w:val="21"/>
              </w:rPr>
            </w:pPr>
            <w:r>
              <w:rPr>
                <w:rFonts w:ascii="宋体" w:hAnsi="宋体"/>
                <w:color w:val="auto"/>
                <w:szCs w:val="21"/>
              </w:rPr>
              <w:t>7</w:t>
            </w:r>
            <w:r>
              <w:rPr>
                <w:rFonts w:hint="eastAsia" w:ascii="宋体" w:hAnsi="宋体"/>
                <w:color w:val="auto"/>
                <w:szCs w:val="21"/>
              </w:rPr>
              <w:t>分</w:t>
            </w:r>
          </w:p>
        </w:tc>
        <w:tc>
          <w:tcPr>
            <w:tcW w:w="5741" w:type="dxa"/>
            <w:tcBorders>
              <w:top w:val="single" w:color="auto" w:sz="4" w:space="0"/>
              <w:left w:val="single" w:color="auto" w:sz="4" w:space="0"/>
              <w:bottom w:val="single" w:color="auto" w:sz="4" w:space="0"/>
              <w:right w:val="single" w:color="auto" w:sz="4" w:space="0"/>
            </w:tcBorders>
            <w:noWrap/>
            <w:vAlign w:val="center"/>
          </w:tcPr>
          <w:p w14:paraId="726D518C">
            <w:pPr>
              <w:rPr>
                <w:rFonts w:ascii="宋体" w:hAnsi="宋体"/>
                <w:color w:val="auto"/>
                <w:szCs w:val="21"/>
              </w:rPr>
            </w:pPr>
            <w:r>
              <w:rPr>
                <w:rFonts w:ascii="宋体" w:hAnsi="宋体"/>
                <w:color w:val="auto"/>
                <w:szCs w:val="21"/>
              </w:rPr>
              <w:t>1</w:t>
            </w:r>
            <w:r>
              <w:rPr>
                <w:rFonts w:hint="eastAsia" w:ascii="宋体" w:hAnsi="宋体"/>
                <w:color w:val="auto"/>
                <w:szCs w:val="21"/>
              </w:rPr>
              <w:t>、管理体系认证（</w:t>
            </w:r>
            <w:r>
              <w:rPr>
                <w:rFonts w:ascii="宋体" w:hAnsi="宋体"/>
                <w:color w:val="auto"/>
                <w:szCs w:val="21"/>
              </w:rPr>
              <w:t>3</w:t>
            </w:r>
            <w:r>
              <w:rPr>
                <w:rFonts w:hint="eastAsia" w:ascii="宋体" w:hAnsi="宋体"/>
                <w:color w:val="auto"/>
                <w:szCs w:val="21"/>
              </w:rPr>
              <w:t>分）：投标人具有有效期内的：</w:t>
            </w:r>
          </w:p>
          <w:p w14:paraId="66DE59AC">
            <w:pPr>
              <w:rPr>
                <w:rFonts w:ascii="宋体" w:hAnsi="宋体"/>
                <w:color w:val="auto"/>
                <w:szCs w:val="21"/>
              </w:rPr>
            </w:pPr>
            <w:r>
              <w:rPr>
                <w:rFonts w:hint="eastAsia" w:ascii="宋体" w:hAnsi="宋体"/>
                <w:color w:val="auto"/>
                <w:szCs w:val="21"/>
              </w:rPr>
              <w:t>①</w:t>
            </w:r>
            <w:r>
              <w:rPr>
                <w:rFonts w:ascii="宋体" w:hAnsi="宋体"/>
                <w:color w:val="auto"/>
                <w:szCs w:val="21"/>
              </w:rPr>
              <w:t xml:space="preserve"> ISO9001</w:t>
            </w:r>
            <w:r>
              <w:rPr>
                <w:rFonts w:hint="eastAsia" w:ascii="宋体" w:hAnsi="宋体"/>
                <w:color w:val="auto"/>
                <w:szCs w:val="21"/>
              </w:rPr>
              <w:t>质量管理体系认证证书，得</w:t>
            </w:r>
            <w:r>
              <w:rPr>
                <w:rFonts w:ascii="宋体" w:hAnsi="宋体"/>
                <w:color w:val="auto"/>
                <w:szCs w:val="21"/>
              </w:rPr>
              <w:t>1</w:t>
            </w:r>
            <w:r>
              <w:rPr>
                <w:rFonts w:hint="eastAsia" w:ascii="宋体" w:hAnsi="宋体"/>
                <w:color w:val="auto"/>
                <w:szCs w:val="21"/>
              </w:rPr>
              <w:t>分；</w:t>
            </w:r>
          </w:p>
          <w:p w14:paraId="7B231863">
            <w:pPr>
              <w:rPr>
                <w:rFonts w:ascii="宋体" w:hAnsi="宋体"/>
                <w:color w:val="auto"/>
                <w:szCs w:val="21"/>
              </w:rPr>
            </w:pPr>
            <w:r>
              <w:rPr>
                <w:rFonts w:hint="eastAsia" w:ascii="宋体" w:hAnsi="宋体"/>
                <w:color w:val="auto"/>
                <w:szCs w:val="21"/>
              </w:rPr>
              <w:t>②</w:t>
            </w:r>
            <w:r>
              <w:rPr>
                <w:rFonts w:ascii="宋体" w:hAnsi="宋体"/>
                <w:color w:val="auto"/>
                <w:szCs w:val="21"/>
              </w:rPr>
              <w:t xml:space="preserve"> ISO14001</w:t>
            </w:r>
            <w:r>
              <w:rPr>
                <w:rFonts w:hint="eastAsia" w:ascii="宋体" w:hAnsi="宋体"/>
                <w:color w:val="auto"/>
                <w:szCs w:val="21"/>
              </w:rPr>
              <w:t>环境管理体系认证证书，得</w:t>
            </w:r>
            <w:r>
              <w:rPr>
                <w:rFonts w:ascii="宋体" w:hAnsi="宋体"/>
                <w:color w:val="auto"/>
                <w:szCs w:val="21"/>
              </w:rPr>
              <w:t>1</w:t>
            </w:r>
            <w:r>
              <w:rPr>
                <w:rFonts w:hint="eastAsia" w:ascii="宋体" w:hAnsi="宋体"/>
                <w:color w:val="auto"/>
                <w:szCs w:val="21"/>
              </w:rPr>
              <w:t>分；</w:t>
            </w:r>
          </w:p>
          <w:p w14:paraId="0C6B864E">
            <w:pPr>
              <w:rPr>
                <w:rFonts w:ascii="宋体" w:hAnsi="宋体"/>
                <w:color w:val="auto"/>
                <w:szCs w:val="21"/>
              </w:rPr>
            </w:pPr>
            <w:r>
              <w:rPr>
                <w:rFonts w:hint="eastAsia" w:ascii="宋体" w:hAnsi="宋体"/>
                <w:color w:val="auto"/>
                <w:szCs w:val="21"/>
              </w:rPr>
              <w:t>③</w:t>
            </w:r>
            <w:r>
              <w:rPr>
                <w:rFonts w:ascii="宋体" w:hAnsi="宋体"/>
                <w:color w:val="auto"/>
                <w:szCs w:val="21"/>
              </w:rPr>
              <w:t xml:space="preserve"> ISO45001</w:t>
            </w:r>
            <w:r>
              <w:rPr>
                <w:rFonts w:hint="eastAsia" w:ascii="宋体" w:hAnsi="宋体"/>
                <w:color w:val="auto"/>
                <w:szCs w:val="21"/>
              </w:rPr>
              <w:t>职业健康安全管理体系认证证书，得</w:t>
            </w:r>
            <w:r>
              <w:rPr>
                <w:rFonts w:ascii="宋体" w:hAnsi="宋体"/>
                <w:color w:val="auto"/>
                <w:szCs w:val="21"/>
              </w:rPr>
              <w:t>1</w:t>
            </w:r>
            <w:r>
              <w:rPr>
                <w:rFonts w:hint="eastAsia" w:ascii="宋体" w:hAnsi="宋体"/>
                <w:color w:val="auto"/>
                <w:szCs w:val="21"/>
              </w:rPr>
              <w:t>分。</w:t>
            </w:r>
          </w:p>
          <w:p w14:paraId="140C0706">
            <w:pPr>
              <w:rPr>
                <w:rFonts w:ascii="宋体" w:hAnsi="宋体"/>
                <w:color w:val="auto"/>
                <w:szCs w:val="21"/>
              </w:rPr>
            </w:pPr>
            <w:r>
              <w:rPr>
                <w:rFonts w:hint="eastAsia" w:ascii="宋体" w:hAnsi="宋体"/>
                <w:color w:val="auto"/>
                <w:szCs w:val="21"/>
              </w:rPr>
              <w:t>注：须提供证书复印件并加盖投标人公章，否则不得分。</w:t>
            </w:r>
          </w:p>
          <w:p w14:paraId="2C763CDC">
            <w:pPr>
              <w:rPr>
                <w:rFonts w:ascii="宋体" w:hAnsi="宋体"/>
                <w:color w:val="auto"/>
                <w:szCs w:val="21"/>
              </w:rPr>
            </w:pPr>
            <w:r>
              <w:rPr>
                <w:rFonts w:ascii="宋体" w:hAnsi="宋体"/>
                <w:color w:val="auto"/>
                <w:szCs w:val="21"/>
              </w:rPr>
              <w:t>2</w:t>
            </w:r>
            <w:r>
              <w:rPr>
                <w:rFonts w:hint="eastAsia" w:ascii="宋体" w:hAnsi="宋体"/>
                <w:color w:val="auto"/>
                <w:szCs w:val="21"/>
              </w:rPr>
              <w:t>、产品环保认证（</w:t>
            </w:r>
            <w:r>
              <w:rPr>
                <w:rFonts w:ascii="宋体" w:hAnsi="宋体"/>
                <w:color w:val="auto"/>
                <w:szCs w:val="21"/>
              </w:rPr>
              <w:t>4</w:t>
            </w:r>
            <w:r>
              <w:rPr>
                <w:rFonts w:hint="eastAsia" w:ascii="宋体" w:hAnsi="宋体"/>
                <w:color w:val="auto"/>
                <w:szCs w:val="21"/>
              </w:rPr>
              <w:t>分）：</w:t>
            </w:r>
          </w:p>
          <w:p w14:paraId="4F0988EE">
            <w:pPr>
              <w:rPr>
                <w:rFonts w:ascii="宋体" w:hAnsi="宋体"/>
                <w:color w:val="auto"/>
                <w:szCs w:val="21"/>
              </w:rPr>
            </w:pPr>
            <w:r>
              <w:rPr>
                <w:rFonts w:ascii="宋体" w:hAnsi="宋体"/>
                <w:color w:val="auto"/>
                <w:szCs w:val="21"/>
              </w:rPr>
              <w:t>① 具有中国环境标志产品认证证书（十环认证）</w:t>
            </w:r>
            <w:r>
              <w:rPr>
                <w:rFonts w:hint="eastAsia" w:ascii="宋体" w:hAnsi="宋体"/>
                <w:color w:val="auto"/>
                <w:szCs w:val="21"/>
              </w:rPr>
              <w:t>且认证范围（或认证单元）含（木家具、金属家具、软体家具）类别</w:t>
            </w:r>
            <w:r>
              <w:rPr>
                <w:rFonts w:ascii="宋体" w:hAnsi="宋体"/>
                <w:color w:val="auto"/>
                <w:szCs w:val="21"/>
              </w:rPr>
              <w:t>，得2分；</w:t>
            </w:r>
          </w:p>
          <w:p w14:paraId="3BD6F777">
            <w:pPr>
              <w:rPr>
                <w:rFonts w:ascii="宋体" w:hAnsi="宋体"/>
                <w:color w:val="auto"/>
                <w:szCs w:val="21"/>
              </w:rPr>
            </w:pPr>
            <w:r>
              <w:rPr>
                <w:rFonts w:ascii="宋体" w:hAnsi="宋体"/>
                <w:color w:val="auto"/>
                <w:szCs w:val="21"/>
              </w:rPr>
              <w:t>② 具有CQC中国环保产品认证证书</w:t>
            </w:r>
            <w:r>
              <w:rPr>
                <w:rFonts w:hint="eastAsia" w:ascii="宋体" w:hAnsi="宋体"/>
                <w:color w:val="auto"/>
                <w:szCs w:val="21"/>
              </w:rPr>
              <w:t>且认证范围（或认证单元）含（木家具、金属家具、软体家具）类别</w:t>
            </w:r>
            <w:r>
              <w:rPr>
                <w:rFonts w:ascii="宋体" w:hAnsi="宋体"/>
                <w:color w:val="auto"/>
                <w:szCs w:val="21"/>
              </w:rPr>
              <w:t>，得2分；</w:t>
            </w:r>
          </w:p>
          <w:p w14:paraId="40E06460">
            <w:pPr>
              <w:rPr>
                <w:rFonts w:ascii="宋体" w:hAnsi="宋体"/>
                <w:color w:val="auto"/>
                <w:szCs w:val="21"/>
              </w:rPr>
            </w:pPr>
            <w:r>
              <w:rPr>
                <w:rFonts w:hint="eastAsia" w:ascii="宋体" w:hAnsi="宋体"/>
                <w:color w:val="auto"/>
                <w:szCs w:val="21"/>
              </w:rPr>
              <w:t>注：须提供有效证书及附件复印件加盖投标人公章，否则不得分。</w:t>
            </w:r>
          </w:p>
        </w:tc>
      </w:tr>
      <w:tr w14:paraId="2FC0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noWrap/>
            <w:vAlign w:val="center"/>
          </w:tcPr>
          <w:p w14:paraId="34DDAF51">
            <w:pPr>
              <w:rPr>
                <w:rFonts w:ascii="宋体" w:hAnsi="宋体"/>
                <w:color w:val="auto"/>
                <w:szCs w:val="21"/>
              </w:rPr>
            </w:pPr>
            <w:r>
              <w:rPr>
                <w:rFonts w:hint="eastAsia" w:ascii="宋体" w:hAnsi="宋体"/>
                <w:color w:val="auto"/>
                <w:szCs w:val="21"/>
              </w:rPr>
              <w:t>3</w:t>
            </w:r>
          </w:p>
        </w:tc>
        <w:tc>
          <w:tcPr>
            <w:tcW w:w="1715" w:type="dxa"/>
            <w:gridSpan w:val="2"/>
            <w:tcBorders>
              <w:top w:val="single" w:color="auto" w:sz="4" w:space="0"/>
              <w:left w:val="single" w:color="auto" w:sz="4" w:space="0"/>
              <w:bottom w:val="single" w:color="auto" w:sz="4" w:space="0"/>
              <w:right w:val="single" w:color="auto" w:sz="4" w:space="0"/>
            </w:tcBorders>
            <w:noWrap/>
            <w:vAlign w:val="center"/>
          </w:tcPr>
          <w:p w14:paraId="379B8E9E">
            <w:pPr>
              <w:rPr>
                <w:rFonts w:ascii="宋体" w:hAnsi="宋体"/>
                <w:color w:val="auto"/>
                <w:szCs w:val="21"/>
              </w:rPr>
            </w:pPr>
            <w:r>
              <w:rPr>
                <w:rFonts w:hint="eastAsia" w:ascii="宋体" w:hAnsi="宋体"/>
                <w:color w:val="auto"/>
                <w:szCs w:val="21"/>
              </w:rPr>
              <w:t>同类项目业绩</w:t>
            </w:r>
          </w:p>
        </w:tc>
        <w:tc>
          <w:tcPr>
            <w:tcW w:w="837" w:type="dxa"/>
            <w:tcBorders>
              <w:top w:val="single" w:color="auto" w:sz="4" w:space="0"/>
              <w:left w:val="single" w:color="auto" w:sz="4" w:space="0"/>
              <w:bottom w:val="single" w:color="auto" w:sz="4" w:space="0"/>
              <w:right w:val="single" w:color="auto" w:sz="4" w:space="0"/>
            </w:tcBorders>
            <w:noWrap/>
            <w:vAlign w:val="center"/>
          </w:tcPr>
          <w:p w14:paraId="65BB1538">
            <w:pPr>
              <w:rPr>
                <w:rFonts w:ascii="宋体" w:hAnsi="宋体"/>
                <w:color w:val="auto"/>
                <w:szCs w:val="21"/>
              </w:rPr>
            </w:pPr>
            <w:r>
              <w:rPr>
                <w:rFonts w:hint="eastAsia" w:ascii="宋体" w:hAnsi="宋体"/>
                <w:color w:val="auto"/>
                <w:szCs w:val="21"/>
              </w:rPr>
              <w:t>14分</w:t>
            </w:r>
          </w:p>
        </w:tc>
        <w:tc>
          <w:tcPr>
            <w:tcW w:w="5741" w:type="dxa"/>
            <w:tcBorders>
              <w:top w:val="single" w:color="auto" w:sz="4" w:space="0"/>
              <w:left w:val="single" w:color="auto" w:sz="4" w:space="0"/>
              <w:bottom w:val="single" w:color="auto" w:sz="4" w:space="0"/>
              <w:right w:val="single" w:color="auto" w:sz="4" w:space="0"/>
            </w:tcBorders>
            <w:noWrap/>
            <w:vAlign w:val="center"/>
          </w:tcPr>
          <w:p w14:paraId="5529ECAB">
            <w:pPr>
              <w:rPr>
                <w:rFonts w:ascii="宋体" w:hAnsi="宋体"/>
                <w:color w:val="auto"/>
                <w:szCs w:val="21"/>
              </w:rPr>
            </w:pPr>
            <w:r>
              <w:rPr>
                <w:rFonts w:hint="eastAsia" w:ascii="宋体" w:hAnsi="宋体"/>
                <w:color w:val="auto"/>
                <w:szCs w:val="21"/>
              </w:rPr>
              <w:t>投标人自2023年1月1日以来（以合同签订时间为准）完成的单项合同金额≥36万元的家具供货及安装项目业绩：每提供1个有效业绩，得2分，本项最高得14分。</w:t>
            </w:r>
            <w:r>
              <w:rPr>
                <w:rFonts w:hint="eastAsia" w:ascii="宋体" w:hAnsi="宋体"/>
                <w:color w:val="auto"/>
                <w:szCs w:val="21"/>
              </w:rPr>
              <w:br w:type="textWrapping"/>
            </w:r>
            <w:r>
              <w:rPr>
                <w:rFonts w:hint="eastAsia" w:ascii="宋体" w:hAnsi="宋体"/>
                <w:color w:val="auto"/>
                <w:szCs w:val="21"/>
              </w:rPr>
              <w:t>证明材料要求：须同时提供①完整合同复印件（须体现合同双方、项目内容、合同金额、签订时间、双方盖章）；②与该合同对应的全额发票复印件。</w:t>
            </w:r>
          </w:p>
          <w:p w14:paraId="44694878">
            <w:pPr>
              <w:rPr>
                <w:rFonts w:ascii="宋体" w:hAnsi="宋体"/>
                <w:color w:val="auto"/>
                <w:szCs w:val="21"/>
              </w:rPr>
            </w:pPr>
            <w:r>
              <w:rPr>
                <w:rFonts w:hint="eastAsia" w:ascii="宋体" w:hAnsi="宋体"/>
                <w:color w:val="auto"/>
                <w:szCs w:val="21"/>
              </w:rPr>
              <w:t>若提供框架合同，须同时提供①框架合同复印件；②订单/委托单/供货通知单复印件；③对应发票复印件。同一框架合同项下2023年1月1日之后下达的订单累计金额≥36万元的，视为一个有效业绩，仅计一次得分。</w:t>
            </w:r>
          </w:p>
          <w:p w14:paraId="160DF019">
            <w:pPr>
              <w:rPr>
                <w:rFonts w:ascii="宋体" w:hAnsi="宋体"/>
                <w:color w:val="auto"/>
                <w:szCs w:val="21"/>
              </w:rPr>
            </w:pPr>
            <w:r>
              <w:rPr>
                <w:rFonts w:hint="eastAsia" w:ascii="宋体" w:hAnsi="宋体"/>
                <w:color w:val="auto"/>
                <w:szCs w:val="21"/>
              </w:rPr>
              <w:t>上述材料须加盖投标人公章，原件备查。材料不齐全或无法体现上述信息的不得分。</w:t>
            </w:r>
          </w:p>
        </w:tc>
      </w:tr>
      <w:tr w14:paraId="0A8A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noWrap/>
            <w:vAlign w:val="center"/>
          </w:tcPr>
          <w:p w14:paraId="0EC6DB7E">
            <w:pPr>
              <w:rPr>
                <w:rFonts w:ascii="宋体" w:hAnsi="宋体"/>
                <w:color w:val="auto"/>
                <w:szCs w:val="21"/>
              </w:rPr>
            </w:pPr>
            <w:r>
              <w:rPr>
                <w:rFonts w:hint="eastAsia" w:ascii="宋体" w:hAnsi="宋体"/>
                <w:color w:val="auto"/>
                <w:szCs w:val="21"/>
              </w:rPr>
              <w:t>4</w:t>
            </w:r>
          </w:p>
        </w:tc>
        <w:tc>
          <w:tcPr>
            <w:tcW w:w="1715" w:type="dxa"/>
            <w:gridSpan w:val="2"/>
            <w:tcBorders>
              <w:top w:val="single" w:color="auto" w:sz="4" w:space="0"/>
              <w:left w:val="single" w:color="auto" w:sz="4" w:space="0"/>
              <w:bottom w:val="single" w:color="auto" w:sz="4" w:space="0"/>
              <w:right w:val="single" w:color="auto" w:sz="4" w:space="0"/>
            </w:tcBorders>
            <w:noWrap/>
            <w:vAlign w:val="center"/>
          </w:tcPr>
          <w:p w14:paraId="7DDF22AC">
            <w:pPr>
              <w:rPr>
                <w:rFonts w:ascii="宋体" w:hAnsi="宋体"/>
                <w:color w:val="auto"/>
                <w:szCs w:val="21"/>
              </w:rPr>
            </w:pPr>
            <w:r>
              <w:rPr>
                <w:rFonts w:hint="eastAsia" w:ascii="宋体" w:hAnsi="宋体"/>
                <w:color w:val="auto"/>
                <w:szCs w:val="21"/>
              </w:rPr>
              <w:t>产品检测报告</w:t>
            </w:r>
          </w:p>
        </w:tc>
        <w:tc>
          <w:tcPr>
            <w:tcW w:w="837" w:type="dxa"/>
            <w:tcBorders>
              <w:top w:val="single" w:color="auto" w:sz="4" w:space="0"/>
              <w:left w:val="single" w:color="auto" w:sz="4" w:space="0"/>
              <w:bottom w:val="single" w:color="auto" w:sz="4" w:space="0"/>
              <w:right w:val="single" w:color="auto" w:sz="4" w:space="0"/>
            </w:tcBorders>
            <w:noWrap/>
            <w:vAlign w:val="center"/>
          </w:tcPr>
          <w:p w14:paraId="74421FA3">
            <w:pPr>
              <w:rPr>
                <w:rFonts w:ascii="宋体" w:hAnsi="宋体"/>
                <w:color w:val="auto"/>
                <w:szCs w:val="21"/>
              </w:rPr>
            </w:pPr>
            <w:r>
              <w:rPr>
                <w:rFonts w:hint="eastAsia" w:ascii="宋体" w:hAnsi="宋体"/>
                <w:color w:val="auto"/>
                <w:szCs w:val="21"/>
              </w:rPr>
              <w:t>5分</w:t>
            </w:r>
          </w:p>
        </w:tc>
        <w:tc>
          <w:tcPr>
            <w:tcW w:w="5741" w:type="dxa"/>
            <w:tcBorders>
              <w:top w:val="single" w:color="auto" w:sz="4" w:space="0"/>
              <w:left w:val="single" w:color="auto" w:sz="4" w:space="0"/>
              <w:bottom w:val="single" w:color="auto" w:sz="4" w:space="0"/>
              <w:right w:val="single" w:color="auto" w:sz="4" w:space="0"/>
            </w:tcBorders>
            <w:noWrap/>
            <w:vAlign w:val="center"/>
          </w:tcPr>
          <w:p w14:paraId="27C4937F">
            <w:pPr>
              <w:rPr>
                <w:rFonts w:ascii="宋体" w:hAnsi="宋体"/>
                <w:color w:val="auto"/>
                <w:szCs w:val="21"/>
              </w:rPr>
            </w:pPr>
            <w:r>
              <w:rPr>
                <w:rFonts w:hint="eastAsia" w:ascii="宋体" w:hAnsi="宋体"/>
                <w:color w:val="auto"/>
                <w:szCs w:val="21"/>
              </w:rPr>
              <w:t>提供</w:t>
            </w:r>
            <w:r>
              <w:rPr>
                <w:rFonts w:ascii="宋体" w:hAnsi="宋体"/>
                <w:color w:val="auto"/>
                <w:szCs w:val="21"/>
              </w:rPr>
              <w:t>2025</w:t>
            </w:r>
            <w:r>
              <w:rPr>
                <w:rFonts w:hint="eastAsia" w:ascii="宋体" w:hAnsi="宋体"/>
                <w:color w:val="auto"/>
                <w:szCs w:val="21"/>
              </w:rPr>
              <w:t>年</w:t>
            </w:r>
            <w:r>
              <w:rPr>
                <w:rFonts w:ascii="宋体" w:hAnsi="宋体"/>
                <w:color w:val="auto"/>
                <w:szCs w:val="21"/>
              </w:rPr>
              <w:t>1</w:t>
            </w:r>
            <w:r>
              <w:rPr>
                <w:rFonts w:hint="eastAsia" w:ascii="宋体" w:hAnsi="宋体"/>
                <w:color w:val="auto"/>
                <w:szCs w:val="21"/>
              </w:rPr>
              <w:t>月</w:t>
            </w:r>
            <w:r>
              <w:rPr>
                <w:rFonts w:ascii="宋体" w:hAnsi="宋体"/>
                <w:color w:val="auto"/>
                <w:szCs w:val="21"/>
              </w:rPr>
              <w:t>1</w:t>
            </w:r>
            <w:r>
              <w:rPr>
                <w:rFonts w:hint="eastAsia" w:ascii="宋体" w:hAnsi="宋体"/>
                <w:color w:val="auto"/>
                <w:szCs w:val="21"/>
              </w:rPr>
              <w:t>日以来由具备</w:t>
            </w:r>
            <w:r>
              <w:rPr>
                <w:rFonts w:ascii="宋体" w:hAnsi="宋体"/>
                <w:color w:val="auto"/>
                <w:szCs w:val="21"/>
              </w:rPr>
              <w:t>CMA</w:t>
            </w:r>
            <w:r>
              <w:rPr>
                <w:rFonts w:hint="eastAsia" w:ascii="宋体" w:hAnsi="宋体"/>
                <w:color w:val="auto"/>
                <w:szCs w:val="21"/>
              </w:rPr>
              <w:t>和</w:t>
            </w:r>
            <w:r>
              <w:rPr>
                <w:rFonts w:ascii="宋体" w:hAnsi="宋体"/>
                <w:color w:val="auto"/>
                <w:szCs w:val="21"/>
              </w:rPr>
              <w:t>CNAS</w:t>
            </w:r>
            <w:r>
              <w:rPr>
                <w:rFonts w:hint="eastAsia" w:ascii="宋体" w:hAnsi="宋体"/>
                <w:color w:val="auto"/>
                <w:szCs w:val="21"/>
              </w:rPr>
              <w:t>资质的第三方检测机构出具的以下成品检测合格报告：</w:t>
            </w:r>
          </w:p>
          <w:p w14:paraId="3B5B3C8A">
            <w:pPr>
              <w:rPr>
                <w:rFonts w:ascii="宋体" w:hAnsi="宋体"/>
                <w:color w:val="auto"/>
                <w:szCs w:val="21"/>
              </w:rPr>
            </w:pPr>
            <w:r>
              <w:rPr>
                <w:rFonts w:ascii="宋体" w:hAnsi="宋体"/>
                <w:color w:val="auto"/>
                <w:szCs w:val="21"/>
              </w:rPr>
              <w:t>① 适老椅（或餐椅/办公椅）；② 软体沙发；③ 木制书桌；④ 诊床或护理床；⑤ 正方桌</w:t>
            </w:r>
            <w:r>
              <w:rPr>
                <w:rFonts w:hint="eastAsia" w:ascii="宋体" w:hAnsi="宋体"/>
                <w:color w:val="auto"/>
                <w:szCs w:val="21"/>
              </w:rPr>
              <w:t>。</w:t>
            </w:r>
          </w:p>
          <w:p w14:paraId="362E45F6">
            <w:pPr>
              <w:rPr>
                <w:rFonts w:ascii="宋体" w:hAnsi="宋体"/>
                <w:color w:val="auto"/>
                <w:szCs w:val="21"/>
              </w:rPr>
            </w:pPr>
            <w:r>
              <w:rPr>
                <w:rFonts w:hint="eastAsia" w:ascii="宋体" w:hAnsi="宋体"/>
                <w:color w:val="auto"/>
                <w:szCs w:val="21"/>
              </w:rPr>
              <w:t>每提供一份符合要求的报告得</w:t>
            </w:r>
            <w:r>
              <w:rPr>
                <w:rFonts w:ascii="宋体" w:hAnsi="宋体"/>
                <w:color w:val="auto"/>
                <w:szCs w:val="21"/>
              </w:rPr>
              <w:t>1</w:t>
            </w:r>
            <w:r>
              <w:rPr>
                <w:rFonts w:hint="eastAsia" w:ascii="宋体" w:hAnsi="宋体"/>
                <w:color w:val="auto"/>
                <w:szCs w:val="21"/>
              </w:rPr>
              <w:t>分，最高得</w:t>
            </w:r>
            <w:r>
              <w:rPr>
                <w:rFonts w:ascii="宋体" w:hAnsi="宋体"/>
                <w:color w:val="auto"/>
                <w:szCs w:val="21"/>
              </w:rPr>
              <w:t>5</w:t>
            </w:r>
            <w:r>
              <w:rPr>
                <w:rFonts w:hint="eastAsia" w:ascii="宋体" w:hAnsi="宋体"/>
                <w:color w:val="auto"/>
                <w:szCs w:val="21"/>
              </w:rPr>
              <w:t>分。</w:t>
            </w:r>
          </w:p>
          <w:p w14:paraId="283EC151">
            <w:pPr>
              <w:rPr>
                <w:rFonts w:ascii="宋体" w:hAnsi="宋体"/>
                <w:color w:val="auto"/>
                <w:szCs w:val="21"/>
              </w:rPr>
            </w:pPr>
            <w:r>
              <w:rPr>
                <w:rFonts w:hint="eastAsia" w:ascii="宋体" w:hAnsi="宋体"/>
                <w:color w:val="auto"/>
                <w:szCs w:val="21"/>
              </w:rPr>
              <w:t>注：①</w:t>
            </w:r>
            <w:r>
              <w:rPr>
                <w:rFonts w:ascii="宋体" w:hAnsi="宋体"/>
                <w:color w:val="auto"/>
                <w:szCs w:val="21"/>
              </w:rPr>
              <w:t xml:space="preserve"> </w:t>
            </w:r>
            <w:r>
              <w:rPr>
                <w:rFonts w:hint="eastAsia" w:ascii="宋体" w:hAnsi="宋体"/>
                <w:color w:val="auto"/>
                <w:szCs w:val="21"/>
              </w:rPr>
              <w:t>报告须体现“</w:t>
            </w:r>
            <w:r>
              <w:rPr>
                <w:rFonts w:ascii="宋体" w:hAnsi="宋体"/>
                <w:color w:val="auto"/>
                <w:szCs w:val="21"/>
              </w:rPr>
              <w:t>CMA</w:t>
            </w:r>
            <w:r>
              <w:rPr>
                <w:rFonts w:hint="eastAsia" w:ascii="宋体" w:hAnsi="宋体"/>
                <w:color w:val="auto"/>
                <w:szCs w:val="21"/>
              </w:rPr>
              <w:t>”和“</w:t>
            </w:r>
            <w:r>
              <w:rPr>
                <w:rFonts w:ascii="宋体" w:hAnsi="宋体"/>
                <w:color w:val="auto"/>
                <w:szCs w:val="21"/>
              </w:rPr>
              <w:t>CNAS</w:t>
            </w:r>
            <w:r>
              <w:rPr>
                <w:rFonts w:hint="eastAsia" w:ascii="宋体" w:hAnsi="宋体"/>
                <w:color w:val="auto"/>
                <w:szCs w:val="21"/>
              </w:rPr>
              <w:t>”标志；②</w:t>
            </w:r>
            <w:r>
              <w:rPr>
                <w:rFonts w:ascii="宋体" w:hAnsi="宋体"/>
                <w:color w:val="auto"/>
                <w:szCs w:val="21"/>
              </w:rPr>
              <w:t xml:space="preserve"> </w:t>
            </w:r>
            <w:r>
              <w:rPr>
                <w:rFonts w:hint="eastAsia" w:ascii="宋体" w:hAnsi="宋体"/>
                <w:color w:val="auto"/>
                <w:szCs w:val="21"/>
              </w:rPr>
              <w:t>检测依据须符合当前有效标准；③</w:t>
            </w:r>
            <w:r>
              <w:rPr>
                <w:rFonts w:ascii="宋体" w:hAnsi="宋体"/>
                <w:color w:val="auto"/>
                <w:szCs w:val="21"/>
              </w:rPr>
              <w:t xml:space="preserve"> </w:t>
            </w:r>
            <w:r>
              <w:rPr>
                <w:rFonts w:hint="eastAsia" w:ascii="宋体" w:hAnsi="宋体"/>
                <w:color w:val="auto"/>
                <w:szCs w:val="21"/>
              </w:rPr>
              <w:t>报告受检单位须为投标人自身；④</w:t>
            </w:r>
            <w:r>
              <w:rPr>
                <w:rFonts w:ascii="宋体" w:hAnsi="宋体"/>
                <w:color w:val="auto"/>
                <w:szCs w:val="21"/>
              </w:rPr>
              <w:t xml:space="preserve"> </w:t>
            </w:r>
            <w:r>
              <w:rPr>
                <w:rFonts w:hint="eastAsia" w:ascii="宋体" w:hAnsi="宋体"/>
                <w:color w:val="auto"/>
                <w:szCs w:val="21"/>
              </w:rPr>
              <w:t>须提供报告复印件并加盖投标人公章，原件备查。</w:t>
            </w:r>
          </w:p>
        </w:tc>
      </w:tr>
      <w:tr w14:paraId="20B6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02BD18D">
            <w:pPr>
              <w:jc w:val="center"/>
              <w:rPr>
                <w:rFonts w:ascii="宋体" w:hAnsi="宋体"/>
                <w:b/>
                <w:bCs/>
                <w:color w:val="auto"/>
                <w:szCs w:val="21"/>
              </w:rPr>
            </w:pPr>
            <w:r>
              <w:rPr>
                <w:rFonts w:hint="eastAsia" w:ascii="宋体" w:hAnsi="宋体"/>
                <w:b/>
                <w:bCs/>
                <w:color w:val="auto"/>
                <w:szCs w:val="21"/>
              </w:rPr>
              <w:t>序号</w:t>
            </w:r>
          </w:p>
        </w:tc>
        <w:tc>
          <w:tcPr>
            <w:tcW w:w="1715" w:type="dxa"/>
            <w:gridSpan w:val="2"/>
            <w:tcBorders>
              <w:top w:val="single" w:color="auto" w:sz="4" w:space="0"/>
              <w:left w:val="single" w:color="auto" w:sz="4" w:space="0"/>
              <w:bottom w:val="single" w:color="auto" w:sz="4" w:space="0"/>
              <w:right w:val="single" w:color="auto" w:sz="4" w:space="0"/>
            </w:tcBorders>
            <w:vAlign w:val="center"/>
          </w:tcPr>
          <w:p w14:paraId="7C12B9FA">
            <w:pPr>
              <w:jc w:val="center"/>
              <w:rPr>
                <w:rFonts w:ascii="宋体" w:hAnsi="宋体"/>
                <w:b/>
                <w:bCs/>
                <w:color w:val="auto"/>
                <w:szCs w:val="21"/>
              </w:rPr>
            </w:pPr>
            <w:r>
              <w:rPr>
                <w:rFonts w:hint="eastAsia" w:ascii="宋体" w:hAnsi="宋体"/>
                <w:b/>
                <w:bCs/>
                <w:color w:val="auto"/>
                <w:szCs w:val="21"/>
              </w:rPr>
              <w:t>评分内容</w:t>
            </w:r>
          </w:p>
        </w:tc>
        <w:tc>
          <w:tcPr>
            <w:tcW w:w="837" w:type="dxa"/>
            <w:tcBorders>
              <w:top w:val="single" w:color="auto" w:sz="4" w:space="0"/>
              <w:left w:val="single" w:color="auto" w:sz="4" w:space="0"/>
              <w:bottom w:val="single" w:color="auto" w:sz="4" w:space="0"/>
              <w:right w:val="single" w:color="auto" w:sz="4" w:space="0"/>
            </w:tcBorders>
            <w:vAlign w:val="center"/>
          </w:tcPr>
          <w:p w14:paraId="7575AF04">
            <w:pPr>
              <w:jc w:val="center"/>
              <w:rPr>
                <w:rFonts w:ascii="宋体" w:hAnsi="宋体"/>
                <w:b/>
                <w:bCs/>
                <w:color w:val="auto"/>
                <w:szCs w:val="21"/>
              </w:rPr>
            </w:pPr>
            <w:r>
              <w:rPr>
                <w:rFonts w:hint="eastAsia" w:ascii="宋体" w:hAnsi="宋体"/>
                <w:b/>
                <w:bCs/>
                <w:color w:val="auto"/>
                <w:szCs w:val="21"/>
              </w:rPr>
              <w:t>分值</w:t>
            </w:r>
          </w:p>
        </w:tc>
        <w:tc>
          <w:tcPr>
            <w:tcW w:w="5741" w:type="dxa"/>
            <w:tcBorders>
              <w:top w:val="single" w:color="auto" w:sz="4" w:space="0"/>
              <w:left w:val="single" w:color="auto" w:sz="4" w:space="0"/>
              <w:bottom w:val="single" w:color="auto" w:sz="4" w:space="0"/>
              <w:right w:val="single" w:color="auto" w:sz="4" w:space="0"/>
            </w:tcBorders>
            <w:vAlign w:val="center"/>
          </w:tcPr>
          <w:p w14:paraId="3EC82EC1">
            <w:pPr>
              <w:jc w:val="center"/>
              <w:rPr>
                <w:rFonts w:ascii="宋体" w:hAnsi="宋体"/>
                <w:b/>
                <w:bCs/>
                <w:color w:val="auto"/>
                <w:szCs w:val="21"/>
              </w:rPr>
            </w:pPr>
            <w:r>
              <w:rPr>
                <w:rFonts w:hint="eastAsia" w:ascii="宋体" w:hAnsi="宋体"/>
                <w:b/>
                <w:bCs/>
                <w:color w:val="auto"/>
                <w:szCs w:val="21"/>
              </w:rPr>
              <w:t>评分标准</w:t>
            </w:r>
          </w:p>
        </w:tc>
      </w:tr>
      <w:tr w14:paraId="6C10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7" w:type="dxa"/>
            <w:gridSpan w:val="5"/>
            <w:tcBorders>
              <w:top w:val="single" w:color="auto" w:sz="4" w:space="0"/>
              <w:left w:val="single" w:color="auto" w:sz="4" w:space="0"/>
              <w:bottom w:val="single" w:color="auto" w:sz="4" w:space="0"/>
              <w:right w:val="single" w:color="auto" w:sz="4" w:space="0"/>
            </w:tcBorders>
            <w:noWrap/>
            <w:vAlign w:val="center"/>
          </w:tcPr>
          <w:p w14:paraId="13061998">
            <w:pPr>
              <w:jc w:val="center"/>
              <w:rPr>
                <w:rFonts w:ascii="宋体" w:hAnsi="宋体"/>
                <w:color w:val="auto"/>
                <w:szCs w:val="21"/>
              </w:rPr>
            </w:pPr>
            <w:r>
              <w:rPr>
                <w:rFonts w:hint="eastAsia" w:ascii="宋体" w:hAnsi="宋体"/>
                <w:color w:val="auto"/>
                <w:szCs w:val="21"/>
              </w:rPr>
              <w:t>技术评审（30分）</w:t>
            </w:r>
          </w:p>
        </w:tc>
      </w:tr>
      <w:tr w14:paraId="4470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noWrap/>
            <w:vAlign w:val="center"/>
          </w:tcPr>
          <w:p w14:paraId="519C3A63">
            <w:pPr>
              <w:rPr>
                <w:rFonts w:ascii="宋体" w:hAnsi="宋体"/>
                <w:color w:val="auto"/>
                <w:szCs w:val="21"/>
              </w:rPr>
            </w:pPr>
            <w:r>
              <w:rPr>
                <w:rFonts w:hint="eastAsia" w:ascii="宋体" w:hAnsi="宋体"/>
                <w:color w:val="auto"/>
                <w:szCs w:val="21"/>
              </w:rPr>
              <w:t>1</w:t>
            </w:r>
          </w:p>
        </w:tc>
        <w:tc>
          <w:tcPr>
            <w:tcW w:w="1564" w:type="dxa"/>
            <w:tcBorders>
              <w:top w:val="single" w:color="auto" w:sz="4" w:space="0"/>
              <w:left w:val="single" w:color="auto" w:sz="4" w:space="0"/>
              <w:bottom w:val="single" w:color="auto" w:sz="4" w:space="0"/>
              <w:right w:val="single" w:color="auto" w:sz="4" w:space="0"/>
            </w:tcBorders>
            <w:noWrap/>
            <w:vAlign w:val="center"/>
          </w:tcPr>
          <w:p w14:paraId="7178D548">
            <w:pPr>
              <w:rPr>
                <w:rFonts w:ascii="宋体" w:hAnsi="宋体"/>
                <w:color w:val="auto"/>
                <w:szCs w:val="21"/>
              </w:rPr>
            </w:pPr>
            <w:r>
              <w:rPr>
                <w:rFonts w:hint="eastAsia" w:ascii="宋体" w:hAnsi="宋体"/>
                <w:color w:val="auto"/>
                <w:szCs w:val="21"/>
              </w:rPr>
              <w:t>设计方案能力</w:t>
            </w:r>
          </w:p>
        </w:tc>
        <w:tc>
          <w:tcPr>
            <w:tcW w:w="988" w:type="dxa"/>
            <w:gridSpan w:val="2"/>
            <w:tcBorders>
              <w:top w:val="single" w:color="auto" w:sz="4" w:space="0"/>
              <w:left w:val="single" w:color="auto" w:sz="4" w:space="0"/>
              <w:bottom w:val="single" w:color="auto" w:sz="4" w:space="0"/>
              <w:right w:val="single" w:color="auto" w:sz="4" w:space="0"/>
            </w:tcBorders>
            <w:noWrap/>
            <w:vAlign w:val="center"/>
          </w:tcPr>
          <w:p w14:paraId="439B2BE2">
            <w:pPr>
              <w:rPr>
                <w:rFonts w:ascii="宋体" w:hAnsi="宋体"/>
                <w:color w:val="auto"/>
                <w:szCs w:val="21"/>
              </w:rPr>
            </w:pPr>
            <w:r>
              <w:rPr>
                <w:rFonts w:hint="eastAsia" w:ascii="宋体" w:hAnsi="宋体"/>
                <w:color w:val="auto"/>
                <w:szCs w:val="21"/>
              </w:rPr>
              <w:t>5分</w:t>
            </w:r>
          </w:p>
        </w:tc>
        <w:tc>
          <w:tcPr>
            <w:tcW w:w="5741" w:type="dxa"/>
            <w:tcBorders>
              <w:top w:val="single" w:color="auto" w:sz="4" w:space="0"/>
              <w:left w:val="single" w:color="auto" w:sz="4" w:space="0"/>
              <w:bottom w:val="single" w:color="auto" w:sz="4" w:space="0"/>
              <w:right w:val="single" w:color="auto" w:sz="4" w:space="0"/>
            </w:tcBorders>
            <w:noWrap/>
            <w:vAlign w:val="center"/>
          </w:tcPr>
          <w:p w14:paraId="32EF5957">
            <w:pPr>
              <w:rPr>
                <w:rFonts w:ascii="宋体" w:hAnsi="宋体"/>
                <w:color w:val="auto"/>
                <w:szCs w:val="21"/>
              </w:rPr>
            </w:pPr>
            <w:r>
              <w:rPr>
                <w:rFonts w:ascii="宋体" w:hAnsi="宋体"/>
                <w:color w:val="auto"/>
                <w:szCs w:val="21"/>
              </w:rPr>
              <w:t>本项目接待台、操作台柜（含洗手柜）、处置柜须由中标人提供具体方案（含效果图）经采购人确认后生产。投标人须在投标文件中提供上述三项产品的初步设计方案：</w:t>
            </w:r>
          </w:p>
          <w:p w14:paraId="23432916">
            <w:pPr>
              <w:rPr>
                <w:rFonts w:ascii="宋体" w:hAnsi="宋体"/>
                <w:color w:val="auto"/>
                <w:szCs w:val="21"/>
              </w:rPr>
            </w:pPr>
            <w:r>
              <w:rPr>
                <w:rFonts w:ascii="宋体" w:hAnsi="宋体"/>
                <w:color w:val="auto"/>
                <w:szCs w:val="21"/>
              </w:rPr>
              <w:t>① 三项产品均提供完整效果图（须体现产品造型、色彩搭配、材质质感）及结构尺寸图的，得3分；提供部分产品的得1-2分；未提供或严重不全的不得分。</w:t>
            </w:r>
          </w:p>
          <w:p w14:paraId="628BF999">
            <w:pPr>
              <w:rPr>
                <w:rFonts w:ascii="宋体" w:hAnsi="宋体"/>
                <w:color w:val="auto"/>
                <w:szCs w:val="21"/>
              </w:rPr>
            </w:pPr>
            <w:r>
              <w:rPr>
                <w:rFonts w:ascii="宋体" w:hAnsi="宋体"/>
                <w:color w:val="auto"/>
                <w:szCs w:val="21"/>
              </w:rPr>
              <w:t>② 设计方案适老化设计理念体现充分（如高低台设计、轮椅容膝空间、暗拉手设计、圆角处理等），整体方案合理可行、美观实用的，得2分；方案基本合理但适老化细节考虑不足的，得1分；方案存在明显缺陷或不符合适老化要求的，不得分。</w:t>
            </w:r>
          </w:p>
          <w:p w14:paraId="2EF33CCC">
            <w:pPr>
              <w:rPr>
                <w:rFonts w:ascii="宋体" w:hAnsi="宋体"/>
                <w:color w:val="auto"/>
                <w:szCs w:val="21"/>
              </w:rPr>
            </w:pPr>
            <w:r>
              <w:rPr>
                <w:rFonts w:ascii="宋体" w:hAnsi="宋体"/>
                <w:color w:val="auto"/>
                <w:szCs w:val="21"/>
              </w:rPr>
              <w:t>注：未提供设计方案的，本项得0分。</w:t>
            </w:r>
          </w:p>
        </w:tc>
      </w:tr>
      <w:tr w14:paraId="7DC3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noWrap/>
            <w:vAlign w:val="center"/>
          </w:tcPr>
          <w:p w14:paraId="1E5ECB20">
            <w:pPr>
              <w:rPr>
                <w:rFonts w:ascii="宋体" w:hAnsi="宋体"/>
                <w:color w:val="auto"/>
                <w:szCs w:val="21"/>
              </w:rPr>
            </w:pPr>
            <w:r>
              <w:rPr>
                <w:rFonts w:hint="eastAsia" w:ascii="宋体" w:hAnsi="宋体"/>
                <w:color w:val="auto"/>
                <w:szCs w:val="21"/>
              </w:rPr>
              <w:t>2</w:t>
            </w:r>
          </w:p>
        </w:tc>
        <w:tc>
          <w:tcPr>
            <w:tcW w:w="1564" w:type="dxa"/>
            <w:tcBorders>
              <w:top w:val="single" w:color="auto" w:sz="4" w:space="0"/>
              <w:left w:val="single" w:color="auto" w:sz="4" w:space="0"/>
              <w:bottom w:val="single" w:color="auto" w:sz="4" w:space="0"/>
              <w:right w:val="single" w:color="auto" w:sz="4" w:space="0"/>
            </w:tcBorders>
            <w:noWrap/>
            <w:vAlign w:val="center"/>
          </w:tcPr>
          <w:p w14:paraId="35A35AB9">
            <w:pPr>
              <w:rPr>
                <w:rFonts w:ascii="宋体" w:hAnsi="宋体"/>
                <w:color w:val="auto"/>
                <w:szCs w:val="21"/>
              </w:rPr>
            </w:pPr>
            <w:r>
              <w:rPr>
                <w:rFonts w:ascii="宋体" w:hAnsi="宋体"/>
                <w:color w:val="auto"/>
                <w:szCs w:val="21"/>
              </w:rPr>
              <w:t>项目实施及保障方案</w:t>
            </w:r>
          </w:p>
        </w:tc>
        <w:tc>
          <w:tcPr>
            <w:tcW w:w="988" w:type="dxa"/>
            <w:gridSpan w:val="2"/>
            <w:tcBorders>
              <w:top w:val="single" w:color="auto" w:sz="4" w:space="0"/>
              <w:left w:val="single" w:color="auto" w:sz="4" w:space="0"/>
              <w:bottom w:val="single" w:color="auto" w:sz="4" w:space="0"/>
              <w:right w:val="single" w:color="auto" w:sz="4" w:space="0"/>
            </w:tcBorders>
            <w:noWrap/>
            <w:vAlign w:val="center"/>
          </w:tcPr>
          <w:p w14:paraId="56DC4BB7">
            <w:pPr>
              <w:rPr>
                <w:rFonts w:ascii="宋体" w:hAnsi="宋体"/>
                <w:color w:val="auto"/>
                <w:szCs w:val="21"/>
              </w:rPr>
            </w:pPr>
            <w:r>
              <w:rPr>
                <w:rFonts w:hint="eastAsia" w:ascii="宋体" w:hAnsi="宋体"/>
                <w:color w:val="auto"/>
                <w:szCs w:val="21"/>
              </w:rPr>
              <w:t>5分</w:t>
            </w:r>
          </w:p>
        </w:tc>
        <w:tc>
          <w:tcPr>
            <w:tcW w:w="5741" w:type="dxa"/>
            <w:tcBorders>
              <w:top w:val="single" w:color="auto" w:sz="4" w:space="0"/>
              <w:left w:val="single" w:color="auto" w:sz="4" w:space="0"/>
              <w:bottom w:val="single" w:color="auto" w:sz="4" w:space="0"/>
              <w:right w:val="single" w:color="auto" w:sz="4" w:space="0"/>
            </w:tcBorders>
            <w:noWrap/>
            <w:vAlign w:val="center"/>
          </w:tcPr>
          <w:p w14:paraId="5C518385">
            <w:pPr>
              <w:rPr>
                <w:rFonts w:ascii="宋体" w:hAnsi="宋体"/>
                <w:color w:val="auto"/>
                <w:szCs w:val="21"/>
              </w:rPr>
            </w:pPr>
            <w:r>
              <w:rPr>
                <w:rFonts w:ascii="宋体" w:hAnsi="宋体"/>
                <w:color w:val="auto"/>
                <w:szCs w:val="21"/>
              </w:rPr>
              <w:t>针对本项目多楼层分批供货、安装工期紧张（20个自然日）、成品保护要求高的特点，评审供货、安装、协调方案：</w:t>
            </w:r>
          </w:p>
          <w:p w14:paraId="3E2F6F91">
            <w:pPr>
              <w:rPr>
                <w:rFonts w:ascii="宋体" w:hAnsi="宋体"/>
                <w:color w:val="auto"/>
                <w:szCs w:val="21"/>
              </w:rPr>
            </w:pPr>
            <w:r>
              <w:rPr>
                <w:rFonts w:ascii="宋体" w:hAnsi="宋体"/>
                <w:color w:val="auto"/>
                <w:szCs w:val="21"/>
              </w:rPr>
              <w:t>优（5分）：方案详尽，包含但不限于：① 精确到天的供货排期表；② 多楼层搬运及成品保护具体措施；③ 人员调配方案；④ 应急处理流程（配送延误、产品损坏等）；⑤ 交叉作业协调方案。</w:t>
            </w:r>
          </w:p>
          <w:p w14:paraId="3CD7D6E2">
            <w:pPr>
              <w:rPr>
                <w:rFonts w:ascii="宋体" w:hAnsi="宋体"/>
                <w:color w:val="auto"/>
                <w:szCs w:val="21"/>
              </w:rPr>
            </w:pPr>
            <w:r>
              <w:rPr>
                <w:rFonts w:ascii="宋体" w:hAnsi="宋体"/>
                <w:color w:val="auto"/>
                <w:szCs w:val="21"/>
              </w:rPr>
              <w:t>良（3分）：方案完整，但针对性一般，缺乏细节数据或流程支撑。</w:t>
            </w:r>
          </w:p>
          <w:p w14:paraId="3F5B6156">
            <w:pPr>
              <w:rPr>
                <w:rFonts w:ascii="宋体" w:hAnsi="宋体"/>
                <w:color w:val="auto"/>
                <w:szCs w:val="21"/>
              </w:rPr>
            </w:pPr>
            <w:r>
              <w:rPr>
                <w:rFonts w:ascii="宋体" w:hAnsi="宋体"/>
                <w:color w:val="auto"/>
                <w:szCs w:val="21"/>
              </w:rPr>
              <w:t>中（2分）：方案基本完整，但内容空泛。</w:t>
            </w:r>
          </w:p>
          <w:p w14:paraId="2FB1F3CA">
            <w:pPr>
              <w:rPr>
                <w:rFonts w:ascii="宋体" w:hAnsi="宋体"/>
                <w:color w:val="auto"/>
                <w:szCs w:val="21"/>
              </w:rPr>
            </w:pPr>
            <w:r>
              <w:rPr>
                <w:rFonts w:ascii="宋体" w:hAnsi="宋体"/>
                <w:color w:val="auto"/>
                <w:szCs w:val="21"/>
              </w:rPr>
              <w:t>差（1分）：方案空泛或存在明显逻辑错误。</w:t>
            </w:r>
          </w:p>
          <w:p w14:paraId="58E2542A">
            <w:pPr>
              <w:rPr>
                <w:rFonts w:ascii="宋体" w:hAnsi="宋体"/>
                <w:color w:val="auto"/>
                <w:szCs w:val="21"/>
              </w:rPr>
            </w:pPr>
            <w:r>
              <w:rPr>
                <w:rFonts w:ascii="宋体" w:hAnsi="宋体"/>
                <w:color w:val="auto"/>
                <w:szCs w:val="21"/>
              </w:rPr>
              <w:t>未提供方案不得分。</w:t>
            </w:r>
          </w:p>
        </w:tc>
      </w:tr>
      <w:tr w14:paraId="304E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noWrap/>
            <w:vAlign w:val="center"/>
          </w:tcPr>
          <w:p w14:paraId="564C34FA">
            <w:pPr>
              <w:rPr>
                <w:rFonts w:ascii="宋体" w:hAnsi="宋体"/>
                <w:color w:val="auto"/>
                <w:szCs w:val="21"/>
              </w:rPr>
            </w:pPr>
            <w:r>
              <w:rPr>
                <w:rFonts w:hint="eastAsia" w:ascii="宋体" w:hAnsi="宋体"/>
                <w:color w:val="auto"/>
                <w:szCs w:val="21"/>
              </w:rPr>
              <w:t>3</w:t>
            </w:r>
          </w:p>
        </w:tc>
        <w:tc>
          <w:tcPr>
            <w:tcW w:w="1564" w:type="dxa"/>
            <w:tcBorders>
              <w:top w:val="single" w:color="auto" w:sz="4" w:space="0"/>
              <w:left w:val="single" w:color="auto" w:sz="4" w:space="0"/>
              <w:bottom w:val="single" w:color="auto" w:sz="4" w:space="0"/>
              <w:right w:val="single" w:color="auto" w:sz="4" w:space="0"/>
            </w:tcBorders>
            <w:noWrap/>
            <w:vAlign w:val="center"/>
          </w:tcPr>
          <w:p w14:paraId="449941D9">
            <w:pPr>
              <w:rPr>
                <w:rFonts w:ascii="宋体" w:hAnsi="宋体"/>
                <w:color w:val="auto"/>
                <w:szCs w:val="21"/>
              </w:rPr>
            </w:pPr>
            <w:r>
              <w:rPr>
                <w:rFonts w:ascii="宋体" w:hAnsi="宋体"/>
                <w:color w:val="auto"/>
                <w:szCs w:val="21"/>
              </w:rPr>
              <w:t>质量控制及售后服务方案</w:t>
            </w:r>
          </w:p>
        </w:tc>
        <w:tc>
          <w:tcPr>
            <w:tcW w:w="988" w:type="dxa"/>
            <w:gridSpan w:val="2"/>
            <w:tcBorders>
              <w:top w:val="single" w:color="auto" w:sz="4" w:space="0"/>
              <w:left w:val="single" w:color="auto" w:sz="4" w:space="0"/>
              <w:bottom w:val="single" w:color="auto" w:sz="4" w:space="0"/>
              <w:right w:val="single" w:color="auto" w:sz="4" w:space="0"/>
            </w:tcBorders>
            <w:noWrap/>
            <w:vAlign w:val="center"/>
          </w:tcPr>
          <w:p w14:paraId="467FF24E">
            <w:pPr>
              <w:rPr>
                <w:rFonts w:ascii="宋体" w:hAnsi="宋体"/>
                <w:color w:val="auto"/>
                <w:szCs w:val="21"/>
              </w:rPr>
            </w:pPr>
            <w:r>
              <w:rPr>
                <w:rFonts w:hint="eastAsia" w:ascii="宋体" w:hAnsi="宋体"/>
                <w:color w:val="auto"/>
                <w:szCs w:val="21"/>
              </w:rPr>
              <w:t>5分</w:t>
            </w:r>
          </w:p>
        </w:tc>
        <w:tc>
          <w:tcPr>
            <w:tcW w:w="5741" w:type="dxa"/>
            <w:tcBorders>
              <w:top w:val="single" w:color="auto" w:sz="4" w:space="0"/>
              <w:left w:val="single" w:color="auto" w:sz="4" w:space="0"/>
              <w:bottom w:val="single" w:color="auto" w:sz="4" w:space="0"/>
              <w:right w:val="single" w:color="auto" w:sz="4" w:space="0"/>
            </w:tcBorders>
            <w:noWrap/>
            <w:vAlign w:val="center"/>
          </w:tcPr>
          <w:p w14:paraId="357F7753">
            <w:pPr>
              <w:rPr>
                <w:rFonts w:ascii="宋体" w:hAnsi="宋体"/>
                <w:color w:val="auto"/>
                <w:szCs w:val="21"/>
              </w:rPr>
            </w:pPr>
            <w:r>
              <w:rPr>
                <w:rFonts w:ascii="宋体" w:hAnsi="宋体"/>
                <w:color w:val="auto"/>
                <w:szCs w:val="21"/>
              </w:rPr>
              <w:t>根据投标人提供的质量保证措施及售后服务方案进行综合评审：</w:t>
            </w:r>
          </w:p>
          <w:p w14:paraId="76116E96">
            <w:pPr>
              <w:rPr>
                <w:rFonts w:ascii="宋体" w:hAnsi="宋体"/>
                <w:color w:val="auto"/>
                <w:szCs w:val="21"/>
              </w:rPr>
            </w:pPr>
            <w:r>
              <w:rPr>
                <w:rFonts w:ascii="宋体" w:hAnsi="宋体"/>
                <w:color w:val="auto"/>
                <w:szCs w:val="21"/>
              </w:rPr>
              <w:t>优（5分）：质量目标明确且细化到各产品品类，质量控制体系完善（含原材料检验、生产过程控制、出厂检验全流程），有具体的质量检验标准和手段；售后服务响应机制高效（4小时内响应、24小时内上门），备品备件储备充足并列出清单，故障处理流程清晰，质保期外服务承诺具体可行。</w:t>
            </w:r>
          </w:p>
          <w:p w14:paraId="15CC5C9E">
            <w:pPr>
              <w:rPr>
                <w:rFonts w:ascii="宋体" w:hAnsi="宋体"/>
                <w:color w:val="auto"/>
                <w:szCs w:val="21"/>
              </w:rPr>
            </w:pPr>
            <w:r>
              <w:rPr>
                <w:rFonts w:ascii="宋体" w:hAnsi="宋体"/>
                <w:color w:val="auto"/>
                <w:szCs w:val="21"/>
              </w:rPr>
              <w:t>良（3分）：质量目标基本明确，质量控制措施较完整；售后服务满足</w:t>
            </w:r>
            <w:r>
              <w:rPr>
                <w:rFonts w:hint="eastAsia" w:ascii="宋体" w:hAnsi="宋体"/>
                <w:color w:val="auto"/>
                <w:szCs w:val="21"/>
                <w:lang w:eastAsia="zh-CN"/>
              </w:rPr>
              <w:t>采购文件</w:t>
            </w:r>
            <w:r>
              <w:rPr>
                <w:rFonts w:ascii="宋体" w:hAnsi="宋体"/>
                <w:color w:val="auto"/>
                <w:szCs w:val="21"/>
              </w:rPr>
              <w:t>基本要求。</w:t>
            </w:r>
          </w:p>
          <w:p w14:paraId="5C09D112">
            <w:pPr>
              <w:rPr>
                <w:rFonts w:ascii="宋体" w:hAnsi="宋体"/>
                <w:color w:val="auto"/>
                <w:szCs w:val="21"/>
              </w:rPr>
            </w:pPr>
            <w:r>
              <w:rPr>
                <w:rFonts w:ascii="宋体" w:hAnsi="宋体"/>
                <w:color w:val="auto"/>
                <w:szCs w:val="21"/>
              </w:rPr>
              <w:t>中（1分）：质量目标不明确，控制措施简单；售后服务方案笼统。</w:t>
            </w:r>
          </w:p>
          <w:p w14:paraId="7FA677CD">
            <w:pPr>
              <w:rPr>
                <w:rFonts w:ascii="宋体" w:hAnsi="宋体"/>
                <w:color w:val="auto"/>
                <w:szCs w:val="21"/>
              </w:rPr>
            </w:pPr>
            <w:r>
              <w:rPr>
                <w:rFonts w:ascii="宋体" w:hAnsi="宋体"/>
                <w:color w:val="auto"/>
                <w:szCs w:val="21"/>
              </w:rPr>
              <w:t>差（0分）：方案缺失严重或未提供。</w:t>
            </w:r>
          </w:p>
        </w:tc>
      </w:tr>
      <w:tr w14:paraId="1CD0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noWrap/>
            <w:vAlign w:val="center"/>
          </w:tcPr>
          <w:p w14:paraId="5FBEC767">
            <w:pPr>
              <w:rPr>
                <w:rFonts w:ascii="宋体" w:hAnsi="宋体"/>
                <w:color w:val="auto"/>
                <w:szCs w:val="21"/>
              </w:rPr>
            </w:pPr>
            <w:r>
              <w:rPr>
                <w:rFonts w:hint="eastAsia" w:ascii="宋体" w:hAnsi="宋体"/>
                <w:color w:val="auto"/>
                <w:szCs w:val="21"/>
              </w:rPr>
              <w:t>4</w:t>
            </w:r>
          </w:p>
        </w:tc>
        <w:tc>
          <w:tcPr>
            <w:tcW w:w="1564" w:type="dxa"/>
            <w:tcBorders>
              <w:top w:val="single" w:color="auto" w:sz="4" w:space="0"/>
              <w:left w:val="single" w:color="auto" w:sz="4" w:space="0"/>
              <w:bottom w:val="single" w:color="auto" w:sz="4" w:space="0"/>
              <w:right w:val="single" w:color="auto" w:sz="4" w:space="0"/>
            </w:tcBorders>
            <w:noWrap/>
            <w:vAlign w:val="center"/>
          </w:tcPr>
          <w:p w14:paraId="34F4AE1C">
            <w:pPr>
              <w:rPr>
                <w:rFonts w:ascii="宋体" w:hAnsi="宋体"/>
                <w:color w:val="auto"/>
                <w:szCs w:val="21"/>
              </w:rPr>
            </w:pPr>
            <w:r>
              <w:rPr>
                <w:rFonts w:hint="eastAsia" w:ascii="宋体" w:hAnsi="宋体"/>
                <w:color w:val="auto"/>
                <w:szCs w:val="21"/>
              </w:rPr>
              <w:t>样品评审</w:t>
            </w:r>
          </w:p>
        </w:tc>
        <w:tc>
          <w:tcPr>
            <w:tcW w:w="988" w:type="dxa"/>
            <w:gridSpan w:val="2"/>
            <w:tcBorders>
              <w:top w:val="single" w:color="auto" w:sz="4" w:space="0"/>
              <w:left w:val="single" w:color="auto" w:sz="4" w:space="0"/>
              <w:bottom w:val="single" w:color="auto" w:sz="4" w:space="0"/>
              <w:right w:val="single" w:color="auto" w:sz="4" w:space="0"/>
            </w:tcBorders>
            <w:noWrap/>
            <w:vAlign w:val="center"/>
          </w:tcPr>
          <w:p w14:paraId="29C82D08">
            <w:pPr>
              <w:rPr>
                <w:rFonts w:ascii="宋体" w:hAnsi="宋体"/>
                <w:color w:val="auto"/>
                <w:szCs w:val="21"/>
              </w:rPr>
            </w:pPr>
            <w:r>
              <w:rPr>
                <w:rFonts w:hint="eastAsia" w:ascii="宋体" w:hAnsi="宋体"/>
                <w:color w:val="auto"/>
                <w:szCs w:val="21"/>
              </w:rPr>
              <w:t>15分</w:t>
            </w:r>
          </w:p>
        </w:tc>
        <w:tc>
          <w:tcPr>
            <w:tcW w:w="5741" w:type="dxa"/>
            <w:tcBorders>
              <w:top w:val="single" w:color="auto" w:sz="4" w:space="0"/>
              <w:left w:val="single" w:color="auto" w:sz="4" w:space="0"/>
              <w:bottom w:val="single" w:color="auto" w:sz="4" w:space="0"/>
              <w:right w:val="single" w:color="auto" w:sz="4" w:space="0"/>
            </w:tcBorders>
            <w:noWrap/>
            <w:vAlign w:val="center"/>
          </w:tcPr>
          <w:p w14:paraId="7F7462F8">
            <w:pPr>
              <w:rPr>
                <w:rFonts w:ascii="宋体" w:hAnsi="宋体"/>
                <w:color w:val="auto"/>
                <w:szCs w:val="21"/>
              </w:rPr>
            </w:pPr>
            <w:r>
              <w:rPr>
                <w:rFonts w:ascii="宋体" w:hAnsi="宋体"/>
                <w:color w:val="auto"/>
                <w:szCs w:val="21"/>
              </w:rPr>
              <w:t>投标人须按用户需求书《投标样品》要求提供以下成品样品：</w:t>
            </w:r>
            <w:r>
              <w:rPr>
                <w:rFonts w:hint="eastAsia"/>
                <w:color w:val="auto"/>
              </w:rPr>
              <w:t>适老椅、三人沙发、单人沙发、正方桌、书桌（序号20）、护理床（序号22）</w:t>
            </w:r>
            <w:r>
              <w:rPr>
                <w:rFonts w:hint="eastAsia" w:ascii="宋体" w:hAnsi="宋体"/>
                <w:color w:val="auto"/>
                <w:szCs w:val="21"/>
              </w:rPr>
              <w:t>各</w:t>
            </w:r>
            <w:r>
              <w:rPr>
                <w:rFonts w:ascii="宋体" w:hAnsi="宋体"/>
                <w:color w:val="auto"/>
                <w:szCs w:val="21"/>
              </w:rPr>
              <w:t>1件。</w:t>
            </w:r>
          </w:p>
          <w:p w14:paraId="2F05C6D8">
            <w:pPr>
              <w:rPr>
                <w:rFonts w:ascii="宋体" w:hAnsi="宋体"/>
                <w:color w:val="auto"/>
                <w:szCs w:val="21"/>
              </w:rPr>
            </w:pPr>
            <w:r>
              <w:rPr>
                <w:rFonts w:ascii="宋体" w:hAnsi="宋体"/>
                <w:color w:val="auto"/>
                <w:szCs w:val="21"/>
              </w:rPr>
              <w:t>样品上不得出现投标人名称或任何可识别投标人身份的标识。样品评审后由采购人封样留存，作为验收依据。</w:t>
            </w:r>
          </w:p>
          <w:p w14:paraId="0BAA24F6">
            <w:pPr>
              <w:rPr>
                <w:rFonts w:ascii="宋体" w:hAnsi="宋体"/>
                <w:color w:val="auto"/>
                <w:szCs w:val="21"/>
              </w:rPr>
            </w:pPr>
            <w:r>
              <w:rPr>
                <w:rFonts w:ascii="宋体" w:hAnsi="宋体"/>
                <w:color w:val="auto"/>
                <w:szCs w:val="21"/>
              </w:rPr>
              <w:t>评审委员会根据样品与</w:t>
            </w:r>
            <w:r>
              <w:rPr>
                <w:rFonts w:hint="eastAsia" w:ascii="宋体" w:hAnsi="宋体"/>
                <w:color w:val="auto"/>
                <w:szCs w:val="21"/>
                <w:lang w:eastAsia="zh-CN"/>
              </w:rPr>
              <w:t>采购文件</w:t>
            </w:r>
            <w:r>
              <w:rPr>
                <w:rFonts w:ascii="宋体" w:hAnsi="宋体"/>
                <w:color w:val="auto"/>
                <w:szCs w:val="21"/>
              </w:rPr>
              <w:t>技术参数的符合程度及样品的整体品质进行评分：</w:t>
            </w:r>
          </w:p>
          <w:p w14:paraId="1958B8B4">
            <w:pPr>
              <w:rPr>
                <w:rFonts w:ascii="宋体" w:hAnsi="宋体"/>
                <w:color w:val="auto"/>
                <w:szCs w:val="21"/>
              </w:rPr>
            </w:pPr>
            <w:r>
              <w:rPr>
                <w:rFonts w:hint="eastAsia" w:ascii="宋体" w:hAnsi="宋体"/>
                <w:color w:val="auto"/>
                <w:szCs w:val="21"/>
              </w:rPr>
              <w:t>4</w:t>
            </w:r>
            <w:r>
              <w:rPr>
                <w:rFonts w:ascii="宋体" w:hAnsi="宋体"/>
                <w:color w:val="auto"/>
                <w:szCs w:val="21"/>
              </w:rPr>
              <w:t>.1 材质与用料（</w:t>
            </w:r>
            <w:r>
              <w:rPr>
                <w:rFonts w:hint="eastAsia" w:ascii="宋体" w:hAnsi="宋体"/>
                <w:color w:val="auto"/>
                <w:szCs w:val="21"/>
              </w:rPr>
              <w:t>6</w:t>
            </w:r>
            <w:r>
              <w:rPr>
                <w:rFonts w:ascii="宋体" w:hAnsi="宋体"/>
                <w:color w:val="auto"/>
                <w:szCs w:val="21"/>
              </w:rPr>
              <w:t>分）</w:t>
            </w:r>
          </w:p>
          <w:p w14:paraId="7BB281DE">
            <w:pPr>
              <w:rPr>
                <w:rFonts w:ascii="宋体" w:hAnsi="宋体"/>
                <w:color w:val="auto"/>
                <w:szCs w:val="21"/>
              </w:rPr>
            </w:pPr>
            <w:r>
              <w:rPr>
                <w:rFonts w:ascii="宋体" w:hAnsi="宋体"/>
                <w:color w:val="auto"/>
                <w:szCs w:val="21"/>
              </w:rPr>
              <w:t>优（</w:t>
            </w:r>
            <w:r>
              <w:rPr>
                <w:rFonts w:hint="eastAsia" w:ascii="宋体" w:hAnsi="宋体"/>
                <w:color w:val="auto"/>
                <w:szCs w:val="21"/>
              </w:rPr>
              <w:t>6</w:t>
            </w:r>
            <w:r>
              <w:rPr>
                <w:rFonts w:ascii="宋体" w:hAnsi="宋体"/>
                <w:color w:val="auto"/>
                <w:szCs w:val="21"/>
              </w:rPr>
              <w:t>分）：所有样品材质与</w:t>
            </w:r>
            <w:r>
              <w:rPr>
                <w:rFonts w:hint="eastAsia" w:ascii="宋体" w:hAnsi="宋体"/>
                <w:color w:val="auto"/>
                <w:szCs w:val="21"/>
                <w:lang w:eastAsia="zh-CN"/>
              </w:rPr>
              <w:t>采购文件</w:t>
            </w:r>
            <w:r>
              <w:rPr>
                <w:rFonts w:ascii="宋体" w:hAnsi="宋体"/>
                <w:color w:val="auto"/>
                <w:szCs w:val="21"/>
              </w:rPr>
              <w:t>要求完全一致，板材截面密实、无空鼓，金属件壁厚足、表面处理均匀，海绵回弹性好、密度达标，面料/皮革纹理清晰、手感细腻。</w:t>
            </w:r>
          </w:p>
          <w:p w14:paraId="0A2D0F7F">
            <w:pPr>
              <w:rPr>
                <w:rFonts w:ascii="宋体" w:hAnsi="宋体"/>
                <w:color w:val="auto"/>
                <w:szCs w:val="21"/>
              </w:rPr>
            </w:pPr>
            <w:r>
              <w:rPr>
                <w:rFonts w:ascii="宋体" w:hAnsi="宋体"/>
                <w:color w:val="auto"/>
                <w:szCs w:val="21"/>
              </w:rPr>
              <w:t>良（</w:t>
            </w:r>
            <w:r>
              <w:rPr>
                <w:rFonts w:hint="eastAsia" w:ascii="宋体" w:hAnsi="宋体"/>
                <w:color w:val="auto"/>
                <w:szCs w:val="21"/>
              </w:rPr>
              <w:t>3</w:t>
            </w:r>
            <w:r>
              <w:rPr>
                <w:rFonts w:ascii="宋体" w:hAnsi="宋体"/>
                <w:color w:val="auto"/>
                <w:szCs w:val="21"/>
              </w:rPr>
              <w:t>分）：样品材质与</w:t>
            </w:r>
            <w:r>
              <w:rPr>
                <w:rFonts w:hint="eastAsia" w:ascii="宋体" w:hAnsi="宋体"/>
                <w:color w:val="auto"/>
                <w:szCs w:val="21"/>
                <w:lang w:eastAsia="zh-CN"/>
              </w:rPr>
              <w:t>采购文件</w:t>
            </w:r>
            <w:r>
              <w:rPr>
                <w:rFonts w:ascii="宋体" w:hAnsi="宋体"/>
                <w:color w:val="auto"/>
                <w:szCs w:val="21"/>
              </w:rPr>
              <w:t>要求基本一致，部分细节存在轻微差异但不影响使用。</w:t>
            </w:r>
          </w:p>
          <w:p w14:paraId="7DB839B3">
            <w:pPr>
              <w:rPr>
                <w:rFonts w:ascii="宋体" w:hAnsi="宋体"/>
                <w:color w:val="auto"/>
                <w:szCs w:val="21"/>
              </w:rPr>
            </w:pPr>
            <w:r>
              <w:rPr>
                <w:rFonts w:ascii="宋体" w:hAnsi="宋体"/>
                <w:color w:val="auto"/>
                <w:szCs w:val="21"/>
              </w:rPr>
              <w:t>中（1分）：样品材质与</w:t>
            </w:r>
            <w:r>
              <w:rPr>
                <w:rFonts w:hint="eastAsia" w:ascii="宋体" w:hAnsi="宋体"/>
                <w:color w:val="auto"/>
                <w:szCs w:val="21"/>
                <w:lang w:eastAsia="zh-CN"/>
              </w:rPr>
              <w:t>采购文件</w:t>
            </w:r>
            <w:r>
              <w:rPr>
                <w:rFonts w:ascii="宋体" w:hAnsi="宋体"/>
                <w:color w:val="auto"/>
                <w:szCs w:val="21"/>
              </w:rPr>
              <w:t>要求存在一定差异，或部分材料品质一般。</w:t>
            </w:r>
          </w:p>
          <w:p w14:paraId="1F8A7B92">
            <w:pPr>
              <w:rPr>
                <w:rFonts w:ascii="宋体" w:hAnsi="宋体"/>
                <w:color w:val="auto"/>
                <w:szCs w:val="21"/>
              </w:rPr>
            </w:pPr>
            <w:r>
              <w:rPr>
                <w:rFonts w:ascii="宋体" w:hAnsi="宋体"/>
                <w:color w:val="auto"/>
                <w:szCs w:val="21"/>
              </w:rPr>
              <w:t>差（0分）：样品材质与</w:t>
            </w:r>
            <w:r>
              <w:rPr>
                <w:rFonts w:hint="eastAsia" w:ascii="宋体" w:hAnsi="宋体"/>
                <w:color w:val="auto"/>
                <w:szCs w:val="21"/>
                <w:lang w:eastAsia="zh-CN"/>
              </w:rPr>
              <w:t>采购文件</w:t>
            </w:r>
            <w:r>
              <w:rPr>
                <w:rFonts w:ascii="宋体" w:hAnsi="宋体"/>
                <w:color w:val="auto"/>
                <w:szCs w:val="21"/>
              </w:rPr>
              <w:t>要求严重不符，或存在明显质量问题。</w:t>
            </w:r>
          </w:p>
          <w:p w14:paraId="1EB3471D">
            <w:pPr>
              <w:rPr>
                <w:rFonts w:ascii="宋体" w:hAnsi="宋体"/>
                <w:color w:val="auto"/>
                <w:szCs w:val="21"/>
              </w:rPr>
            </w:pPr>
            <w:r>
              <w:rPr>
                <w:rFonts w:hint="eastAsia" w:ascii="宋体" w:hAnsi="宋体"/>
                <w:color w:val="auto"/>
                <w:szCs w:val="21"/>
              </w:rPr>
              <w:t>4</w:t>
            </w:r>
            <w:r>
              <w:rPr>
                <w:rFonts w:ascii="宋体" w:hAnsi="宋体"/>
                <w:color w:val="auto"/>
                <w:szCs w:val="21"/>
              </w:rPr>
              <w:t>.2 封边与工艺（4分）</w:t>
            </w:r>
          </w:p>
          <w:p w14:paraId="5EBBEA6A">
            <w:pPr>
              <w:rPr>
                <w:rFonts w:ascii="宋体" w:hAnsi="宋体"/>
                <w:color w:val="auto"/>
                <w:szCs w:val="21"/>
              </w:rPr>
            </w:pPr>
            <w:r>
              <w:rPr>
                <w:rFonts w:ascii="宋体" w:hAnsi="宋体"/>
                <w:color w:val="auto"/>
                <w:szCs w:val="21"/>
              </w:rPr>
              <w:t>优（4分）：封边工艺精湛，封边条与板材结合紧密无缝，无胶线、无毛刺、无溢胶；倒角处理圆润光滑；金属焊接平整，涂层均匀；木作榫卯结构严丝合缝。</w:t>
            </w:r>
          </w:p>
          <w:p w14:paraId="6A1CDE44">
            <w:pPr>
              <w:rPr>
                <w:rFonts w:ascii="宋体" w:hAnsi="宋体"/>
                <w:color w:val="auto"/>
                <w:szCs w:val="21"/>
              </w:rPr>
            </w:pPr>
            <w:r>
              <w:rPr>
                <w:rFonts w:ascii="宋体" w:hAnsi="宋体"/>
                <w:color w:val="auto"/>
                <w:szCs w:val="21"/>
              </w:rPr>
              <w:t>良（</w:t>
            </w:r>
            <w:r>
              <w:rPr>
                <w:rFonts w:hint="eastAsia" w:ascii="宋体" w:hAnsi="宋体"/>
                <w:color w:val="auto"/>
                <w:szCs w:val="21"/>
              </w:rPr>
              <w:t>2</w:t>
            </w:r>
            <w:r>
              <w:rPr>
                <w:rFonts w:ascii="宋体" w:hAnsi="宋体"/>
                <w:color w:val="auto"/>
                <w:szCs w:val="21"/>
              </w:rPr>
              <w:t>分）：封边工艺较好，无明显胶线或毛刺；工艺细节基本到位。</w:t>
            </w:r>
          </w:p>
          <w:p w14:paraId="7087B6E9">
            <w:pPr>
              <w:rPr>
                <w:rFonts w:ascii="宋体" w:hAnsi="宋体"/>
                <w:color w:val="auto"/>
                <w:szCs w:val="21"/>
              </w:rPr>
            </w:pPr>
            <w:r>
              <w:rPr>
                <w:rFonts w:ascii="宋体" w:hAnsi="宋体"/>
                <w:color w:val="auto"/>
                <w:szCs w:val="21"/>
              </w:rPr>
              <w:t>中（1分）：封边工艺一般，存在轻微胶线、毛刺或溢胶；工艺细节处理粗糙。</w:t>
            </w:r>
          </w:p>
          <w:p w14:paraId="2180EB2D">
            <w:pPr>
              <w:rPr>
                <w:rFonts w:ascii="宋体" w:hAnsi="宋体"/>
                <w:color w:val="auto"/>
                <w:szCs w:val="21"/>
              </w:rPr>
            </w:pPr>
            <w:r>
              <w:rPr>
                <w:rFonts w:ascii="宋体" w:hAnsi="宋体"/>
                <w:color w:val="auto"/>
                <w:szCs w:val="21"/>
              </w:rPr>
              <w:t>差（0分）：封边质量差，存在开胶、毛刺严重等问题。</w:t>
            </w:r>
            <w:r>
              <w:rPr>
                <w:rFonts w:ascii="宋体" w:hAnsi="宋体"/>
                <w:color w:val="auto"/>
                <w:szCs w:val="21"/>
              </w:rPr>
              <w:br w:type="textWrapping"/>
            </w:r>
            <w:r>
              <w:rPr>
                <w:rFonts w:hint="eastAsia" w:ascii="宋体" w:hAnsi="宋体"/>
                <w:color w:val="auto"/>
                <w:szCs w:val="21"/>
              </w:rPr>
              <w:t>4</w:t>
            </w:r>
            <w:r>
              <w:rPr>
                <w:rFonts w:ascii="宋体" w:hAnsi="宋体"/>
                <w:color w:val="auto"/>
                <w:szCs w:val="21"/>
              </w:rPr>
              <w:t>.3 结构与五金（3分）</w:t>
            </w:r>
          </w:p>
          <w:p w14:paraId="69CAF1CA">
            <w:pPr>
              <w:rPr>
                <w:rFonts w:ascii="宋体" w:hAnsi="宋体"/>
                <w:color w:val="auto"/>
                <w:szCs w:val="21"/>
              </w:rPr>
            </w:pPr>
            <w:r>
              <w:rPr>
                <w:rFonts w:ascii="宋体" w:hAnsi="宋体"/>
                <w:color w:val="auto"/>
                <w:szCs w:val="21"/>
              </w:rPr>
              <w:t>优（3分）：产品结构稳固，无摇晃、无异响；五金件品牌优质，表面处理精致，开合顺滑、阻尼效果明显，承重部件牢固可靠。</w:t>
            </w:r>
          </w:p>
          <w:p w14:paraId="29AAC76C">
            <w:pPr>
              <w:rPr>
                <w:rFonts w:ascii="宋体" w:hAnsi="宋体"/>
                <w:color w:val="auto"/>
                <w:szCs w:val="21"/>
              </w:rPr>
            </w:pPr>
            <w:r>
              <w:rPr>
                <w:rFonts w:ascii="宋体" w:hAnsi="宋体"/>
                <w:color w:val="auto"/>
                <w:szCs w:val="21"/>
              </w:rPr>
              <w:t>良（2分）：结构基本稳固，五金件开合顺畅，无明显质量问题。</w:t>
            </w:r>
          </w:p>
          <w:p w14:paraId="17B14970">
            <w:pPr>
              <w:rPr>
                <w:rFonts w:ascii="宋体" w:hAnsi="宋体"/>
                <w:color w:val="auto"/>
                <w:szCs w:val="21"/>
              </w:rPr>
            </w:pPr>
            <w:r>
              <w:rPr>
                <w:rFonts w:ascii="宋体" w:hAnsi="宋体"/>
                <w:color w:val="auto"/>
                <w:szCs w:val="21"/>
              </w:rPr>
              <w:t>中（1分）：结构稳定性一般，五金件开合有轻微卡顿。</w:t>
            </w:r>
          </w:p>
          <w:p w14:paraId="075B00F1">
            <w:pPr>
              <w:rPr>
                <w:rFonts w:ascii="宋体" w:hAnsi="宋体"/>
                <w:color w:val="auto"/>
                <w:szCs w:val="21"/>
              </w:rPr>
            </w:pPr>
            <w:r>
              <w:rPr>
                <w:rFonts w:ascii="宋体" w:hAnsi="宋体"/>
                <w:color w:val="auto"/>
                <w:szCs w:val="21"/>
              </w:rPr>
              <w:t>差（0分）：结构不稳固，五金件存在锈蚀、开合不畅等问题。</w:t>
            </w:r>
          </w:p>
          <w:p w14:paraId="493FDA51">
            <w:pPr>
              <w:rPr>
                <w:rFonts w:ascii="宋体" w:hAnsi="宋体"/>
                <w:color w:val="auto"/>
                <w:szCs w:val="21"/>
              </w:rPr>
            </w:pPr>
            <w:r>
              <w:rPr>
                <w:rFonts w:hint="eastAsia" w:ascii="宋体" w:hAnsi="宋体"/>
                <w:color w:val="auto"/>
                <w:szCs w:val="21"/>
              </w:rPr>
              <w:t>4</w:t>
            </w:r>
            <w:r>
              <w:rPr>
                <w:rFonts w:ascii="宋体" w:hAnsi="宋体"/>
                <w:color w:val="auto"/>
                <w:szCs w:val="21"/>
              </w:rPr>
              <w:t>.4 表面处理与外观（2分）</w:t>
            </w:r>
          </w:p>
          <w:p w14:paraId="31A73B2E">
            <w:pPr>
              <w:rPr>
                <w:rFonts w:ascii="宋体" w:hAnsi="宋体"/>
                <w:color w:val="auto"/>
                <w:szCs w:val="21"/>
              </w:rPr>
            </w:pPr>
            <w:r>
              <w:rPr>
                <w:rFonts w:ascii="宋体" w:hAnsi="宋体"/>
                <w:color w:val="auto"/>
                <w:szCs w:val="21"/>
              </w:rPr>
              <w:t>优（2分）：漆面/饰面颜色均匀，光泽度一致，无流挂、无颗粒、无划伤；整体外观造型与</w:t>
            </w:r>
            <w:r>
              <w:rPr>
                <w:rFonts w:hint="eastAsia" w:ascii="宋体" w:hAnsi="宋体"/>
                <w:color w:val="auto"/>
                <w:szCs w:val="21"/>
                <w:lang w:eastAsia="zh-CN"/>
              </w:rPr>
              <w:t>采购文件</w:t>
            </w:r>
            <w:r>
              <w:rPr>
                <w:rFonts w:ascii="宋体" w:hAnsi="宋体"/>
                <w:color w:val="auto"/>
                <w:szCs w:val="21"/>
              </w:rPr>
              <w:t>描述相符，细节精致，视觉效果好。</w:t>
            </w:r>
          </w:p>
          <w:p w14:paraId="779620CF">
            <w:pPr>
              <w:rPr>
                <w:rFonts w:ascii="宋体" w:hAnsi="宋体"/>
                <w:color w:val="auto"/>
                <w:szCs w:val="21"/>
              </w:rPr>
            </w:pPr>
            <w:r>
              <w:rPr>
                <w:rFonts w:ascii="宋体" w:hAnsi="宋体"/>
                <w:color w:val="auto"/>
                <w:szCs w:val="21"/>
              </w:rPr>
              <w:t>良（1分）：表面处理基本均匀，无明显色差或瑕疵；外观造型符合要求。</w:t>
            </w:r>
          </w:p>
          <w:p w14:paraId="5575A1E1">
            <w:pPr>
              <w:rPr>
                <w:rFonts w:ascii="宋体" w:hAnsi="宋体"/>
                <w:color w:val="auto"/>
                <w:szCs w:val="21"/>
              </w:rPr>
            </w:pPr>
            <w:r>
              <w:rPr>
                <w:rFonts w:ascii="宋体" w:hAnsi="宋体"/>
                <w:color w:val="auto"/>
                <w:szCs w:val="21"/>
              </w:rPr>
              <w:t>差（0分）：表面处理存在明显色差、划伤、颗粒等缺陷，或外观造型不符合要求。</w:t>
            </w:r>
            <w:r>
              <w:rPr>
                <w:rFonts w:ascii="宋体" w:hAnsi="宋体"/>
                <w:color w:val="auto"/>
                <w:szCs w:val="21"/>
              </w:rPr>
              <w:br w:type="textWrapping"/>
            </w:r>
            <w:r>
              <w:rPr>
                <w:rFonts w:ascii="宋体" w:hAnsi="宋体"/>
                <w:color w:val="auto"/>
                <w:szCs w:val="21"/>
              </w:rPr>
              <w:t>注：未提供样品或提供的样品不全，本项（样品评审）得0分。</w:t>
            </w:r>
          </w:p>
        </w:tc>
      </w:tr>
      <w:tr w14:paraId="7794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7" w:type="dxa"/>
            <w:gridSpan w:val="5"/>
            <w:tcBorders>
              <w:top w:val="single" w:color="auto" w:sz="4" w:space="0"/>
              <w:left w:val="single" w:color="auto" w:sz="4" w:space="0"/>
              <w:bottom w:val="single" w:color="auto" w:sz="4" w:space="0"/>
              <w:right w:val="single" w:color="auto" w:sz="4" w:space="0"/>
            </w:tcBorders>
            <w:noWrap/>
            <w:vAlign w:val="center"/>
          </w:tcPr>
          <w:p w14:paraId="763C04E1">
            <w:pPr>
              <w:rPr>
                <w:rFonts w:ascii="宋体" w:hAnsi="宋体"/>
                <w:color w:val="auto"/>
                <w:szCs w:val="21"/>
              </w:rPr>
            </w:pPr>
            <w:r>
              <w:rPr>
                <w:rFonts w:hint="eastAsia" w:ascii="宋体" w:hAnsi="宋体"/>
                <w:color w:val="auto"/>
                <w:szCs w:val="21"/>
              </w:rPr>
              <w:t>价格评分（40分）</w:t>
            </w:r>
          </w:p>
        </w:tc>
      </w:tr>
      <w:tr w14:paraId="1421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noWrap/>
            <w:vAlign w:val="center"/>
          </w:tcPr>
          <w:p w14:paraId="0BC53E86">
            <w:pPr>
              <w:rPr>
                <w:rFonts w:ascii="宋体" w:hAnsi="宋体"/>
                <w:color w:val="auto"/>
                <w:szCs w:val="21"/>
              </w:rPr>
            </w:pPr>
            <w:r>
              <w:rPr>
                <w:rFonts w:hint="eastAsia" w:ascii="宋体" w:hAnsi="宋体"/>
                <w:color w:val="auto"/>
                <w:szCs w:val="21"/>
              </w:rPr>
              <w:t>1</w:t>
            </w:r>
          </w:p>
        </w:tc>
        <w:tc>
          <w:tcPr>
            <w:tcW w:w="1564" w:type="dxa"/>
            <w:tcBorders>
              <w:top w:val="single" w:color="auto" w:sz="4" w:space="0"/>
              <w:left w:val="single" w:color="auto" w:sz="4" w:space="0"/>
              <w:bottom w:val="single" w:color="auto" w:sz="4" w:space="0"/>
              <w:right w:val="single" w:color="auto" w:sz="4" w:space="0"/>
            </w:tcBorders>
            <w:noWrap/>
            <w:vAlign w:val="center"/>
          </w:tcPr>
          <w:p w14:paraId="28FC50B4">
            <w:pPr>
              <w:rPr>
                <w:rFonts w:ascii="宋体" w:hAnsi="宋体"/>
                <w:color w:val="auto"/>
                <w:szCs w:val="21"/>
              </w:rPr>
            </w:pPr>
            <w:r>
              <w:rPr>
                <w:rFonts w:hint="eastAsia" w:ascii="宋体" w:hAnsi="宋体"/>
                <w:color w:val="auto"/>
                <w:szCs w:val="21"/>
              </w:rPr>
              <w:t>投标总价</w:t>
            </w:r>
          </w:p>
        </w:tc>
        <w:tc>
          <w:tcPr>
            <w:tcW w:w="988" w:type="dxa"/>
            <w:gridSpan w:val="2"/>
            <w:tcBorders>
              <w:top w:val="single" w:color="auto" w:sz="4" w:space="0"/>
              <w:left w:val="single" w:color="auto" w:sz="4" w:space="0"/>
              <w:bottom w:val="single" w:color="auto" w:sz="4" w:space="0"/>
              <w:right w:val="single" w:color="auto" w:sz="4" w:space="0"/>
            </w:tcBorders>
            <w:noWrap/>
            <w:vAlign w:val="center"/>
          </w:tcPr>
          <w:p w14:paraId="72B0E1CE">
            <w:pPr>
              <w:rPr>
                <w:rFonts w:ascii="宋体" w:hAnsi="宋体"/>
                <w:color w:val="auto"/>
                <w:szCs w:val="21"/>
              </w:rPr>
            </w:pPr>
            <w:r>
              <w:rPr>
                <w:rFonts w:hint="eastAsia" w:ascii="宋体" w:hAnsi="宋体"/>
                <w:color w:val="auto"/>
                <w:szCs w:val="21"/>
              </w:rPr>
              <w:t>40分</w:t>
            </w:r>
          </w:p>
        </w:tc>
        <w:tc>
          <w:tcPr>
            <w:tcW w:w="5741" w:type="dxa"/>
            <w:tcBorders>
              <w:top w:val="single" w:color="auto" w:sz="4" w:space="0"/>
              <w:left w:val="single" w:color="auto" w:sz="4" w:space="0"/>
              <w:bottom w:val="single" w:color="auto" w:sz="4" w:space="0"/>
              <w:right w:val="single" w:color="auto" w:sz="4" w:space="0"/>
            </w:tcBorders>
            <w:noWrap/>
            <w:vAlign w:val="center"/>
          </w:tcPr>
          <w:p w14:paraId="06D38291">
            <w:pPr>
              <w:autoSpaceDE w:val="0"/>
              <w:autoSpaceDN w:val="0"/>
              <w:snapToGrid/>
              <w:spacing w:line="276" w:lineRule="auto"/>
              <w:ind w:firstLine="441" w:firstLineChars="210"/>
              <w:rPr>
                <w:rFonts w:ascii="宋体"/>
                <w:b/>
                <w:bCs/>
                <w:color w:val="auto"/>
                <w:szCs w:val="21"/>
              </w:rPr>
            </w:pPr>
            <w:r>
              <w:rPr>
                <w:rFonts w:hint="eastAsia" w:ascii="宋体" w:hAnsi="宋体" w:cs="宋体"/>
                <w:color w:val="auto"/>
                <w:szCs w:val="21"/>
              </w:rPr>
              <w:t>评标委员会对入围的投标人的投标价格进行修正核实得出评标价。综合评分法中的价格分统一采用低价优先法计算，即满足</w:t>
            </w:r>
            <w:r>
              <w:rPr>
                <w:rFonts w:hint="eastAsia" w:ascii="宋体" w:hAnsi="宋体" w:cs="宋体"/>
                <w:color w:val="auto"/>
                <w:szCs w:val="21"/>
                <w:lang w:eastAsia="zh-CN"/>
              </w:rPr>
              <w:t>采购文件</w:t>
            </w:r>
            <w:r>
              <w:rPr>
                <w:rFonts w:hint="eastAsia" w:ascii="宋体" w:hAnsi="宋体" w:cs="宋体"/>
                <w:color w:val="auto"/>
                <w:szCs w:val="21"/>
              </w:rPr>
              <w:t>要求（通过资格、符合性审查）且价格最低的有效投标报价（指修正核实后的价格，下同）为评标基准价，其价格分为满分。其他投标人的价格分统一按照下列公式计算：</w:t>
            </w:r>
          </w:p>
          <w:p w14:paraId="7B44A959">
            <w:pPr>
              <w:autoSpaceDE w:val="0"/>
              <w:autoSpaceDN w:val="0"/>
              <w:spacing w:line="276" w:lineRule="auto"/>
              <w:ind w:firstLine="441" w:firstLineChars="210"/>
              <w:rPr>
                <w:rFonts w:ascii="宋体" w:hAnsi="宋体"/>
                <w:color w:val="auto"/>
                <w:szCs w:val="21"/>
              </w:rPr>
            </w:pPr>
            <w:r>
              <w:rPr>
                <w:rFonts w:hint="eastAsia" w:ascii="宋体" w:hAnsi="宋体" w:cs="宋体"/>
                <w:color w:val="auto"/>
                <w:szCs w:val="21"/>
              </w:rPr>
              <w:t>投标报价得分</w:t>
            </w:r>
            <w:r>
              <w:rPr>
                <w:rFonts w:ascii="宋体" w:hAnsi="宋体" w:cs="宋体"/>
                <w:color w:val="auto"/>
                <w:szCs w:val="21"/>
              </w:rPr>
              <w:t>=</w:t>
            </w:r>
            <w:r>
              <w:rPr>
                <w:rFonts w:hint="eastAsia" w:ascii="宋体" w:hAnsi="宋体" w:cs="宋体"/>
                <w:color w:val="auto"/>
                <w:szCs w:val="21"/>
              </w:rPr>
              <w:t>（评标基准价</w:t>
            </w:r>
            <w:r>
              <w:rPr>
                <w:rFonts w:ascii="宋体" w:hAnsi="宋体" w:cs="宋体"/>
                <w:color w:val="auto"/>
                <w:szCs w:val="21"/>
              </w:rPr>
              <w:t>/</w:t>
            </w:r>
            <w:r>
              <w:rPr>
                <w:rFonts w:hint="eastAsia" w:ascii="宋体" w:hAnsi="宋体" w:cs="宋体"/>
                <w:color w:val="auto"/>
                <w:szCs w:val="21"/>
              </w:rPr>
              <w:t>投标报价）</w:t>
            </w:r>
            <w:r>
              <w:rPr>
                <w:rFonts w:ascii="宋体" w:hAnsi="宋体" w:cs="宋体"/>
                <w:color w:val="auto"/>
                <w:szCs w:val="21"/>
              </w:rPr>
              <w:t>x</w:t>
            </w:r>
            <w:r>
              <w:rPr>
                <w:rFonts w:hint="eastAsia" w:ascii="宋体" w:hAnsi="宋体" w:cs="宋体"/>
                <w:color w:val="auto"/>
                <w:szCs w:val="21"/>
              </w:rPr>
              <w:t>价格权值</w:t>
            </w:r>
            <w:r>
              <w:rPr>
                <w:rFonts w:ascii="宋体" w:hAnsi="宋体" w:cs="宋体"/>
                <w:color w:val="auto"/>
                <w:szCs w:val="21"/>
              </w:rPr>
              <w:t>x100</w:t>
            </w:r>
            <w:r>
              <w:rPr>
                <w:rFonts w:hint="eastAsia" w:ascii="宋体" w:hAnsi="宋体" w:cs="宋体"/>
                <w:color w:val="auto"/>
                <w:szCs w:val="21"/>
              </w:rPr>
              <w:t>。（精确到</w:t>
            </w:r>
            <w:r>
              <w:rPr>
                <w:rFonts w:ascii="宋体" w:hAnsi="宋体" w:cs="宋体"/>
                <w:color w:val="auto"/>
                <w:szCs w:val="21"/>
              </w:rPr>
              <w:t>0.01</w:t>
            </w:r>
            <w:r>
              <w:rPr>
                <w:rFonts w:hint="eastAsia" w:ascii="宋体" w:hAnsi="宋体" w:cs="宋体"/>
                <w:color w:val="auto"/>
                <w:szCs w:val="21"/>
              </w:rPr>
              <w:t>）。</w:t>
            </w:r>
          </w:p>
        </w:tc>
      </w:tr>
    </w:tbl>
    <w:p w14:paraId="6B60FCE5">
      <w:pPr>
        <w:rPr>
          <w:color w:val="auto"/>
        </w:rPr>
      </w:pPr>
    </w:p>
    <w:p w14:paraId="02D2BF5A">
      <w:pPr>
        <w:rPr>
          <w:color w:val="auto"/>
        </w:rPr>
      </w:pPr>
      <w:r>
        <w:rPr>
          <w:rFonts w:hint="eastAsia"/>
          <w:color w:val="auto"/>
        </w:rPr>
        <w:t>注：评标委员会评委按评标标准独立对技术标进行评审，得出技术标评分。当评标委员会为五人时，在所有评委对同一份投标文件技术标评审的总评分中，去掉一个最高分和一个最低分，计算剩余总评分的算术平均值即为该投标人技术标的最终综合得分；当评标委员会为七人及以上单数时，在各评委的打分中，同一评委的最高评分减去最低评分，去掉分差最大评委的所有技术标评分（当一位或两位评委评分差值最大时均取消其评委评分，当多于两位评分差值均最大时，不取消任一评委评分），在所有剩余评委对同一份投标文件技术部分评审的总评分中，去掉一个最高分和一个最低分，计算剩余总评分的算术平均值即为该投标人技术部分的最终综合得分。</w:t>
      </w:r>
    </w:p>
    <w:p w14:paraId="6A03915F">
      <w:pPr>
        <w:rPr>
          <w:color w:val="auto"/>
          <w:sz w:val="28"/>
          <w:szCs w:val="28"/>
        </w:rPr>
      </w:pPr>
      <w:bookmarkStart w:id="33" w:name="_Toc4078"/>
      <w:bookmarkStart w:id="34" w:name="_Toc20459"/>
      <w:r>
        <w:rPr>
          <w:rFonts w:hint="eastAsia"/>
          <w:color w:val="auto"/>
          <w:sz w:val="28"/>
          <w:szCs w:val="28"/>
        </w:rPr>
        <w:br w:type="page"/>
      </w:r>
    </w:p>
    <w:p w14:paraId="25ECD3C4">
      <w:pPr>
        <w:pStyle w:val="3"/>
        <w:spacing w:before="0" w:after="0" w:line="240" w:lineRule="auto"/>
        <w:rPr>
          <w:color w:val="auto"/>
          <w:sz w:val="36"/>
          <w:szCs w:val="36"/>
        </w:rPr>
      </w:pPr>
      <w:bookmarkStart w:id="35" w:name="_Toc19937"/>
      <w:bookmarkStart w:id="36" w:name="_Toc13424"/>
      <w:r>
        <w:rPr>
          <w:rFonts w:hint="eastAsia"/>
          <w:color w:val="auto"/>
          <w:sz w:val="28"/>
          <w:szCs w:val="28"/>
        </w:rPr>
        <w:t>第三部分用户需求书</w:t>
      </w:r>
      <w:bookmarkEnd w:id="33"/>
      <w:bookmarkEnd w:id="34"/>
      <w:bookmarkEnd w:id="35"/>
      <w:bookmarkEnd w:id="36"/>
    </w:p>
    <w:p w14:paraId="0984C00D">
      <w:pPr>
        <w:pStyle w:val="4"/>
        <w:spacing w:before="0" w:after="0" w:line="360" w:lineRule="auto"/>
        <w:jc w:val="center"/>
        <w:rPr>
          <w:rFonts w:ascii="宋体" w:hAnsi="宋体"/>
          <w:color w:val="auto"/>
        </w:rPr>
      </w:pPr>
      <w:bookmarkStart w:id="37" w:name="_Toc7113"/>
      <w:bookmarkStart w:id="38" w:name="_Toc1593"/>
      <w:bookmarkStart w:id="39" w:name="_Toc11660"/>
      <w:bookmarkStart w:id="40" w:name="_Toc22303"/>
      <w:bookmarkStart w:id="41" w:name="_Toc27644"/>
      <w:bookmarkStart w:id="42" w:name="_Toc308786492"/>
      <w:bookmarkStart w:id="43" w:name="_Toc24679"/>
      <w:bookmarkStart w:id="44" w:name="_Toc14462"/>
      <w:bookmarkStart w:id="45" w:name="_Toc31278"/>
      <w:bookmarkStart w:id="46" w:name="_Toc13112"/>
      <w:r>
        <w:rPr>
          <w:rFonts w:hint="eastAsia" w:ascii="宋体" w:hAnsi="宋体"/>
          <w:color w:val="auto"/>
        </w:rPr>
        <w:t xml:space="preserve">第一章 </w:t>
      </w:r>
      <w:bookmarkStart w:id="47" w:name="_Hlk231907629"/>
      <w:bookmarkStart w:id="48" w:name="_Hlk231893026"/>
      <w:r>
        <w:rPr>
          <w:rFonts w:hint="eastAsia" w:ascii="宋体" w:hAnsi="宋体"/>
          <w:color w:val="auto"/>
        </w:rPr>
        <w:t>商务需求书</w:t>
      </w:r>
      <w:bookmarkEnd w:id="37"/>
      <w:bookmarkEnd w:id="38"/>
      <w:bookmarkEnd w:id="39"/>
      <w:bookmarkEnd w:id="40"/>
      <w:bookmarkEnd w:id="41"/>
    </w:p>
    <w:bookmarkEnd w:id="42"/>
    <w:tbl>
      <w:tblPr>
        <w:tblStyle w:val="32"/>
        <w:tblW w:w="868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8"/>
        <w:gridCol w:w="1501"/>
        <w:gridCol w:w="6466"/>
      </w:tblGrid>
      <w:tr w14:paraId="5C8C6A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18" w:type="dxa"/>
            <w:vAlign w:val="center"/>
          </w:tcPr>
          <w:p w14:paraId="44C86EE4">
            <w:pPr>
              <w:jc w:val="center"/>
              <w:rPr>
                <w:rFonts w:ascii="宋体" w:hAnsi="宋体" w:cs="宋体"/>
                <w:color w:val="auto"/>
                <w:szCs w:val="21"/>
              </w:rPr>
            </w:pPr>
            <w:r>
              <w:rPr>
                <w:rFonts w:hint="eastAsia" w:ascii="宋体" w:hAnsi="宋体" w:cs="宋体"/>
                <w:color w:val="auto"/>
                <w:szCs w:val="21"/>
              </w:rPr>
              <w:t>序号</w:t>
            </w:r>
          </w:p>
        </w:tc>
        <w:tc>
          <w:tcPr>
            <w:tcW w:w="1501" w:type="dxa"/>
            <w:vAlign w:val="center"/>
          </w:tcPr>
          <w:p w14:paraId="5852F532">
            <w:pPr>
              <w:jc w:val="center"/>
              <w:rPr>
                <w:rFonts w:ascii="宋体" w:hAnsi="宋体" w:cs="宋体"/>
                <w:color w:val="auto"/>
                <w:szCs w:val="21"/>
              </w:rPr>
            </w:pPr>
            <w:r>
              <w:rPr>
                <w:rFonts w:hint="eastAsia" w:ascii="宋体" w:hAnsi="宋体" w:cs="宋体"/>
                <w:color w:val="auto"/>
                <w:szCs w:val="21"/>
              </w:rPr>
              <w:t>条款名称</w:t>
            </w:r>
          </w:p>
        </w:tc>
        <w:tc>
          <w:tcPr>
            <w:tcW w:w="6466" w:type="dxa"/>
            <w:vAlign w:val="center"/>
          </w:tcPr>
          <w:p w14:paraId="01956D3D">
            <w:pPr>
              <w:jc w:val="center"/>
              <w:rPr>
                <w:rFonts w:ascii="宋体" w:hAnsi="宋体" w:cs="宋体"/>
                <w:color w:val="auto"/>
                <w:szCs w:val="21"/>
              </w:rPr>
            </w:pPr>
            <w:r>
              <w:rPr>
                <w:rFonts w:hint="eastAsia" w:ascii="宋体" w:hAnsi="宋体" w:cs="宋体"/>
                <w:color w:val="auto"/>
                <w:szCs w:val="21"/>
              </w:rPr>
              <w:t>说  明</w:t>
            </w:r>
          </w:p>
        </w:tc>
      </w:tr>
      <w:tr w14:paraId="0599F1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11CFDA24">
            <w:pPr>
              <w:jc w:val="center"/>
              <w:rPr>
                <w:rFonts w:ascii="宋体" w:hAnsi="宋体" w:cs="宋体"/>
                <w:color w:val="auto"/>
                <w:szCs w:val="21"/>
              </w:rPr>
            </w:pPr>
            <w:r>
              <w:rPr>
                <w:rFonts w:hint="eastAsia" w:ascii="宋体" w:hAnsi="宋体" w:cs="宋体"/>
                <w:color w:val="auto"/>
                <w:szCs w:val="21"/>
              </w:rPr>
              <w:t>1</w:t>
            </w:r>
          </w:p>
        </w:tc>
        <w:tc>
          <w:tcPr>
            <w:tcW w:w="1501" w:type="dxa"/>
            <w:vAlign w:val="center"/>
          </w:tcPr>
          <w:p w14:paraId="6DF062D4">
            <w:pPr>
              <w:jc w:val="center"/>
              <w:rPr>
                <w:rFonts w:ascii="宋体" w:hAnsi="宋体" w:cs="宋体"/>
                <w:color w:val="auto"/>
                <w:szCs w:val="21"/>
              </w:rPr>
            </w:pPr>
            <w:r>
              <w:rPr>
                <w:rFonts w:hint="eastAsia" w:ascii="宋体" w:hAnsi="宋体" w:cs="宋体"/>
                <w:color w:val="auto"/>
                <w:szCs w:val="21"/>
              </w:rPr>
              <w:t>合格投标人</w:t>
            </w:r>
          </w:p>
        </w:tc>
        <w:tc>
          <w:tcPr>
            <w:tcW w:w="6466" w:type="dxa"/>
            <w:vAlign w:val="center"/>
          </w:tcPr>
          <w:p w14:paraId="3A0C515B">
            <w:pPr>
              <w:pStyle w:val="47"/>
              <w:ind w:firstLine="0" w:firstLineChars="0"/>
              <w:rPr>
                <w:rFonts w:ascii="宋体" w:hAnsi="宋体" w:cs="宋体"/>
                <w:color w:val="auto"/>
                <w:kern w:val="44"/>
                <w:szCs w:val="21"/>
              </w:rPr>
            </w:pPr>
            <w:r>
              <w:rPr>
                <w:rFonts w:hint="eastAsia" w:ascii="宋体" w:hAnsi="宋体" w:cs="宋体"/>
                <w:color w:val="auto"/>
                <w:szCs w:val="21"/>
              </w:rPr>
              <w:t>详见“第一部分 投标邀请”中“二、投标人资格要求”</w:t>
            </w:r>
          </w:p>
        </w:tc>
      </w:tr>
      <w:tr w14:paraId="3D781E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7DC2E1CF">
            <w:pPr>
              <w:jc w:val="center"/>
              <w:rPr>
                <w:rFonts w:ascii="宋体" w:hAnsi="宋体" w:cs="宋体"/>
                <w:color w:val="auto"/>
                <w:szCs w:val="21"/>
              </w:rPr>
            </w:pPr>
            <w:r>
              <w:rPr>
                <w:rFonts w:hint="eastAsia" w:ascii="宋体" w:hAnsi="宋体" w:cs="宋体"/>
                <w:color w:val="auto"/>
                <w:szCs w:val="21"/>
              </w:rPr>
              <w:t>2</w:t>
            </w:r>
          </w:p>
        </w:tc>
        <w:tc>
          <w:tcPr>
            <w:tcW w:w="1501" w:type="dxa"/>
            <w:vAlign w:val="center"/>
          </w:tcPr>
          <w:p w14:paraId="385DB5F7">
            <w:pPr>
              <w:jc w:val="center"/>
              <w:rPr>
                <w:rFonts w:ascii="宋体" w:hAnsi="宋体" w:cs="宋体"/>
                <w:color w:val="auto"/>
                <w:szCs w:val="21"/>
              </w:rPr>
            </w:pPr>
            <w:r>
              <w:rPr>
                <w:rFonts w:hint="eastAsia" w:ascii="宋体" w:hAnsi="宋体" w:cs="宋体"/>
                <w:color w:val="auto"/>
                <w:szCs w:val="21"/>
              </w:rPr>
              <w:t>供货期</w:t>
            </w:r>
          </w:p>
        </w:tc>
        <w:tc>
          <w:tcPr>
            <w:tcW w:w="6466" w:type="dxa"/>
            <w:vAlign w:val="center"/>
          </w:tcPr>
          <w:p w14:paraId="7E1A90A1">
            <w:pPr>
              <w:outlineLvl w:val="1"/>
              <w:rPr>
                <w:rFonts w:ascii="宋体" w:hAnsi="宋体"/>
                <w:color w:val="auto"/>
                <w:szCs w:val="21"/>
              </w:rPr>
            </w:pPr>
            <w:bookmarkStart w:id="49" w:name="_Toc16889"/>
            <w:r>
              <w:rPr>
                <w:rFonts w:hint="eastAsia" w:ascii="宋体" w:hAnsi="宋体"/>
                <w:color w:val="auto"/>
                <w:szCs w:val="21"/>
              </w:rPr>
              <w:t>2.1合同签订后20个自然日内完成供货、安装、调试；</w:t>
            </w:r>
            <w:bookmarkEnd w:id="49"/>
          </w:p>
          <w:p w14:paraId="5C2B70C4">
            <w:pPr>
              <w:rPr>
                <w:rFonts w:ascii="宋体" w:hAnsi="宋体"/>
                <w:color w:val="auto"/>
                <w:szCs w:val="21"/>
              </w:rPr>
            </w:pPr>
            <w:r>
              <w:rPr>
                <w:rFonts w:hint="eastAsia" w:ascii="宋体" w:hAnsi="宋体"/>
                <w:color w:val="auto"/>
                <w:szCs w:val="21"/>
              </w:rPr>
              <w:t>2.2在建设工地的临时存放场地由采购人负责协调落实，中标人负责看管。</w:t>
            </w:r>
          </w:p>
          <w:p w14:paraId="0991E7D9">
            <w:pPr>
              <w:rPr>
                <w:rFonts w:ascii="宋体" w:hAnsi="宋体" w:cs="宋体"/>
                <w:color w:val="auto"/>
                <w:szCs w:val="21"/>
              </w:rPr>
            </w:pPr>
            <w:r>
              <w:rPr>
                <w:rFonts w:hint="eastAsia" w:ascii="宋体" w:hAnsi="宋体"/>
                <w:color w:val="auto"/>
                <w:szCs w:val="21"/>
              </w:rPr>
              <w:t>2.3</w:t>
            </w:r>
            <w:r>
              <w:rPr>
                <w:rFonts w:ascii="宋体" w:hAnsi="宋体"/>
                <w:color w:val="auto"/>
                <w:szCs w:val="21"/>
              </w:rPr>
              <w:t>项目实施过程中，中标人须负责全部货物的成品保护，直至最终竣工验收合格并正常运行后为止。在安装过程中，如建筑结构或其它设备被损坏，中标人须负责修理或赔偿损失。</w:t>
            </w:r>
          </w:p>
        </w:tc>
      </w:tr>
      <w:tr w14:paraId="63743F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8" w:hRule="atLeast"/>
        </w:trPr>
        <w:tc>
          <w:tcPr>
            <w:tcW w:w="718" w:type="dxa"/>
            <w:vAlign w:val="center"/>
          </w:tcPr>
          <w:p w14:paraId="44400743">
            <w:pPr>
              <w:jc w:val="center"/>
              <w:rPr>
                <w:rFonts w:ascii="宋体" w:hAnsi="宋体" w:cs="宋体"/>
                <w:color w:val="auto"/>
                <w:szCs w:val="21"/>
              </w:rPr>
            </w:pPr>
            <w:r>
              <w:rPr>
                <w:rFonts w:hint="eastAsia" w:ascii="宋体" w:hAnsi="宋体" w:cs="宋体"/>
                <w:color w:val="auto"/>
                <w:szCs w:val="21"/>
              </w:rPr>
              <w:t>3</w:t>
            </w:r>
          </w:p>
        </w:tc>
        <w:tc>
          <w:tcPr>
            <w:tcW w:w="1501" w:type="dxa"/>
            <w:vAlign w:val="center"/>
          </w:tcPr>
          <w:p w14:paraId="67635D92">
            <w:pPr>
              <w:jc w:val="center"/>
              <w:rPr>
                <w:rFonts w:ascii="宋体" w:hAnsi="宋体" w:cs="宋体"/>
                <w:color w:val="auto"/>
                <w:szCs w:val="21"/>
              </w:rPr>
            </w:pPr>
            <w:r>
              <w:rPr>
                <w:rFonts w:hint="eastAsia" w:ascii="宋体" w:hAnsi="宋体" w:cs="宋体"/>
                <w:color w:val="auto"/>
                <w:szCs w:val="21"/>
              </w:rPr>
              <w:t>付款方式</w:t>
            </w:r>
          </w:p>
        </w:tc>
        <w:tc>
          <w:tcPr>
            <w:tcW w:w="6466" w:type="dxa"/>
            <w:vAlign w:val="center"/>
          </w:tcPr>
          <w:p w14:paraId="6A0987C6">
            <w:pPr>
              <w:rPr>
                <w:rFonts w:ascii="宋体" w:hAnsi="宋体"/>
                <w:color w:val="auto"/>
                <w:szCs w:val="21"/>
              </w:rPr>
            </w:pPr>
            <w:bookmarkStart w:id="50" w:name="_Hlk223791366"/>
            <w:r>
              <w:rPr>
                <w:rFonts w:hint="eastAsia" w:ascii="宋体" w:hAnsi="宋体"/>
                <w:color w:val="auto"/>
                <w:szCs w:val="21"/>
              </w:rPr>
              <w:t>3.1中标人按照采购人要求将货物运送至采购人指定地点，开箱验收合格后，提交请款资料，经采购人审核无误，15个工作日内支付该批货物总价款的60%；</w:t>
            </w:r>
          </w:p>
          <w:p w14:paraId="0AAA99B0">
            <w:pPr>
              <w:rPr>
                <w:rFonts w:ascii="宋体" w:hAnsi="宋体"/>
                <w:color w:val="auto"/>
                <w:szCs w:val="21"/>
              </w:rPr>
            </w:pPr>
            <w:r>
              <w:rPr>
                <w:rFonts w:hint="eastAsia" w:ascii="宋体" w:hAnsi="宋体"/>
                <w:color w:val="auto"/>
                <w:szCs w:val="21"/>
              </w:rPr>
              <w:t>3.2项目完成并验收合格后，中标人提交请款资料，经采购人审核无误，20个工作日内支付至合同总价款的97%，</w:t>
            </w:r>
          </w:p>
          <w:p w14:paraId="4DD6B7D9">
            <w:pPr>
              <w:rPr>
                <w:rFonts w:ascii="宋体" w:hAnsi="宋体" w:cs="宋体"/>
                <w:color w:val="auto"/>
              </w:rPr>
            </w:pPr>
            <w:r>
              <w:rPr>
                <w:rFonts w:hint="eastAsia" w:ascii="宋体" w:hAnsi="宋体" w:cs="宋体"/>
                <w:color w:val="auto"/>
              </w:rPr>
              <w:t>3.3剩余3%质保金，保修期满如无质量服务问题无息支付3%质保金。</w:t>
            </w:r>
          </w:p>
          <w:p w14:paraId="4157E18A">
            <w:pPr>
              <w:rPr>
                <w:rFonts w:ascii="宋体" w:hAnsi="宋体" w:cs="宋体"/>
                <w:color w:val="auto"/>
                <w:szCs w:val="21"/>
              </w:rPr>
            </w:pPr>
            <w:r>
              <w:rPr>
                <w:rFonts w:hint="eastAsia" w:ascii="宋体" w:hAnsi="宋体"/>
                <w:color w:val="auto"/>
                <w:szCs w:val="21"/>
              </w:rPr>
              <w:t>3.4每次付款前，中标人必须提供合法有效、与合同条款中增值税税率一致的增值税专用发票给采购人，否则采购人有权拒绝付款且不构成违约；在采购人除支付质保金外的最后一期款项前，中标人须连同当期支付款项发票和质保金一并提交采购人；若后续出现质保问题，按照质保责任和条款，部分或全部扣除质保金的，不退还相应金额的发票。若合同执行期间，遇国家税务政策调整年引起的合同价格变化，按照不含税价格调整结算价格。</w:t>
            </w:r>
            <w:bookmarkEnd w:id="50"/>
          </w:p>
        </w:tc>
      </w:tr>
      <w:tr w14:paraId="2B1AF7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18" w:type="dxa"/>
            <w:vAlign w:val="center"/>
          </w:tcPr>
          <w:p w14:paraId="7DB7DF70">
            <w:pPr>
              <w:jc w:val="center"/>
              <w:rPr>
                <w:rFonts w:ascii="宋体" w:hAnsi="宋体" w:cs="宋体"/>
                <w:color w:val="auto"/>
                <w:szCs w:val="21"/>
              </w:rPr>
            </w:pPr>
            <w:r>
              <w:rPr>
                <w:rFonts w:hint="eastAsia" w:ascii="宋体" w:hAnsi="宋体" w:cs="宋体"/>
                <w:color w:val="auto"/>
                <w:szCs w:val="21"/>
              </w:rPr>
              <w:t>4</w:t>
            </w:r>
          </w:p>
        </w:tc>
        <w:tc>
          <w:tcPr>
            <w:tcW w:w="1501" w:type="dxa"/>
            <w:vAlign w:val="center"/>
          </w:tcPr>
          <w:p w14:paraId="1203C141">
            <w:pPr>
              <w:jc w:val="center"/>
              <w:rPr>
                <w:rFonts w:ascii="宋体" w:hAnsi="宋体" w:cs="宋体"/>
                <w:color w:val="auto"/>
                <w:szCs w:val="21"/>
              </w:rPr>
            </w:pPr>
            <w:r>
              <w:rPr>
                <w:rFonts w:hint="eastAsia" w:ascii="宋体" w:hAnsi="宋体"/>
                <w:color w:val="auto"/>
                <w:szCs w:val="21"/>
              </w:rPr>
              <w:t>质保期</w:t>
            </w:r>
          </w:p>
        </w:tc>
        <w:tc>
          <w:tcPr>
            <w:tcW w:w="6466" w:type="dxa"/>
            <w:vAlign w:val="center"/>
          </w:tcPr>
          <w:p w14:paraId="35198DF1">
            <w:pPr>
              <w:rPr>
                <w:rFonts w:ascii="宋体" w:hAnsi="宋体"/>
                <w:color w:val="auto"/>
                <w:szCs w:val="21"/>
              </w:rPr>
            </w:pPr>
            <w:r>
              <w:rPr>
                <w:rFonts w:hint="eastAsia" w:ascii="宋体" w:hAnsi="宋体"/>
                <w:color w:val="auto"/>
                <w:szCs w:val="21"/>
              </w:rPr>
              <w:t>4.1</w:t>
            </w:r>
            <w:r>
              <w:rPr>
                <w:rFonts w:ascii="宋体" w:hAnsi="宋体"/>
                <w:color w:val="auto"/>
                <w:szCs w:val="21"/>
              </w:rPr>
              <w:t>整体质保期：本项目所有货物提供5年整体质保（自最终竣工验收合格之日起算）</w:t>
            </w:r>
          </w:p>
          <w:p w14:paraId="30671A4A">
            <w:pPr>
              <w:outlineLvl w:val="1"/>
              <w:rPr>
                <w:rFonts w:ascii="宋体" w:hAnsi="宋体"/>
                <w:color w:val="auto"/>
                <w:szCs w:val="21"/>
              </w:rPr>
            </w:pPr>
            <w:bookmarkStart w:id="51" w:name="_Toc4120"/>
            <w:r>
              <w:rPr>
                <w:rFonts w:hint="eastAsia" w:ascii="宋体" w:hAnsi="宋体"/>
                <w:color w:val="auto"/>
                <w:szCs w:val="21"/>
              </w:rPr>
              <w:t>4.2</w:t>
            </w:r>
            <w:r>
              <w:rPr>
                <w:rFonts w:ascii="宋体" w:hAnsi="宋体"/>
                <w:color w:val="auto"/>
                <w:szCs w:val="21"/>
              </w:rPr>
              <w:t xml:space="preserve"> 主要构件终身质保：</w:t>
            </w:r>
            <w:bookmarkEnd w:id="51"/>
          </w:p>
          <w:p w14:paraId="7E684426">
            <w:pPr>
              <w:tabs>
                <w:tab w:val="left" w:pos="720"/>
              </w:tabs>
              <w:rPr>
                <w:rFonts w:ascii="宋体" w:hAnsi="宋体"/>
                <w:color w:val="auto"/>
                <w:szCs w:val="21"/>
              </w:rPr>
            </w:pPr>
            <w:r>
              <w:rPr>
                <w:rFonts w:hint="eastAsia" w:ascii="宋体" w:hAnsi="宋体"/>
                <w:color w:val="auto"/>
                <w:szCs w:val="21"/>
              </w:rPr>
              <w:t>（1）</w:t>
            </w:r>
            <w:r>
              <w:rPr>
                <w:rFonts w:ascii="宋体" w:hAnsi="宋体"/>
                <w:color w:val="auto"/>
                <w:szCs w:val="21"/>
              </w:rPr>
              <w:t>金属框架及构件：终身不生锈、不开焊、不变形；</w:t>
            </w:r>
          </w:p>
          <w:p w14:paraId="010B59A6">
            <w:pPr>
              <w:tabs>
                <w:tab w:val="left" w:pos="720"/>
              </w:tabs>
              <w:rPr>
                <w:rFonts w:ascii="宋体" w:hAnsi="宋体"/>
                <w:color w:val="auto"/>
                <w:szCs w:val="21"/>
              </w:rPr>
            </w:pPr>
            <w:r>
              <w:rPr>
                <w:rFonts w:hint="eastAsia" w:ascii="宋体" w:hAnsi="宋体"/>
                <w:color w:val="auto"/>
                <w:szCs w:val="21"/>
              </w:rPr>
              <w:t>（2）</w:t>
            </w:r>
            <w:r>
              <w:rPr>
                <w:rFonts w:ascii="宋体" w:hAnsi="宋体"/>
                <w:color w:val="auto"/>
                <w:szCs w:val="21"/>
              </w:rPr>
              <w:t>木质柜体及门板：终身不翘曲、不开裂、不脱落；</w:t>
            </w:r>
          </w:p>
          <w:p w14:paraId="2B7AE1E3">
            <w:pPr>
              <w:tabs>
                <w:tab w:val="left" w:pos="720"/>
              </w:tabs>
              <w:rPr>
                <w:rFonts w:ascii="宋体" w:hAnsi="宋体"/>
                <w:color w:val="auto"/>
                <w:szCs w:val="21"/>
              </w:rPr>
            </w:pPr>
            <w:r>
              <w:rPr>
                <w:rFonts w:hint="eastAsia" w:ascii="宋体" w:hAnsi="宋体"/>
                <w:color w:val="auto"/>
                <w:szCs w:val="21"/>
              </w:rPr>
              <w:t>（3）</w:t>
            </w:r>
            <w:r>
              <w:rPr>
                <w:rFonts w:ascii="宋体" w:hAnsi="宋体"/>
                <w:color w:val="auto"/>
                <w:szCs w:val="21"/>
              </w:rPr>
              <w:t>五金连接件（铰链、滑轨、连接件）：终身顺畅、无锈蚀、无损坏；</w:t>
            </w:r>
          </w:p>
          <w:p w14:paraId="24389E3B">
            <w:pPr>
              <w:tabs>
                <w:tab w:val="left" w:pos="720"/>
              </w:tabs>
              <w:outlineLvl w:val="2"/>
              <w:rPr>
                <w:rFonts w:ascii="宋体" w:hAnsi="宋体" w:cs="宋体"/>
                <w:color w:val="auto"/>
                <w:szCs w:val="21"/>
              </w:rPr>
            </w:pPr>
            <w:bookmarkStart w:id="52" w:name="_Toc21110"/>
            <w:r>
              <w:rPr>
                <w:rFonts w:hint="eastAsia" w:ascii="宋体" w:hAnsi="宋体"/>
                <w:color w:val="auto"/>
                <w:szCs w:val="21"/>
              </w:rPr>
              <w:t>（4）</w:t>
            </w:r>
            <w:r>
              <w:rPr>
                <w:rFonts w:ascii="宋体" w:hAnsi="宋体"/>
                <w:color w:val="auto"/>
                <w:szCs w:val="21"/>
              </w:rPr>
              <w:t>功能部件（挂衣杆、脚垫）：终身不脱落、不断裂。</w:t>
            </w:r>
            <w:bookmarkEnd w:id="52"/>
          </w:p>
        </w:tc>
      </w:tr>
      <w:tr w14:paraId="6D7CB4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44947100">
            <w:pPr>
              <w:jc w:val="center"/>
              <w:rPr>
                <w:rFonts w:ascii="宋体" w:hAnsi="宋体" w:cs="宋体"/>
                <w:color w:val="auto"/>
                <w:szCs w:val="21"/>
              </w:rPr>
            </w:pPr>
            <w:r>
              <w:rPr>
                <w:rFonts w:hint="eastAsia" w:ascii="宋体" w:hAnsi="宋体" w:cs="宋体"/>
                <w:color w:val="auto"/>
                <w:szCs w:val="21"/>
              </w:rPr>
              <w:t>5</w:t>
            </w:r>
          </w:p>
        </w:tc>
        <w:tc>
          <w:tcPr>
            <w:tcW w:w="1501" w:type="dxa"/>
            <w:vAlign w:val="center"/>
          </w:tcPr>
          <w:p w14:paraId="0DBFEA40">
            <w:pPr>
              <w:jc w:val="center"/>
              <w:rPr>
                <w:rFonts w:ascii="宋体" w:hAnsi="宋体" w:cs="宋体"/>
                <w:color w:val="auto"/>
                <w:szCs w:val="21"/>
              </w:rPr>
            </w:pPr>
            <w:r>
              <w:rPr>
                <w:rFonts w:hint="eastAsia" w:ascii="宋体" w:hAnsi="宋体" w:cs="宋体"/>
                <w:color w:val="auto"/>
                <w:szCs w:val="21"/>
              </w:rPr>
              <w:t>报价要求</w:t>
            </w:r>
          </w:p>
        </w:tc>
        <w:tc>
          <w:tcPr>
            <w:tcW w:w="6466" w:type="dxa"/>
            <w:vAlign w:val="center"/>
          </w:tcPr>
          <w:p w14:paraId="168A61EF">
            <w:pPr>
              <w:rPr>
                <w:rFonts w:ascii="宋体" w:hAnsi="宋体"/>
                <w:color w:val="auto"/>
                <w:szCs w:val="21"/>
              </w:rPr>
            </w:pPr>
            <w:r>
              <w:rPr>
                <w:rFonts w:ascii="宋体" w:hAnsi="宋体"/>
                <w:color w:val="auto"/>
                <w:szCs w:val="21"/>
              </w:rPr>
              <w:t>5.1</w:t>
            </w:r>
            <w:r>
              <w:rPr>
                <w:rFonts w:hint="eastAsia" w:ascii="宋体" w:hAnsi="宋体" w:cstheme="minorBidi"/>
                <w:color w:val="auto"/>
                <w:szCs w:val="21"/>
                <w:shd w:val="clear" w:color="auto" w:fill="auto"/>
              </w:rPr>
              <w:t>本项</w:t>
            </w:r>
            <w:r>
              <w:rPr>
                <w:rFonts w:hint="eastAsia" w:ascii="宋体" w:hAnsi="宋体" w:cstheme="minorBidi"/>
                <w:color w:val="auto"/>
                <w:szCs w:val="21"/>
                <w:shd w:val="clear" w:color="auto" w:fill="auto"/>
                <w:lang w:val="en-US" w:eastAsia="zh-CN"/>
              </w:rPr>
              <w:t>目报价为投标总合同价，所报</w:t>
            </w:r>
            <w:r>
              <w:rPr>
                <w:rFonts w:hint="eastAsia" w:ascii="宋体" w:hAnsi="宋体" w:cstheme="minorBidi"/>
                <w:color w:val="auto"/>
                <w:szCs w:val="21"/>
                <w:shd w:val="clear" w:color="auto" w:fill="auto"/>
              </w:rPr>
              <w:t>单价</w:t>
            </w:r>
            <w:r>
              <w:rPr>
                <w:rFonts w:hint="eastAsia" w:ascii="宋体" w:hAnsi="宋体" w:cstheme="minorBidi"/>
                <w:color w:val="auto"/>
                <w:szCs w:val="21"/>
                <w:shd w:val="clear" w:color="auto" w:fill="auto"/>
                <w:lang w:val="en-US" w:eastAsia="zh-CN"/>
              </w:rPr>
              <w:t>均综合</w:t>
            </w:r>
            <w:r>
              <w:rPr>
                <w:rStyle w:val="34"/>
                <w:rFonts w:hint="eastAsia" w:ascii="宋体" w:hAnsi="宋体"/>
                <w:color w:val="auto"/>
                <w:szCs w:val="21"/>
              </w:rPr>
              <w:t>全费用包干单价</w:t>
            </w:r>
            <w:r>
              <w:rPr>
                <w:rFonts w:hint="eastAsia" w:ascii="宋体" w:hAnsi="宋体" w:cstheme="minorBidi"/>
                <w:color w:val="auto"/>
                <w:szCs w:val="21"/>
                <w:shd w:val="clear" w:color="auto" w:fill="auto"/>
              </w:rPr>
              <w:t>，已包含现场复尺费、深化设计费、效果图制作费、材料费、生产制造费、运输费（含二次搬运）、安装调试费、五金配件费、成品保护费、管理费、利润、税金及可能产生的设计变更调整费等为完成本项产品供货及安装所需的一切费用。采购人不再另行支付任何深化设计及相关费用</w:t>
            </w:r>
            <w:r>
              <w:rPr>
                <w:rFonts w:hint="eastAsia" w:ascii="宋体" w:hAnsi="宋体"/>
                <w:color w:val="auto"/>
                <w:szCs w:val="21"/>
              </w:rPr>
              <w:t>。</w:t>
            </w:r>
          </w:p>
          <w:p w14:paraId="6BAD2BF8">
            <w:pPr>
              <w:outlineLvl w:val="1"/>
              <w:rPr>
                <w:rFonts w:ascii="宋体" w:hAnsi="宋体" w:cs="宋体"/>
                <w:color w:val="auto"/>
                <w:szCs w:val="21"/>
              </w:rPr>
            </w:pPr>
            <w:r>
              <w:rPr>
                <w:rFonts w:hint="eastAsia" w:ascii="宋体" w:hAnsi="宋体"/>
                <w:color w:val="auto"/>
                <w:szCs w:val="21"/>
              </w:rPr>
              <w:t>5</w:t>
            </w:r>
            <w:r>
              <w:rPr>
                <w:rFonts w:ascii="宋体" w:hAnsi="宋体"/>
                <w:color w:val="auto"/>
                <w:szCs w:val="21"/>
              </w:rPr>
              <w:t>.2</w:t>
            </w:r>
            <w:r>
              <w:rPr>
                <w:rFonts w:hint="eastAsia" w:ascii="宋体" w:hAnsi="宋体" w:cstheme="minorBidi"/>
                <w:color w:val="auto"/>
                <w:szCs w:val="21"/>
                <w:lang w:eastAsia="zh-CN"/>
              </w:rPr>
              <w:t>采购文件</w:t>
            </w:r>
            <w:r>
              <w:rPr>
                <w:rFonts w:hint="eastAsia" w:ascii="宋体" w:hAnsi="宋体" w:cstheme="minorBidi"/>
                <w:color w:val="auto"/>
                <w:szCs w:val="21"/>
              </w:rPr>
              <w:t>中已明确要求的技术参数和适老化设计要点，不视为采购人的需求变更，中标人须按</w:t>
            </w:r>
            <w:r>
              <w:rPr>
                <w:rFonts w:hint="eastAsia" w:ascii="宋体" w:hAnsi="宋体" w:cstheme="minorBidi"/>
                <w:color w:val="auto"/>
                <w:szCs w:val="21"/>
                <w:lang w:eastAsia="zh-CN"/>
              </w:rPr>
              <w:t>采购文件</w:t>
            </w:r>
            <w:r>
              <w:rPr>
                <w:rFonts w:hint="eastAsia" w:ascii="宋体" w:hAnsi="宋体" w:cstheme="minorBidi"/>
                <w:color w:val="auto"/>
                <w:szCs w:val="21"/>
              </w:rPr>
              <w:t>要求执行</w:t>
            </w:r>
            <w:r>
              <w:rPr>
                <w:rFonts w:hint="eastAsia" w:ascii="宋体" w:hAnsi="宋体"/>
                <w:color w:val="auto"/>
                <w:szCs w:val="21"/>
              </w:rPr>
              <w:t>。</w:t>
            </w:r>
          </w:p>
        </w:tc>
      </w:tr>
      <w:tr w14:paraId="73DCC1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6" w:hRule="atLeast"/>
        </w:trPr>
        <w:tc>
          <w:tcPr>
            <w:tcW w:w="718" w:type="dxa"/>
            <w:vAlign w:val="center"/>
          </w:tcPr>
          <w:p w14:paraId="6429DE0C">
            <w:pPr>
              <w:jc w:val="center"/>
              <w:rPr>
                <w:rFonts w:ascii="宋体" w:hAnsi="宋体" w:cs="宋体"/>
                <w:color w:val="auto"/>
                <w:szCs w:val="21"/>
              </w:rPr>
            </w:pPr>
            <w:r>
              <w:rPr>
                <w:rFonts w:hint="eastAsia" w:ascii="宋体" w:hAnsi="宋体" w:cs="宋体"/>
                <w:color w:val="auto"/>
                <w:szCs w:val="21"/>
              </w:rPr>
              <w:t>6</w:t>
            </w:r>
          </w:p>
        </w:tc>
        <w:tc>
          <w:tcPr>
            <w:tcW w:w="1501" w:type="dxa"/>
            <w:vAlign w:val="center"/>
          </w:tcPr>
          <w:p w14:paraId="35386BAB">
            <w:pPr>
              <w:jc w:val="center"/>
              <w:rPr>
                <w:rFonts w:ascii="宋体" w:hAnsi="宋体" w:cs="宋体"/>
                <w:color w:val="auto"/>
                <w:szCs w:val="21"/>
              </w:rPr>
            </w:pPr>
            <w:r>
              <w:rPr>
                <w:rFonts w:ascii="宋体" w:hAnsi="宋体"/>
                <w:color w:val="auto"/>
                <w:szCs w:val="21"/>
              </w:rPr>
              <w:t>包装和运输</w:t>
            </w:r>
          </w:p>
        </w:tc>
        <w:tc>
          <w:tcPr>
            <w:tcW w:w="6466" w:type="dxa"/>
            <w:vAlign w:val="center"/>
          </w:tcPr>
          <w:p w14:paraId="50875BE2">
            <w:pPr>
              <w:rPr>
                <w:rFonts w:ascii="宋体" w:hAnsi="宋体" w:cs="宋体"/>
                <w:color w:val="auto"/>
                <w:szCs w:val="21"/>
              </w:rPr>
            </w:pPr>
            <w:r>
              <w:rPr>
                <w:rFonts w:hint="eastAsia" w:ascii="宋体" w:hAnsi="宋体"/>
                <w:color w:val="auto"/>
                <w:szCs w:val="21"/>
              </w:rPr>
              <w:t>6.1</w:t>
            </w:r>
            <w:r>
              <w:rPr>
                <w:rFonts w:ascii="宋体" w:hAnsi="宋体"/>
                <w:color w:val="auto"/>
                <w:szCs w:val="21"/>
              </w:rPr>
              <w:t>运输包装由中标人负责，须使用新的坚固防水、防震器材进行包装，确保防潮、防锈、防震、防粗暴装卸，适于多种运输方式和整体吊装。如因包装、运输不当引起的货物损坏、变质、丢失等责任，由中标人负责赔偿。</w:t>
            </w:r>
          </w:p>
        </w:tc>
      </w:tr>
      <w:tr w14:paraId="673E86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1" w:hRule="atLeast"/>
        </w:trPr>
        <w:tc>
          <w:tcPr>
            <w:tcW w:w="718" w:type="dxa"/>
            <w:vAlign w:val="center"/>
          </w:tcPr>
          <w:p w14:paraId="770B25C1">
            <w:pPr>
              <w:jc w:val="center"/>
              <w:rPr>
                <w:rFonts w:ascii="宋体" w:hAnsi="宋体" w:cs="宋体"/>
                <w:color w:val="auto"/>
                <w:szCs w:val="21"/>
              </w:rPr>
            </w:pPr>
            <w:r>
              <w:rPr>
                <w:rFonts w:hint="eastAsia" w:ascii="宋体" w:hAnsi="宋体" w:cs="宋体"/>
                <w:color w:val="auto"/>
                <w:szCs w:val="21"/>
              </w:rPr>
              <w:t>7</w:t>
            </w:r>
          </w:p>
        </w:tc>
        <w:tc>
          <w:tcPr>
            <w:tcW w:w="1501" w:type="dxa"/>
            <w:vAlign w:val="center"/>
          </w:tcPr>
          <w:p w14:paraId="01B46051">
            <w:pPr>
              <w:pStyle w:val="10"/>
              <w:jc w:val="center"/>
              <w:rPr>
                <w:rFonts w:ascii="宋体" w:hAnsi="宋体" w:cs="宋体"/>
                <w:color w:val="auto"/>
                <w:szCs w:val="21"/>
              </w:rPr>
            </w:pPr>
            <w:r>
              <w:rPr>
                <w:rFonts w:ascii="宋体" w:hAnsi="宋体"/>
                <w:color w:val="auto"/>
                <w:szCs w:val="21"/>
              </w:rPr>
              <w:t>验收程序</w:t>
            </w:r>
          </w:p>
        </w:tc>
        <w:tc>
          <w:tcPr>
            <w:tcW w:w="6466" w:type="dxa"/>
            <w:vAlign w:val="center"/>
          </w:tcPr>
          <w:p w14:paraId="7FDFB8FF">
            <w:pPr>
              <w:outlineLvl w:val="1"/>
              <w:rPr>
                <w:rFonts w:ascii="宋体" w:hAnsi="宋体"/>
                <w:color w:val="auto"/>
                <w:szCs w:val="21"/>
              </w:rPr>
            </w:pPr>
            <w:bookmarkStart w:id="53" w:name="_Toc9760"/>
            <w:r>
              <w:rPr>
                <w:rFonts w:hint="eastAsia" w:ascii="宋体" w:hAnsi="宋体"/>
                <w:color w:val="auto"/>
                <w:szCs w:val="21"/>
              </w:rPr>
              <w:t>7</w:t>
            </w:r>
            <w:r>
              <w:rPr>
                <w:rFonts w:ascii="宋体" w:hAnsi="宋体"/>
                <w:color w:val="auto"/>
                <w:szCs w:val="21"/>
              </w:rPr>
              <w:t>.1 验收组织：验收由采购人组织，中标人共同参与。</w:t>
            </w:r>
            <w:bookmarkEnd w:id="53"/>
          </w:p>
          <w:p w14:paraId="44C909F9">
            <w:pPr>
              <w:rPr>
                <w:rFonts w:ascii="宋体" w:hAnsi="宋体"/>
                <w:color w:val="auto"/>
                <w:szCs w:val="21"/>
              </w:rPr>
            </w:pPr>
            <w:r>
              <w:rPr>
                <w:rFonts w:hint="eastAsia" w:ascii="宋体" w:hAnsi="宋体"/>
                <w:color w:val="auto"/>
                <w:szCs w:val="21"/>
              </w:rPr>
              <w:t>7</w:t>
            </w:r>
            <w:r>
              <w:rPr>
                <w:rFonts w:ascii="宋体" w:hAnsi="宋体"/>
                <w:color w:val="auto"/>
                <w:szCs w:val="21"/>
              </w:rPr>
              <w:t>.2 分批到货验收：货物运抵现场并安装完毕后，采购人将组织该批次货物的初步验收，核对数量、规格、型号及外观，检查是否存在运输损坏。</w:t>
            </w:r>
          </w:p>
          <w:p w14:paraId="6F905F42">
            <w:pPr>
              <w:rPr>
                <w:rFonts w:ascii="宋体" w:hAnsi="宋体"/>
                <w:color w:val="auto"/>
                <w:szCs w:val="21"/>
              </w:rPr>
            </w:pPr>
            <w:r>
              <w:rPr>
                <w:rFonts w:hint="eastAsia" w:ascii="宋体" w:hAnsi="宋体"/>
                <w:color w:val="auto"/>
                <w:szCs w:val="21"/>
              </w:rPr>
              <w:t>7</w:t>
            </w:r>
            <w:r>
              <w:rPr>
                <w:rFonts w:ascii="宋体" w:hAnsi="宋体"/>
                <w:color w:val="auto"/>
                <w:szCs w:val="21"/>
              </w:rPr>
              <w:t>.3 最终竣工验收：全部货物安装调试完毕并完成保洁后，采购人将组织最终综合验收。验收小组将依据合同、</w:t>
            </w:r>
            <w:r>
              <w:rPr>
                <w:rFonts w:hint="eastAsia" w:ascii="宋体" w:hAnsi="宋体"/>
                <w:color w:val="auto"/>
                <w:szCs w:val="21"/>
                <w:lang w:eastAsia="zh-CN"/>
              </w:rPr>
              <w:t>采购文件</w:t>
            </w:r>
            <w:r>
              <w:rPr>
                <w:rFonts w:ascii="宋体" w:hAnsi="宋体"/>
                <w:color w:val="auto"/>
                <w:szCs w:val="21"/>
              </w:rPr>
              <w:t>、投标文件、封样样品及国家相关标准，对全部货物的质量、数量、环保性、工艺、功能等进行全面核查。</w:t>
            </w:r>
          </w:p>
          <w:p w14:paraId="10A363F6">
            <w:pPr>
              <w:rPr>
                <w:rFonts w:ascii="宋体" w:hAnsi="宋体" w:cs="宋体"/>
                <w:color w:val="auto"/>
                <w:szCs w:val="21"/>
              </w:rPr>
            </w:pPr>
            <w:r>
              <w:rPr>
                <w:rFonts w:hint="eastAsia" w:ascii="宋体" w:hAnsi="宋体"/>
                <w:color w:val="auto"/>
                <w:szCs w:val="21"/>
              </w:rPr>
              <w:t>7</w:t>
            </w:r>
            <w:r>
              <w:rPr>
                <w:rFonts w:ascii="宋体" w:hAnsi="宋体"/>
                <w:color w:val="auto"/>
                <w:szCs w:val="21"/>
              </w:rPr>
              <w:t>.4 环保抽检：最终验收时，采购人有权委托具备资质的第三方检测机构，对现场家具进行随机破坏性取样检测（费用由中标人承担），检测项目包括甲醛释放量等环保指标，检测结果须符合GB/T 35607-2024及GB 18584-2024标准</w:t>
            </w:r>
            <w:r>
              <w:rPr>
                <w:rFonts w:hint="eastAsia" w:ascii="宋体" w:hAnsi="宋体"/>
                <w:color w:val="auto"/>
                <w:szCs w:val="21"/>
              </w:rPr>
              <w:t>（以国家颁布的最新标准执行）</w:t>
            </w:r>
            <w:r>
              <w:rPr>
                <w:rFonts w:ascii="宋体" w:hAnsi="宋体"/>
                <w:color w:val="auto"/>
                <w:szCs w:val="21"/>
              </w:rPr>
              <w:t>。如检测不合格，中标人须无条件更换全部同批次产品并承担由此产生的一切费用。</w:t>
            </w:r>
          </w:p>
        </w:tc>
      </w:tr>
      <w:tr w14:paraId="6A7F05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1" w:hRule="atLeast"/>
        </w:trPr>
        <w:tc>
          <w:tcPr>
            <w:tcW w:w="718" w:type="dxa"/>
            <w:vAlign w:val="center"/>
          </w:tcPr>
          <w:p w14:paraId="64CBBCB1">
            <w:pPr>
              <w:jc w:val="center"/>
              <w:rPr>
                <w:rFonts w:ascii="宋体" w:hAnsi="宋体" w:cs="宋体"/>
                <w:color w:val="auto"/>
                <w:szCs w:val="21"/>
              </w:rPr>
            </w:pPr>
            <w:r>
              <w:rPr>
                <w:rFonts w:hint="eastAsia" w:ascii="宋体" w:hAnsi="宋体" w:cs="宋体"/>
                <w:color w:val="auto"/>
                <w:szCs w:val="21"/>
              </w:rPr>
              <w:t>8</w:t>
            </w:r>
          </w:p>
        </w:tc>
        <w:tc>
          <w:tcPr>
            <w:tcW w:w="1501" w:type="dxa"/>
            <w:vAlign w:val="center"/>
          </w:tcPr>
          <w:p w14:paraId="7712B6C7">
            <w:pPr>
              <w:jc w:val="center"/>
              <w:rPr>
                <w:rFonts w:ascii="宋体" w:hAnsi="宋体" w:cs="宋体"/>
                <w:color w:val="auto"/>
                <w:szCs w:val="21"/>
              </w:rPr>
            </w:pPr>
            <w:r>
              <w:rPr>
                <w:rFonts w:ascii="宋体" w:hAnsi="宋体"/>
                <w:color w:val="auto"/>
                <w:szCs w:val="21"/>
              </w:rPr>
              <w:t>★保险要求</w:t>
            </w:r>
          </w:p>
        </w:tc>
        <w:tc>
          <w:tcPr>
            <w:tcW w:w="6466" w:type="dxa"/>
            <w:vAlign w:val="center"/>
          </w:tcPr>
          <w:p w14:paraId="23FAE063">
            <w:pPr>
              <w:rPr>
                <w:rFonts w:ascii="宋体" w:hAnsi="宋体" w:cs="宋体"/>
                <w:color w:val="auto"/>
                <w:szCs w:val="21"/>
              </w:rPr>
            </w:pPr>
            <w:r>
              <w:rPr>
                <w:rFonts w:ascii="宋体" w:hAnsi="宋体"/>
                <w:color w:val="auto"/>
                <w:szCs w:val="21"/>
              </w:rPr>
              <w:t>中标人负责为本项目现场作业人员办理必要的保险并支付相关保险费，该保险的期限至本项目完成为止。在合同履行期间，中标人对其派出的人员的安全负全部责任。如中标人人员在本项目合同履行中发生事故的，中标人应负责处理并承担全部责任。（须提供书面声明，格式自拟）。</w:t>
            </w:r>
          </w:p>
        </w:tc>
      </w:tr>
      <w:tr w14:paraId="4A12DE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1" w:hRule="atLeast"/>
        </w:trPr>
        <w:tc>
          <w:tcPr>
            <w:tcW w:w="718" w:type="dxa"/>
            <w:vAlign w:val="center"/>
          </w:tcPr>
          <w:p w14:paraId="26073519">
            <w:pPr>
              <w:jc w:val="center"/>
              <w:rPr>
                <w:rFonts w:ascii="宋体" w:hAnsi="宋体" w:cs="宋体"/>
                <w:color w:val="auto"/>
                <w:szCs w:val="21"/>
              </w:rPr>
            </w:pPr>
            <w:r>
              <w:rPr>
                <w:rFonts w:hint="eastAsia" w:ascii="宋体" w:hAnsi="宋体" w:cs="宋体"/>
                <w:color w:val="auto"/>
                <w:szCs w:val="21"/>
              </w:rPr>
              <w:t>9</w:t>
            </w:r>
          </w:p>
        </w:tc>
        <w:tc>
          <w:tcPr>
            <w:tcW w:w="1501" w:type="dxa"/>
            <w:vAlign w:val="center"/>
          </w:tcPr>
          <w:p w14:paraId="7D8CCA7B">
            <w:pPr>
              <w:jc w:val="center"/>
              <w:outlineLvl w:val="0"/>
              <w:rPr>
                <w:rFonts w:ascii="宋体" w:hAnsi="宋体" w:cs="宋体"/>
                <w:color w:val="auto"/>
                <w:szCs w:val="21"/>
              </w:rPr>
            </w:pPr>
            <w:bookmarkStart w:id="54" w:name="_Toc2853"/>
            <w:r>
              <w:rPr>
                <w:rFonts w:ascii="宋体" w:hAnsi="宋体"/>
                <w:color w:val="auto"/>
                <w:szCs w:val="21"/>
              </w:rPr>
              <w:t>售后服务</w:t>
            </w:r>
            <w:bookmarkEnd w:id="54"/>
          </w:p>
        </w:tc>
        <w:tc>
          <w:tcPr>
            <w:tcW w:w="6466" w:type="dxa"/>
            <w:vAlign w:val="center"/>
          </w:tcPr>
          <w:p w14:paraId="1D40DF0D">
            <w:pPr>
              <w:rPr>
                <w:rFonts w:ascii="宋体" w:hAnsi="宋体"/>
                <w:color w:val="auto"/>
                <w:szCs w:val="21"/>
              </w:rPr>
            </w:pPr>
            <w:r>
              <w:rPr>
                <w:rFonts w:hint="eastAsia" w:ascii="宋体" w:hAnsi="宋体"/>
                <w:color w:val="auto"/>
                <w:szCs w:val="21"/>
              </w:rPr>
              <w:t>9</w:t>
            </w:r>
            <w:r>
              <w:rPr>
                <w:rFonts w:ascii="宋体" w:hAnsi="宋体"/>
                <w:color w:val="auto"/>
                <w:szCs w:val="21"/>
              </w:rPr>
              <w:t>.1 在保修期内，如货物非因采购人原因而出现的质量问题，由中标人负责保修、包换或包退，并承担修理、调换或退货的实际费用。中标人不能修复、调换或不能退货的，应退回相应货款，并承担相应的违约责任。</w:t>
            </w:r>
          </w:p>
          <w:p w14:paraId="5CB9ADB1">
            <w:pPr>
              <w:rPr>
                <w:rFonts w:ascii="宋体" w:hAnsi="宋体"/>
                <w:color w:val="auto"/>
                <w:szCs w:val="21"/>
              </w:rPr>
            </w:pPr>
            <w:r>
              <w:rPr>
                <w:rFonts w:hint="eastAsia" w:ascii="宋体" w:hAnsi="宋体"/>
                <w:color w:val="auto"/>
                <w:szCs w:val="21"/>
              </w:rPr>
              <w:t>9</w:t>
            </w:r>
            <w:r>
              <w:rPr>
                <w:rFonts w:ascii="宋体" w:hAnsi="宋体"/>
                <w:color w:val="auto"/>
                <w:szCs w:val="21"/>
              </w:rPr>
              <w:t>.2 提供7×24小时高效服务响应与技术支持。在保修服务期内，中标人应保证在接到故障电话后4小时内响应用户要求、24小时内派员上门现场维护并在24小时内排除故障修复使用。如在规定时间内不能修复解决，则提供相同功能档次的货物予采购人作为代替使用，确保货物的正常运行和使用。保修期内中标人对所供货物实行包修、包换、包退、包维护保养的上门服务（费用包含在报价中）。</w:t>
            </w:r>
          </w:p>
          <w:p w14:paraId="5A495370">
            <w:pPr>
              <w:rPr>
                <w:rFonts w:ascii="宋体" w:hAnsi="宋体" w:cs="宋体"/>
                <w:color w:val="auto"/>
                <w:szCs w:val="21"/>
              </w:rPr>
            </w:pPr>
            <w:r>
              <w:rPr>
                <w:rFonts w:hint="eastAsia" w:ascii="宋体" w:hAnsi="宋体"/>
                <w:color w:val="auto"/>
                <w:szCs w:val="21"/>
              </w:rPr>
              <w:t>9</w:t>
            </w:r>
            <w:r>
              <w:rPr>
                <w:rFonts w:ascii="宋体" w:hAnsi="宋体"/>
                <w:color w:val="auto"/>
                <w:szCs w:val="21"/>
              </w:rPr>
              <w:t>.3 所有货物保修服务方式均为中标人上门服务，即由中标人派员到货物使用现场维修，由此产生的一切费用均由中标人承担。</w:t>
            </w:r>
          </w:p>
        </w:tc>
      </w:tr>
      <w:tr w14:paraId="481F0B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1" w:hRule="atLeast"/>
        </w:trPr>
        <w:tc>
          <w:tcPr>
            <w:tcW w:w="718" w:type="dxa"/>
            <w:vAlign w:val="center"/>
          </w:tcPr>
          <w:p w14:paraId="6CE996EB">
            <w:pPr>
              <w:jc w:val="center"/>
              <w:rPr>
                <w:rFonts w:hint="default" w:ascii="宋体" w:hAnsi="宋体" w:eastAsia="宋体" w:cs="宋体"/>
                <w:color w:val="auto"/>
                <w:szCs w:val="21"/>
                <w:lang w:val="en-US" w:eastAsia="zh-CN"/>
              </w:rPr>
            </w:pPr>
            <w:bookmarkStart w:id="55" w:name="_Toc1218"/>
            <w:bookmarkStart w:id="56" w:name="_Toc27398"/>
            <w:r>
              <w:rPr>
                <w:rFonts w:hint="eastAsia" w:ascii="宋体" w:hAnsi="宋体" w:cs="宋体"/>
                <w:color w:val="auto"/>
                <w:szCs w:val="21"/>
                <w:lang w:val="en-US" w:eastAsia="zh-CN"/>
              </w:rPr>
              <w:t>10</w:t>
            </w:r>
          </w:p>
        </w:tc>
        <w:tc>
          <w:tcPr>
            <w:tcW w:w="1501" w:type="dxa"/>
            <w:vAlign w:val="center"/>
          </w:tcPr>
          <w:p w14:paraId="101A1BA9">
            <w:pPr>
              <w:jc w:val="center"/>
              <w:outlineLvl w:val="0"/>
              <w:rPr>
                <w:rFonts w:hint="default" w:ascii="宋体" w:hAnsi="宋体" w:eastAsia="宋体"/>
                <w:color w:val="auto"/>
                <w:szCs w:val="21"/>
                <w:lang w:val="en-US" w:eastAsia="zh-CN"/>
              </w:rPr>
            </w:pPr>
            <w:r>
              <w:rPr>
                <w:rFonts w:hint="eastAsia" w:ascii="宋体" w:hAnsi="宋体"/>
                <w:color w:val="auto"/>
                <w:szCs w:val="21"/>
                <w:lang w:val="en-US" w:eastAsia="zh-CN"/>
              </w:rPr>
              <w:t>其它</w:t>
            </w:r>
          </w:p>
        </w:tc>
        <w:tc>
          <w:tcPr>
            <w:tcW w:w="6466" w:type="dxa"/>
            <w:vAlign w:val="center"/>
          </w:tcPr>
          <w:p w14:paraId="30F2E42B">
            <w:pPr>
              <w:rPr>
                <w:rFonts w:hint="eastAsia" w:ascii="宋体" w:hAnsi="宋体"/>
                <w:color w:val="auto"/>
                <w:szCs w:val="21"/>
              </w:rPr>
            </w:pPr>
            <w:r>
              <w:rPr>
                <w:rFonts w:hint="eastAsia" w:ascii="宋体" w:hAnsi="宋体"/>
                <w:color w:val="auto"/>
                <w:szCs w:val="21"/>
              </w:rPr>
              <w:t>1.适用范围：本次采购结果适用于采购人（东莞市安居建设投资有限公司）及其下属全资、控股子公司，以及采购人实际管理的合资公司、项目公司（以下统称“适用单位”），覆盖前述单位名下所有自营及运营托管的项目/门店。</w:t>
            </w:r>
          </w:p>
          <w:p w14:paraId="5B4E14B2">
            <w:pPr>
              <w:rPr>
                <w:rFonts w:hint="eastAsia" w:ascii="宋体" w:hAnsi="宋体"/>
                <w:color w:val="auto"/>
                <w:szCs w:val="21"/>
              </w:rPr>
            </w:pPr>
            <w:r>
              <w:rPr>
                <w:rFonts w:hint="eastAsia" w:ascii="宋体" w:hAnsi="宋体"/>
                <w:color w:val="auto"/>
                <w:szCs w:val="21"/>
              </w:rPr>
              <w:t>2.合同签署与支付</w:t>
            </w:r>
          </w:p>
          <w:p w14:paraId="686F9840">
            <w:pPr>
              <w:rPr>
                <w:rFonts w:hint="eastAsia" w:ascii="宋体" w:hAnsi="宋体"/>
                <w:color w:val="auto"/>
                <w:szCs w:val="21"/>
              </w:rPr>
            </w:pPr>
            <w:r>
              <w:rPr>
                <w:rFonts w:hint="eastAsia" w:ascii="宋体" w:hAnsi="宋体"/>
                <w:color w:val="auto"/>
                <w:szCs w:val="21"/>
              </w:rPr>
              <w:t>2.1主合同签署：由采购人作为牵头方，与中标人统一签订“主合同”，约定产品规格、价格标准、服务承诺等通用商务条款。</w:t>
            </w:r>
          </w:p>
          <w:p w14:paraId="4050094F">
            <w:pPr>
              <w:rPr>
                <w:rFonts w:hint="eastAsia" w:ascii="宋体" w:hAnsi="宋体"/>
                <w:color w:val="auto"/>
                <w:szCs w:val="21"/>
              </w:rPr>
            </w:pPr>
            <w:r>
              <w:rPr>
                <w:rFonts w:hint="eastAsia" w:ascii="宋体" w:hAnsi="宋体"/>
                <w:color w:val="auto"/>
                <w:szCs w:val="21"/>
              </w:rPr>
              <w:t>2.2执行合同签署：各适用单位依据主合同约定，以本单位名义与中标人就具体项目/门店单独签订《执行合同》（下称“从合同”）。</w:t>
            </w:r>
          </w:p>
          <w:p w14:paraId="522105A1">
            <w:pPr>
              <w:rPr>
                <w:rFonts w:hint="eastAsia" w:ascii="宋体" w:hAnsi="宋体"/>
                <w:color w:val="auto"/>
                <w:szCs w:val="21"/>
              </w:rPr>
            </w:pPr>
            <w:r>
              <w:rPr>
                <w:rFonts w:hint="eastAsia" w:ascii="宋体" w:hAnsi="宋体"/>
                <w:color w:val="auto"/>
                <w:szCs w:val="21"/>
              </w:rPr>
              <w:t>2.3权利义务独立：各适用单位独立作为从合同的买方，享有合同权利并独立承担合同项下的付款义务。采购人作为主合同签约方，仅承担行政管理责任，不对各适用单位的个别债务承担连带保证责任或共同清偿责任。</w:t>
            </w:r>
          </w:p>
        </w:tc>
      </w:tr>
    </w:tbl>
    <w:p w14:paraId="50E92DC3">
      <w:pPr>
        <w:pStyle w:val="4"/>
        <w:spacing w:before="0" w:after="0" w:line="360" w:lineRule="auto"/>
        <w:jc w:val="center"/>
        <w:rPr>
          <w:rFonts w:ascii="宋体" w:hAnsi="宋体"/>
          <w:color w:val="auto"/>
        </w:rPr>
      </w:pPr>
      <w:r>
        <w:rPr>
          <w:rFonts w:hint="eastAsia" w:ascii="宋体" w:hAnsi="宋体"/>
          <w:color w:val="auto"/>
        </w:rPr>
        <w:t>第二章 技术需求书</w:t>
      </w:r>
      <w:bookmarkEnd w:id="55"/>
      <w:bookmarkEnd w:id="56"/>
    </w:p>
    <w:p w14:paraId="1C8D707A">
      <w:pPr>
        <w:pStyle w:val="10"/>
        <w:outlineLvl w:val="2"/>
        <w:rPr>
          <w:rFonts w:ascii="宋体" w:hAnsi="宋体" w:cs="Segoe UI"/>
          <w:color w:val="auto"/>
          <w:shd w:val="clear" w:color="auto" w:fill="FFFFFF"/>
        </w:rPr>
      </w:pPr>
      <w:bookmarkStart w:id="57" w:name="_Toc28870"/>
      <w:bookmarkStart w:id="58" w:name="_Hlk230968500"/>
      <w:r>
        <w:rPr>
          <w:rFonts w:hint="eastAsia" w:ascii="宋体" w:hAnsi="宋体" w:cs="宋体"/>
          <w:color w:val="auto"/>
          <w:szCs w:val="21"/>
        </w:rPr>
        <w:t>一、</w:t>
      </w:r>
      <w:r>
        <w:rPr>
          <w:rFonts w:hint="eastAsia" w:ascii="宋体" w:hAnsi="宋体"/>
          <w:b/>
          <w:bCs/>
          <w:color w:val="auto"/>
          <w:szCs w:val="21"/>
        </w:rPr>
        <w:t>适老化家具采购清单</w:t>
      </w:r>
      <w:r>
        <w:rPr>
          <w:rFonts w:ascii="宋体" w:hAnsi="宋体" w:cs="Segoe UI"/>
          <w:color w:val="auto"/>
          <w:shd w:val="clear" w:color="auto" w:fill="FFFFFF"/>
        </w:rPr>
        <w:t>。</w:t>
      </w:r>
      <w:bookmarkEnd w:id="57"/>
    </w:p>
    <w:bookmarkEnd w:id="43"/>
    <w:bookmarkEnd w:id="44"/>
    <w:bookmarkEnd w:id="45"/>
    <w:bookmarkEnd w:id="46"/>
    <w:bookmarkEnd w:id="47"/>
    <w:bookmarkEnd w:id="48"/>
    <w:bookmarkEnd w:id="58"/>
    <w:p w14:paraId="7920BB9A">
      <w:pPr>
        <w:ind w:firstLine="420" w:firstLineChars="200"/>
        <w:rPr>
          <w:rFonts w:ascii="宋体" w:hAnsi="宋体"/>
          <w:color w:val="auto"/>
          <w:szCs w:val="21"/>
        </w:rPr>
      </w:pPr>
      <w:bookmarkStart w:id="59" w:name="_Toc5833"/>
      <w:bookmarkStart w:id="60" w:name="_Toc14675"/>
      <w:bookmarkStart w:id="61" w:name="_Toc13283"/>
      <w:r>
        <w:rPr>
          <w:rFonts w:ascii="宋体" w:hAnsi="宋体" w:cs="Segoe UI"/>
          <w:color w:val="auto"/>
          <w:shd w:val="clear" w:color="auto" w:fill="FFFFFF"/>
        </w:rPr>
        <w:t>以下为本次采购的详细技术参数及要求。</w:t>
      </w:r>
      <w:r>
        <w:rPr>
          <w:rStyle w:val="35"/>
          <w:rFonts w:ascii="宋体" w:hAnsi="宋体" w:cs="Segoe UI"/>
          <w:b w:val="0"/>
          <w:bCs w:val="0"/>
          <w:color w:val="auto"/>
          <w:shd w:val="clear" w:color="auto" w:fill="FFFFFF"/>
        </w:rPr>
        <w:t>投标人须逐项响应，所投产品须完全满足或优于本部分所列全部条款。</w:t>
      </w:r>
      <w:r>
        <w:rPr>
          <w:rFonts w:ascii="宋体" w:hAnsi="宋体" w:cs="Segoe UI"/>
          <w:color w:val="auto"/>
          <w:shd w:val="clear" w:color="auto" w:fill="FFFFFF"/>
        </w:rPr>
        <w:t>凡标“</w:t>
      </w:r>
      <w:r>
        <w:rPr>
          <w:rFonts w:ascii="宋体" w:hAnsi="宋体" w:cs="Segoe UI Symbol"/>
          <w:color w:val="auto"/>
          <w:shd w:val="clear" w:color="auto" w:fill="FFFFFF"/>
        </w:rPr>
        <w:t>★</w:t>
      </w:r>
      <w:r>
        <w:rPr>
          <w:rFonts w:ascii="宋体" w:hAnsi="宋体" w:cs="Segoe UI"/>
          <w:color w:val="auto"/>
          <w:shd w:val="clear" w:color="auto" w:fill="FFFFFF"/>
        </w:rPr>
        <w:t>”的条款均为实质性响应条款，不满足或负偏离的，投标无效</w:t>
      </w:r>
      <w:r>
        <w:rPr>
          <w:rFonts w:hint="eastAsia" w:ascii="宋体" w:hAnsi="宋体"/>
          <w:color w:val="auto"/>
          <w:szCs w:val="21"/>
        </w:rPr>
        <w:t>。</w:t>
      </w:r>
    </w:p>
    <w:p w14:paraId="43B1AD37">
      <w:pPr>
        <w:ind w:firstLine="420" w:firstLineChars="200"/>
        <w:rPr>
          <w:rStyle w:val="35"/>
          <w:rFonts w:hint="eastAsia" w:ascii="宋体" w:hAnsi="宋体" w:cs="Segoe UI"/>
          <w:b w:val="0"/>
          <w:bCs w:val="0"/>
          <w:color w:val="auto"/>
          <w:szCs w:val="21"/>
          <w:shd w:val="clear" w:color="auto" w:fill="FFFFFF"/>
        </w:rPr>
      </w:pPr>
      <w:r>
        <w:rPr>
          <w:rStyle w:val="35"/>
          <w:rFonts w:ascii="宋体" w:hAnsi="宋体" w:cs="Segoe UI"/>
          <w:b w:val="0"/>
          <w:bCs w:val="0"/>
          <w:color w:val="auto"/>
          <w:shd w:val="clear" w:color="auto" w:fill="FFFFFF"/>
        </w:rPr>
        <w:t>本部分引用的技术标准、规范及检验方法，以现行有效的国家、行业标准为准。如引用标准已更新或废止，按最新颁布实施的标准执行；若新旧标准要求不一致，以更严格者为准。合同履行期间如遇国家标准更新，中标人须按新标准执行，采购人不因此调整合同价格。</w:t>
      </w:r>
    </w:p>
    <w:p w14:paraId="77CA077E">
      <w:pPr>
        <w:outlineLvl w:val="3"/>
        <w:rPr>
          <w:rFonts w:ascii="宋体" w:hAnsi="宋体"/>
          <w:color w:val="auto"/>
          <w:szCs w:val="21"/>
        </w:rPr>
      </w:pPr>
      <w:bookmarkStart w:id="62" w:name="_Toc14541"/>
      <w:r>
        <w:rPr>
          <w:rFonts w:ascii="宋体" w:hAnsi="宋体"/>
          <w:color w:val="auto"/>
          <w:szCs w:val="21"/>
        </w:rPr>
        <w:t>（一）适老化设计总则</w:t>
      </w:r>
      <w:bookmarkEnd w:id="62"/>
    </w:p>
    <w:p w14:paraId="1C8E530E">
      <w:pPr>
        <w:tabs>
          <w:tab w:val="left" w:pos="720"/>
        </w:tabs>
        <w:rPr>
          <w:rFonts w:ascii="宋体" w:hAnsi="宋体"/>
          <w:color w:val="auto"/>
          <w:szCs w:val="21"/>
        </w:rPr>
      </w:pPr>
      <w:r>
        <w:rPr>
          <w:rFonts w:hint="eastAsia" w:ascii="宋体" w:hAnsi="宋体"/>
          <w:color w:val="auto"/>
          <w:szCs w:val="21"/>
        </w:rPr>
        <w:t>（1）</w:t>
      </w:r>
      <w:r>
        <w:rPr>
          <w:rFonts w:ascii="宋体" w:hAnsi="宋体"/>
          <w:color w:val="auto"/>
          <w:szCs w:val="21"/>
        </w:rPr>
        <w:t>所有家具应符合GB/T 46015-2025《适老家具 设计指南》 国家标准及MZ/T 219-2024《居家与养老机构适老产品配置要求》行业标准。</w:t>
      </w:r>
    </w:p>
    <w:p w14:paraId="1B14F151">
      <w:pPr>
        <w:tabs>
          <w:tab w:val="left" w:pos="720"/>
        </w:tabs>
        <w:rPr>
          <w:rFonts w:ascii="宋体" w:hAnsi="宋体"/>
          <w:color w:val="auto"/>
          <w:szCs w:val="21"/>
        </w:rPr>
      </w:pPr>
      <w:r>
        <w:rPr>
          <w:rFonts w:hint="eastAsia" w:ascii="宋体" w:hAnsi="宋体"/>
          <w:color w:val="auto"/>
          <w:szCs w:val="21"/>
        </w:rPr>
        <w:t>（2）</w:t>
      </w:r>
      <w:r>
        <w:rPr>
          <w:rFonts w:ascii="宋体" w:hAnsi="宋体"/>
          <w:color w:val="auto"/>
          <w:szCs w:val="21"/>
        </w:rPr>
        <w:t>所有产品外露边角须做圆角处理，柜体阳角圆角半径R≥10mm，桌几类家具R≥15mm。</w:t>
      </w:r>
    </w:p>
    <w:p w14:paraId="0D7A70DE">
      <w:pPr>
        <w:tabs>
          <w:tab w:val="left" w:pos="720"/>
        </w:tabs>
        <w:outlineLvl w:val="4"/>
        <w:rPr>
          <w:rFonts w:ascii="宋体" w:hAnsi="宋体"/>
          <w:color w:val="auto"/>
          <w:szCs w:val="21"/>
        </w:rPr>
      </w:pPr>
      <w:r>
        <w:rPr>
          <w:rFonts w:hint="eastAsia" w:ascii="宋体" w:hAnsi="宋体"/>
          <w:color w:val="auto"/>
          <w:szCs w:val="21"/>
        </w:rPr>
        <w:t>（3）</w:t>
      </w:r>
      <w:r>
        <w:rPr>
          <w:rFonts w:ascii="宋体" w:hAnsi="宋体"/>
          <w:color w:val="auto"/>
          <w:szCs w:val="21"/>
        </w:rPr>
        <w:t>所有外露部件须圆滑流畅，无尖锐凸起。</w:t>
      </w:r>
    </w:p>
    <w:p w14:paraId="2D48B038">
      <w:pPr>
        <w:tabs>
          <w:tab w:val="left" w:pos="720"/>
        </w:tabs>
        <w:rPr>
          <w:rFonts w:ascii="宋体" w:hAnsi="宋体"/>
          <w:color w:val="auto"/>
          <w:szCs w:val="21"/>
        </w:rPr>
      </w:pPr>
      <w:r>
        <w:rPr>
          <w:rFonts w:hint="eastAsia" w:ascii="宋体" w:hAnsi="宋体"/>
          <w:color w:val="auto"/>
          <w:szCs w:val="21"/>
        </w:rPr>
        <w:t>（4）</w:t>
      </w:r>
      <w:r>
        <w:rPr>
          <w:rFonts w:ascii="宋体" w:hAnsi="宋体"/>
          <w:color w:val="auto"/>
          <w:szCs w:val="21"/>
        </w:rPr>
        <w:t>产品主色调宜选择浅米色等柔和的中性色，辅助色宜选择浅黄色等低饱和暖色调。</w:t>
      </w:r>
    </w:p>
    <w:p w14:paraId="589D1754">
      <w:pPr>
        <w:tabs>
          <w:tab w:val="left" w:pos="720"/>
        </w:tabs>
        <w:rPr>
          <w:rFonts w:ascii="宋体" w:hAnsi="宋体"/>
          <w:color w:val="auto"/>
          <w:szCs w:val="21"/>
        </w:rPr>
      </w:pPr>
      <w:r>
        <w:rPr>
          <w:rFonts w:hint="eastAsia" w:ascii="宋体" w:hAnsi="宋体"/>
          <w:color w:val="auto"/>
          <w:szCs w:val="21"/>
        </w:rPr>
        <w:t>（5）</w:t>
      </w:r>
      <w:r>
        <w:rPr>
          <w:rFonts w:ascii="宋体" w:hAnsi="宋体"/>
          <w:color w:val="auto"/>
          <w:szCs w:val="21"/>
        </w:rPr>
        <w:t>座椅类产品座高宜为420-460mm，扶手高度宜为650-700mm（从地面）。</w:t>
      </w:r>
    </w:p>
    <w:p w14:paraId="1D94DA31">
      <w:pPr>
        <w:tabs>
          <w:tab w:val="left" w:pos="720"/>
        </w:tabs>
        <w:outlineLvl w:val="4"/>
        <w:rPr>
          <w:rFonts w:ascii="宋体" w:hAnsi="宋体"/>
          <w:color w:val="auto"/>
          <w:szCs w:val="21"/>
        </w:rPr>
      </w:pPr>
      <w:r>
        <w:rPr>
          <w:rFonts w:hint="eastAsia" w:ascii="宋体" w:hAnsi="宋体"/>
          <w:color w:val="auto"/>
          <w:szCs w:val="21"/>
        </w:rPr>
        <w:t>（6）</w:t>
      </w:r>
      <w:r>
        <w:rPr>
          <w:rFonts w:ascii="宋体" w:hAnsi="宋体"/>
          <w:color w:val="auto"/>
          <w:szCs w:val="21"/>
        </w:rPr>
        <w:t>桌几类产品桌下净高≥650mm，满足轮椅容膝空间。</w:t>
      </w:r>
    </w:p>
    <w:p w14:paraId="72835A1F">
      <w:pPr>
        <w:tabs>
          <w:tab w:val="left" w:pos="720"/>
        </w:tabs>
        <w:rPr>
          <w:rFonts w:ascii="宋体" w:hAnsi="宋体"/>
          <w:color w:val="auto"/>
          <w:szCs w:val="21"/>
        </w:rPr>
      </w:pPr>
      <w:r>
        <w:rPr>
          <w:rFonts w:hint="eastAsia" w:ascii="宋体" w:hAnsi="宋体"/>
          <w:color w:val="auto"/>
          <w:szCs w:val="21"/>
        </w:rPr>
        <w:t>（7）</w:t>
      </w:r>
      <w:r>
        <w:rPr>
          <w:rFonts w:ascii="宋体" w:hAnsi="宋体"/>
          <w:color w:val="auto"/>
          <w:szCs w:val="21"/>
        </w:rPr>
        <w:t>所有柜门、抽屉拉手须为暗拉手或内凹式设计，禁止使用尖锐外凸金属拉手。</w:t>
      </w:r>
    </w:p>
    <w:p w14:paraId="34254CAD">
      <w:pPr>
        <w:tabs>
          <w:tab w:val="left" w:pos="720"/>
        </w:tabs>
        <w:rPr>
          <w:rFonts w:ascii="宋体" w:hAnsi="宋体"/>
          <w:color w:val="auto"/>
          <w:szCs w:val="21"/>
        </w:rPr>
      </w:pPr>
      <w:r>
        <w:rPr>
          <w:rFonts w:ascii="宋体" w:hAnsi="宋体"/>
          <w:color w:val="auto"/>
          <w:szCs w:val="21"/>
        </w:rPr>
        <w:t>座椅类产品须配置防滑脚垫。</w:t>
      </w:r>
    </w:p>
    <w:p w14:paraId="15FB549A">
      <w:pPr>
        <w:outlineLvl w:val="3"/>
        <w:rPr>
          <w:rFonts w:ascii="宋体" w:hAnsi="宋体"/>
          <w:color w:val="auto"/>
          <w:szCs w:val="21"/>
        </w:rPr>
      </w:pPr>
      <w:bookmarkStart w:id="63" w:name="_Toc14488"/>
      <w:r>
        <w:rPr>
          <w:rFonts w:ascii="宋体" w:hAnsi="宋体"/>
          <w:color w:val="auto"/>
          <w:szCs w:val="21"/>
        </w:rPr>
        <w:t>（二）环保标准</w:t>
      </w:r>
      <w:bookmarkEnd w:id="63"/>
    </w:p>
    <w:p w14:paraId="65E963EC">
      <w:pPr>
        <w:tabs>
          <w:tab w:val="left" w:pos="720"/>
        </w:tabs>
        <w:rPr>
          <w:rFonts w:ascii="宋体" w:hAnsi="宋体"/>
          <w:color w:val="auto"/>
          <w:szCs w:val="21"/>
        </w:rPr>
      </w:pPr>
      <w:r>
        <w:rPr>
          <w:rFonts w:hint="eastAsia" w:ascii="宋体" w:hAnsi="宋体"/>
          <w:color w:val="auto"/>
          <w:szCs w:val="21"/>
        </w:rPr>
        <w:t>（1）</w:t>
      </w:r>
      <w:r>
        <w:rPr>
          <w:rFonts w:ascii="宋体" w:hAnsi="宋体"/>
          <w:color w:val="auto"/>
          <w:szCs w:val="21"/>
        </w:rPr>
        <w:t>木家具甲醛释放量须符合GB 18584-2024《家具中有害物质限量》 （气候箱法≤0.08mg/m³）。</w:t>
      </w:r>
    </w:p>
    <w:p w14:paraId="45AB359E">
      <w:pPr>
        <w:tabs>
          <w:tab w:val="left" w:pos="720"/>
        </w:tabs>
        <w:rPr>
          <w:rFonts w:ascii="宋体" w:hAnsi="宋体"/>
          <w:color w:val="auto"/>
          <w:szCs w:val="21"/>
        </w:rPr>
      </w:pPr>
      <w:r>
        <w:rPr>
          <w:rFonts w:hint="eastAsia" w:ascii="宋体" w:hAnsi="宋体"/>
          <w:color w:val="auto"/>
          <w:szCs w:val="21"/>
        </w:rPr>
        <w:t>（2）</w:t>
      </w:r>
      <w:r>
        <w:rPr>
          <w:rFonts w:ascii="宋体" w:hAnsi="宋体"/>
          <w:color w:val="auto"/>
          <w:szCs w:val="21"/>
        </w:rPr>
        <w:t>人造板及其制品甲醛释放量须符合GB 18580-2025，达到E</w:t>
      </w:r>
      <w:r>
        <w:rPr>
          <w:rFonts w:ascii="Cambria Math" w:hAnsi="Cambria Math" w:cs="Cambria Math"/>
          <w:color w:val="auto"/>
          <w:szCs w:val="21"/>
        </w:rPr>
        <w:t>₀</w:t>
      </w:r>
      <w:r>
        <w:rPr>
          <w:rFonts w:ascii="宋体" w:hAnsi="宋体"/>
          <w:color w:val="auto"/>
          <w:szCs w:val="21"/>
        </w:rPr>
        <w:t>级（≤0.050mg/m³）。</w:t>
      </w:r>
    </w:p>
    <w:p w14:paraId="5434C2EB">
      <w:pPr>
        <w:tabs>
          <w:tab w:val="left" w:pos="720"/>
        </w:tabs>
        <w:rPr>
          <w:rFonts w:ascii="宋体" w:hAnsi="宋体"/>
          <w:color w:val="auto"/>
          <w:szCs w:val="21"/>
        </w:rPr>
      </w:pPr>
      <w:r>
        <w:rPr>
          <w:rFonts w:hint="eastAsia" w:ascii="宋体" w:hAnsi="宋体"/>
          <w:color w:val="auto"/>
          <w:szCs w:val="21"/>
        </w:rPr>
        <w:t>（3）</w:t>
      </w:r>
      <w:r>
        <w:rPr>
          <w:rFonts w:ascii="宋体" w:hAnsi="宋体"/>
          <w:color w:val="auto"/>
          <w:szCs w:val="21"/>
        </w:rPr>
        <w:t>木家具成品须符合GB/T 35607-2024《绿色产品评价家具》 。</w:t>
      </w:r>
    </w:p>
    <w:p w14:paraId="07268705">
      <w:pPr>
        <w:tabs>
          <w:tab w:val="left" w:pos="720"/>
        </w:tabs>
        <w:rPr>
          <w:rFonts w:ascii="宋体" w:hAnsi="宋体"/>
          <w:color w:val="auto"/>
          <w:szCs w:val="21"/>
        </w:rPr>
      </w:pPr>
      <w:r>
        <w:rPr>
          <w:rFonts w:hint="eastAsia" w:ascii="宋体" w:hAnsi="宋体"/>
          <w:color w:val="auto"/>
          <w:szCs w:val="21"/>
        </w:rPr>
        <w:t>（4）</w:t>
      </w:r>
      <w:r>
        <w:rPr>
          <w:rFonts w:ascii="宋体" w:hAnsi="宋体"/>
          <w:color w:val="auto"/>
          <w:szCs w:val="21"/>
        </w:rPr>
        <w:t>涂料须符合GB 18581-2020《木器涂料中有害物质限量》 。</w:t>
      </w:r>
    </w:p>
    <w:p w14:paraId="6C166F87">
      <w:pPr>
        <w:tabs>
          <w:tab w:val="left" w:pos="720"/>
        </w:tabs>
        <w:rPr>
          <w:rFonts w:ascii="宋体" w:hAnsi="宋体"/>
          <w:color w:val="auto"/>
          <w:szCs w:val="21"/>
        </w:rPr>
      </w:pPr>
      <w:r>
        <w:rPr>
          <w:rFonts w:hint="eastAsia" w:ascii="宋体" w:hAnsi="宋体"/>
          <w:color w:val="auto"/>
          <w:szCs w:val="21"/>
        </w:rPr>
        <w:t>（5）</w:t>
      </w:r>
      <w:r>
        <w:rPr>
          <w:rFonts w:ascii="宋体" w:hAnsi="宋体"/>
          <w:color w:val="auto"/>
          <w:szCs w:val="21"/>
        </w:rPr>
        <w:t>胶粘剂须符合GB 18583-2008《室内装饰装修材料 胶粘剂中有害物质限量》 。</w:t>
      </w:r>
    </w:p>
    <w:p w14:paraId="33C18E65">
      <w:pPr>
        <w:tabs>
          <w:tab w:val="left" w:pos="720"/>
        </w:tabs>
        <w:rPr>
          <w:rFonts w:ascii="宋体" w:hAnsi="宋体"/>
          <w:color w:val="auto"/>
          <w:szCs w:val="21"/>
        </w:rPr>
      </w:pPr>
      <w:r>
        <w:rPr>
          <w:rFonts w:hint="eastAsia" w:ascii="宋体" w:hAnsi="宋体"/>
          <w:color w:val="auto"/>
          <w:szCs w:val="21"/>
        </w:rPr>
        <w:t>（6）</w:t>
      </w:r>
      <w:r>
        <w:rPr>
          <w:rFonts w:ascii="宋体" w:hAnsi="宋体"/>
          <w:color w:val="auto"/>
          <w:szCs w:val="21"/>
        </w:rPr>
        <w:t>软包面料须抗菌（QB/T 4371-2012）、防霉（GB/T 1741-2020）。</w:t>
      </w:r>
    </w:p>
    <w:p w14:paraId="23809860">
      <w:pPr>
        <w:outlineLvl w:val="3"/>
        <w:rPr>
          <w:rFonts w:ascii="宋体" w:hAnsi="宋体"/>
          <w:color w:val="auto"/>
          <w:szCs w:val="21"/>
        </w:rPr>
      </w:pPr>
      <w:bookmarkStart w:id="64" w:name="_Toc18053"/>
      <w:r>
        <w:rPr>
          <w:rFonts w:ascii="宋体" w:hAnsi="宋体"/>
          <w:color w:val="auto"/>
          <w:szCs w:val="21"/>
        </w:rPr>
        <w:t>（三）金属家具标准</w:t>
      </w:r>
      <w:bookmarkEnd w:id="64"/>
    </w:p>
    <w:p w14:paraId="176272FE">
      <w:pPr>
        <w:rPr>
          <w:rFonts w:ascii="宋体" w:hAnsi="宋体"/>
          <w:color w:val="auto"/>
          <w:szCs w:val="21"/>
        </w:rPr>
      </w:pPr>
      <w:r>
        <w:rPr>
          <w:rFonts w:hint="eastAsia" w:ascii="宋体" w:hAnsi="宋体"/>
          <w:color w:val="auto"/>
          <w:szCs w:val="21"/>
        </w:rPr>
        <w:t>（1）</w:t>
      </w:r>
      <w:r>
        <w:rPr>
          <w:rFonts w:ascii="宋体" w:hAnsi="宋体"/>
          <w:color w:val="auto"/>
          <w:szCs w:val="21"/>
        </w:rPr>
        <w:t>金属家具成品须符合GB/T 3325-2017《金属家具通用技术条件》 。</w:t>
      </w:r>
    </w:p>
    <w:p w14:paraId="36E24521">
      <w:pPr>
        <w:rPr>
          <w:rFonts w:ascii="宋体" w:hAnsi="宋体"/>
          <w:color w:val="auto"/>
          <w:szCs w:val="21"/>
        </w:rPr>
      </w:pPr>
      <w:r>
        <w:rPr>
          <w:rFonts w:hint="eastAsia" w:ascii="宋体" w:hAnsi="宋体"/>
          <w:color w:val="auto"/>
          <w:szCs w:val="21"/>
        </w:rPr>
        <w:t>（2）</w:t>
      </w:r>
      <w:r>
        <w:rPr>
          <w:rFonts w:ascii="宋体" w:hAnsi="宋体"/>
          <w:color w:val="auto"/>
          <w:szCs w:val="21"/>
        </w:rPr>
        <w:t>电解钢板须符合GB/T 10125-2012《人造气氛腐蚀试验 盐雾试验》 ，耐腐蚀等级≥10级。</w:t>
      </w:r>
    </w:p>
    <w:p w14:paraId="2182C813">
      <w:pPr>
        <w:outlineLvl w:val="4"/>
        <w:rPr>
          <w:rFonts w:ascii="宋体" w:hAnsi="宋体"/>
          <w:color w:val="auto"/>
          <w:szCs w:val="21"/>
        </w:rPr>
      </w:pPr>
      <w:r>
        <w:rPr>
          <w:rFonts w:hint="eastAsia" w:ascii="宋体" w:hAnsi="宋体"/>
          <w:color w:val="auto"/>
          <w:szCs w:val="21"/>
        </w:rPr>
        <w:t>（3）</w:t>
      </w:r>
      <w:r>
        <w:rPr>
          <w:rFonts w:ascii="宋体" w:hAnsi="宋体"/>
          <w:color w:val="auto"/>
          <w:szCs w:val="21"/>
        </w:rPr>
        <w:t>金属喷漆（塑）涂层硬度≥3H，附着力≥2级。</w:t>
      </w:r>
    </w:p>
    <w:p w14:paraId="31424683">
      <w:pPr>
        <w:outlineLvl w:val="3"/>
        <w:rPr>
          <w:rFonts w:ascii="宋体" w:hAnsi="宋体"/>
          <w:color w:val="auto"/>
          <w:szCs w:val="21"/>
        </w:rPr>
      </w:pPr>
      <w:bookmarkStart w:id="65" w:name="_Toc30209"/>
      <w:r>
        <w:rPr>
          <w:rFonts w:ascii="宋体" w:hAnsi="宋体"/>
          <w:color w:val="auto"/>
          <w:szCs w:val="21"/>
        </w:rPr>
        <w:t>（四）五金件</w:t>
      </w:r>
      <w:bookmarkEnd w:id="65"/>
    </w:p>
    <w:p w14:paraId="5697DF9D">
      <w:pPr>
        <w:rPr>
          <w:rFonts w:ascii="宋体" w:hAnsi="宋体"/>
          <w:color w:val="auto"/>
          <w:szCs w:val="21"/>
        </w:rPr>
      </w:pPr>
      <w:r>
        <w:rPr>
          <w:rFonts w:hint="eastAsia" w:ascii="宋体" w:hAnsi="宋体"/>
          <w:color w:val="auto"/>
          <w:szCs w:val="21"/>
        </w:rPr>
        <w:t>（1）</w:t>
      </w:r>
      <w:r>
        <w:rPr>
          <w:rFonts w:ascii="宋体" w:hAnsi="宋体"/>
          <w:color w:val="auto"/>
          <w:szCs w:val="21"/>
        </w:rPr>
        <w:t>铰链须符合QB/T 2189-2013《家具五金 杯状暗铰链》 。</w:t>
      </w:r>
    </w:p>
    <w:p w14:paraId="1B6A6394">
      <w:pPr>
        <w:rPr>
          <w:rFonts w:ascii="宋体" w:hAnsi="宋体"/>
          <w:color w:val="auto"/>
          <w:szCs w:val="21"/>
        </w:rPr>
      </w:pPr>
      <w:r>
        <w:rPr>
          <w:rFonts w:hint="eastAsia" w:ascii="宋体" w:hAnsi="宋体"/>
          <w:color w:val="auto"/>
          <w:szCs w:val="21"/>
        </w:rPr>
        <w:t>（2）</w:t>
      </w:r>
      <w:r>
        <w:rPr>
          <w:rFonts w:ascii="宋体" w:hAnsi="宋体"/>
          <w:color w:val="auto"/>
          <w:szCs w:val="21"/>
        </w:rPr>
        <w:t>抽屉导轨须符合QB/T 2454-2013《家具五金 抽屉导轨》 。</w:t>
      </w:r>
    </w:p>
    <w:p w14:paraId="5B7ADA90">
      <w:pPr>
        <w:outlineLvl w:val="4"/>
        <w:rPr>
          <w:rFonts w:ascii="宋体" w:hAnsi="宋体"/>
          <w:color w:val="auto"/>
          <w:szCs w:val="21"/>
        </w:rPr>
      </w:pPr>
      <w:r>
        <w:rPr>
          <w:rFonts w:hint="eastAsia" w:ascii="宋体" w:hAnsi="宋体"/>
          <w:color w:val="auto"/>
          <w:szCs w:val="21"/>
        </w:rPr>
        <w:t>（3）</w:t>
      </w:r>
      <w:r>
        <w:rPr>
          <w:rFonts w:ascii="宋体" w:hAnsi="宋体"/>
          <w:color w:val="auto"/>
          <w:szCs w:val="21"/>
        </w:rPr>
        <w:t>锁具须符合QB/T 1621-2015《家具锁》 。</w:t>
      </w:r>
    </w:p>
    <w:p w14:paraId="131FB030">
      <w:pPr>
        <w:outlineLvl w:val="3"/>
        <w:rPr>
          <w:rFonts w:ascii="宋体" w:hAnsi="宋体"/>
          <w:color w:val="auto"/>
          <w:szCs w:val="21"/>
        </w:rPr>
      </w:pPr>
      <w:bookmarkStart w:id="66" w:name="_Toc6192"/>
      <w:r>
        <w:rPr>
          <w:rFonts w:ascii="宋体" w:hAnsi="宋体"/>
          <w:color w:val="auto"/>
          <w:szCs w:val="21"/>
        </w:rPr>
        <w:t>（五）尺寸公差</w:t>
      </w:r>
      <w:bookmarkEnd w:id="66"/>
    </w:p>
    <w:p w14:paraId="41B6EE2A">
      <w:pPr>
        <w:rPr>
          <w:rFonts w:ascii="宋体" w:hAnsi="宋体"/>
          <w:color w:val="auto"/>
          <w:szCs w:val="21"/>
        </w:rPr>
      </w:pPr>
      <w:r>
        <w:rPr>
          <w:rFonts w:hint="eastAsia" w:ascii="宋体" w:hAnsi="宋体"/>
          <w:color w:val="auto"/>
          <w:szCs w:val="21"/>
        </w:rPr>
        <w:t>（1）</w:t>
      </w:r>
      <w:r>
        <w:rPr>
          <w:rFonts w:ascii="宋体" w:hAnsi="宋体"/>
          <w:color w:val="auto"/>
          <w:szCs w:val="21"/>
        </w:rPr>
        <w:t>所有产品尺寸允许偏差±5mm，最终以现场实测为准进行调整。</w:t>
      </w:r>
    </w:p>
    <w:p w14:paraId="21DB9B19">
      <w:pPr>
        <w:outlineLvl w:val="3"/>
        <w:rPr>
          <w:rFonts w:ascii="宋体" w:hAnsi="宋体"/>
          <w:color w:val="auto"/>
          <w:szCs w:val="21"/>
        </w:rPr>
      </w:pPr>
      <w:bookmarkStart w:id="67" w:name="_Toc10859"/>
      <w:r>
        <w:rPr>
          <w:rFonts w:ascii="宋体" w:hAnsi="宋体"/>
          <w:color w:val="auto"/>
          <w:szCs w:val="21"/>
        </w:rPr>
        <w:t>（六）封边工艺</w:t>
      </w:r>
      <w:bookmarkEnd w:id="67"/>
    </w:p>
    <w:p w14:paraId="00D9DFC2">
      <w:pPr>
        <w:rPr>
          <w:rFonts w:ascii="宋体" w:hAnsi="宋体"/>
          <w:color w:val="auto"/>
          <w:szCs w:val="21"/>
        </w:rPr>
      </w:pPr>
      <w:r>
        <w:rPr>
          <w:rFonts w:hint="eastAsia" w:ascii="宋体" w:hAnsi="宋体"/>
          <w:color w:val="auto"/>
          <w:szCs w:val="21"/>
        </w:rPr>
        <w:t>（1）</w:t>
      </w:r>
      <w:r>
        <w:rPr>
          <w:rFonts w:ascii="宋体" w:hAnsi="宋体"/>
          <w:color w:val="auto"/>
          <w:szCs w:val="21"/>
        </w:rPr>
        <w:t>木质板材外露边须PVC同色封边，封边条厚度≥2mm，封边牢固无脱胶、无毛刺。</w:t>
      </w:r>
    </w:p>
    <w:p w14:paraId="4169C881">
      <w:pPr>
        <w:outlineLvl w:val="3"/>
        <w:rPr>
          <w:rFonts w:ascii="宋体" w:hAnsi="宋体"/>
          <w:color w:val="auto"/>
          <w:szCs w:val="21"/>
        </w:rPr>
      </w:pPr>
      <w:bookmarkStart w:id="68" w:name="_Toc10580"/>
      <w:r>
        <w:rPr>
          <w:rFonts w:ascii="宋体" w:hAnsi="宋体"/>
          <w:color w:val="auto"/>
          <w:szCs w:val="21"/>
        </w:rPr>
        <w:t>（七）护理床特殊要求</w:t>
      </w:r>
      <w:bookmarkEnd w:id="68"/>
    </w:p>
    <w:p w14:paraId="123DCB18">
      <w:pPr>
        <w:rPr>
          <w:rFonts w:ascii="宋体" w:hAnsi="宋体"/>
          <w:color w:val="auto"/>
          <w:szCs w:val="21"/>
        </w:rPr>
      </w:pPr>
      <w:r>
        <w:rPr>
          <w:rFonts w:hint="eastAsia" w:ascii="宋体" w:hAnsi="宋体"/>
          <w:color w:val="auto"/>
          <w:szCs w:val="21"/>
        </w:rPr>
        <w:t>（1）</w:t>
      </w:r>
      <w:r>
        <w:rPr>
          <w:rFonts w:ascii="宋体" w:hAnsi="宋体"/>
          <w:color w:val="auto"/>
          <w:szCs w:val="21"/>
        </w:rPr>
        <w:t>电动电机须通过第三方检验认证，噪音＜45dB。</w:t>
      </w:r>
    </w:p>
    <w:p w14:paraId="67A50892">
      <w:pPr>
        <w:rPr>
          <w:rFonts w:ascii="宋体" w:hAnsi="宋体"/>
          <w:color w:val="auto"/>
          <w:szCs w:val="21"/>
        </w:rPr>
      </w:pPr>
      <w:r>
        <w:rPr>
          <w:rFonts w:hint="eastAsia" w:ascii="宋体" w:hAnsi="宋体"/>
          <w:color w:val="auto"/>
          <w:szCs w:val="21"/>
        </w:rPr>
        <w:t>（2）</w:t>
      </w:r>
      <w:r>
        <w:rPr>
          <w:rFonts w:ascii="宋体" w:hAnsi="宋体"/>
          <w:color w:val="auto"/>
          <w:szCs w:val="21"/>
        </w:rPr>
        <w:t>床体额定承载≥280kg。</w:t>
      </w:r>
    </w:p>
    <w:p w14:paraId="4146B35D">
      <w:pPr>
        <w:rPr>
          <w:rFonts w:ascii="宋体" w:hAnsi="宋体"/>
          <w:color w:val="auto"/>
          <w:szCs w:val="21"/>
        </w:rPr>
      </w:pPr>
      <w:r>
        <w:rPr>
          <w:rFonts w:hint="eastAsia" w:ascii="宋体" w:hAnsi="宋体"/>
          <w:color w:val="auto"/>
          <w:szCs w:val="21"/>
        </w:rPr>
        <w:t>（3）</w:t>
      </w:r>
      <w:r>
        <w:rPr>
          <w:rFonts w:ascii="宋体" w:hAnsi="宋体"/>
          <w:color w:val="auto"/>
          <w:szCs w:val="21"/>
        </w:rPr>
        <w:t>护栏间距须符合安全要求。</w:t>
      </w:r>
    </w:p>
    <w:p w14:paraId="505BC6F5">
      <w:pPr>
        <w:rPr>
          <w:rFonts w:ascii="宋体" w:hAnsi="宋体"/>
          <w:color w:val="auto"/>
          <w:szCs w:val="21"/>
        </w:rPr>
      </w:pPr>
      <w:r>
        <w:rPr>
          <w:rFonts w:hint="eastAsia" w:ascii="宋体" w:hAnsi="宋体"/>
          <w:color w:val="auto"/>
          <w:szCs w:val="21"/>
        </w:rPr>
        <w:t>（4）</w:t>
      </w:r>
      <w:r>
        <w:rPr>
          <w:rFonts w:ascii="宋体" w:hAnsi="宋体"/>
          <w:color w:val="auto"/>
          <w:szCs w:val="21"/>
        </w:rPr>
        <w:t>床垫须为40mm椰棕+40mm高密度海绵组合，外套防水帆布可拆洗。</w:t>
      </w:r>
    </w:p>
    <w:p w14:paraId="6B56FBC8">
      <w:pPr>
        <w:rPr>
          <w:color w:val="auto"/>
          <w:sz w:val="28"/>
          <w:szCs w:val="28"/>
        </w:rPr>
        <w:sectPr>
          <w:headerReference r:id="rId8" w:type="first"/>
          <w:footerReference r:id="rId10" w:type="first"/>
          <w:headerReference r:id="rId7" w:type="default"/>
          <w:footerReference r:id="rId9" w:type="default"/>
          <w:pgSz w:w="11906" w:h="16838"/>
          <w:pgMar w:top="1440" w:right="1800" w:bottom="1440" w:left="1800" w:header="708" w:footer="708" w:gutter="0"/>
          <w:cols w:space="708" w:num="1"/>
          <w:titlePg/>
          <w:docGrid w:type="lines" w:linePitch="360" w:charSpace="0"/>
        </w:sectPr>
      </w:pPr>
      <w:r>
        <w:rPr>
          <w:rFonts w:hint="eastAsia"/>
          <w:color w:val="auto"/>
          <w:sz w:val="28"/>
          <w:szCs w:val="28"/>
        </w:rPr>
        <w:br w:type="page"/>
      </w:r>
    </w:p>
    <w:p w14:paraId="03F1C827">
      <w:pPr>
        <w:pStyle w:val="47"/>
        <w:numPr>
          <w:ilvl w:val="0"/>
          <w:numId w:val="1"/>
        </w:numPr>
        <w:ind w:firstLineChars="0"/>
        <w:rPr>
          <w:b/>
          <w:bCs/>
          <w:color w:val="auto"/>
        </w:rPr>
      </w:pPr>
      <w:bookmarkStart w:id="69" w:name="_Toc27643"/>
      <w:r>
        <w:rPr>
          <w:rFonts w:hint="eastAsia" w:ascii="宋体" w:hAnsi="宋体"/>
          <w:color w:val="auto"/>
          <w:szCs w:val="21"/>
        </w:rPr>
        <w:t>采购内容</w:t>
      </w:r>
      <w:bookmarkEnd w:id="69"/>
    </w:p>
    <w:p w14:paraId="6D60E491">
      <w:pPr>
        <w:rPr>
          <w:rFonts w:ascii="宋体" w:hAnsi="宋体"/>
          <w:b/>
          <w:bCs/>
          <w:color w:val="auto"/>
          <w:szCs w:val="21"/>
        </w:rPr>
      </w:pPr>
      <w:r>
        <w:rPr>
          <w:rFonts w:hint="eastAsia" w:ascii="宋体" w:hAnsi="宋体" w:cs="宋体"/>
          <w:b/>
          <w:bCs/>
          <w:color w:val="auto"/>
          <w:szCs w:val="21"/>
        </w:rPr>
        <w:t>★</w:t>
      </w:r>
      <w:r>
        <w:rPr>
          <w:rFonts w:ascii="宋体" w:hAnsi="宋体"/>
          <w:b/>
          <w:bCs/>
          <w:color w:val="auto"/>
          <w:szCs w:val="21"/>
        </w:rPr>
        <w:t>1.</w:t>
      </w:r>
      <w:r>
        <w:rPr>
          <w:rFonts w:hint="eastAsia" w:ascii="宋体" w:hAnsi="宋体" w:cstheme="minorBidi"/>
          <w:b/>
          <w:bCs/>
          <w:color w:val="auto"/>
          <w:szCs w:val="21"/>
          <w:shd w:val="clear" w:color="auto" w:fill="auto"/>
        </w:rPr>
        <w:t>接待台、操作台柜（含洗手柜）、处置柜</w:t>
      </w:r>
      <w:r>
        <w:rPr>
          <w:rFonts w:hint="eastAsia" w:ascii="宋体" w:hAnsi="宋体" w:cstheme="minorBidi"/>
          <w:b/>
          <w:bCs/>
          <w:color w:val="auto"/>
          <w:szCs w:val="21"/>
        </w:rPr>
        <w:t>需结合现场实际情况进行</w:t>
      </w:r>
      <w:r>
        <w:rPr>
          <w:rStyle w:val="34"/>
          <w:rFonts w:hint="eastAsia" w:ascii="宋体" w:hAnsi="宋体" w:cs="Segoe UI"/>
          <w:color w:val="auto"/>
          <w:szCs w:val="21"/>
        </w:rPr>
        <w:t>二次深化设计</w:t>
      </w:r>
      <w:r>
        <w:rPr>
          <w:rFonts w:hint="eastAsia" w:ascii="宋体" w:hAnsi="宋体" w:cstheme="minorBidi"/>
          <w:b/>
          <w:bCs/>
          <w:color w:val="auto"/>
          <w:szCs w:val="21"/>
        </w:rPr>
        <w:t>。中标人须在合同签订后</w:t>
      </w:r>
      <w:r>
        <w:rPr>
          <w:rStyle w:val="34"/>
          <w:rFonts w:ascii="宋体" w:hAnsi="宋体" w:cs="Segoe UI"/>
          <w:color w:val="auto"/>
          <w:szCs w:val="21"/>
        </w:rPr>
        <w:t>5</w:t>
      </w:r>
      <w:r>
        <w:rPr>
          <w:rStyle w:val="34"/>
          <w:rFonts w:hint="eastAsia" w:ascii="宋体" w:hAnsi="宋体" w:cs="Segoe UI"/>
          <w:color w:val="auto"/>
          <w:szCs w:val="21"/>
        </w:rPr>
        <w:t>个自然日内</w:t>
      </w:r>
      <w:r>
        <w:rPr>
          <w:rFonts w:hint="eastAsia" w:ascii="宋体" w:hAnsi="宋体" w:cstheme="minorBidi"/>
          <w:b/>
          <w:bCs/>
          <w:color w:val="auto"/>
          <w:szCs w:val="21"/>
        </w:rPr>
        <w:t>完成现场复尺，并据此提供完整的</w:t>
      </w:r>
      <w:r>
        <w:rPr>
          <w:rStyle w:val="34"/>
          <w:rFonts w:hint="eastAsia" w:ascii="宋体" w:hAnsi="宋体" w:cs="Segoe UI"/>
          <w:color w:val="auto"/>
          <w:szCs w:val="21"/>
        </w:rPr>
        <w:t>深化设计方案</w:t>
      </w:r>
      <w:r>
        <w:rPr>
          <w:rFonts w:hint="eastAsia" w:ascii="宋体" w:hAnsi="宋体" w:cstheme="minorBidi"/>
          <w:b/>
          <w:bCs/>
          <w:color w:val="auto"/>
          <w:szCs w:val="21"/>
        </w:rPr>
        <w:t>，内容包括但不限于：产品效果图（含多角度渲染图）、平面布置图、立面结构图、水电位定位图（若涉及）、材质说明及色板。</w:t>
      </w:r>
    </w:p>
    <w:p w14:paraId="29167DD3">
      <w:pPr>
        <w:rPr>
          <w:rFonts w:ascii="宋体" w:hAnsi="宋体"/>
          <w:b/>
          <w:bCs/>
          <w:color w:val="auto"/>
          <w:szCs w:val="21"/>
        </w:rPr>
      </w:pPr>
      <w:r>
        <w:rPr>
          <w:rFonts w:hint="eastAsia" w:ascii="宋体" w:hAnsi="宋体" w:cs="宋体"/>
          <w:b/>
          <w:bCs/>
          <w:color w:val="auto"/>
          <w:szCs w:val="21"/>
        </w:rPr>
        <w:t>★</w:t>
      </w:r>
      <w:r>
        <w:rPr>
          <w:rFonts w:ascii="宋体" w:hAnsi="宋体" w:cs="宋体"/>
          <w:b/>
          <w:bCs/>
          <w:color w:val="auto"/>
          <w:szCs w:val="21"/>
        </w:rPr>
        <w:t>2.</w:t>
      </w:r>
      <w:r>
        <w:rPr>
          <w:rFonts w:hint="eastAsia" w:ascii="宋体" w:hAnsi="宋体" w:cstheme="minorBidi"/>
          <w:b/>
          <w:bCs/>
          <w:color w:val="auto"/>
          <w:szCs w:val="21"/>
        </w:rPr>
        <w:t>深化设计方案须提交采购人审核确认，经采购人</w:t>
      </w:r>
      <w:r>
        <w:rPr>
          <w:rStyle w:val="34"/>
          <w:rFonts w:hint="eastAsia" w:ascii="宋体" w:hAnsi="宋体" w:cs="Segoe UI"/>
          <w:color w:val="auto"/>
          <w:szCs w:val="21"/>
        </w:rPr>
        <w:t>书面确认后方可投入生产</w:t>
      </w:r>
      <w:r>
        <w:rPr>
          <w:rFonts w:hint="eastAsia" w:ascii="宋体" w:hAnsi="宋体" w:cstheme="minorBidi"/>
          <w:b/>
          <w:bCs/>
          <w:color w:val="auto"/>
          <w:szCs w:val="21"/>
        </w:rPr>
        <w:t>。因中标人深化设计错误导致的生产返工、工期延误等一切损失，由中标人自行承担。</w:t>
      </w:r>
    </w:p>
    <w:tbl>
      <w:tblPr>
        <w:tblStyle w:val="32"/>
        <w:tblW w:w="14855" w:type="dxa"/>
        <w:jc w:val="center"/>
        <w:tblLayout w:type="autofit"/>
        <w:tblCellMar>
          <w:top w:w="0" w:type="dxa"/>
          <w:left w:w="108" w:type="dxa"/>
          <w:bottom w:w="0" w:type="dxa"/>
          <w:right w:w="108" w:type="dxa"/>
        </w:tblCellMar>
      </w:tblPr>
      <w:tblGrid>
        <w:gridCol w:w="636"/>
        <w:gridCol w:w="1087"/>
        <w:gridCol w:w="6250"/>
        <w:gridCol w:w="820"/>
        <w:gridCol w:w="1056"/>
        <w:gridCol w:w="1378"/>
        <w:gridCol w:w="1517"/>
        <w:gridCol w:w="2111"/>
      </w:tblGrid>
      <w:tr w14:paraId="09479309">
        <w:tblPrEx>
          <w:tblCellMar>
            <w:top w:w="0" w:type="dxa"/>
            <w:left w:w="108" w:type="dxa"/>
            <w:bottom w:w="0" w:type="dxa"/>
            <w:right w:w="108" w:type="dxa"/>
          </w:tblCellMar>
        </w:tblPrEx>
        <w:trPr>
          <w:trHeight w:val="90" w:hRule="atLeast"/>
          <w:jc w:val="center"/>
        </w:trPr>
        <w:tc>
          <w:tcPr>
            <w:tcW w:w="623" w:type="dxa"/>
            <w:tcBorders>
              <w:top w:val="single" w:color="auto" w:sz="4" w:space="0"/>
              <w:left w:val="single" w:color="auto" w:sz="4" w:space="0"/>
              <w:bottom w:val="single" w:color="auto" w:sz="4" w:space="0"/>
              <w:right w:val="single" w:color="auto" w:sz="4" w:space="0"/>
            </w:tcBorders>
            <w:vAlign w:val="center"/>
          </w:tcPr>
          <w:p w14:paraId="392D7ACC">
            <w:pPr>
              <w:jc w:val="center"/>
              <w:rPr>
                <w:rFonts w:ascii="宋体" w:hAnsi="宋体" w:cs="宋体"/>
                <w:b/>
                <w:bCs/>
                <w:color w:val="auto"/>
                <w:szCs w:val="21"/>
              </w:rPr>
            </w:pPr>
            <w:r>
              <w:rPr>
                <w:rFonts w:hint="eastAsia" w:ascii="宋体" w:hAnsi="宋体" w:cs="宋体"/>
                <w:b/>
                <w:bCs/>
                <w:color w:val="auto"/>
                <w:szCs w:val="21"/>
              </w:rPr>
              <w:t>序号</w:t>
            </w:r>
          </w:p>
        </w:tc>
        <w:tc>
          <w:tcPr>
            <w:tcW w:w="1091" w:type="dxa"/>
            <w:tcBorders>
              <w:top w:val="single" w:color="auto" w:sz="4" w:space="0"/>
              <w:left w:val="nil"/>
              <w:bottom w:val="single" w:color="auto" w:sz="4" w:space="0"/>
              <w:right w:val="single" w:color="auto" w:sz="4" w:space="0"/>
            </w:tcBorders>
            <w:vAlign w:val="center"/>
          </w:tcPr>
          <w:p w14:paraId="20CCC226">
            <w:pPr>
              <w:jc w:val="center"/>
              <w:rPr>
                <w:rFonts w:ascii="宋体" w:hAnsi="宋体" w:cs="Segoe UI"/>
                <w:b/>
                <w:bCs/>
                <w:color w:val="auto"/>
                <w:szCs w:val="21"/>
              </w:rPr>
            </w:pPr>
            <w:r>
              <w:rPr>
                <w:rFonts w:hint="eastAsia" w:ascii="宋体" w:hAnsi="宋体" w:cs="Segoe UI"/>
                <w:b/>
                <w:bCs/>
                <w:color w:val="auto"/>
                <w:szCs w:val="21"/>
              </w:rPr>
              <w:t>项目名称</w:t>
            </w:r>
          </w:p>
        </w:tc>
        <w:tc>
          <w:tcPr>
            <w:tcW w:w="6277" w:type="dxa"/>
            <w:tcBorders>
              <w:top w:val="single" w:color="auto" w:sz="4" w:space="0"/>
              <w:left w:val="nil"/>
              <w:bottom w:val="single" w:color="auto" w:sz="4" w:space="0"/>
              <w:right w:val="single" w:color="auto" w:sz="4" w:space="0"/>
            </w:tcBorders>
            <w:vAlign w:val="center"/>
          </w:tcPr>
          <w:p w14:paraId="6A40DDB4">
            <w:pPr>
              <w:jc w:val="center"/>
              <w:rPr>
                <w:rFonts w:ascii="宋体" w:hAnsi="宋体" w:cs="宋体"/>
                <w:b/>
                <w:bCs/>
                <w:color w:val="auto"/>
                <w:szCs w:val="21"/>
              </w:rPr>
            </w:pPr>
            <w:r>
              <w:rPr>
                <w:rFonts w:hint="eastAsia" w:ascii="宋体" w:hAnsi="宋体" w:cs="宋体"/>
                <w:b/>
                <w:bCs/>
                <w:color w:val="auto"/>
                <w:szCs w:val="21"/>
              </w:rPr>
              <w:t>详细技术参数/要求</w:t>
            </w:r>
          </w:p>
        </w:tc>
        <w:tc>
          <w:tcPr>
            <w:tcW w:w="821" w:type="dxa"/>
            <w:tcBorders>
              <w:top w:val="single" w:color="auto" w:sz="4" w:space="0"/>
              <w:left w:val="nil"/>
              <w:bottom w:val="single" w:color="auto" w:sz="4" w:space="0"/>
              <w:right w:val="single" w:color="auto" w:sz="4" w:space="0"/>
            </w:tcBorders>
            <w:vAlign w:val="center"/>
          </w:tcPr>
          <w:p w14:paraId="5586418B">
            <w:pPr>
              <w:jc w:val="center"/>
              <w:rPr>
                <w:rFonts w:ascii="宋体" w:hAnsi="宋体" w:cs="Segoe UI"/>
                <w:b/>
                <w:bCs/>
                <w:color w:val="auto"/>
                <w:szCs w:val="21"/>
              </w:rPr>
            </w:pPr>
            <w:r>
              <w:rPr>
                <w:rFonts w:ascii="宋体" w:hAnsi="宋体" w:cs="Segoe UI"/>
                <w:b/>
                <w:bCs/>
                <w:color w:val="auto"/>
                <w:szCs w:val="21"/>
              </w:rPr>
              <w:t>单位</w:t>
            </w:r>
          </w:p>
        </w:tc>
        <w:tc>
          <w:tcPr>
            <w:tcW w:w="1034" w:type="dxa"/>
            <w:tcBorders>
              <w:top w:val="single" w:color="auto" w:sz="4" w:space="0"/>
              <w:left w:val="nil"/>
              <w:bottom w:val="single" w:color="auto" w:sz="4" w:space="0"/>
              <w:right w:val="single" w:color="auto" w:sz="4" w:space="0"/>
            </w:tcBorders>
            <w:vAlign w:val="center"/>
          </w:tcPr>
          <w:p w14:paraId="1A8D54B4">
            <w:pPr>
              <w:jc w:val="center"/>
              <w:rPr>
                <w:rFonts w:ascii="宋体" w:hAnsi="宋体" w:cs="Segoe UI"/>
                <w:b/>
                <w:bCs/>
                <w:color w:val="auto"/>
                <w:szCs w:val="21"/>
              </w:rPr>
            </w:pPr>
            <w:r>
              <w:rPr>
                <w:rFonts w:ascii="宋体" w:hAnsi="宋体" w:cs="Segoe UI"/>
                <w:b/>
                <w:bCs/>
                <w:color w:val="auto"/>
                <w:szCs w:val="21"/>
              </w:rPr>
              <w:t>数量</w:t>
            </w:r>
          </w:p>
        </w:tc>
        <w:tc>
          <w:tcPr>
            <w:tcW w:w="1379" w:type="dxa"/>
            <w:tcBorders>
              <w:top w:val="single" w:color="auto" w:sz="4" w:space="0"/>
              <w:left w:val="nil"/>
              <w:bottom w:val="single" w:color="auto" w:sz="4" w:space="0"/>
              <w:right w:val="single" w:color="auto" w:sz="4" w:space="0"/>
            </w:tcBorders>
            <w:vAlign w:val="center"/>
          </w:tcPr>
          <w:p w14:paraId="3AF743C0">
            <w:pPr>
              <w:jc w:val="center"/>
              <w:rPr>
                <w:rFonts w:ascii="宋体" w:hAnsi="宋体" w:cs="宋体"/>
                <w:b/>
                <w:bCs/>
                <w:color w:val="auto"/>
                <w:szCs w:val="21"/>
              </w:rPr>
            </w:pPr>
            <w:r>
              <w:rPr>
                <w:rFonts w:hint="eastAsia" w:ascii="宋体" w:hAnsi="宋体" w:cs="宋体"/>
                <w:b/>
                <w:bCs/>
                <w:color w:val="auto"/>
                <w:szCs w:val="21"/>
              </w:rPr>
              <w:t>最高单价限价（元）</w:t>
            </w:r>
          </w:p>
        </w:tc>
        <w:tc>
          <w:tcPr>
            <w:tcW w:w="1518" w:type="dxa"/>
            <w:tcBorders>
              <w:top w:val="single" w:color="auto" w:sz="4" w:space="0"/>
              <w:left w:val="nil"/>
              <w:bottom w:val="single" w:color="auto" w:sz="4" w:space="0"/>
              <w:right w:val="single" w:color="auto" w:sz="4" w:space="0"/>
            </w:tcBorders>
            <w:vAlign w:val="center"/>
          </w:tcPr>
          <w:p w14:paraId="3AEEE5BB">
            <w:pPr>
              <w:ind w:firstLine="211" w:firstLineChars="100"/>
              <w:jc w:val="center"/>
              <w:rPr>
                <w:rFonts w:ascii="宋体" w:hAnsi="宋体" w:cs="宋体"/>
                <w:b/>
                <w:bCs/>
                <w:color w:val="auto"/>
                <w:szCs w:val="21"/>
              </w:rPr>
            </w:pPr>
            <w:r>
              <w:rPr>
                <w:rFonts w:hint="eastAsia" w:ascii="宋体" w:hAnsi="宋体" w:cs="宋体"/>
                <w:b/>
                <w:bCs/>
                <w:color w:val="auto"/>
                <w:szCs w:val="21"/>
              </w:rPr>
              <w:t>合计（元）</w:t>
            </w:r>
          </w:p>
        </w:tc>
        <w:tc>
          <w:tcPr>
            <w:tcW w:w="2112" w:type="dxa"/>
            <w:tcBorders>
              <w:top w:val="single" w:color="auto" w:sz="4" w:space="0"/>
              <w:left w:val="nil"/>
              <w:bottom w:val="single" w:color="auto" w:sz="4" w:space="0"/>
              <w:right w:val="single" w:color="auto" w:sz="4" w:space="0"/>
            </w:tcBorders>
            <w:vAlign w:val="center"/>
          </w:tcPr>
          <w:p w14:paraId="79F00D9F">
            <w:pPr>
              <w:ind w:firstLine="211" w:firstLineChars="100"/>
              <w:jc w:val="center"/>
              <w:rPr>
                <w:rFonts w:ascii="宋体" w:hAnsi="宋体" w:cs="宋体"/>
                <w:b/>
                <w:bCs/>
                <w:color w:val="auto"/>
                <w:szCs w:val="21"/>
              </w:rPr>
            </w:pPr>
            <w:r>
              <w:rPr>
                <w:rFonts w:hint="eastAsia" w:ascii="宋体" w:hAnsi="宋体" w:cs="宋体"/>
                <w:b/>
                <w:bCs/>
                <w:color w:val="auto"/>
                <w:szCs w:val="21"/>
              </w:rPr>
              <w:t>参考图片</w:t>
            </w:r>
          </w:p>
        </w:tc>
      </w:tr>
      <w:tr w14:paraId="48CF3741">
        <w:tblPrEx>
          <w:tblCellMar>
            <w:top w:w="0" w:type="dxa"/>
            <w:left w:w="108" w:type="dxa"/>
            <w:bottom w:w="0" w:type="dxa"/>
            <w:right w:w="108" w:type="dxa"/>
          </w:tblCellMar>
        </w:tblPrEx>
        <w:trPr>
          <w:trHeight w:val="90" w:hRule="atLeast"/>
          <w:jc w:val="center"/>
        </w:trPr>
        <w:tc>
          <w:tcPr>
            <w:tcW w:w="623" w:type="dxa"/>
            <w:tcBorders>
              <w:top w:val="nil"/>
              <w:left w:val="single" w:color="auto" w:sz="4" w:space="0"/>
              <w:bottom w:val="single" w:color="auto" w:sz="4" w:space="0"/>
              <w:right w:val="single" w:color="auto" w:sz="4" w:space="0"/>
            </w:tcBorders>
            <w:vAlign w:val="center"/>
          </w:tcPr>
          <w:p w14:paraId="19E086EE">
            <w:pPr>
              <w:ind w:firstLine="210" w:firstLineChars="100"/>
              <w:rPr>
                <w:rFonts w:ascii="宋体" w:hAnsi="宋体" w:cs="Segoe UI"/>
                <w:color w:val="auto"/>
                <w:szCs w:val="21"/>
              </w:rPr>
            </w:pPr>
            <w:r>
              <w:rPr>
                <w:rFonts w:ascii="宋体" w:hAnsi="宋体" w:cs="Segoe UI"/>
                <w:color w:val="auto"/>
                <w:szCs w:val="21"/>
              </w:rPr>
              <w:t>1</w:t>
            </w:r>
          </w:p>
        </w:tc>
        <w:tc>
          <w:tcPr>
            <w:tcW w:w="1091" w:type="dxa"/>
            <w:tcBorders>
              <w:top w:val="nil"/>
              <w:left w:val="nil"/>
              <w:bottom w:val="single" w:color="auto" w:sz="4" w:space="0"/>
              <w:right w:val="single" w:color="auto" w:sz="4" w:space="0"/>
            </w:tcBorders>
            <w:vAlign w:val="center"/>
          </w:tcPr>
          <w:p w14:paraId="55A516F3">
            <w:pPr>
              <w:ind w:firstLine="210" w:firstLineChars="100"/>
              <w:rPr>
                <w:rFonts w:ascii="宋体" w:hAnsi="宋体" w:cs="Segoe UI"/>
                <w:color w:val="auto"/>
                <w:szCs w:val="21"/>
              </w:rPr>
            </w:pPr>
            <w:r>
              <w:rPr>
                <w:rFonts w:ascii="宋体" w:hAnsi="宋体" w:cs="Segoe UI"/>
                <w:color w:val="auto"/>
                <w:szCs w:val="21"/>
              </w:rPr>
              <w:t>接待台</w:t>
            </w:r>
          </w:p>
        </w:tc>
        <w:tc>
          <w:tcPr>
            <w:tcW w:w="6277" w:type="dxa"/>
            <w:tcBorders>
              <w:top w:val="nil"/>
              <w:left w:val="nil"/>
              <w:bottom w:val="single" w:color="auto" w:sz="4" w:space="0"/>
              <w:right w:val="single" w:color="auto" w:sz="4" w:space="0"/>
            </w:tcBorders>
          </w:tcPr>
          <w:p w14:paraId="396E54D9">
            <w:pPr>
              <w:rPr>
                <w:rFonts w:ascii="宋体" w:hAnsi="宋体" w:cs="宋体"/>
                <w:color w:val="auto"/>
                <w:szCs w:val="21"/>
              </w:rPr>
            </w:pPr>
            <w:r>
              <w:rPr>
                <w:rFonts w:hint="eastAsia" w:ascii="宋体" w:hAnsi="宋体" w:cs="宋体"/>
                <w:color w:val="auto"/>
                <w:szCs w:val="21"/>
              </w:rPr>
              <w:t>尺寸：2800×800×1000/750mm（高低台）</w:t>
            </w:r>
          </w:p>
          <w:p w14:paraId="58B9EA3D">
            <w:pPr>
              <w:rPr>
                <w:rFonts w:ascii="宋体" w:hAnsi="宋体" w:cs="宋体"/>
                <w:color w:val="auto"/>
                <w:szCs w:val="21"/>
              </w:rPr>
            </w:pPr>
            <w:r>
              <w:rPr>
                <w:rFonts w:hint="eastAsia" w:ascii="宋体" w:hAnsi="宋体" w:cs="宋体"/>
                <w:color w:val="auto"/>
                <w:szCs w:val="21"/>
              </w:rPr>
              <w:t>基材：柜体采用国家E</w:t>
            </w:r>
            <w:r>
              <w:rPr>
                <w:rFonts w:ascii="Cambria Math" w:hAnsi="Cambria Math" w:cs="Cambria Math"/>
                <w:color w:val="auto"/>
                <w:szCs w:val="21"/>
              </w:rPr>
              <w:t>₁</w:t>
            </w:r>
            <w:r>
              <w:rPr>
                <w:rFonts w:hint="eastAsia" w:ascii="宋体" w:hAnsi="宋体" w:cs="宋体"/>
                <w:color w:val="auto"/>
                <w:szCs w:val="21"/>
              </w:rPr>
              <w:t>级多层夹板，厚度≥18mm，含水率5~16%，甲醛释放量≤0.050mg/m³（GB 18580-2025 E</w:t>
            </w:r>
            <w:r>
              <w:rPr>
                <w:rFonts w:ascii="Cambria Math" w:hAnsi="Cambria Math" w:cs="Cambria Math"/>
                <w:color w:val="auto"/>
                <w:szCs w:val="21"/>
              </w:rPr>
              <w:t>₀</w:t>
            </w:r>
            <w:r>
              <w:rPr>
                <w:rFonts w:hint="eastAsia" w:ascii="宋体" w:hAnsi="宋体" w:cs="宋体"/>
                <w:color w:val="auto"/>
                <w:szCs w:val="21"/>
              </w:rPr>
              <w:t>级）</w:t>
            </w:r>
          </w:p>
          <w:p w14:paraId="6F5C0517">
            <w:pPr>
              <w:rPr>
                <w:rFonts w:ascii="宋体" w:hAnsi="宋体" w:cs="宋体"/>
                <w:color w:val="auto"/>
                <w:szCs w:val="21"/>
              </w:rPr>
            </w:pPr>
            <w:r>
              <w:rPr>
                <w:rFonts w:hint="eastAsia" w:ascii="宋体" w:hAnsi="宋体" w:cs="宋体"/>
                <w:color w:val="auto"/>
                <w:szCs w:val="21"/>
              </w:rPr>
              <w:t>台面：复合人造石，厚度≥12mm，符合JC/T 908-2013标准，耐液性、耐湿热、耐干热≥2级</w:t>
            </w:r>
          </w:p>
          <w:p w14:paraId="383C48E1">
            <w:pPr>
              <w:rPr>
                <w:rFonts w:ascii="宋体" w:hAnsi="宋体" w:cs="宋体"/>
                <w:color w:val="auto"/>
                <w:szCs w:val="21"/>
              </w:rPr>
            </w:pPr>
            <w:r>
              <w:rPr>
                <w:rFonts w:hint="eastAsia" w:ascii="宋体" w:hAnsi="宋体" w:cs="宋体"/>
                <w:color w:val="auto"/>
                <w:szCs w:val="21"/>
              </w:rPr>
              <w:t>五金：缓冲铰链（QB/T 2189-2013）、三节阻尼滑轨（QB/T 2454-2013）</w:t>
            </w:r>
          </w:p>
          <w:p w14:paraId="7BC4AD96">
            <w:pPr>
              <w:rPr>
                <w:rFonts w:ascii="宋体" w:hAnsi="宋体" w:cs="宋体"/>
                <w:color w:val="auto"/>
                <w:szCs w:val="21"/>
              </w:rPr>
            </w:pPr>
            <w:r>
              <w:rPr>
                <w:rFonts w:hint="eastAsia" w:ascii="宋体" w:hAnsi="宋体" w:cs="宋体"/>
                <w:color w:val="auto"/>
                <w:szCs w:val="21"/>
              </w:rPr>
              <w:t>结构：2-3个开门柜，含活动层板（高度可调），柜门配暗拉手或内凹式拉手（禁止使用尖锐外凸金属拉手）</w:t>
            </w:r>
          </w:p>
          <w:p w14:paraId="43444921">
            <w:pPr>
              <w:rPr>
                <w:rFonts w:ascii="宋体" w:hAnsi="宋体" w:cs="宋体"/>
                <w:color w:val="auto"/>
                <w:szCs w:val="21"/>
              </w:rPr>
            </w:pPr>
            <w:r>
              <w:rPr>
                <w:rFonts w:hint="eastAsia" w:ascii="宋体" w:hAnsi="宋体" w:cs="宋体"/>
                <w:color w:val="auto"/>
                <w:szCs w:val="21"/>
              </w:rPr>
              <w:t>高低台设计：低台高度750mm供轮椅使用者，高台高度1000mm供站立老人，台面边角圆角R≥10mm</w:t>
            </w:r>
          </w:p>
          <w:p w14:paraId="2DB657B9">
            <w:pPr>
              <w:rPr>
                <w:rFonts w:ascii="宋体" w:hAnsi="宋体" w:cs="宋体"/>
                <w:color w:val="auto"/>
                <w:szCs w:val="21"/>
              </w:rPr>
            </w:pPr>
            <w:r>
              <w:rPr>
                <w:rFonts w:hint="eastAsia" w:ascii="宋体" w:hAnsi="宋体" w:cs="宋体"/>
                <w:color w:val="auto"/>
                <w:szCs w:val="21"/>
              </w:rPr>
              <w:t>封边：PVC封边条厚度≥2mm，同色封边，倒圆角R≥5mm</w:t>
            </w:r>
          </w:p>
          <w:p w14:paraId="47501ACA">
            <w:pPr>
              <w:rPr>
                <w:rFonts w:ascii="宋体" w:hAnsi="宋体" w:cs="宋体"/>
                <w:color w:val="auto"/>
                <w:szCs w:val="21"/>
              </w:rPr>
            </w:pPr>
            <w:r>
              <w:rPr>
                <w:rFonts w:hint="eastAsia" w:ascii="宋体" w:hAnsi="宋体" w:cs="宋体"/>
                <w:color w:val="auto"/>
                <w:szCs w:val="21"/>
              </w:rPr>
              <w:t>油漆：环保净味漆，符合GB 18581-2020，苯＜0.3%，游离二异氰酸酯＜0.4%</w:t>
            </w:r>
          </w:p>
          <w:p w14:paraId="67209544">
            <w:pPr>
              <w:rPr>
                <w:rFonts w:ascii="宋体" w:hAnsi="宋体" w:cs="宋体"/>
                <w:color w:val="auto"/>
                <w:szCs w:val="21"/>
              </w:rPr>
            </w:pPr>
            <w:r>
              <w:rPr>
                <w:rFonts w:hint="eastAsia" w:ascii="宋体" w:hAnsi="宋体" w:cs="宋体"/>
                <w:color w:val="auto"/>
                <w:szCs w:val="21"/>
              </w:rPr>
              <w:t>成品标准：GB/T 3324-2017《木家具通用技术条件》及GB/T 35607-2024《绿色产品评价 家具》</w:t>
            </w:r>
          </w:p>
          <w:p w14:paraId="680B4265">
            <w:pPr>
              <w:rPr>
                <w:rFonts w:ascii="宋体" w:hAnsi="宋体" w:cs="宋体"/>
                <w:color w:val="auto"/>
                <w:szCs w:val="21"/>
              </w:rPr>
            </w:pPr>
            <w:r>
              <w:rPr>
                <w:rFonts w:hint="eastAsia" w:ascii="宋体" w:hAnsi="宋体" w:cs="宋体"/>
                <w:color w:val="auto"/>
                <w:szCs w:val="21"/>
              </w:rPr>
              <w:t>适老化设计：高低台面满足轮椅及站立双需求；柜门暗拉手防止勾绊；边角圆角处理</w:t>
            </w:r>
          </w:p>
          <w:p w14:paraId="12FEFDBA">
            <w:pPr>
              <w:rPr>
                <w:rFonts w:ascii="宋体" w:hAnsi="宋体" w:cs="Segoe UI"/>
                <w:color w:val="auto"/>
                <w:szCs w:val="21"/>
              </w:rPr>
            </w:pPr>
            <w:r>
              <w:rPr>
                <w:rFonts w:hint="eastAsia" w:ascii="宋体" w:hAnsi="宋体" w:cs="宋体"/>
                <w:color w:val="auto"/>
                <w:szCs w:val="21"/>
              </w:rPr>
              <w:t>适用区域：</w:t>
            </w:r>
            <w:r>
              <w:rPr>
                <w:rFonts w:hint="eastAsia" w:ascii="宋体" w:hAnsi="宋体" w:cs="Segoe UI"/>
                <w:color w:val="auto"/>
                <w:szCs w:val="21"/>
              </w:rPr>
              <w:t>一层接待</w:t>
            </w:r>
            <w:r>
              <w:rPr>
                <w:rFonts w:ascii="宋体" w:hAnsi="宋体" w:cs="Segoe UI"/>
                <w:color w:val="auto"/>
                <w:szCs w:val="21"/>
              </w:rPr>
              <w:t>/</w:t>
            </w:r>
            <w:r>
              <w:rPr>
                <w:rFonts w:hint="eastAsia" w:ascii="宋体" w:hAnsi="宋体" w:cs="Segoe UI"/>
                <w:color w:val="auto"/>
                <w:szCs w:val="21"/>
              </w:rPr>
              <w:t>洽谈区</w:t>
            </w:r>
          </w:p>
          <w:p w14:paraId="5B5884A9">
            <w:pPr>
              <w:rPr>
                <w:rFonts w:ascii="宋体" w:hAnsi="宋体" w:cs="宋体"/>
                <w:b/>
                <w:bCs/>
                <w:color w:val="auto"/>
                <w:szCs w:val="21"/>
              </w:rPr>
            </w:pPr>
          </w:p>
        </w:tc>
        <w:tc>
          <w:tcPr>
            <w:tcW w:w="821" w:type="dxa"/>
            <w:tcBorders>
              <w:top w:val="nil"/>
              <w:left w:val="nil"/>
              <w:bottom w:val="single" w:color="auto" w:sz="4" w:space="0"/>
              <w:right w:val="single" w:color="auto" w:sz="4" w:space="0"/>
            </w:tcBorders>
            <w:vAlign w:val="center"/>
          </w:tcPr>
          <w:p w14:paraId="6DE63B28">
            <w:pPr>
              <w:ind w:firstLine="210" w:firstLineChars="100"/>
              <w:rPr>
                <w:rFonts w:ascii="宋体" w:hAnsi="宋体" w:cs="Segoe UI"/>
                <w:color w:val="auto"/>
                <w:szCs w:val="21"/>
              </w:rPr>
            </w:pPr>
            <w:r>
              <w:rPr>
                <w:rFonts w:ascii="宋体" w:hAnsi="宋体" w:cs="Segoe UI"/>
                <w:color w:val="auto"/>
                <w:szCs w:val="21"/>
              </w:rPr>
              <w:t>套</w:t>
            </w:r>
          </w:p>
        </w:tc>
        <w:tc>
          <w:tcPr>
            <w:tcW w:w="1034" w:type="dxa"/>
            <w:tcBorders>
              <w:top w:val="nil"/>
              <w:left w:val="nil"/>
              <w:bottom w:val="single" w:color="auto" w:sz="4" w:space="0"/>
              <w:right w:val="single" w:color="auto" w:sz="4" w:space="0"/>
            </w:tcBorders>
            <w:vAlign w:val="center"/>
          </w:tcPr>
          <w:p w14:paraId="34785FB9">
            <w:pPr>
              <w:ind w:firstLine="210" w:firstLineChars="100"/>
              <w:rPr>
                <w:rFonts w:ascii="宋体" w:hAnsi="宋体" w:cs="Segoe UI"/>
                <w:color w:val="auto"/>
                <w:szCs w:val="21"/>
              </w:rPr>
            </w:pPr>
            <w:r>
              <w:rPr>
                <w:rFonts w:ascii="宋体" w:hAnsi="宋体" w:cs="Segoe UI"/>
                <w:color w:val="auto"/>
                <w:szCs w:val="21"/>
              </w:rPr>
              <w:t>1</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08FD0F28">
            <w:pPr>
              <w:ind w:firstLine="210" w:firstLineChars="100"/>
              <w:rPr>
                <w:rFonts w:ascii="宋体" w:hAnsi="宋体" w:cs="Segoe UI"/>
                <w:color w:val="auto"/>
                <w:szCs w:val="21"/>
              </w:rPr>
            </w:pPr>
            <w:r>
              <w:rPr>
                <w:rFonts w:ascii="宋体" w:hAnsi="宋体" w:cs="Segoe UI"/>
                <w:color w:val="auto"/>
                <w:szCs w:val="21"/>
              </w:rPr>
              <w:t>17204.4</w:t>
            </w:r>
            <w:r>
              <w:rPr>
                <w:rFonts w:hint="eastAsia" w:ascii="宋体" w:hAnsi="宋体" w:cs="Segoe UI"/>
                <w:color w:val="auto"/>
                <w:szCs w:val="21"/>
              </w:rPr>
              <w:t>0</w:t>
            </w:r>
          </w:p>
        </w:tc>
        <w:tc>
          <w:tcPr>
            <w:tcW w:w="1518" w:type="dxa"/>
            <w:tcBorders>
              <w:top w:val="nil"/>
              <w:left w:val="nil"/>
              <w:bottom w:val="single" w:color="auto" w:sz="4" w:space="0"/>
              <w:right w:val="single" w:color="auto" w:sz="4" w:space="0"/>
            </w:tcBorders>
            <w:vAlign w:val="center"/>
          </w:tcPr>
          <w:p w14:paraId="6F3B27ED">
            <w:pPr>
              <w:ind w:firstLine="210" w:firstLineChars="100"/>
              <w:rPr>
                <w:rFonts w:ascii="宋体" w:hAnsi="宋体" w:cs="Segoe UI"/>
                <w:color w:val="auto"/>
                <w:szCs w:val="21"/>
              </w:rPr>
            </w:pPr>
            <w:r>
              <w:rPr>
                <w:rFonts w:ascii="宋体" w:hAnsi="宋体" w:cs="Segoe UI"/>
                <w:color w:val="auto"/>
                <w:szCs w:val="21"/>
              </w:rPr>
              <w:t>17204.4</w:t>
            </w:r>
            <w:r>
              <w:rPr>
                <w:rFonts w:hint="eastAsia" w:ascii="宋体" w:hAnsi="宋体" w:cs="Segoe UI"/>
                <w:color w:val="auto"/>
                <w:szCs w:val="21"/>
              </w:rPr>
              <w:t>0</w:t>
            </w:r>
          </w:p>
        </w:tc>
        <w:tc>
          <w:tcPr>
            <w:tcW w:w="2112" w:type="dxa"/>
            <w:tcBorders>
              <w:top w:val="nil"/>
              <w:left w:val="nil"/>
              <w:bottom w:val="single" w:color="auto" w:sz="4" w:space="0"/>
              <w:right w:val="single" w:color="auto" w:sz="4" w:space="0"/>
            </w:tcBorders>
          </w:tcPr>
          <w:p w14:paraId="4B77AA5B">
            <w:pPr>
              <w:ind w:firstLine="210" w:firstLineChars="100"/>
              <w:rPr>
                <w:rFonts w:ascii="宋体" w:hAnsi="宋体" w:cs="Segoe UI"/>
                <w:color w:val="auto"/>
                <w:szCs w:val="21"/>
              </w:rPr>
            </w:pPr>
            <w:r>
              <w:rPr>
                <w:rFonts w:ascii="宋体" w:hAnsi="宋体"/>
                <w:color w:val="auto"/>
                <w:szCs w:val="21"/>
              </w:rPr>
              <w:drawing>
                <wp:anchor distT="0" distB="0" distL="114300" distR="114300" simplePos="0" relativeHeight="251659264" behindDoc="0" locked="0" layoutInCell="1" allowOverlap="1">
                  <wp:simplePos x="0" y="0"/>
                  <wp:positionH relativeFrom="column">
                    <wp:posOffset>-57785</wp:posOffset>
                  </wp:positionH>
                  <wp:positionV relativeFrom="paragraph">
                    <wp:posOffset>1125855</wp:posOffset>
                  </wp:positionV>
                  <wp:extent cx="1336675" cy="800100"/>
                  <wp:effectExtent l="0" t="0" r="15875" b="0"/>
                  <wp:wrapNone/>
                  <wp:docPr id="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6675" cy="800100"/>
                          </a:xfrm>
                          <a:prstGeom prst="rect">
                            <a:avLst/>
                          </a:prstGeom>
                          <a:noFill/>
                          <a:ln w="9525">
                            <a:noFill/>
                          </a:ln>
                        </pic:spPr>
                      </pic:pic>
                    </a:graphicData>
                  </a:graphic>
                </wp:anchor>
              </w:drawing>
            </w:r>
          </w:p>
        </w:tc>
      </w:tr>
      <w:tr w14:paraId="43491FA7">
        <w:tblPrEx>
          <w:tblCellMar>
            <w:top w:w="0" w:type="dxa"/>
            <w:left w:w="108" w:type="dxa"/>
            <w:bottom w:w="0" w:type="dxa"/>
            <w:right w:w="108" w:type="dxa"/>
          </w:tblCellMar>
        </w:tblPrEx>
        <w:trPr>
          <w:trHeight w:val="2008" w:hRule="atLeast"/>
          <w:jc w:val="center"/>
        </w:trPr>
        <w:tc>
          <w:tcPr>
            <w:tcW w:w="623" w:type="dxa"/>
            <w:tcBorders>
              <w:top w:val="nil"/>
              <w:left w:val="single" w:color="auto" w:sz="4" w:space="0"/>
              <w:bottom w:val="single" w:color="auto" w:sz="4" w:space="0"/>
              <w:right w:val="single" w:color="auto" w:sz="4" w:space="0"/>
            </w:tcBorders>
            <w:vAlign w:val="center"/>
          </w:tcPr>
          <w:p w14:paraId="50879C6B">
            <w:pPr>
              <w:ind w:firstLine="210" w:firstLineChars="100"/>
              <w:rPr>
                <w:rFonts w:ascii="宋体" w:hAnsi="宋体" w:cs="Segoe UI"/>
                <w:color w:val="auto"/>
                <w:szCs w:val="21"/>
              </w:rPr>
            </w:pPr>
            <w:r>
              <w:rPr>
                <w:rFonts w:ascii="宋体" w:hAnsi="宋体" w:cs="Segoe UI"/>
                <w:color w:val="auto"/>
                <w:szCs w:val="21"/>
              </w:rPr>
              <w:t>2</w:t>
            </w:r>
          </w:p>
        </w:tc>
        <w:tc>
          <w:tcPr>
            <w:tcW w:w="1091" w:type="dxa"/>
            <w:tcBorders>
              <w:top w:val="nil"/>
              <w:left w:val="nil"/>
              <w:bottom w:val="single" w:color="auto" w:sz="4" w:space="0"/>
              <w:right w:val="single" w:color="auto" w:sz="4" w:space="0"/>
            </w:tcBorders>
            <w:vAlign w:val="center"/>
          </w:tcPr>
          <w:p w14:paraId="7D888C9C">
            <w:pPr>
              <w:rPr>
                <w:rFonts w:ascii="宋体" w:hAnsi="宋体" w:cs="Segoe UI"/>
                <w:color w:val="auto"/>
                <w:szCs w:val="21"/>
              </w:rPr>
            </w:pPr>
            <w:r>
              <w:rPr>
                <w:rFonts w:ascii="宋体" w:hAnsi="宋体" w:cs="Segoe UI"/>
                <w:color w:val="auto"/>
                <w:szCs w:val="21"/>
              </w:rPr>
              <w:t>三人沙发</w:t>
            </w:r>
          </w:p>
        </w:tc>
        <w:tc>
          <w:tcPr>
            <w:tcW w:w="6277" w:type="dxa"/>
            <w:tcBorders>
              <w:top w:val="nil"/>
              <w:left w:val="nil"/>
              <w:bottom w:val="single" w:color="auto" w:sz="4" w:space="0"/>
              <w:right w:val="single" w:color="auto" w:sz="4" w:space="0"/>
            </w:tcBorders>
            <w:vAlign w:val="center"/>
          </w:tcPr>
          <w:p w14:paraId="7A873168">
            <w:pPr>
              <w:rPr>
                <w:rFonts w:ascii="宋体" w:hAnsi="宋体" w:cs="宋体"/>
                <w:color w:val="auto"/>
                <w:szCs w:val="21"/>
              </w:rPr>
            </w:pPr>
            <w:r>
              <w:rPr>
                <w:rFonts w:hint="eastAsia" w:ascii="宋体" w:hAnsi="宋体" w:cs="宋体"/>
                <w:color w:val="auto"/>
                <w:szCs w:val="21"/>
              </w:rPr>
              <w:t>尺寸 1900×750×800mm（座高420-450mm）</w:t>
            </w:r>
            <w:r>
              <w:rPr>
                <w:rFonts w:hint="eastAsia" w:ascii="宋体" w:hAnsi="宋体" w:cs="宋体"/>
                <w:color w:val="auto"/>
                <w:szCs w:val="21"/>
              </w:rPr>
              <w:br w:type="textWrapping"/>
            </w:r>
            <w:r>
              <w:rPr>
                <w:rFonts w:hint="eastAsia" w:ascii="宋体" w:hAnsi="宋体" w:cs="宋体"/>
                <w:color w:val="auto"/>
                <w:szCs w:val="21"/>
              </w:rPr>
              <w:t>框架 进口白蜡木原木，无节子/裂纹，含水率≤12%，防腐防虫处理</w:t>
            </w:r>
            <w:r>
              <w:rPr>
                <w:rFonts w:hint="eastAsia" w:ascii="宋体" w:hAnsi="宋体" w:cs="宋体"/>
                <w:color w:val="auto"/>
                <w:szCs w:val="21"/>
              </w:rPr>
              <w:br w:type="textWrapping"/>
            </w:r>
            <w:r>
              <w:rPr>
                <w:rFonts w:hint="eastAsia" w:ascii="宋体" w:hAnsi="宋体" w:cs="宋体"/>
                <w:color w:val="auto"/>
                <w:szCs w:val="21"/>
              </w:rPr>
              <w:t>油漆 嘉宝莉/大宝净味漆，5底3面，符合GB 18581-2020，硬度2H-3H</w:t>
            </w:r>
            <w:r>
              <w:rPr>
                <w:rFonts w:hint="eastAsia" w:ascii="宋体" w:hAnsi="宋体" w:cs="宋体"/>
                <w:color w:val="auto"/>
                <w:szCs w:val="21"/>
              </w:rPr>
              <w:br w:type="textWrapping"/>
            </w:r>
            <w:r>
              <w:rPr>
                <w:rFonts w:hint="eastAsia" w:ascii="宋体" w:hAnsi="宋体" w:cs="宋体"/>
                <w:color w:val="auto"/>
                <w:szCs w:val="21"/>
              </w:rPr>
              <w:t>海绵 PU阻燃高密度海绵，密度≥45kg/m³，回弹率≥50%，拉伸强度≥80kPa，伸长率≥150%，阻燃等级符合GB 17927.1-2011</w:t>
            </w:r>
            <w:r>
              <w:rPr>
                <w:rFonts w:hint="eastAsia" w:ascii="宋体" w:hAnsi="宋体" w:cs="宋体"/>
                <w:color w:val="auto"/>
                <w:szCs w:val="21"/>
              </w:rPr>
              <w:br w:type="textWrapping"/>
            </w:r>
            <w:r>
              <w:rPr>
                <w:rFonts w:hint="eastAsia" w:ascii="宋体" w:hAnsi="宋体" w:cs="宋体"/>
                <w:color w:val="auto"/>
                <w:szCs w:val="21"/>
              </w:rPr>
              <w:t>软包面料 超纤皮，耐磨≥50万次（GB/T 3920），可含氯消毒液擦洗，防水，抗菌性能符合QB/T 4371-2012</w:t>
            </w:r>
            <w:r>
              <w:rPr>
                <w:rFonts w:hint="eastAsia" w:ascii="宋体" w:hAnsi="宋体" w:cs="宋体"/>
                <w:color w:val="auto"/>
                <w:szCs w:val="21"/>
              </w:rPr>
              <w:br w:type="textWrapping"/>
            </w:r>
            <w:r>
              <w:rPr>
                <w:rFonts w:hint="eastAsia" w:ascii="宋体" w:hAnsi="宋体" w:cs="宋体"/>
                <w:color w:val="auto"/>
                <w:szCs w:val="21"/>
              </w:rPr>
              <w:t>胶水 符合GB 18583-2008《室内装饰装修材料 胶粘剂中有害物质限量》</w:t>
            </w:r>
            <w:r>
              <w:rPr>
                <w:rFonts w:hint="eastAsia" w:ascii="宋体" w:hAnsi="宋体" w:cs="宋体"/>
                <w:color w:val="auto"/>
                <w:szCs w:val="21"/>
              </w:rPr>
              <w:br w:type="textWrapping"/>
            </w:r>
            <w:r>
              <w:rPr>
                <w:rFonts w:hint="eastAsia" w:ascii="宋体" w:hAnsi="宋体" w:cs="宋体"/>
                <w:color w:val="auto"/>
                <w:szCs w:val="21"/>
              </w:rPr>
              <w:t>座深 ≥500mm，靠背倾角100°-110°</w:t>
            </w:r>
            <w:r>
              <w:rPr>
                <w:rFonts w:hint="eastAsia" w:ascii="宋体" w:hAnsi="宋体" w:cs="宋体"/>
                <w:color w:val="auto"/>
                <w:szCs w:val="21"/>
              </w:rPr>
              <w:br w:type="textWrapping"/>
            </w:r>
            <w:r>
              <w:rPr>
                <w:rFonts w:hint="eastAsia" w:ascii="宋体" w:hAnsi="宋体" w:cs="宋体"/>
                <w:color w:val="auto"/>
                <w:szCs w:val="21"/>
              </w:rPr>
              <w:t>扶手 宽度≥50mm，高度200-250mm，前端圆滑，具备防滑性能</w:t>
            </w:r>
            <w:r>
              <w:rPr>
                <w:rFonts w:hint="eastAsia" w:ascii="宋体" w:hAnsi="宋体" w:cs="宋体"/>
                <w:color w:val="auto"/>
                <w:szCs w:val="21"/>
              </w:rPr>
              <w:br w:type="textWrapping"/>
            </w:r>
            <w:r>
              <w:rPr>
                <w:rFonts w:hint="eastAsia" w:ascii="宋体" w:hAnsi="宋体" w:cs="宋体"/>
                <w:color w:val="auto"/>
                <w:szCs w:val="21"/>
              </w:rPr>
              <w:t>脚垫 配置防滑脚垫</w:t>
            </w:r>
            <w:r>
              <w:rPr>
                <w:rFonts w:hint="eastAsia" w:ascii="宋体" w:hAnsi="宋体" w:cs="宋体"/>
                <w:color w:val="auto"/>
                <w:szCs w:val="21"/>
              </w:rPr>
              <w:br w:type="textWrapping"/>
            </w:r>
            <w:r>
              <w:rPr>
                <w:rFonts w:hint="eastAsia" w:ascii="宋体" w:hAnsi="宋体" w:cs="宋体"/>
                <w:color w:val="auto"/>
                <w:szCs w:val="21"/>
              </w:rPr>
              <w:t>成品标准 GB/T 35607-2024及GB/T 46015-2025《适老家具 设计指南》</w:t>
            </w:r>
            <w:r>
              <w:rPr>
                <w:rFonts w:hint="eastAsia" w:ascii="宋体" w:hAnsi="宋体" w:cs="宋体"/>
                <w:color w:val="auto"/>
                <w:szCs w:val="21"/>
              </w:rPr>
              <w:br w:type="textWrapping"/>
            </w:r>
            <w:r>
              <w:rPr>
                <w:rFonts w:hint="eastAsia" w:ascii="宋体" w:hAnsi="宋体" w:cs="宋体"/>
                <w:color w:val="auto"/>
                <w:szCs w:val="21"/>
              </w:rPr>
              <w:t>适老化设计 座高适宜老人起坐（420-450mm）；扶手宽度充足便于撑扶；软包防水易清洁</w:t>
            </w:r>
          </w:p>
          <w:p w14:paraId="2F7F62FC">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一层接待/洽谈区</w:t>
            </w:r>
          </w:p>
        </w:tc>
        <w:tc>
          <w:tcPr>
            <w:tcW w:w="821" w:type="dxa"/>
            <w:tcBorders>
              <w:top w:val="nil"/>
              <w:left w:val="nil"/>
              <w:bottom w:val="single" w:color="auto" w:sz="4" w:space="0"/>
              <w:right w:val="single" w:color="auto" w:sz="4" w:space="0"/>
            </w:tcBorders>
            <w:vAlign w:val="center"/>
          </w:tcPr>
          <w:p w14:paraId="45052F4B">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72F4309A">
            <w:pPr>
              <w:ind w:firstLine="210" w:firstLineChars="100"/>
              <w:rPr>
                <w:rFonts w:ascii="宋体" w:hAnsi="宋体" w:cs="Segoe UI"/>
                <w:color w:val="auto"/>
                <w:szCs w:val="21"/>
              </w:rPr>
            </w:pPr>
            <w:r>
              <w:rPr>
                <w:rFonts w:ascii="宋体" w:hAnsi="宋体" w:cs="Segoe UI"/>
                <w:color w:val="auto"/>
                <w:szCs w:val="21"/>
              </w:rPr>
              <w:t>2</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1CF9746A">
            <w:pPr>
              <w:ind w:firstLine="210" w:firstLineChars="100"/>
              <w:rPr>
                <w:rFonts w:ascii="宋体" w:hAnsi="宋体" w:cs="Segoe UI"/>
                <w:color w:val="auto"/>
                <w:szCs w:val="21"/>
              </w:rPr>
            </w:pPr>
            <w:r>
              <w:rPr>
                <w:rFonts w:ascii="宋体" w:hAnsi="宋体" w:cs="Segoe UI"/>
                <w:color w:val="auto"/>
                <w:szCs w:val="21"/>
              </w:rPr>
              <w:t>4484</w:t>
            </w:r>
            <w:r>
              <w:rPr>
                <w:rFonts w:hint="eastAsia" w:ascii="宋体" w:hAnsi="宋体" w:cs="Segoe UI"/>
                <w:color w:val="auto"/>
                <w:szCs w:val="21"/>
              </w:rPr>
              <w:t>.00</w:t>
            </w:r>
          </w:p>
        </w:tc>
        <w:tc>
          <w:tcPr>
            <w:tcW w:w="1518" w:type="dxa"/>
            <w:tcBorders>
              <w:top w:val="nil"/>
              <w:left w:val="nil"/>
              <w:bottom w:val="single" w:color="auto" w:sz="4" w:space="0"/>
              <w:right w:val="single" w:color="auto" w:sz="4" w:space="0"/>
            </w:tcBorders>
            <w:vAlign w:val="center"/>
          </w:tcPr>
          <w:p w14:paraId="28F3D2B6">
            <w:pPr>
              <w:ind w:firstLine="210" w:firstLineChars="100"/>
              <w:rPr>
                <w:rFonts w:ascii="宋体" w:hAnsi="宋体" w:cs="Segoe UI"/>
                <w:color w:val="auto"/>
                <w:szCs w:val="21"/>
              </w:rPr>
            </w:pPr>
            <w:r>
              <w:rPr>
                <w:rFonts w:ascii="宋体" w:hAnsi="宋体" w:cs="Segoe UI"/>
                <w:color w:val="auto"/>
                <w:szCs w:val="21"/>
              </w:rPr>
              <w:t>8968</w:t>
            </w:r>
            <w:r>
              <w:rPr>
                <w:rFonts w:hint="eastAsia" w:ascii="宋体" w:hAnsi="宋体" w:cs="Segoe UI"/>
                <w:color w:val="auto"/>
                <w:szCs w:val="21"/>
              </w:rPr>
              <w:t>.00</w:t>
            </w:r>
          </w:p>
        </w:tc>
        <w:tc>
          <w:tcPr>
            <w:tcW w:w="2112" w:type="dxa"/>
            <w:tcBorders>
              <w:top w:val="nil"/>
              <w:left w:val="nil"/>
              <w:bottom w:val="single" w:color="auto" w:sz="4" w:space="0"/>
              <w:right w:val="single" w:color="auto" w:sz="4" w:space="0"/>
            </w:tcBorders>
          </w:tcPr>
          <w:p w14:paraId="2CE75F8B">
            <w:pPr>
              <w:ind w:firstLine="210" w:firstLineChars="100"/>
              <w:rPr>
                <w:rFonts w:ascii="宋体" w:hAnsi="宋体" w:cs="Segoe UI"/>
                <w:color w:val="auto"/>
                <w:szCs w:val="21"/>
              </w:rPr>
            </w:pPr>
            <w:r>
              <w:rPr>
                <w:rFonts w:ascii="宋体" w:hAnsi="宋体"/>
                <w:color w:val="auto"/>
                <w:szCs w:val="21"/>
              </w:rPr>
              <w:drawing>
                <wp:anchor distT="0" distB="0" distL="114300" distR="114300" simplePos="0" relativeHeight="251660288" behindDoc="0" locked="0" layoutInCell="1" allowOverlap="1">
                  <wp:simplePos x="0" y="0"/>
                  <wp:positionH relativeFrom="column">
                    <wp:posOffset>18415</wp:posOffset>
                  </wp:positionH>
                  <wp:positionV relativeFrom="paragraph">
                    <wp:posOffset>1240155</wp:posOffset>
                  </wp:positionV>
                  <wp:extent cx="1189990" cy="964565"/>
                  <wp:effectExtent l="0" t="0" r="10160" b="6985"/>
                  <wp:wrapNone/>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9990" cy="964565"/>
                          </a:xfrm>
                          <a:prstGeom prst="rect">
                            <a:avLst/>
                          </a:prstGeom>
                          <a:noFill/>
                          <a:ln w="9525">
                            <a:noFill/>
                          </a:ln>
                        </pic:spPr>
                      </pic:pic>
                    </a:graphicData>
                  </a:graphic>
                </wp:anchor>
              </w:drawing>
            </w:r>
          </w:p>
        </w:tc>
      </w:tr>
      <w:tr w14:paraId="599D5E91">
        <w:tblPrEx>
          <w:tblCellMar>
            <w:top w:w="0" w:type="dxa"/>
            <w:left w:w="108" w:type="dxa"/>
            <w:bottom w:w="0" w:type="dxa"/>
            <w:right w:w="108" w:type="dxa"/>
          </w:tblCellMar>
        </w:tblPrEx>
        <w:trPr>
          <w:trHeight w:val="3129" w:hRule="atLeast"/>
          <w:jc w:val="center"/>
        </w:trPr>
        <w:tc>
          <w:tcPr>
            <w:tcW w:w="623" w:type="dxa"/>
            <w:tcBorders>
              <w:top w:val="nil"/>
              <w:left w:val="single" w:color="auto" w:sz="4" w:space="0"/>
              <w:bottom w:val="single" w:color="auto" w:sz="4" w:space="0"/>
              <w:right w:val="single" w:color="auto" w:sz="4" w:space="0"/>
            </w:tcBorders>
            <w:vAlign w:val="center"/>
          </w:tcPr>
          <w:p w14:paraId="6750206F">
            <w:pPr>
              <w:ind w:firstLine="210" w:firstLineChars="100"/>
              <w:rPr>
                <w:rFonts w:ascii="宋体" w:hAnsi="宋体" w:cs="Segoe UI"/>
                <w:color w:val="auto"/>
                <w:szCs w:val="21"/>
              </w:rPr>
            </w:pPr>
            <w:r>
              <w:rPr>
                <w:rFonts w:ascii="宋体" w:hAnsi="宋体" w:cs="Segoe UI"/>
                <w:color w:val="auto"/>
                <w:szCs w:val="21"/>
              </w:rPr>
              <w:t>3</w:t>
            </w:r>
          </w:p>
        </w:tc>
        <w:tc>
          <w:tcPr>
            <w:tcW w:w="1091" w:type="dxa"/>
            <w:tcBorders>
              <w:top w:val="nil"/>
              <w:left w:val="nil"/>
              <w:bottom w:val="single" w:color="auto" w:sz="4" w:space="0"/>
              <w:right w:val="single" w:color="auto" w:sz="4" w:space="0"/>
            </w:tcBorders>
            <w:vAlign w:val="center"/>
          </w:tcPr>
          <w:p w14:paraId="07F92934">
            <w:pPr>
              <w:rPr>
                <w:rFonts w:ascii="宋体" w:hAnsi="宋体" w:cs="Segoe UI"/>
                <w:color w:val="auto"/>
                <w:szCs w:val="21"/>
              </w:rPr>
            </w:pPr>
            <w:r>
              <w:rPr>
                <w:rFonts w:ascii="宋体" w:hAnsi="宋体" w:cs="Segoe UI"/>
                <w:color w:val="auto"/>
                <w:szCs w:val="21"/>
              </w:rPr>
              <w:t>单人沙发</w:t>
            </w:r>
          </w:p>
        </w:tc>
        <w:tc>
          <w:tcPr>
            <w:tcW w:w="6277" w:type="dxa"/>
            <w:tcBorders>
              <w:top w:val="nil"/>
              <w:left w:val="nil"/>
              <w:bottom w:val="single" w:color="auto" w:sz="4" w:space="0"/>
              <w:right w:val="single" w:color="auto" w:sz="4" w:space="0"/>
            </w:tcBorders>
            <w:vAlign w:val="center"/>
          </w:tcPr>
          <w:p w14:paraId="7CAE726C">
            <w:pPr>
              <w:rPr>
                <w:rFonts w:ascii="宋体" w:hAnsi="宋体" w:cs="宋体"/>
                <w:color w:val="auto"/>
                <w:szCs w:val="21"/>
              </w:rPr>
            </w:pPr>
            <w:r>
              <w:rPr>
                <w:rFonts w:hint="eastAsia" w:ascii="宋体" w:hAnsi="宋体" w:cs="宋体"/>
                <w:color w:val="auto"/>
                <w:szCs w:val="21"/>
              </w:rPr>
              <w:t>尺寸 900×750×800mm（座高420-450mm）</w:t>
            </w:r>
            <w:r>
              <w:rPr>
                <w:rFonts w:hint="eastAsia" w:ascii="宋体" w:hAnsi="宋体" w:cs="宋体"/>
                <w:color w:val="auto"/>
                <w:szCs w:val="21"/>
              </w:rPr>
              <w:br w:type="textWrapping"/>
            </w:r>
            <w:r>
              <w:rPr>
                <w:rFonts w:hint="eastAsia" w:ascii="宋体" w:hAnsi="宋体" w:cs="宋体"/>
                <w:color w:val="auto"/>
                <w:szCs w:val="21"/>
              </w:rPr>
              <w:t>技术参数 同序号2三人沙发（框架、油漆、海绵、软包面料、胶水、成品标准全部一致）</w:t>
            </w:r>
            <w:r>
              <w:rPr>
                <w:rFonts w:hint="eastAsia" w:ascii="宋体" w:hAnsi="宋体" w:cs="宋体"/>
                <w:color w:val="auto"/>
                <w:szCs w:val="21"/>
              </w:rPr>
              <w:br w:type="textWrapping"/>
            </w:r>
            <w:r>
              <w:rPr>
                <w:rFonts w:hint="eastAsia" w:ascii="宋体" w:hAnsi="宋体" w:cs="宋体"/>
                <w:color w:val="auto"/>
                <w:szCs w:val="21"/>
              </w:rPr>
              <w:t>座深 ≥500mm，靠背倾角100°-110°</w:t>
            </w:r>
            <w:r>
              <w:rPr>
                <w:rFonts w:hint="eastAsia" w:ascii="宋体" w:hAnsi="宋体" w:cs="宋体"/>
                <w:color w:val="auto"/>
                <w:szCs w:val="21"/>
              </w:rPr>
              <w:br w:type="textWrapping"/>
            </w:r>
            <w:r>
              <w:rPr>
                <w:rFonts w:hint="eastAsia" w:ascii="宋体" w:hAnsi="宋体" w:cs="宋体"/>
                <w:color w:val="auto"/>
                <w:szCs w:val="21"/>
              </w:rPr>
              <w:t>扶手 宽度≥50mm，高度200-250mm，前端圆滑，具备防滑性能</w:t>
            </w:r>
            <w:r>
              <w:rPr>
                <w:rFonts w:hint="eastAsia" w:ascii="宋体" w:hAnsi="宋体" w:cs="宋体"/>
                <w:color w:val="auto"/>
                <w:szCs w:val="21"/>
              </w:rPr>
              <w:br w:type="textWrapping"/>
            </w:r>
            <w:r>
              <w:rPr>
                <w:rFonts w:hint="eastAsia" w:ascii="宋体" w:hAnsi="宋体" w:cs="宋体"/>
                <w:color w:val="auto"/>
                <w:szCs w:val="21"/>
              </w:rPr>
              <w:t>脚垫 配置防滑脚垫</w:t>
            </w:r>
            <w:r>
              <w:rPr>
                <w:rFonts w:hint="eastAsia" w:ascii="宋体" w:hAnsi="宋体" w:cs="宋体"/>
                <w:color w:val="auto"/>
                <w:szCs w:val="21"/>
              </w:rPr>
              <w:br w:type="textWrapping"/>
            </w:r>
            <w:r>
              <w:rPr>
                <w:rFonts w:hint="eastAsia" w:ascii="宋体" w:hAnsi="宋体" w:cs="宋体"/>
                <w:color w:val="auto"/>
                <w:szCs w:val="21"/>
              </w:rPr>
              <w:t>适老化设计 同三人沙发，单人位便于灵活布置</w:t>
            </w:r>
          </w:p>
          <w:p w14:paraId="4B68A4D3">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一层接待/洽谈区</w:t>
            </w:r>
          </w:p>
        </w:tc>
        <w:tc>
          <w:tcPr>
            <w:tcW w:w="821" w:type="dxa"/>
            <w:tcBorders>
              <w:top w:val="nil"/>
              <w:left w:val="nil"/>
              <w:bottom w:val="single" w:color="auto" w:sz="4" w:space="0"/>
              <w:right w:val="single" w:color="auto" w:sz="4" w:space="0"/>
            </w:tcBorders>
            <w:vAlign w:val="center"/>
          </w:tcPr>
          <w:p w14:paraId="08881BC8">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689E7510">
            <w:pPr>
              <w:ind w:firstLine="210" w:firstLineChars="100"/>
              <w:rPr>
                <w:rFonts w:ascii="宋体" w:hAnsi="宋体" w:cs="Segoe UI"/>
                <w:color w:val="auto"/>
                <w:szCs w:val="21"/>
              </w:rPr>
            </w:pPr>
            <w:r>
              <w:rPr>
                <w:rFonts w:ascii="宋体" w:hAnsi="宋体" w:cs="Segoe UI"/>
                <w:color w:val="auto"/>
                <w:szCs w:val="21"/>
              </w:rPr>
              <w:t>4</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21FDC380">
            <w:pPr>
              <w:ind w:firstLine="210" w:firstLineChars="100"/>
              <w:rPr>
                <w:rFonts w:ascii="宋体" w:hAnsi="宋体" w:cs="Segoe UI"/>
                <w:color w:val="auto"/>
                <w:szCs w:val="21"/>
              </w:rPr>
            </w:pPr>
            <w:r>
              <w:rPr>
                <w:rFonts w:ascii="宋体" w:hAnsi="宋体" w:cs="Segoe UI"/>
                <w:color w:val="auto"/>
                <w:szCs w:val="21"/>
              </w:rPr>
              <w:t>2487.44</w:t>
            </w:r>
          </w:p>
        </w:tc>
        <w:tc>
          <w:tcPr>
            <w:tcW w:w="1518" w:type="dxa"/>
            <w:tcBorders>
              <w:top w:val="nil"/>
              <w:left w:val="nil"/>
              <w:bottom w:val="single" w:color="auto" w:sz="4" w:space="0"/>
              <w:right w:val="single" w:color="auto" w:sz="4" w:space="0"/>
            </w:tcBorders>
            <w:vAlign w:val="center"/>
          </w:tcPr>
          <w:p w14:paraId="1F41D36E">
            <w:pPr>
              <w:jc w:val="center"/>
              <w:rPr>
                <w:color w:val="auto"/>
              </w:rPr>
            </w:pPr>
            <w:r>
              <w:rPr>
                <w:color w:val="auto"/>
              </w:rPr>
              <w:t>9949.76</w:t>
            </w:r>
          </w:p>
        </w:tc>
        <w:tc>
          <w:tcPr>
            <w:tcW w:w="2112" w:type="dxa"/>
            <w:tcBorders>
              <w:top w:val="nil"/>
              <w:left w:val="nil"/>
              <w:bottom w:val="single" w:color="auto" w:sz="4" w:space="0"/>
              <w:right w:val="single" w:color="auto" w:sz="4" w:space="0"/>
            </w:tcBorders>
          </w:tcPr>
          <w:p w14:paraId="3B58D2D7">
            <w:pPr>
              <w:ind w:firstLine="210" w:firstLineChars="100"/>
              <w:rPr>
                <w:rFonts w:ascii="宋体" w:hAnsi="宋体" w:cs="Segoe UI"/>
                <w:color w:val="auto"/>
                <w:szCs w:val="21"/>
              </w:rPr>
            </w:pPr>
            <w:r>
              <w:rPr>
                <w:color w:val="auto"/>
              </w:rPr>
              <w:drawing>
                <wp:anchor distT="0" distB="0" distL="114300" distR="114300" simplePos="0" relativeHeight="251661312" behindDoc="0" locked="0" layoutInCell="1" allowOverlap="1">
                  <wp:simplePos x="0" y="0"/>
                  <wp:positionH relativeFrom="column">
                    <wp:posOffset>5080</wp:posOffset>
                  </wp:positionH>
                  <wp:positionV relativeFrom="paragraph">
                    <wp:posOffset>464185</wp:posOffset>
                  </wp:positionV>
                  <wp:extent cx="1276350" cy="1184910"/>
                  <wp:effectExtent l="0" t="0" r="0" b="0"/>
                  <wp:wrapNone/>
                  <wp:docPr id="4" name="图片 1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descr="0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6350" cy="1184962"/>
                          </a:xfrm>
                          <a:prstGeom prst="rect">
                            <a:avLst/>
                          </a:prstGeom>
                        </pic:spPr>
                      </pic:pic>
                    </a:graphicData>
                  </a:graphic>
                </wp:anchor>
              </w:drawing>
            </w:r>
          </w:p>
        </w:tc>
      </w:tr>
      <w:tr w14:paraId="6E29E24F">
        <w:tblPrEx>
          <w:tblCellMar>
            <w:top w:w="0" w:type="dxa"/>
            <w:left w:w="108" w:type="dxa"/>
            <w:bottom w:w="0" w:type="dxa"/>
            <w:right w:w="108" w:type="dxa"/>
          </w:tblCellMar>
        </w:tblPrEx>
        <w:trPr>
          <w:trHeight w:val="839" w:hRule="atLeast"/>
          <w:jc w:val="center"/>
        </w:trPr>
        <w:tc>
          <w:tcPr>
            <w:tcW w:w="623" w:type="dxa"/>
            <w:tcBorders>
              <w:top w:val="nil"/>
              <w:left w:val="single" w:color="auto" w:sz="4" w:space="0"/>
              <w:bottom w:val="single" w:color="auto" w:sz="4" w:space="0"/>
              <w:right w:val="single" w:color="auto" w:sz="4" w:space="0"/>
            </w:tcBorders>
            <w:vAlign w:val="center"/>
          </w:tcPr>
          <w:p w14:paraId="0541C010">
            <w:pPr>
              <w:ind w:firstLine="210" w:firstLineChars="100"/>
              <w:rPr>
                <w:rFonts w:ascii="宋体" w:hAnsi="宋体" w:cs="Segoe UI"/>
                <w:color w:val="auto"/>
                <w:szCs w:val="21"/>
              </w:rPr>
            </w:pPr>
            <w:r>
              <w:rPr>
                <w:rFonts w:ascii="宋体" w:hAnsi="宋体" w:cs="Segoe UI"/>
                <w:color w:val="auto"/>
                <w:szCs w:val="21"/>
              </w:rPr>
              <w:t>4</w:t>
            </w:r>
          </w:p>
        </w:tc>
        <w:tc>
          <w:tcPr>
            <w:tcW w:w="1091" w:type="dxa"/>
            <w:tcBorders>
              <w:top w:val="nil"/>
              <w:left w:val="nil"/>
              <w:bottom w:val="single" w:color="auto" w:sz="4" w:space="0"/>
              <w:right w:val="single" w:color="auto" w:sz="4" w:space="0"/>
            </w:tcBorders>
            <w:vAlign w:val="center"/>
          </w:tcPr>
          <w:p w14:paraId="4671E20E">
            <w:pPr>
              <w:ind w:firstLine="210" w:firstLineChars="100"/>
              <w:rPr>
                <w:rFonts w:ascii="宋体" w:hAnsi="宋体" w:cs="Segoe UI"/>
                <w:color w:val="auto"/>
                <w:szCs w:val="21"/>
              </w:rPr>
            </w:pPr>
            <w:r>
              <w:rPr>
                <w:rFonts w:ascii="宋体" w:hAnsi="宋体" w:cs="Segoe UI"/>
                <w:color w:val="auto"/>
                <w:szCs w:val="21"/>
              </w:rPr>
              <w:t>长茶几</w:t>
            </w:r>
          </w:p>
        </w:tc>
        <w:tc>
          <w:tcPr>
            <w:tcW w:w="6277" w:type="dxa"/>
            <w:tcBorders>
              <w:top w:val="nil"/>
              <w:left w:val="nil"/>
              <w:bottom w:val="single" w:color="auto" w:sz="4" w:space="0"/>
              <w:right w:val="single" w:color="auto" w:sz="4" w:space="0"/>
            </w:tcBorders>
            <w:vAlign w:val="center"/>
          </w:tcPr>
          <w:p w14:paraId="19FA0E6D">
            <w:pPr>
              <w:rPr>
                <w:rFonts w:ascii="宋体" w:hAnsi="宋体" w:cs="宋体"/>
                <w:color w:val="auto"/>
                <w:szCs w:val="21"/>
              </w:rPr>
            </w:pPr>
            <w:r>
              <w:rPr>
                <w:rFonts w:hint="eastAsia" w:ascii="宋体" w:hAnsi="宋体" w:cs="宋体"/>
                <w:color w:val="auto"/>
                <w:szCs w:val="21"/>
              </w:rPr>
              <w:t>尺寸 1200×700×500mm</w:t>
            </w:r>
            <w:r>
              <w:rPr>
                <w:rFonts w:hint="eastAsia" w:ascii="宋体" w:hAnsi="宋体" w:cs="宋体"/>
                <w:color w:val="auto"/>
                <w:szCs w:val="21"/>
              </w:rPr>
              <w:br w:type="textWrapping"/>
            </w:r>
            <w:r>
              <w:rPr>
                <w:rFonts w:hint="eastAsia" w:ascii="宋体" w:hAnsi="宋体" w:cs="宋体"/>
                <w:color w:val="auto"/>
                <w:szCs w:val="21"/>
              </w:rPr>
              <w:t>基材 白蜡木实木框架，含水率＜12%，无节子/裂纹，防腐防虫处理</w:t>
            </w:r>
            <w:r>
              <w:rPr>
                <w:rFonts w:hint="eastAsia" w:ascii="宋体" w:hAnsi="宋体" w:cs="宋体"/>
                <w:color w:val="auto"/>
                <w:szCs w:val="21"/>
              </w:rPr>
              <w:br w:type="textWrapping"/>
            </w:r>
            <w:r>
              <w:rPr>
                <w:rFonts w:hint="eastAsia" w:ascii="宋体" w:hAnsi="宋体" w:cs="宋体"/>
                <w:color w:val="auto"/>
                <w:szCs w:val="21"/>
              </w:rPr>
              <w:t>油漆 环保优质漆，三底两面，硬度2H，苯＜0.3%，游离二异氰酸酯＜0.4%，符合GB 18581-2020</w:t>
            </w:r>
            <w:r>
              <w:rPr>
                <w:rFonts w:hint="eastAsia" w:ascii="宋体" w:hAnsi="宋体" w:cs="宋体"/>
                <w:color w:val="auto"/>
                <w:szCs w:val="21"/>
              </w:rPr>
              <w:br w:type="textWrapping"/>
            </w:r>
            <w:r>
              <w:rPr>
                <w:rFonts w:hint="eastAsia" w:ascii="宋体" w:hAnsi="宋体" w:cs="宋体"/>
                <w:color w:val="auto"/>
                <w:szCs w:val="21"/>
              </w:rPr>
              <w:t>胶粘剂 符合GB 18583-2008</w:t>
            </w:r>
            <w:r>
              <w:rPr>
                <w:rFonts w:hint="eastAsia" w:ascii="宋体" w:hAnsi="宋体" w:cs="宋体"/>
                <w:color w:val="auto"/>
                <w:szCs w:val="21"/>
              </w:rPr>
              <w:br w:type="textWrapping"/>
            </w:r>
            <w:r>
              <w:rPr>
                <w:rFonts w:hint="eastAsia" w:ascii="宋体" w:hAnsi="宋体" w:cs="宋体"/>
                <w:color w:val="auto"/>
                <w:szCs w:val="21"/>
              </w:rPr>
              <w:t>台面 超纤皮软包或实木台面，防水、耐磨、易清洁</w:t>
            </w:r>
            <w:r>
              <w:rPr>
                <w:rFonts w:hint="eastAsia" w:ascii="宋体" w:hAnsi="宋体" w:cs="宋体"/>
                <w:color w:val="auto"/>
                <w:szCs w:val="21"/>
              </w:rPr>
              <w:br w:type="textWrapping"/>
            </w:r>
            <w:r>
              <w:rPr>
                <w:rFonts w:hint="eastAsia" w:ascii="宋体" w:hAnsi="宋体" w:cs="宋体"/>
                <w:color w:val="auto"/>
                <w:szCs w:val="21"/>
              </w:rPr>
              <w:t>海绵 高弹力聚氨酯，密度≥45kg/m³</w:t>
            </w:r>
            <w:r>
              <w:rPr>
                <w:rFonts w:hint="eastAsia" w:ascii="宋体" w:hAnsi="宋体" w:cs="宋体"/>
                <w:color w:val="auto"/>
                <w:szCs w:val="21"/>
              </w:rPr>
              <w:br w:type="textWrapping"/>
            </w:r>
            <w:r>
              <w:rPr>
                <w:rFonts w:hint="eastAsia" w:ascii="宋体" w:hAnsi="宋体" w:cs="宋体"/>
                <w:color w:val="auto"/>
                <w:szCs w:val="21"/>
              </w:rPr>
              <w:t>边角 所有外露边角倒圆角R≥10mm</w:t>
            </w:r>
            <w:r>
              <w:rPr>
                <w:rFonts w:hint="eastAsia" w:ascii="宋体" w:hAnsi="宋体" w:cs="宋体"/>
                <w:color w:val="auto"/>
                <w:szCs w:val="21"/>
              </w:rPr>
              <w:br w:type="textWrapping"/>
            </w:r>
            <w:r>
              <w:rPr>
                <w:rFonts w:hint="eastAsia" w:ascii="宋体" w:hAnsi="宋体" w:cs="宋体"/>
                <w:color w:val="auto"/>
                <w:szCs w:val="21"/>
              </w:rPr>
              <w:t>结构 四角圆滑，底部内缩便于轮椅靠近（轮椅容膝空间）</w:t>
            </w:r>
            <w:r>
              <w:rPr>
                <w:rFonts w:hint="eastAsia" w:ascii="宋体" w:hAnsi="宋体" w:cs="宋体"/>
                <w:color w:val="auto"/>
                <w:szCs w:val="21"/>
              </w:rPr>
              <w:br w:type="textWrapping"/>
            </w:r>
            <w:r>
              <w:rPr>
                <w:rFonts w:hint="eastAsia" w:ascii="宋体" w:hAnsi="宋体" w:cs="宋体"/>
                <w:color w:val="auto"/>
                <w:szCs w:val="21"/>
              </w:rPr>
              <w:t>成品标准 GB/T 3324-2017及GB/T 35607-2024</w:t>
            </w:r>
            <w:r>
              <w:rPr>
                <w:rFonts w:hint="eastAsia" w:ascii="宋体" w:hAnsi="宋体" w:cs="宋体"/>
                <w:color w:val="auto"/>
                <w:szCs w:val="21"/>
              </w:rPr>
              <w:br w:type="textWrapping"/>
            </w:r>
            <w:r>
              <w:rPr>
                <w:rFonts w:hint="eastAsia" w:ascii="宋体" w:hAnsi="宋体" w:cs="宋体"/>
                <w:color w:val="auto"/>
                <w:szCs w:val="21"/>
              </w:rPr>
              <w:t>适老化设计 高度500mm便于老人取放物品；边角大圆角防磕碰；底部内缩方便轮椅靠近</w:t>
            </w:r>
          </w:p>
          <w:p w14:paraId="29082F2F">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一层接待/洽谈区</w:t>
            </w:r>
          </w:p>
        </w:tc>
        <w:tc>
          <w:tcPr>
            <w:tcW w:w="821" w:type="dxa"/>
            <w:tcBorders>
              <w:top w:val="nil"/>
              <w:left w:val="nil"/>
              <w:bottom w:val="single" w:color="auto" w:sz="4" w:space="0"/>
              <w:right w:val="single" w:color="auto" w:sz="4" w:space="0"/>
            </w:tcBorders>
            <w:vAlign w:val="center"/>
          </w:tcPr>
          <w:p w14:paraId="3A06F1C5">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3775E849">
            <w:pPr>
              <w:ind w:firstLine="210" w:firstLineChars="100"/>
              <w:rPr>
                <w:rFonts w:ascii="宋体" w:hAnsi="宋体" w:cs="Segoe UI"/>
                <w:color w:val="auto"/>
                <w:szCs w:val="21"/>
              </w:rPr>
            </w:pPr>
            <w:r>
              <w:rPr>
                <w:rFonts w:ascii="宋体" w:hAnsi="宋体" w:cs="Segoe UI"/>
                <w:color w:val="auto"/>
                <w:szCs w:val="21"/>
              </w:rPr>
              <w:t>2</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415D0A91">
            <w:pPr>
              <w:ind w:firstLine="210" w:firstLineChars="100"/>
              <w:rPr>
                <w:rFonts w:ascii="宋体" w:hAnsi="宋体" w:cs="Segoe UI"/>
                <w:color w:val="auto"/>
                <w:szCs w:val="21"/>
              </w:rPr>
            </w:pPr>
            <w:r>
              <w:rPr>
                <w:rFonts w:ascii="宋体" w:hAnsi="宋体" w:cs="Segoe UI"/>
                <w:color w:val="auto"/>
                <w:szCs w:val="21"/>
              </w:rPr>
              <w:t>1982.4</w:t>
            </w:r>
            <w:r>
              <w:rPr>
                <w:rFonts w:hint="eastAsia" w:ascii="宋体" w:hAnsi="宋体" w:cs="Segoe UI"/>
                <w:color w:val="auto"/>
                <w:szCs w:val="21"/>
              </w:rPr>
              <w:t>0</w:t>
            </w:r>
          </w:p>
        </w:tc>
        <w:tc>
          <w:tcPr>
            <w:tcW w:w="1518" w:type="dxa"/>
            <w:tcBorders>
              <w:top w:val="nil"/>
              <w:left w:val="nil"/>
              <w:bottom w:val="single" w:color="auto" w:sz="4" w:space="0"/>
              <w:right w:val="single" w:color="auto" w:sz="4" w:space="0"/>
            </w:tcBorders>
            <w:vAlign w:val="center"/>
          </w:tcPr>
          <w:p w14:paraId="296B328C">
            <w:pPr>
              <w:ind w:firstLine="210" w:firstLineChars="100"/>
              <w:rPr>
                <w:rFonts w:ascii="宋体" w:hAnsi="宋体" w:cs="Segoe UI"/>
                <w:color w:val="auto"/>
                <w:szCs w:val="21"/>
              </w:rPr>
            </w:pPr>
            <w:r>
              <w:rPr>
                <w:rFonts w:ascii="宋体" w:hAnsi="宋体" w:cs="Segoe UI"/>
                <w:color w:val="auto"/>
                <w:szCs w:val="21"/>
              </w:rPr>
              <w:t>3964.8</w:t>
            </w:r>
            <w:r>
              <w:rPr>
                <w:rFonts w:hint="eastAsia" w:ascii="宋体" w:hAnsi="宋体" w:cs="Segoe UI"/>
                <w:color w:val="auto"/>
                <w:szCs w:val="21"/>
              </w:rPr>
              <w:t>0</w:t>
            </w:r>
          </w:p>
        </w:tc>
        <w:tc>
          <w:tcPr>
            <w:tcW w:w="2112" w:type="dxa"/>
            <w:tcBorders>
              <w:top w:val="nil"/>
              <w:left w:val="nil"/>
              <w:bottom w:val="single" w:color="auto" w:sz="4" w:space="0"/>
              <w:right w:val="single" w:color="auto" w:sz="4" w:space="0"/>
            </w:tcBorders>
          </w:tcPr>
          <w:p w14:paraId="107EDE7C">
            <w:pPr>
              <w:ind w:firstLine="210" w:firstLineChars="100"/>
              <w:rPr>
                <w:rFonts w:ascii="宋体" w:hAnsi="宋体" w:cs="Segoe UI"/>
                <w:color w:val="auto"/>
                <w:szCs w:val="21"/>
              </w:rPr>
            </w:pPr>
            <w:r>
              <w:rPr>
                <w:rFonts w:ascii="宋体" w:hAnsi="宋体"/>
                <w:color w:val="auto"/>
                <w:szCs w:val="21"/>
              </w:rPr>
              <w:drawing>
                <wp:anchor distT="0" distB="0" distL="114300" distR="114300" simplePos="0" relativeHeight="251662336" behindDoc="0" locked="0" layoutInCell="1" allowOverlap="1">
                  <wp:simplePos x="0" y="0"/>
                  <wp:positionH relativeFrom="column">
                    <wp:posOffset>-33655</wp:posOffset>
                  </wp:positionH>
                  <wp:positionV relativeFrom="paragraph">
                    <wp:posOffset>518795</wp:posOffset>
                  </wp:positionV>
                  <wp:extent cx="1381760" cy="970915"/>
                  <wp:effectExtent l="0" t="0" r="8890" b="635"/>
                  <wp:wrapNone/>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81760" cy="970915"/>
                          </a:xfrm>
                          <a:prstGeom prst="rect">
                            <a:avLst/>
                          </a:prstGeom>
                          <a:noFill/>
                          <a:ln w="9525">
                            <a:noFill/>
                          </a:ln>
                        </pic:spPr>
                      </pic:pic>
                    </a:graphicData>
                  </a:graphic>
                </wp:anchor>
              </w:drawing>
            </w:r>
          </w:p>
        </w:tc>
      </w:tr>
      <w:tr w14:paraId="657A8B98">
        <w:tblPrEx>
          <w:tblCellMar>
            <w:top w:w="0" w:type="dxa"/>
            <w:left w:w="108" w:type="dxa"/>
            <w:bottom w:w="0" w:type="dxa"/>
            <w:right w:w="108" w:type="dxa"/>
          </w:tblCellMar>
        </w:tblPrEx>
        <w:trPr>
          <w:trHeight w:val="4298" w:hRule="atLeast"/>
          <w:jc w:val="center"/>
        </w:trPr>
        <w:tc>
          <w:tcPr>
            <w:tcW w:w="623" w:type="dxa"/>
            <w:tcBorders>
              <w:top w:val="nil"/>
              <w:left w:val="single" w:color="auto" w:sz="4" w:space="0"/>
              <w:bottom w:val="single" w:color="auto" w:sz="4" w:space="0"/>
              <w:right w:val="single" w:color="auto" w:sz="4" w:space="0"/>
            </w:tcBorders>
            <w:vAlign w:val="center"/>
          </w:tcPr>
          <w:p w14:paraId="57DBD16E">
            <w:pPr>
              <w:ind w:firstLine="210" w:firstLineChars="100"/>
              <w:rPr>
                <w:rFonts w:ascii="宋体" w:hAnsi="宋体" w:cs="Segoe UI"/>
                <w:color w:val="auto"/>
                <w:szCs w:val="21"/>
              </w:rPr>
            </w:pPr>
            <w:r>
              <w:rPr>
                <w:rFonts w:ascii="宋体" w:hAnsi="宋体" w:cs="Segoe UI"/>
                <w:color w:val="auto"/>
                <w:szCs w:val="21"/>
              </w:rPr>
              <w:t>5</w:t>
            </w:r>
          </w:p>
        </w:tc>
        <w:tc>
          <w:tcPr>
            <w:tcW w:w="1091" w:type="dxa"/>
            <w:tcBorders>
              <w:top w:val="nil"/>
              <w:left w:val="nil"/>
              <w:bottom w:val="single" w:color="auto" w:sz="4" w:space="0"/>
              <w:right w:val="single" w:color="auto" w:sz="4" w:space="0"/>
            </w:tcBorders>
            <w:vAlign w:val="center"/>
          </w:tcPr>
          <w:p w14:paraId="26FE55FC">
            <w:pPr>
              <w:ind w:firstLine="210" w:firstLineChars="100"/>
              <w:rPr>
                <w:rFonts w:ascii="宋体" w:hAnsi="宋体" w:cs="Segoe UI"/>
                <w:color w:val="auto"/>
                <w:szCs w:val="21"/>
              </w:rPr>
            </w:pPr>
            <w:r>
              <w:rPr>
                <w:rFonts w:ascii="宋体" w:hAnsi="宋体" w:cs="Segoe UI"/>
                <w:color w:val="auto"/>
                <w:szCs w:val="21"/>
              </w:rPr>
              <w:t>边几</w:t>
            </w:r>
          </w:p>
        </w:tc>
        <w:tc>
          <w:tcPr>
            <w:tcW w:w="6277" w:type="dxa"/>
            <w:tcBorders>
              <w:top w:val="nil"/>
              <w:left w:val="nil"/>
              <w:bottom w:val="single" w:color="auto" w:sz="4" w:space="0"/>
              <w:right w:val="single" w:color="auto" w:sz="4" w:space="0"/>
            </w:tcBorders>
            <w:vAlign w:val="center"/>
          </w:tcPr>
          <w:p w14:paraId="0635630A">
            <w:pPr>
              <w:rPr>
                <w:rFonts w:ascii="宋体" w:hAnsi="宋体" w:cs="宋体"/>
                <w:color w:val="auto"/>
                <w:szCs w:val="21"/>
              </w:rPr>
            </w:pPr>
            <w:r>
              <w:rPr>
                <w:rFonts w:hint="eastAsia" w:ascii="宋体" w:hAnsi="宋体" w:cs="宋体"/>
                <w:color w:val="auto"/>
                <w:szCs w:val="21"/>
              </w:rPr>
              <w:t>尺寸 500×500×600mm</w:t>
            </w:r>
            <w:r>
              <w:rPr>
                <w:rFonts w:hint="eastAsia" w:ascii="宋体" w:hAnsi="宋体" w:cs="宋体"/>
                <w:color w:val="auto"/>
                <w:szCs w:val="21"/>
              </w:rPr>
              <w:br w:type="textWrapping"/>
            </w:r>
            <w:r>
              <w:rPr>
                <w:rFonts w:hint="eastAsia" w:ascii="宋体" w:hAnsi="宋体" w:cs="宋体"/>
                <w:color w:val="auto"/>
                <w:szCs w:val="21"/>
              </w:rPr>
              <w:t>基材 白蜡木实木框架，含水率＜12%，无节子/裂纹</w:t>
            </w:r>
            <w:r>
              <w:rPr>
                <w:rFonts w:hint="eastAsia" w:ascii="宋体" w:hAnsi="宋体" w:cs="宋体"/>
                <w:color w:val="auto"/>
                <w:szCs w:val="21"/>
              </w:rPr>
              <w:br w:type="textWrapping"/>
            </w:r>
            <w:r>
              <w:rPr>
                <w:rFonts w:hint="eastAsia" w:ascii="宋体" w:hAnsi="宋体" w:cs="宋体"/>
                <w:color w:val="auto"/>
                <w:szCs w:val="21"/>
              </w:rPr>
              <w:t>油漆 环保优质漆，三底两面，硬度2H，苯＜0.3%，游离二异氰酸酯＜0.4%，符合GB 18581-2020</w:t>
            </w:r>
            <w:r>
              <w:rPr>
                <w:rFonts w:hint="eastAsia" w:ascii="宋体" w:hAnsi="宋体" w:cs="宋体"/>
                <w:color w:val="auto"/>
                <w:szCs w:val="21"/>
              </w:rPr>
              <w:br w:type="textWrapping"/>
            </w:r>
            <w:r>
              <w:rPr>
                <w:rFonts w:hint="eastAsia" w:ascii="宋体" w:hAnsi="宋体" w:cs="宋体"/>
                <w:color w:val="auto"/>
                <w:szCs w:val="21"/>
              </w:rPr>
              <w:t>胶粘剂 符合GB 18583-2008</w:t>
            </w:r>
            <w:r>
              <w:rPr>
                <w:rFonts w:hint="eastAsia" w:ascii="宋体" w:hAnsi="宋体" w:cs="宋体"/>
                <w:color w:val="auto"/>
                <w:szCs w:val="21"/>
              </w:rPr>
              <w:br w:type="textWrapping"/>
            </w:r>
            <w:r>
              <w:rPr>
                <w:rFonts w:hint="eastAsia" w:ascii="宋体" w:hAnsi="宋体" w:cs="宋体"/>
                <w:color w:val="auto"/>
                <w:szCs w:val="21"/>
              </w:rPr>
              <w:t>面料 超纤皮，防水、耐磨、易清洁</w:t>
            </w:r>
            <w:r>
              <w:rPr>
                <w:rFonts w:hint="eastAsia" w:ascii="宋体" w:hAnsi="宋体" w:cs="宋体"/>
                <w:color w:val="auto"/>
                <w:szCs w:val="21"/>
              </w:rPr>
              <w:br w:type="textWrapping"/>
            </w:r>
            <w:r>
              <w:rPr>
                <w:rFonts w:hint="eastAsia" w:ascii="宋体" w:hAnsi="宋体" w:cs="宋体"/>
                <w:color w:val="auto"/>
                <w:szCs w:val="21"/>
              </w:rPr>
              <w:t>海绵 高弹力聚氨酯，密度≥45kg/m³</w:t>
            </w:r>
            <w:r>
              <w:rPr>
                <w:rFonts w:hint="eastAsia" w:ascii="宋体" w:hAnsi="宋体" w:cs="宋体"/>
                <w:color w:val="auto"/>
                <w:szCs w:val="21"/>
              </w:rPr>
              <w:br w:type="textWrapping"/>
            </w:r>
            <w:r>
              <w:rPr>
                <w:rFonts w:hint="eastAsia" w:ascii="宋体" w:hAnsi="宋体" w:cs="宋体"/>
                <w:color w:val="auto"/>
                <w:szCs w:val="21"/>
              </w:rPr>
              <w:t>边角 圆角R≥10mm</w:t>
            </w:r>
            <w:r>
              <w:rPr>
                <w:rFonts w:hint="eastAsia" w:ascii="宋体" w:hAnsi="宋体" w:cs="宋体"/>
                <w:color w:val="auto"/>
                <w:szCs w:val="21"/>
              </w:rPr>
              <w:br w:type="textWrapping"/>
            </w:r>
            <w:r>
              <w:rPr>
                <w:rFonts w:hint="eastAsia" w:ascii="宋体" w:hAnsi="宋体" w:cs="宋体"/>
                <w:color w:val="auto"/>
                <w:szCs w:val="21"/>
              </w:rPr>
              <w:t>成品标准 GB/T 3324-2017及GB/T 35607-2024</w:t>
            </w:r>
            <w:r>
              <w:rPr>
                <w:rFonts w:hint="eastAsia" w:ascii="宋体" w:hAnsi="宋体" w:cs="宋体"/>
                <w:color w:val="auto"/>
                <w:szCs w:val="21"/>
              </w:rPr>
              <w:br w:type="textWrapping"/>
            </w:r>
            <w:r>
              <w:rPr>
                <w:rFonts w:hint="eastAsia" w:ascii="宋体" w:hAnsi="宋体" w:cs="宋体"/>
                <w:color w:val="auto"/>
                <w:szCs w:val="21"/>
              </w:rPr>
              <w:t>适老化设计 高度600mm便于老人随手置物；轻便可移动</w:t>
            </w:r>
          </w:p>
          <w:p w14:paraId="49253CD7">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一层接待/洽谈区</w:t>
            </w:r>
          </w:p>
        </w:tc>
        <w:tc>
          <w:tcPr>
            <w:tcW w:w="821" w:type="dxa"/>
            <w:tcBorders>
              <w:top w:val="nil"/>
              <w:left w:val="nil"/>
              <w:bottom w:val="single" w:color="auto" w:sz="4" w:space="0"/>
              <w:right w:val="single" w:color="auto" w:sz="4" w:space="0"/>
            </w:tcBorders>
            <w:vAlign w:val="center"/>
          </w:tcPr>
          <w:p w14:paraId="349BE583">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5BC0B186">
            <w:pPr>
              <w:ind w:firstLine="210" w:firstLineChars="100"/>
              <w:rPr>
                <w:rFonts w:ascii="宋体" w:hAnsi="宋体" w:cs="Segoe UI"/>
                <w:color w:val="auto"/>
                <w:szCs w:val="21"/>
              </w:rPr>
            </w:pPr>
            <w:r>
              <w:rPr>
                <w:rFonts w:ascii="宋体" w:hAnsi="宋体" w:cs="Segoe UI"/>
                <w:color w:val="auto"/>
                <w:szCs w:val="21"/>
              </w:rPr>
              <w:t>2</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0A6740D8">
            <w:pPr>
              <w:ind w:firstLine="210" w:firstLineChars="100"/>
              <w:rPr>
                <w:rFonts w:ascii="宋体" w:hAnsi="宋体" w:cs="Segoe UI"/>
                <w:color w:val="auto"/>
                <w:szCs w:val="21"/>
              </w:rPr>
            </w:pPr>
            <w:r>
              <w:rPr>
                <w:rFonts w:ascii="宋体" w:hAnsi="宋体" w:cs="Segoe UI"/>
                <w:color w:val="auto"/>
                <w:szCs w:val="21"/>
              </w:rPr>
              <w:t>1162.3</w:t>
            </w:r>
            <w:r>
              <w:rPr>
                <w:rFonts w:hint="eastAsia" w:ascii="宋体" w:hAnsi="宋体" w:cs="Segoe UI"/>
                <w:color w:val="auto"/>
                <w:szCs w:val="21"/>
              </w:rPr>
              <w:t>0</w:t>
            </w:r>
          </w:p>
        </w:tc>
        <w:tc>
          <w:tcPr>
            <w:tcW w:w="1518" w:type="dxa"/>
            <w:tcBorders>
              <w:top w:val="nil"/>
              <w:left w:val="nil"/>
              <w:bottom w:val="single" w:color="auto" w:sz="4" w:space="0"/>
              <w:right w:val="single" w:color="auto" w:sz="4" w:space="0"/>
            </w:tcBorders>
            <w:vAlign w:val="center"/>
          </w:tcPr>
          <w:p w14:paraId="362F45CF">
            <w:pPr>
              <w:ind w:firstLine="210" w:firstLineChars="100"/>
              <w:rPr>
                <w:rFonts w:ascii="宋体" w:hAnsi="宋体" w:cs="Segoe UI"/>
                <w:color w:val="auto"/>
                <w:szCs w:val="21"/>
              </w:rPr>
            </w:pPr>
            <w:r>
              <w:rPr>
                <w:rFonts w:ascii="宋体" w:hAnsi="宋体" w:cs="Segoe UI"/>
                <w:color w:val="auto"/>
                <w:szCs w:val="21"/>
              </w:rPr>
              <w:t>2324.6</w:t>
            </w:r>
            <w:r>
              <w:rPr>
                <w:rFonts w:hint="eastAsia" w:ascii="宋体" w:hAnsi="宋体" w:cs="Segoe UI"/>
                <w:color w:val="auto"/>
                <w:szCs w:val="21"/>
              </w:rPr>
              <w:t>0</w:t>
            </w:r>
          </w:p>
        </w:tc>
        <w:tc>
          <w:tcPr>
            <w:tcW w:w="2112" w:type="dxa"/>
            <w:tcBorders>
              <w:top w:val="nil"/>
              <w:left w:val="nil"/>
              <w:bottom w:val="single" w:color="auto" w:sz="4" w:space="0"/>
              <w:right w:val="single" w:color="auto" w:sz="4" w:space="0"/>
            </w:tcBorders>
          </w:tcPr>
          <w:p w14:paraId="4E95D789">
            <w:pPr>
              <w:ind w:firstLine="210" w:firstLineChars="100"/>
              <w:rPr>
                <w:rFonts w:ascii="宋体" w:hAnsi="宋体" w:cs="Segoe UI"/>
                <w:color w:val="auto"/>
                <w:szCs w:val="21"/>
              </w:rPr>
            </w:pPr>
            <w:r>
              <w:rPr>
                <w:rFonts w:ascii="宋体" w:hAnsi="宋体"/>
                <w:color w:val="auto"/>
                <w:szCs w:val="21"/>
              </w:rPr>
              <w:drawing>
                <wp:anchor distT="0" distB="0" distL="114300" distR="114300" simplePos="0" relativeHeight="251663360" behindDoc="0" locked="0" layoutInCell="1" allowOverlap="1">
                  <wp:simplePos x="0" y="0"/>
                  <wp:positionH relativeFrom="column">
                    <wp:posOffset>40005</wp:posOffset>
                  </wp:positionH>
                  <wp:positionV relativeFrom="paragraph">
                    <wp:posOffset>762000</wp:posOffset>
                  </wp:positionV>
                  <wp:extent cx="1151255" cy="1347470"/>
                  <wp:effectExtent l="0" t="0" r="10795" b="5080"/>
                  <wp:wrapNone/>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151255" cy="1347470"/>
                          </a:xfrm>
                          <a:prstGeom prst="rect">
                            <a:avLst/>
                          </a:prstGeom>
                          <a:noFill/>
                          <a:ln w="9525">
                            <a:noFill/>
                          </a:ln>
                        </pic:spPr>
                      </pic:pic>
                    </a:graphicData>
                  </a:graphic>
                </wp:anchor>
              </w:drawing>
            </w:r>
          </w:p>
        </w:tc>
      </w:tr>
      <w:tr w14:paraId="6E27B2C9">
        <w:tblPrEx>
          <w:tblCellMar>
            <w:top w:w="0" w:type="dxa"/>
            <w:left w:w="108" w:type="dxa"/>
            <w:bottom w:w="0" w:type="dxa"/>
            <w:right w:w="108" w:type="dxa"/>
          </w:tblCellMar>
        </w:tblPrEx>
        <w:trPr>
          <w:trHeight w:val="6637" w:hRule="atLeast"/>
          <w:jc w:val="center"/>
        </w:trPr>
        <w:tc>
          <w:tcPr>
            <w:tcW w:w="623" w:type="dxa"/>
            <w:tcBorders>
              <w:top w:val="nil"/>
              <w:left w:val="single" w:color="auto" w:sz="4" w:space="0"/>
              <w:bottom w:val="single" w:color="auto" w:sz="4" w:space="0"/>
              <w:right w:val="single" w:color="auto" w:sz="4" w:space="0"/>
            </w:tcBorders>
            <w:vAlign w:val="center"/>
          </w:tcPr>
          <w:p w14:paraId="294A247B">
            <w:pPr>
              <w:ind w:firstLine="210" w:firstLineChars="100"/>
              <w:rPr>
                <w:rFonts w:ascii="宋体" w:hAnsi="宋体" w:cs="Segoe UI"/>
                <w:color w:val="auto"/>
                <w:szCs w:val="21"/>
              </w:rPr>
            </w:pPr>
            <w:r>
              <w:rPr>
                <w:rFonts w:ascii="宋体" w:hAnsi="宋体" w:cs="Segoe UI"/>
                <w:color w:val="auto"/>
                <w:szCs w:val="21"/>
              </w:rPr>
              <w:t>6</w:t>
            </w:r>
          </w:p>
        </w:tc>
        <w:tc>
          <w:tcPr>
            <w:tcW w:w="1091" w:type="dxa"/>
            <w:tcBorders>
              <w:top w:val="nil"/>
              <w:left w:val="nil"/>
              <w:bottom w:val="single" w:color="auto" w:sz="4" w:space="0"/>
              <w:right w:val="single" w:color="auto" w:sz="4" w:space="0"/>
            </w:tcBorders>
            <w:vAlign w:val="center"/>
          </w:tcPr>
          <w:p w14:paraId="1C66497E">
            <w:pPr>
              <w:rPr>
                <w:rFonts w:ascii="宋体" w:hAnsi="宋体" w:cs="Segoe UI"/>
                <w:color w:val="auto"/>
                <w:szCs w:val="21"/>
              </w:rPr>
            </w:pPr>
            <w:r>
              <w:rPr>
                <w:rFonts w:ascii="宋体" w:hAnsi="宋体" w:cs="Segoe UI"/>
                <w:color w:val="auto"/>
                <w:szCs w:val="21"/>
              </w:rPr>
              <w:t>适老椅</w:t>
            </w:r>
          </w:p>
        </w:tc>
        <w:tc>
          <w:tcPr>
            <w:tcW w:w="6277" w:type="dxa"/>
            <w:tcBorders>
              <w:top w:val="nil"/>
              <w:left w:val="nil"/>
              <w:bottom w:val="single" w:color="auto" w:sz="4" w:space="0"/>
              <w:right w:val="single" w:color="auto" w:sz="4" w:space="0"/>
            </w:tcBorders>
          </w:tcPr>
          <w:p w14:paraId="1B1E3334">
            <w:pPr>
              <w:rPr>
                <w:rFonts w:ascii="宋体" w:hAnsi="宋体" w:cs="宋体"/>
                <w:color w:val="auto"/>
                <w:szCs w:val="21"/>
              </w:rPr>
            </w:pPr>
            <w:r>
              <w:rPr>
                <w:rFonts w:hint="eastAsia" w:ascii="宋体" w:hAnsi="宋体" w:cs="宋体"/>
                <w:color w:val="auto"/>
                <w:szCs w:val="21"/>
              </w:rPr>
              <w:t>尺寸 550×610×790mm（座高440-460mm）</w:t>
            </w:r>
            <w:r>
              <w:rPr>
                <w:rFonts w:hint="eastAsia" w:ascii="宋体" w:hAnsi="宋体" w:cs="宋体"/>
                <w:color w:val="auto"/>
                <w:szCs w:val="21"/>
              </w:rPr>
              <w:br w:type="textWrapping"/>
            </w:r>
            <w:r>
              <w:rPr>
                <w:rFonts w:hint="eastAsia" w:ascii="宋体" w:hAnsi="宋体" w:cs="宋体"/>
                <w:color w:val="auto"/>
                <w:szCs w:val="21"/>
              </w:rPr>
              <w:t>框架 多层夹板（厚度≥15mm），贴榉木皮，含水率5~16%，甲醛释放量≤0.050mg/m³</w:t>
            </w:r>
            <w:r>
              <w:rPr>
                <w:rFonts w:hint="eastAsia" w:ascii="宋体" w:hAnsi="宋体" w:cs="宋体"/>
                <w:color w:val="auto"/>
                <w:szCs w:val="21"/>
              </w:rPr>
              <w:br w:type="textWrapping"/>
            </w:r>
            <w:r>
              <w:rPr>
                <w:rFonts w:hint="eastAsia" w:ascii="宋体" w:hAnsi="宋体" w:cs="宋体"/>
                <w:color w:val="auto"/>
                <w:szCs w:val="21"/>
              </w:rPr>
              <w:t>油漆 PU全封闭漆，符合GB 18581-2020</w:t>
            </w:r>
            <w:r>
              <w:rPr>
                <w:rFonts w:hint="eastAsia" w:ascii="宋体" w:hAnsi="宋体" w:cs="宋体"/>
                <w:color w:val="auto"/>
                <w:szCs w:val="21"/>
              </w:rPr>
              <w:br w:type="textWrapping"/>
            </w:r>
            <w:r>
              <w:rPr>
                <w:rFonts w:hint="eastAsia" w:ascii="宋体" w:hAnsi="宋体" w:cs="宋体"/>
                <w:color w:val="auto"/>
                <w:szCs w:val="21"/>
              </w:rPr>
              <w:t>软包 皮革，耐磨、防水、易清洁，可含氯消毒液擦洗</w:t>
            </w:r>
            <w:r>
              <w:rPr>
                <w:rFonts w:hint="eastAsia" w:ascii="宋体" w:hAnsi="宋体" w:cs="宋体"/>
                <w:color w:val="auto"/>
                <w:szCs w:val="21"/>
              </w:rPr>
              <w:br w:type="textWrapping"/>
            </w:r>
            <w:r>
              <w:rPr>
                <w:rFonts w:hint="eastAsia" w:ascii="宋体" w:hAnsi="宋体" w:cs="宋体"/>
                <w:color w:val="auto"/>
                <w:szCs w:val="21"/>
              </w:rPr>
              <w:t>海绵 高密度海绵，密度≥40kg/m³</w:t>
            </w:r>
            <w:r>
              <w:rPr>
                <w:rFonts w:hint="eastAsia" w:ascii="宋体" w:hAnsi="宋体" w:cs="宋体"/>
                <w:color w:val="auto"/>
                <w:szCs w:val="21"/>
              </w:rPr>
              <w:br w:type="textWrapping"/>
            </w:r>
            <w:r>
              <w:rPr>
                <w:rFonts w:hint="eastAsia" w:ascii="宋体" w:hAnsi="宋体" w:cs="宋体"/>
                <w:color w:val="auto"/>
                <w:szCs w:val="21"/>
              </w:rPr>
              <w:t>座高 440-460mm</w:t>
            </w:r>
            <w:r>
              <w:rPr>
                <w:rFonts w:hint="eastAsia" w:ascii="宋体" w:hAnsi="宋体" w:cs="宋体"/>
                <w:color w:val="auto"/>
                <w:szCs w:val="21"/>
              </w:rPr>
              <w:br w:type="textWrapping"/>
            </w:r>
            <w:r>
              <w:rPr>
                <w:rFonts w:hint="eastAsia" w:ascii="宋体" w:hAnsi="宋体" w:cs="宋体"/>
                <w:color w:val="auto"/>
                <w:szCs w:val="21"/>
              </w:rPr>
              <w:t>扶手 高度650-700mm（从地面），宽度≥40mm，前端圆滑，具备防滑性能</w:t>
            </w:r>
            <w:r>
              <w:rPr>
                <w:rFonts w:hint="eastAsia" w:ascii="宋体" w:hAnsi="宋体" w:cs="宋体"/>
                <w:color w:val="auto"/>
                <w:szCs w:val="21"/>
              </w:rPr>
              <w:br w:type="textWrapping"/>
            </w:r>
            <w:r>
              <w:rPr>
                <w:rFonts w:hint="eastAsia" w:ascii="宋体" w:hAnsi="宋体" w:cs="宋体"/>
                <w:color w:val="auto"/>
                <w:szCs w:val="21"/>
              </w:rPr>
              <w:t>靠背 倾角100°-110°，高度≥450mm</w:t>
            </w:r>
            <w:r>
              <w:rPr>
                <w:rFonts w:hint="eastAsia" w:ascii="宋体" w:hAnsi="宋体" w:cs="宋体"/>
                <w:color w:val="auto"/>
                <w:szCs w:val="21"/>
              </w:rPr>
              <w:br w:type="textWrapping"/>
            </w:r>
            <w:r>
              <w:rPr>
                <w:rFonts w:hint="eastAsia" w:ascii="宋体" w:hAnsi="宋体" w:cs="宋体"/>
                <w:color w:val="auto"/>
                <w:szCs w:val="21"/>
              </w:rPr>
              <w:t>脚垫 配置防滑脚垫</w:t>
            </w:r>
            <w:r>
              <w:rPr>
                <w:rFonts w:hint="eastAsia" w:ascii="宋体" w:hAnsi="宋体" w:cs="宋体"/>
                <w:color w:val="auto"/>
                <w:szCs w:val="21"/>
              </w:rPr>
              <w:br w:type="textWrapping"/>
            </w:r>
            <w:r>
              <w:rPr>
                <w:rFonts w:hint="eastAsia" w:ascii="宋体" w:hAnsi="宋体" w:cs="宋体"/>
                <w:color w:val="auto"/>
                <w:szCs w:val="21"/>
              </w:rPr>
              <w:t>结构 四脚落地平稳，后腿略后倾防后翻</w:t>
            </w:r>
            <w:r>
              <w:rPr>
                <w:rFonts w:hint="eastAsia" w:ascii="宋体" w:hAnsi="宋体" w:cs="宋体"/>
                <w:color w:val="auto"/>
                <w:szCs w:val="21"/>
              </w:rPr>
              <w:br w:type="textWrapping"/>
            </w:r>
            <w:r>
              <w:rPr>
                <w:rFonts w:hint="eastAsia" w:ascii="宋体" w:hAnsi="宋体" w:cs="宋体"/>
                <w:color w:val="auto"/>
                <w:szCs w:val="21"/>
              </w:rPr>
              <w:t>成品标准 GB/T 3324-2017及MZ/T 219-2024《居家与养老机构适老产品配置要求》</w:t>
            </w:r>
            <w:r>
              <w:rPr>
                <w:rFonts w:hint="eastAsia" w:ascii="宋体" w:hAnsi="宋体" w:cs="宋体"/>
                <w:color w:val="auto"/>
                <w:szCs w:val="21"/>
              </w:rPr>
              <w:br w:type="textWrapping"/>
            </w:r>
            <w:r>
              <w:rPr>
                <w:rFonts w:hint="eastAsia" w:ascii="宋体" w:hAnsi="宋体" w:cs="宋体"/>
                <w:color w:val="auto"/>
                <w:szCs w:val="21"/>
              </w:rPr>
              <w:t>适老化设计 座高适宜老人起坐（440-460mm）；扶手助起（高度650-700mm）；防滑脚垫防倾倒</w:t>
            </w:r>
          </w:p>
          <w:p w14:paraId="709F0FDB">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一层评估室</w:t>
            </w:r>
          </w:p>
        </w:tc>
        <w:tc>
          <w:tcPr>
            <w:tcW w:w="821" w:type="dxa"/>
            <w:tcBorders>
              <w:top w:val="nil"/>
              <w:left w:val="nil"/>
              <w:bottom w:val="single" w:color="auto" w:sz="4" w:space="0"/>
              <w:right w:val="single" w:color="auto" w:sz="4" w:space="0"/>
            </w:tcBorders>
            <w:vAlign w:val="center"/>
          </w:tcPr>
          <w:p w14:paraId="213026B8">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4F4A1285">
            <w:pPr>
              <w:ind w:firstLine="210" w:firstLineChars="100"/>
              <w:rPr>
                <w:rFonts w:ascii="宋体" w:hAnsi="宋体" w:cs="Segoe UI"/>
                <w:color w:val="auto"/>
                <w:szCs w:val="21"/>
              </w:rPr>
            </w:pPr>
            <w:r>
              <w:rPr>
                <w:rFonts w:ascii="宋体" w:hAnsi="宋体" w:cs="Segoe UI"/>
                <w:color w:val="auto"/>
                <w:szCs w:val="21"/>
              </w:rPr>
              <w:t>38</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67B56290">
            <w:pPr>
              <w:ind w:firstLine="210" w:firstLineChars="100"/>
              <w:rPr>
                <w:rFonts w:ascii="宋体" w:hAnsi="宋体" w:cs="Segoe UI"/>
                <w:color w:val="auto"/>
                <w:szCs w:val="21"/>
              </w:rPr>
            </w:pPr>
            <w:r>
              <w:rPr>
                <w:rFonts w:ascii="宋体" w:hAnsi="宋体" w:cs="Segoe UI"/>
                <w:color w:val="auto"/>
                <w:szCs w:val="21"/>
              </w:rPr>
              <w:t>802.4</w:t>
            </w:r>
            <w:r>
              <w:rPr>
                <w:rFonts w:hint="eastAsia" w:ascii="宋体" w:hAnsi="宋体" w:cs="Segoe UI"/>
                <w:color w:val="auto"/>
                <w:szCs w:val="21"/>
              </w:rPr>
              <w:t>0</w:t>
            </w:r>
          </w:p>
        </w:tc>
        <w:tc>
          <w:tcPr>
            <w:tcW w:w="1518" w:type="dxa"/>
            <w:tcBorders>
              <w:top w:val="nil"/>
              <w:left w:val="nil"/>
              <w:bottom w:val="single" w:color="auto" w:sz="4" w:space="0"/>
              <w:right w:val="single" w:color="auto" w:sz="4" w:space="0"/>
            </w:tcBorders>
            <w:vAlign w:val="center"/>
          </w:tcPr>
          <w:p w14:paraId="34931DE2">
            <w:pPr>
              <w:ind w:firstLine="210" w:firstLineChars="100"/>
              <w:rPr>
                <w:rFonts w:ascii="宋体" w:hAnsi="宋体" w:cs="Segoe UI"/>
                <w:color w:val="auto"/>
                <w:szCs w:val="21"/>
              </w:rPr>
            </w:pPr>
            <w:r>
              <w:rPr>
                <w:rFonts w:ascii="宋体" w:hAnsi="宋体" w:cs="Segoe UI"/>
                <w:color w:val="auto"/>
                <w:szCs w:val="21"/>
              </w:rPr>
              <w:t>30491.2</w:t>
            </w:r>
            <w:r>
              <w:rPr>
                <w:rFonts w:hint="eastAsia" w:ascii="宋体" w:hAnsi="宋体" w:cs="Segoe UI"/>
                <w:color w:val="auto"/>
                <w:szCs w:val="21"/>
              </w:rPr>
              <w:t>0</w:t>
            </w:r>
          </w:p>
        </w:tc>
        <w:tc>
          <w:tcPr>
            <w:tcW w:w="2112" w:type="dxa"/>
            <w:tcBorders>
              <w:top w:val="nil"/>
              <w:left w:val="nil"/>
              <w:bottom w:val="single" w:color="auto" w:sz="4" w:space="0"/>
              <w:right w:val="single" w:color="auto" w:sz="4" w:space="0"/>
            </w:tcBorders>
          </w:tcPr>
          <w:p w14:paraId="0AEE2C57">
            <w:pPr>
              <w:ind w:firstLine="210" w:firstLineChars="100"/>
              <w:rPr>
                <w:rFonts w:ascii="宋体" w:hAnsi="宋体" w:cs="Segoe UI"/>
                <w:color w:val="auto"/>
                <w:szCs w:val="21"/>
              </w:rPr>
            </w:pPr>
            <w:r>
              <w:rPr>
                <w:rFonts w:ascii="宋体" w:hAnsi="宋体"/>
                <w:color w:val="auto"/>
                <w:szCs w:val="21"/>
              </w:rPr>
              <w:drawing>
                <wp:anchor distT="0" distB="0" distL="114300" distR="114300" simplePos="0" relativeHeight="251664384" behindDoc="0" locked="0" layoutInCell="1" allowOverlap="1">
                  <wp:simplePos x="0" y="0"/>
                  <wp:positionH relativeFrom="column">
                    <wp:posOffset>-49530</wp:posOffset>
                  </wp:positionH>
                  <wp:positionV relativeFrom="paragraph">
                    <wp:posOffset>1510665</wp:posOffset>
                  </wp:positionV>
                  <wp:extent cx="1176655" cy="1474470"/>
                  <wp:effectExtent l="0" t="0" r="4445" b="11430"/>
                  <wp:wrapNone/>
                  <wp:docPr id="7" name="ID_8E3B85F18E74442093AB442B53DF518A" descr="F:\y嘉嘉\学习\公司素材\标配单品图库\餐椅\14曲木半扶手椅-06 - 副本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D_8E3B85F18E74442093AB442B53DF518A" descr="F:\y嘉嘉\学习\公司素材\标配单品图库\餐椅\14曲木半扶手椅-06 - 副本 (3).png"/>
                          <pic:cNvPicPr>
                            <a:picLocks noChangeAspect="1"/>
                          </pic:cNvPicPr>
                        </pic:nvPicPr>
                        <pic:blipFill>
                          <a:blip r:embed="rId17">
                            <a:extLst>
                              <a:ext uri="{28A0092B-C50C-407E-A947-70E740481C1C}">
                                <a14:useLocalDpi xmlns:a14="http://schemas.microsoft.com/office/drawing/2010/main" val="0"/>
                              </a:ext>
                            </a:extLst>
                          </a:blip>
                          <a:srcRect l="33260" t="16829" r="29778" b="9618"/>
                          <a:stretch>
                            <a:fillRect/>
                          </a:stretch>
                        </pic:blipFill>
                        <pic:spPr>
                          <a:xfrm>
                            <a:off x="0" y="0"/>
                            <a:ext cx="1176655" cy="1474470"/>
                          </a:xfrm>
                          <a:prstGeom prst="rect">
                            <a:avLst/>
                          </a:prstGeom>
                          <a:noFill/>
                          <a:ln w="9525">
                            <a:noFill/>
                          </a:ln>
                        </pic:spPr>
                      </pic:pic>
                    </a:graphicData>
                  </a:graphic>
                </wp:anchor>
              </w:drawing>
            </w:r>
          </w:p>
        </w:tc>
      </w:tr>
      <w:tr w14:paraId="39857DBF">
        <w:tblPrEx>
          <w:tblCellMar>
            <w:top w:w="0" w:type="dxa"/>
            <w:left w:w="108" w:type="dxa"/>
            <w:bottom w:w="0" w:type="dxa"/>
            <w:right w:w="108" w:type="dxa"/>
          </w:tblCellMar>
        </w:tblPrEx>
        <w:trPr>
          <w:trHeight w:val="1179" w:hRule="atLeast"/>
          <w:jc w:val="center"/>
        </w:trPr>
        <w:tc>
          <w:tcPr>
            <w:tcW w:w="623" w:type="dxa"/>
            <w:tcBorders>
              <w:top w:val="nil"/>
              <w:left w:val="single" w:color="auto" w:sz="4" w:space="0"/>
              <w:bottom w:val="single" w:color="auto" w:sz="4" w:space="0"/>
              <w:right w:val="single" w:color="auto" w:sz="4" w:space="0"/>
            </w:tcBorders>
            <w:vAlign w:val="center"/>
          </w:tcPr>
          <w:p w14:paraId="0402B72B">
            <w:pPr>
              <w:ind w:firstLine="210" w:firstLineChars="100"/>
              <w:rPr>
                <w:rFonts w:ascii="宋体" w:hAnsi="宋体" w:cs="Segoe UI"/>
                <w:color w:val="auto"/>
                <w:szCs w:val="21"/>
              </w:rPr>
            </w:pPr>
            <w:r>
              <w:rPr>
                <w:rFonts w:ascii="宋体" w:hAnsi="宋体" w:cs="Segoe UI"/>
                <w:color w:val="auto"/>
                <w:szCs w:val="21"/>
              </w:rPr>
              <w:t>7</w:t>
            </w:r>
          </w:p>
        </w:tc>
        <w:tc>
          <w:tcPr>
            <w:tcW w:w="1091" w:type="dxa"/>
            <w:tcBorders>
              <w:top w:val="nil"/>
              <w:left w:val="nil"/>
              <w:bottom w:val="single" w:color="auto" w:sz="4" w:space="0"/>
              <w:right w:val="single" w:color="auto" w:sz="4" w:space="0"/>
            </w:tcBorders>
            <w:vAlign w:val="center"/>
          </w:tcPr>
          <w:p w14:paraId="7739A0B1">
            <w:pPr>
              <w:rPr>
                <w:rFonts w:ascii="宋体" w:hAnsi="宋体" w:cs="Segoe UI"/>
                <w:color w:val="auto"/>
                <w:szCs w:val="21"/>
              </w:rPr>
            </w:pPr>
            <w:r>
              <w:rPr>
                <w:rFonts w:ascii="宋体" w:hAnsi="宋体" w:cs="Segoe UI"/>
                <w:color w:val="auto"/>
                <w:szCs w:val="21"/>
              </w:rPr>
              <w:t>适老化多功能游戏桌</w:t>
            </w:r>
          </w:p>
        </w:tc>
        <w:tc>
          <w:tcPr>
            <w:tcW w:w="6277" w:type="dxa"/>
            <w:tcBorders>
              <w:top w:val="nil"/>
              <w:left w:val="nil"/>
              <w:bottom w:val="single" w:color="auto" w:sz="4" w:space="0"/>
              <w:right w:val="single" w:color="auto" w:sz="4" w:space="0"/>
            </w:tcBorders>
            <w:vAlign w:val="center"/>
          </w:tcPr>
          <w:p w14:paraId="78D6AFB7">
            <w:pPr>
              <w:rPr>
                <w:rFonts w:ascii="宋体" w:hAnsi="宋体" w:cs="宋体"/>
                <w:color w:val="auto"/>
                <w:szCs w:val="21"/>
              </w:rPr>
            </w:pPr>
            <w:r>
              <w:rPr>
                <w:rFonts w:hint="eastAsia" w:ascii="宋体" w:hAnsi="宋体" w:cs="宋体"/>
                <w:color w:val="auto"/>
                <w:szCs w:val="21"/>
              </w:rPr>
              <w:t>尺寸 800×800×760mm</w:t>
            </w:r>
            <w:r>
              <w:rPr>
                <w:rFonts w:hint="eastAsia" w:ascii="宋体" w:hAnsi="宋体" w:cs="宋体"/>
                <w:color w:val="auto"/>
                <w:szCs w:val="21"/>
              </w:rPr>
              <w:br w:type="textWrapping"/>
            </w:r>
            <w:r>
              <w:rPr>
                <w:rFonts w:hint="eastAsia" w:ascii="宋体" w:hAnsi="宋体" w:cs="宋体"/>
                <w:color w:val="auto"/>
                <w:szCs w:val="21"/>
              </w:rPr>
              <w:t>主体 进口橡胶木实木拼板，厚度≥25mm，含水率5~16%，甲醛释放量≤0.050mg/m³</w:t>
            </w:r>
            <w:r>
              <w:rPr>
                <w:rFonts w:hint="eastAsia" w:ascii="宋体" w:hAnsi="宋体" w:cs="宋体"/>
                <w:color w:val="auto"/>
                <w:szCs w:val="21"/>
              </w:rPr>
              <w:br w:type="textWrapping"/>
            </w:r>
            <w:r>
              <w:rPr>
                <w:rFonts w:ascii="宋体" w:hAnsi="宋体"/>
                <w:color w:val="auto"/>
                <w:szCs w:val="21"/>
              </w:rPr>
              <w:drawing>
                <wp:anchor distT="0" distB="0" distL="114300" distR="114300" simplePos="0" relativeHeight="251678720" behindDoc="0" locked="0" layoutInCell="1" allowOverlap="1">
                  <wp:simplePos x="0" y="0"/>
                  <wp:positionH relativeFrom="column">
                    <wp:posOffset>6956425</wp:posOffset>
                  </wp:positionH>
                  <wp:positionV relativeFrom="paragraph">
                    <wp:posOffset>641350</wp:posOffset>
                  </wp:positionV>
                  <wp:extent cx="1257300" cy="1238250"/>
                  <wp:effectExtent l="0" t="0" r="0" b="0"/>
                  <wp:wrapNone/>
                  <wp:docPr id="25" name="ID_C82E38698210455DABB4BD6D0F9B0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D_C82E38698210455DABB4BD6D0F9B056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57300" cy="1238250"/>
                          </a:xfrm>
                          <a:prstGeom prst="rect">
                            <a:avLst/>
                          </a:prstGeom>
                          <a:noFill/>
                          <a:ln w="9525">
                            <a:noFill/>
                          </a:ln>
                        </pic:spPr>
                      </pic:pic>
                    </a:graphicData>
                  </a:graphic>
                </wp:anchor>
              </w:drawing>
            </w:r>
            <w:r>
              <w:rPr>
                <w:rFonts w:hint="eastAsia" w:ascii="宋体" w:hAnsi="宋体" w:cs="宋体"/>
                <w:color w:val="auto"/>
                <w:szCs w:val="21"/>
              </w:rPr>
              <w:t>油漆 品牌环保油漆，符合GB 18581-2020</w:t>
            </w:r>
            <w:r>
              <w:rPr>
                <w:rFonts w:hint="eastAsia" w:ascii="宋体" w:hAnsi="宋体" w:cs="宋体"/>
                <w:color w:val="auto"/>
                <w:szCs w:val="21"/>
              </w:rPr>
              <w:br w:type="textWrapping"/>
            </w:r>
            <w:r>
              <w:rPr>
                <w:rFonts w:hint="eastAsia" w:ascii="宋体" w:hAnsi="宋体" w:cs="宋体"/>
                <w:color w:val="auto"/>
                <w:szCs w:val="21"/>
              </w:rPr>
              <w:t>桌角 四角圆角R≥15mm</w:t>
            </w:r>
            <w:r>
              <w:rPr>
                <w:rFonts w:hint="eastAsia" w:ascii="宋体" w:hAnsi="宋体" w:cs="宋体"/>
                <w:color w:val="auto"/>
                <w:szCs w:val="21"/>
              </w:rPr>
              <w:br w:type="textWrapping"/>
            </w:r>
            <w:r>
              <w:rPr>
                <w:rFonts w:hint="eastAsia" w:ascii="宋体" w:hAnsi="宋体" w:cs="宋体"/>
                <w:color w:val="auto"/>
                <w:szCs w:val="21"/>
              </w:rPr>
              <w:t>桌面 多用游戏盘（棋盘/拼图等可换），桌面高度760mm</w:t>
            </w:r>
            <w:r>
              <w:rPr>
                <w:rFonts w:hint="eastAsia" w:ascii="宋体" w:hAnsi="宋体" w:cs="宋体"/>
                <w:color w:val="auto"/>
                <w:szCs w:val="21"/>
              </w:rPr>
              <w:br w:type="textWrapping"/>
            </w:r>
            <w:r>
              <w:rPr>
                <w:rFonts w:hint="eastAsia" w:ascii="宋体" w:hAnsi="宋体" w:cs="宋体"/>
                <w:color w:val="auto"/>
                <w:szCs w:val="21"/>
              </w:rPr>
              <w:t>储藏功能 桌面下带储物抽屉/翻盖储物空间</w:t>
            </w:r>
            <w:r>
              <w:rPr>
                <w:rFonts w:hint="eastAsia" w:ascii="宋体" w:hAnsi="宋体" w:cs="宋体"/>
                <w:color w:val="auto"/>
                <w:szCs w:val="21"/>
              </w:rPr>
              <w:br w:type="textWrapping"/>
            </w:r>
            <w:r>
              <w:rPr>
                <w:rFonts w:hint="eastAsia" w:ascii="宋体" w:hAnsi="宋体" w:cs="宋体"/>
                <w:color w:val="auto"/>
                <w:szCs w:val="21"/>
              </w:rPr>
              <w:t>适老化扶手 桌边设辅助扶手或凹槽便于老人扶持</w:t>
            </w:r>
            <w:r>
              <w:rPr>
                <w:rFonts w:hint="eastAsia" w:ascii="宋体" w:hAnsi="宋体" w:cs="宋体"/>
                <w:color w:val="auto"/>
                <w:szCs w:val="21"/>
              </w:rPr>
              <w:br w:type="textWrapping"/>
            </w:r>
            <w:r>
              <w:rPr>
                <w:rFonts w:hint="eastAsia" w:ascii="宋体" w:hAnsi="宋体" w:cs="宋体"/>
                <w:color w:val="auto"/>
                <w:szCs w:val="21"/>
              </w:rPr>
              <w:t>边角 所有外露边角圆滑流畅，无尖锐凸起</w:t>
            </w:r>
            <w:r>
              <w:rPr>
                <w:rFonts w:hint="eastAsia" w:ascii="宋体" w:hAnsi="宋体" w:cs="宋体"/>
                <w:color w:val="auto"/>
                <w:szCs w:val="21"/>
              </w:rPr>
              <w:br w:type="textWrapping"/>
            </w:r>
            <w:r>
              <w:rPr>
                <w:rFonts w:hint="eastAsia" w:ascii="宋体" w:hAnsi="宋体" w:cs="宋体"/>
                <w:color w:val="auto"/>
                <w:szCs w:val="21"/>
              </w:rPr>
              <w:t>成品标准 GB/T 3324-2017及GB/T 46015-2025</w:t>
            </w:r>
            <w:r>
              <w:rPr>
                <w:rFonts w:hint="eastAsia" w:ascii="宋体" w:hAnsi="宋体" w:cs="宋体"/>
                <w:color w:val="auto"/>
                <w:szCs w:val="21"/>
              </w:rPr>
              <w:br w:type="textWrapping"/>
            </w:r>
            <w:r>
              <w:rPr>
                <w:rFonts w:hint="eastAsia" w:ascii="宋体" w:hAnsi="宋体" w:cs="宋体"/>
                <w:color w:val="auto"/>
                <w:szCs w:val="21"/>
              </w:rPr>
              <w:t>适老化设计 圆角防磕碰（R≥15mm）；多功能桌面促进认知训练；储物功能便于收纳</w:t>
            </w:r>
          </w:p>
          <w:p w14:paraId="5F2004C7">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一层评估室</w:t>
            </w:r>
          </w:p>
        </w:tc>
        <w:tc>
          <w:tcPr>
            <w:tcW w:w="821" w:type="dxa"/>
            <w:tcBorders>
              <w:top w:val="nil"/>
              <w:left w:val="nil"/>
              <w:bottom w:val="single" w:color="auto" w:sz="4" w:space="0"/>
              <w:right w:val="single" w:color="auto" w:sz="4" w:space="0"/>
            </w:tcBorders>
            <w:vAlign w:val="center"/>
          </w:tcPr>
          <w:p w14:paraId="6A642586">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1F0080B7">
            <w:pPr>
              <w:ind w:firstLine="210" w:firstLineChars="100"/>
              <w:rPr>
                <w:rFonts w:ascii="宋体" w:hAnsi="宋体" w:cs="Segoe UI"/>
                <w:color w:val="auto"/>
                <w:szCs w:val="21"/>
              </w:rPr>
            </w:pPr>
            <w:r>
              <w:rPr>
                <w:rFonts w:ascii="宋体" w:hAnsi="宋体" w:cs="Segoe UI"/>
                <w:color w:val="auto"/>
                <w:szCs w:val="21"/>
              </w:rPr>
              <w:t>1</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7156A9B2">
            <w:pPr>
              <w:ind w:firstLine="210" w:firstLineChars="100"/>
              <w:rPr>
                <w:rFonts w:ascii="宋体" w:hAnsi="宋体" w:cs="Segoe UI"/>
                <w:color w:val="auto"/>
                <w:szCs w:val="21"/>
              </w:rPr>
            </w:pPr>
            <w:r>
              <w:rPr>
                <w:rFonts w:ascii="宋体" w:hAnsi="宋体" w:cs="Segoe UI"/>
                <w:color w:val="auto"/>
                <w:szCs w:val="21"/>
              </w:rPr>
              <w:t>4543</w:t>
            </w:r>
            <w:r>
              <w:rPr>
                <w:rFonts w:hint="eastAsia" w:ascii="宋体" w:hAnsi="宋体" w:cs="Segoe UI"/>
                <w:color w:val="auto"/>
                <w:szCs w:val="21"/>
              </w:rPr>
              <w:t>.00</w:t>
            </w:r>
          </w:p>
        </w:tc>
        <w:tc>
          <w:tcPr>
            <w:tcW w:w="1518" w:type="dxa"/>
            <w:tcBorders>
              <w:top w:val="nil"/>
              <w:left w:val="nil"/>
              <w:bottom w:val="single" w:color="auto" w:sz="4" w:space="0"/>
              <w:right w:val="single" w:color="auto" w:sz="4" w:space="0"/>
            </w:tcBorders>
            <w:vAlign w:val="center"/>
          </w:tcPr>
          <w:p w14:paraId="24B8FADE">
            <w:pPr>
              <w:ind w:firstLine="210" w:firstLineChars="100"/>
              <w:rPr>
                <w:rFonts w:ascii="宋体" w:hAnsi="宋体" w:cs="Segoe UI"/>
                <w:color w:val="auto"/>
                <w:szCs w:val="21"/>
              </w:rPr>
            </w:pPr>
            <w:r>
              <w:rPr>
                <w:rFonts w:ascii="宋体" w:hAnsi="宋体" w:cs="Segoe UI"/>
                <w:color w:val="auto"/>
                <w:szCs w:val="21"/>
              </w:rPr>
              <w:t>4543</w:t>
            </w:r>
            <w:r>
              <w:rPr>
                <w:rFonts w:hint="eastAsia" w:ascii="宋体" w:hAnsi="宋体" w:cs="Segoe UI"/>
                <w:color w:val="auto"/>
                <w:szCs w:val="21"/>
              </w:rPr>
              <w:t>.00</w:t>
            </w:r>
          </w:p>
        </w:tc>
        <w:tc>
          <w:tcPr>
            <w:tcW w:w="2112" w:type="dxa"/>
            <w:tcBorders>
              <w:top w:val="nil"/>
              <w:left w:val="nil"/>
              <w:bottom w:val="single" w:color="auto" w:sz="4" w:space="0"/>
              <w:right w:val="single" w:color="auto" w:sz="4" w:space="0"/>
            </w:tcBorders>
          </w:tcPr>
          <w:p w14:paraId="677CCB05">
            <w:pPr>
              <w:ind w:firstLine="210" w:firstLineChars="100"/>
              <w:rPr>
                <w:rFonts w:ascii="宋体" w:hAnsi="宋体" w:cs="Segoe UI"/>
                <w:color w:val="auto"/>
                <w:szCs w:val="21"/>
              </w:rPr>
            </w:pPr>
          </w:p>
        </w:tc>
      </w:tr>
      <w:tr w14:paraId="26F01FBF">
        <w:tblPrEx>
          <w:tblCellMar>
            <w:top w:w="0" w:type="dxa"/>
            <w:left w:w="108" w:type="dxa"/>
            <w:bottom w:w="0" w:type="dxa"/>
            <w:right w:w="108" w:type="dxa"/>
          </w:tblCellMar>
        </w:tblPrEx>
        <w:trPr>
          <w:trHeight w:val="406" w:hRule="atLeast"/>
          <w:jc w:val="center"/>
        </w:trPr>
        <w:tc>
          <w:tcPr>
            <w:tcW w:w="623" w:type="dxa"/>
            <w:tcBorders>
              <w:top w:val="nil"/>
              <w:left w:val="single" w:color="auto" w:sz="4" w:space="0"/>
              <w:bottom w:val="single" w:color="auto" w:sz="4" w:space="0"/>
              <w:right w:val="single" w:color="auto" w:sz="4" w:space="0"/>
            </w:tcBorders>
            <w:vAlign w:val="center"/>
          </w:tcPr>
          <w:p w14:paraId="5135D6B0">
            <w:pPr>
              <w:ind w:firstLine="210" w:firstLineChars="100"/>
              <w:rPr>
                <w:rFonts w:ascii="宋体" w:hAnsi="宋体" w:cs="Segoe UI"/>
                <w:color w:val="auto"/>
                <w:szCs w:val="21"/>
              </w:rPr>
            </w:pPr>
            <w:r>
              <w:rPr>
                <w:rFonts w:ascii="宋体" w:hAnsi="宋体" w:cs="Segoe UI"/>
                <w:color w:val="auto"/>
                <w:szCs w:val="21"/>
              </w:rPr>
              <w:t>8</w:t>
            </w:r>
          </w:p>
        </w:tc>
        <w:tc>
          <w:tcPr>
            <w:tcW w:w="1091" w:type="dxa"/>
            <w:tcBorders>
              <w:top w:val="nil"/>
              <w:left w:val="nil"/>
              <w:bottom w:val="single" w:color="auto" w:sz="4" w:space="0"/>
              <w:right w:val="single" w:color="auto" w:sz="4" w:space="0"/>
            </w:tcBorders>
            <w:vAlign w:val="center"/>
          </w:tcPr>
          <w:p w14:paraId="1979F0A9">
            <w:pPr>
              <w:rPr>
                <w:rFonts w:ascii="宋体" w:hAnsi="宋体" w:cs="Segoe UI"/>
                <w:color w:val="auto"/>
                <w:szCs w:val="21"/>
              </w:rPr>
            </w:pPr>
            <w:r>
              <w:rPr>
                <w:rFonts w:ascii="宋体" w:hAnsi="宋体" w:cs="Segoe UI"/>
                <w:color w:val="auto"/>
                <w:szCs w:val="21"/>
              </w:rPr>
              <w:t>适老化多功能组合柜</w:t>
            </w:r>
          </w:p>
        </w:tc>
        <w:tc>
          <w:tcPr>
            <w:tcW w:w="6277" w:type="dxa"/>
            <w:tcBorders>
              <w:top w:val="nil"/>
              <w:left w:val="nil"/>
              <w:bottom w:val="single" w:color="auto" w:sz="4" w:space="0"/>
              <w:right w:val="single" w:color="auto" w:sz="4" w:space="0"/>
            </w:tcBorders>
            <w:vAlign w:val="center"/>
          </w:tcPr>
          <w:p w14:paraId="76124B3F">
            <w:pPr>
              <w:rPr>
                <w:rFonts w:ascii="宋体" w:hAnsi="宋体" w:cs="宋体"/>
                <w:color w:val="auto"/>
                <w:szCs w:val="21"/>
              </w:rPr>
            </w:pPr>
            <w:r>
              <w:rPr>
                <w:rFonts w:hint="eastAsia" w:ascii="宋体" w:hAnsi="宋体" w:cs="宋体"/>
                <w:color w:val="auto"/>
                <w:szCs w:val="21"/>
              </w:rPr>
              <w:t>尺寸 1060×510×770mm</w:t>
            </w:r>
            <w:r>
              <w:rPr>
                <w:rFonts w:hint="eastAsia" w:ascii="宋体" w:hAnsi="宋体" w:cs="宋体"/>
                <w:color w:val="auto"/>
                <w:szCs w:val="21"/>
              </w:rPr>
              <w:br w:type="textWrapping"/>
            </w:r>
            <w:r>
              <w:rPr>
                <w:rFonts w:hint="eastAsia" w:ascii="宋体" w:hAnsi="宋体" w:cs="宋体"/>
                <w:color w:val="auto"/>
                <w:szCs w:val="21"/>
              </w:rPr>
              <w:t>主体 进口橡胶木实木拼板，厚度≥18mm，含水率5~16%，甲醛释放量≤0.050mg/m³</w:t>
            </w:r>
            <w:r>
              <w:rPr>
                <w:rFonts w:hint="eastAsia" w:ascii="宋体" w:hAnsi="宋体" w:cs="宋体"/>
                <w:color w:val="auto"/>
                <w:szCs w:val="21"/>
              </w:rPr>
              <w:br w:type="textWrapping"/>
            </w:r>
            <w:r>
              <w:rPr>
                <w:rFonts w:hint="eastAsia" w:ascii="宋体" w:hAnsi="宋体" w:cs="宋体"/>
                <w:color w:val="auto"/>
                <w:szCs w:val="21"/>
              </w:rPr>
              <w:t>油漆 品牌环保油漆，符合GB 18581-2020</w:t>
            </w:r>
            <w:r>
              <w:rPr>
                <w:rFonts w:hint="eastAsia" w:ascii="宋体" w:hAnsi="宋体" w:cs="宋体"/>
                <w:color w:val="auto"/>
                <w:szCs w:val="21"/>
              </w:rPr>
              <w:br w:type="textWrapping"/>
            </w:r>
            <w:r>
              <w:rPr>
                <w:rFonts w:hint="eastAsia" w:ascii="宋体" w:hAnsi="宋体" w:cs="宋体"/>
                <w:color w:val="auto"/>
                <w:szCs w:val="21"/>
              </w:rPr>
              <w:t>多功能储藏 开放式+封闭式组合，不同规格抽屉/柜门</w:t>
            </w:r>
            <w:r>
              <w:rPr>
                <w:rFonts w:hint="eastAsia" w:ascii="宋体" w:hAnsi="宋体" w:cs="宋体"/>
                <w:color w:val="auto"/>
                <w:szCs w:val="21"/>
              </w:rPr>
              <w:br w:type="textWrapping"/>
            </w:r>
            <w:r>
              <w:rPr>
                <w:rFonts w:hint="eastAsia" w:ascii="宋体" w:hAnsi="宋体" w:cs="宋体"/>
                <w:color w:val="auto"/>
                <w:szCs w:val="21"/>
              </w:rPr>
              <w:t>生活自理能力训练 不同规格抽屉/柜门供老人练习开合操作</w:t>
            </w:r>
            <w:r>
              <w:rPr>
                <w:rFonts w:hint="eastAsia" w:ascii="宋体" w:hAnsi="宋体" w:cs="宋体"/>
                <w:color w:val="auto"/>
                <w:szCs w:val="21"/>
              </w:rPr>
              <w:br w:type="textWrapping"/>
            </w:r>
            <w:r>
              <w:rPr>
                <w:rFonts w:hint="eastAsia" w:ascii="宋体" w:hAnsi="宋体" w:cs="宋体"/>
                <w:color w:val="auto"/>
                <w:szCs w:val="21"/>
              </w:rPr>
              <w:t>五金 缓冲铰链（QB/T 2189-2013）、暗拉手或内凹式拉手</w:t>
            </w:r>
            <w:r>
              <w:rPr>
                <w:rFonts w:hint="eastAsia" w:ascii="宋体" w:hAnsi="宋体" w:cs="宋体"/>
                <w:color w:val="auto"/>
                <w:szCs w:val="21"/>
              </w:rPr>
              <w:br w:type="textWrapping"/>
            </w:r>
            <w:r>
              <w:rPr>
                <w:rFonts w:hint="eastAsia" w:ascii="宋体" w:hAnsi="宋体" w:cs="宋体"/>
                <w:color w:val="auto"/>
                <w:szCs w:val="21"/>
              </w:rPr>
              <w:t>边角 圆角R≥10mm</w:t>
            </w:r>
            <w:r>
              <w:rPr>
                <w:rFonts w:hint="eastAsia" w:ascii="宋体" w:hAnsi="宋体" w:cs="宋体"/>
                <w:color w:val="auto"/>
                <w:szCs w:val="21"/>
              </w:rPr>
              <w:br w:type="textWrapping"/>
            </w:r>
            <w:r>
              <w:rPr>
                <w:rFonts w:hint="eastAsia" w:ascii="宋体" w:hAnsi="宋体" w:cs="宋体"/>
                <w:color w:val="auto"/>
                <w:szCs w:val="21"/>
              </w:rPr>
              <w:t>成品标准 GB/T 3324-2017及GB/T 46015-2025</w:t>
            </w:r>
            <w:r>
              <w:rPr>
                <w:rFonts w:hint="eastAsia" w:ascii="宋体" w:hAnsi="宋体" w:cs="宋体"/>
                <w:color w:val="auto"/>
                <w:szCs w:val="21"/>
              </w:rPr>
              <w:br w:type="textWrapping"/>
            </w:r>
            <w:r>
              <w:rPr>
                <w:rFonts w:hint="eastAsia" w:ascii="宋体" w:hAnsi="宋体" w:cs="宋体"/>
                <w:color w:val="auto"/>
                <w:szCs w:val="21"/>
              </w:rPr>
              <w:t>适老化设计 多种储物方式促进认知和手部训练；暗拉手防勾绊</w:t>
            </w:r>
          </w:p>
          <w:p w14:paraId="36DDB782">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一层评估室</w:t>
            </w:r>
          </w:p>
        </w:tc>
        <w:tc>
          <w:tcPr>
            <w:tcW w:w="821" w:type="dxa"/>
            <w:tcBorders>
              <w:top w:val="nil"/>
              <w:left w:val="nil"/>
              <w:bottom w:val="single" w:color="auto" w:sz="4" w:space="0"/>
              <w:right w:val="single" w:color="auto" w:sz="4" w:space="0"/>
            </w:tcBorders>
            <w:vAlign w:val="center"/>
          </w:tcPr>
          <w:p w14:paraId="72D5C75F">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0E4E7CDA">
            <w:pPr>
              <w:ind w:firstLine="210" w:firstLineChars="100"/>
              <w:rPr>
                <w:rFonts w:ascii="宋体" w:hAnsi="宋体" w:cs="Segoe UI"/>
                <w:color w:val="auto"/>
                <w:szCs w:val="21"/>
              </w:rPr>
            </w:pPr>
            <w:r>
              <w:rPr>
                <w:rFonts w:ascii="宋体" w:hAnsi="宋体" w:cs="Segoe UI"/>
                <w:color w:val="auto"/>
                <w:szCs w:val="21"/>
              </w:rPr>
              <w:t>1</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74187C0D">
            <w:pPr>
              <w:ind w:firstLine="210" w:firstLineChars="100"/>
              <w:rPr>
                <w:rFonts w:ascii="宋体" w:hAnsi="宋体" w:cs="Segoe UI"/>
                <w:color w:val="auto"/>
                <w:szCs w:val="21"/>
              </w:rPr>
            </w:pPr>
            <w:r>
              <w:rPr>
                <w:rFonts w:ascii="宋体" w:hAnsi="宋体" w:cs="Segoe UI"/>
                <w:color w:val="auto"/>
                <w:szCs w:val="21"/>
              </w:rPr>
              <w:t>2183</w:t>
            </w:r>
            <w:r>
              <w:rPr>
                <w:rFonts w:hint="eastAsia" w:ascii="宋体" w:hAnsi="宋体" w:cs="Segoe UI"/>
                <w:color w:val="auto"/>
                <w:szCs w:val="21"/>
              </w:rPr>
              <w:t>.00</w:t>
            </w:r>
          </w:p>
        </w:tc>
        <w:tc>
          <w:tcPr>
            <w:tcW w:w="1518" w:type="dxa"/>
            <w:tcBorders>
              <w:top w:val="nil"/>
              <w:left w:val="nil"/>
              <w:bottom w:val="single" w:color="auto" w:sz="4" w:space="0"/>
              <w:right w:val="single" w:color="auto" w:sz="4" w:space="0"/>
            </w:tcBorders>
            <w:vAlign w:val="center"/>
          </w:tcPr>
          <w:p w14:paraId="6A5BFC26">
            <w:pPr>
              <w:ind w:firstLine="210" w:firstLineChars="100"/>
              <w:rPr>
                <w:rFonts w:ascii="宋体" w:hAnsi="宋体" w:cs="Segoe UI"/>
                <w:color w:val="auto"/>
                <w:szCs w:val="21"/>
              </w:rPr>
            </w:pPr>
            <w:r>
              <w:rPr>
                <w:rFonts w:ascii="宋体" w:hAnsi="宋体" w:cs="Segoe UI"/>
                <w:color w:val="auto"/>
                <w:szCs w:val="21"/>
              </w:rPr>
              <w:t>2183</w:t>
            </w:r>
            <w:r>
              <w:rPr>
                <w:rFonts w:hint="eastAsia" w:ascii="宋体" w:hAnsi="宋体" w:cs="Segoe UI"/>
                <w:color w:val="auto"/>
                <w:szCs w:val="21"/>
              </w:rPr>
              <w:t>.00</w:t>
            </w:r>
          </w:p>
        </w:tc>
        <w:tc>
          <w:tcPr>
            <w:tcW w:w="2112" w:type="dxa"/>
            <w:tcBorders>
              <w:top w:val="nil"/>
              <w:left w:val="nil"/>
              <w:bottom w:val="single" w:color="auto" w:sz="4" w:space="0"/>
              <w:right w:val="single" w:color="auto" w:sz="4" w:space="0"/>
            </w:tcBorders>
          </w:tcPr>
          <w:p w14:paraId="65E540B4">
            <w:pPr>
              <w:ind w:firstLine="210" w:firstLineChars="100"/>
              <w:rPr>
                <w:rFonts w:ascii="宋体" w:hAnsi="宋体" w:cs="Segoe UI"/>
                <w:color w:val="auto"/>
                <w:szCs w:val="21"/>
              </w:rPr>
            </w:pPr>
            <w:r>
              <w:rPr>
                <w:rFonts w:ascii="宋体" w:hAnsi="宋体"/>
                <w:color w:val="auto"/>
                <w:szCs w:val="21"/>
              </w:rPr>
              <w:drawing>
                <wp:anchor distT="0" distB="0" distL="114300" distR="114300" simplePos="0" relativeHeight="251665408" behindDoc="0" locked="0" layoutInCell="1" allowOverlap="1">
                  <wp:simplePos x="0" y="0"/>
                  <wp:positionH relativeFrom="column">
                    <wp:posOffset>-32385</wp:posOffset>
                  </wp:positionH>
                  <wp:positionV relativeFrom="paragraph">
                    <wp:posOffset>518795</wp:posOffset>
                  </wp:positionV>
                  <wp:extent cx="1124585" cy="901700"/>
                  <wp:effectExtent l="0" t="0" r="18415" b="12700"/>
                  <wp:wrapNone/>
                  <wp:docPr id="9" name="ID_A9F63B115FBE4A1190DA6553744757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D_A9F63B115FBE4A1190DA65537447571C"/>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24585" cy="901700"/>
                          </a:xfrm>
                          <a:prstGeom prst="rect">
                            <a:avLst/>
                          </a:prstGeom>
                          <a:noFill/>
                          <a:ln w="9525">
                            <a:noFill/>
                          </a:ln>
                        </pic:spPr>
                      </pic:pic>
                    </a:graphicData>
                  </a:graphic>
                </wp:anchor>
              </w:drawing>
            </w:r>
          </w:p>
        </w:tc>
      </w:tr>
      <w:tr w14:paraId="79486547">
        <w:tblPrEx>
          <w:tblCellMar>
            <w:top w:w="0" w:type="dxa"/>
            <w:left w:w="108" w:type="dxa"/>
            <w:bottom w:w="0" w:type="dxa"/>
            <w:right w:w="108" w:type="dxa"/>
          </w:tblCellMar>
        </w:tblPrEx>
        <w:trPr>
          <w:trHeight w:val="4688" w:hRule="atLeast"/>
          <w:jc w:val="center"/>
        </w:trPr>
        <w:tc>
          <w:tcPr>
            <w:tcW w:w="623" w:type="dxa"/>
            <w:tcBorders>
              <w:top w:val="nil"/>
              <w:left w:val="single" w:color="auto" w:sz="4" w:space="0"/>
              <w:bottom w:val="single" w:color="auto" w:sz="4" w:space="0"/>
              <w:right w:val="single" w:color="auto" w:sz="4" w:space="0"/>
            </w:tcBorders>
            <w:vAlign w:val="center"/>
          </w:tcPr>
          <w:p w14:paraId="64FE9A82">
            <w:pPr>
              <w:ind w:firstLine="210" w:firstLineChars="100"/>
              <w:rPr>
                <w:rFonts w:ascii="宋体" w:hAnsi="宋体" w:cs="Segoe UI"/>
                <w:color w:val="auto"/>
                <w:szCs w:val="21"/>
              </w:rPr>
            </w:pPr>
            <w:r>
              <w:rPr>
                <w:rFonts w:ascii="宋体" w:hAnsi="宋体" w:cs="Segoe UI"/>
                <w:color w:val="auto"/>
                <w:szCs w:val="21"/>
              </w:rPr>
              <w:t>9</w:t>
            </w:r>
          </w:p>
        </w:tc>
        <w:tc>
          <w:tcPr>
            <w:tcW w:w="1091" w:type="dxa"/>
            <w:tcBorders>
              <w:top w:val="nil"/>
              <w:left w:val="nil"/>
              <w:bottom w:val="single" w:color="auto" w:sz="4" w:space="0"/>
              <w:right w:val="single" w:color="auto" w:sz="4" w:space="0"/>
            </w:tcBorders>
            <w:vAlign w:val="center"/>
          </w:tcPr>
          <w:p w14:paraId="167A48F1">
            <w:pPr>
              <w:ind w:firstLine="210" w:firstLineChars="100"/>
              <w:rPr>
                <w:rFonts w:ascii="宋体" w:hAnsi="宋体" w:cs="Segoe UI"/>
                <w:color w:val="auto"/>
                <w:szCs w:val="21"/>
              </w:rPr>
            </w:pPr>
            <w:r>
              <w:rPr>
                <w:rFonts w:ascii="宋体" w:hAnsi="宋体" w:cs="Segoe UI"/>
                <w:color w:val="auto"/>
                <w:szCs w:val="21"/>
              </w:rPr>
              <w:t>诊床</w:t>
            </w:r>
          </w:p>
        </w:tc>
        <w:tc>
          <w:tcPr>
            <w:tcW w:w="6277" w:type="dxa"/>
            <w:tcBorders>
              <w:top w:val="nil"/>
              <w:left w:val="nil"/>
              <w:bottom w:val="single" w:color="auto" w:sz="4" w:space="0"/>
              <w:right w:val="single" w:color="auto" w:sz="4" w:space="0"/>
            </w:tcBorders>
            <w:vAlign w:val="center"/>
          </w:tcPr>
          <w:p w14:paraId="6C4D059D">
            <w:pPr>
              <w:rPr>
                <w:rFonts w:ascii="宋体" w:hAnsi="宋体" w:cs="宋体"/>
                <w:color w:val="auto"/>
                <w:szCs w:val="21"/>
              </w:rPr>
            </w:pPr>
            <w:r>
              <w:rPr>
                <w:rFonts w:hint="eastAsia" w:ascii="宋体" w:hAnsi="宋体" w:cs="宋体"/>
                <w:color w:val="auto"/>
                <w:szCs w:val="21"/>
              </w:rPr>
              <w:t>尺寸 1950×700×650mm</w:t>
            </w:r>
            <w:r>
              <w:rPr>
                <w:rFonts w:hint="eastAsia" w:ascii="宋体" w:hAnsi="宋体" w:cs="宋体"/>
                <w:color w:val="auto"/>
                <w:szCs w:val="21"/>
              </w:rPr>
              <w:br w:type="textWrapping"/>
            </w:r>
            <w:r>
              <w:rPr>
                <w:rFonts w:hint="eastAsia" w:ascii="宋体" w:hAnsi="宋体" w:cs="宋体"/>
                <w:color w:val="auto"/>
                <w:szCs w:val="21"/>
              </w:rPr>
              <w:t>床面 5mm厚高密度海绵，外包人造皮，耐磨，防水易清洁</w:t>
            </w:r>
            <w:r>
              <w:rPr>
                <w:rFonts w:hint="eastAsia" w:ascii="宋体" w:hAnsi="宋体" w:cs="宋体"/>
                <w:color w:val="auto"/>
                <w:szCs w:val="21"/>
              </w:rPr>
              <w:br w:type="textWrapping"/>
            </w:r>
            <w:r>
              <w:rPr>
                <w:rFonts w:hint="eastAsia" w:ascii="宋体" w:hAnsi="宋体" w:cs="宋体"/>
                <w:color w:val="auto"/>
                <w:szCs w:val="21"/>
              </w:rPr>
              <w:t>支撑脚 4只，φ32×1.2mm矩管</w:t>
            </w:r>
            <w:r>
              <w:rPr>
                <w:rFonts w:hint="eastAsia" w:ascii="宋体" w:hAnsi="宋体" w:cs="宋体"/>
                <w:color w:val="auto"/>
                <w:szCs w:val="21"/>
              </w:rPr>
              <w:br w:type="textWrapping"/>
            </w:r>
            <w:r>
              <w:rPr>
                <w:rFonts w:hint="eastAsia" w:ascii="宋体" w:hAnsi="宋体" w:cs="宋体"/>
                <w:color w:val="auto"/>
                <w:szCs w:val="21"/>
              </w:rPr>
              <w:t>脚架连接管 φ22×1.2mm矩管</w:t>
            </w:r>
            <w:r>
              <w:rPr>
                <w:rFonts w:hint="eastAsia" w:ascii="宋体" w:hAnsi="宋体" w:cs="宋体"/>
                <w:color w:val="auto"/>
                <w:szCs w:val="21"/>
              </w:rPr>
              <w:br w:type="textWrapping"/>
            </w:r>
            <w:r>
              <w:rPr>
                <w:rFonts w:hint="eastAsia" w:ascii="宋体" w:hAnsi="宋体" w:cs="宋体"/>
                <w:color w:val="auto"/>
                <w:szCs w:val="21"/>
              </w:rPr>
              <w:t>脚架连接板 3mm冷轧钢板</w:t>
            </w:r>
            <w:r>
              <w:rPr>
                <w:rFonts w:hint="eastAsia" w:ascii="宋体" w:hAnsi="宋体" w:cs="宋体"/>
                <w:color w:val="auto"/>
                <w:szCs w:val="21"/>
              </w:rPr>
              <w:br w:type="textWrapping"/>
            </w:r>
            <w:r>
              <w:rPr>
                <w:rFonts w:hint="eastAsia" w:ascii="宋体" w:hAnsi="宋体" w:cs="宋体"/>
                <w:color w:val="auto"/>
                <w:szCs w:val="21"/>
              </w:rPr>
              <w:t>床面额定载荷 ≥135kg</w:t>
            </w:r>
            <w:r>
              <w:rPr>
                <w:rFonts w:hint="eastAsia" w:ascii="宋体" w:hAnsi="宋体" w:cs="宋体"/>
                <w:color w:val="auto"/>
                <w:szCs w:val="21"/>
              </w:rPr>
              <w:br w:type="textWrapping"/>
            </w:r>
            <w:r>
              <w:rPr>
                <w:rFonts w:hint="eastAsia" w:ascii="宋体" w:hAnsi="宋体" w:cs="宋体"/>
                <w:color w:val="auto"/>
                <w:szCs w:val="21"/>
              </w:rPr>
              <w:t>表面处理 静电粉末喷涂，符合GB/T 3325-2017</w:t>
            </w:r>
            <w:r>
              <w:rPr>
                <w:rFonts w:hint="eastAsia" w:ascii="宋体" w:hAnsi="宋体" w:cs="宋体"/>
                <w:color w:val="auto"/>
                <w:szCs w:val="21"/>
              </w:rPr>
              <w:br w:type="textWrapping"/>
            </w:r>
            <w:r>
              <w:rPr>
                <w:rFonts w:hint="eastAsia" w:ascii="宋体" w:hAnsi="宋体" w:cs="宋体"/>
                <w:color w:val="auto"/>
                <w:szCs w:val="21"/>
              </w:rPr>
              <w:t>边角 圆角处理，无尖锐凸起</w:t>
            </w:r>
            <w:r>
              <w:rPr>
                <w:rFonts w:hint="eastAsia" w:ascii="宋体" w:hAnsi="宋体" w:cs="宋体"/>
                <w:color w:val="auto"/>
                <w:szCs w:val="21"/>
              </w:rPr>
              <w:br w:type="textWrapping"/>
            </w:r>
            <w:r>
              <w:rPr>
                <w:rFonts w:hint="eastAsia" w:ascii="宋体" w:hAnsi="宋体" w:cs="宋体"/>
                <w:color w:val="auto"/>
                <w:szCs w:val="21"/>
              </w:rPr>
              <w:t>脚垫 防滑脚垫</w:t>
            </w:r>
            <w:r>
              <w:rPr>
                <w:rFonts w:hint="eastAsia" w:ascii="宋体" w:hAnsi="宋体" w:cs="宋体"/>
                <w:color w:val="auto"/>
                <w:szCs w:val="21"/>
              </w:rPr>
              <w:br w:type="textWrapping"/>
            </w:r>
            <w:r>
              <w:rPr>
                <w:rFonts w:hint="eastAsia" w:ascii="宋体" w:hAnsi="宋体" w:cs="宋体"/>
                <w:color w:val="auto"/>
                <w:szCs w:val="21"/>
              </w:rPr>
              <w:t>成品标准 GB/T 3325-2017《金属家具通用技术条件》</w:t>
            </w:r>
            <w:r>
              <w:rPr>
                <w:rFonts w:hint="eastAsia" w:ascii="宋体" w:hAnsi="宋体" w:cs="宋体"/>
                <w:color w:val="auto"/>
                <w:szCs w:val="21"/>
              </w:rPr>
              <w:br w:type="textWrapping"/>
            </w:r>
            <w:r>
              <w:rPr>
                <w:rFonts w:hint="eastAsia" w:ascii="宋体" w:hAnsi="宋体" w:cs="宋体"/>
                <w:color w:val="auto"/>
                <w:szCs w:val="21"/>
              </w:rPr>
              <w:t>适老化设计 高度650mm适宜老人上下；床面软硬适中；结构稳固</w:t>
            </w:r>
          </w:p>
          <w:p w14:paraId="61DD3D7D">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一层治疗室</w:t>
            </w:r>
          </w:p>
        </w:tc>
        <w:tc>
          <w:tcPr>
            <w:tcW w:w="821" w:type="dxa"/>
            <w:tcBorders>
              <w:top w:val="nil"/>
              <w:left w:val="nil"/>
              <w:bottom w:val="single" w:color="auto" w:sz="4" w:space="0"/>
              <w:right w:val="single" w:color="auto" w:sz="4" w:space="0"/>
            </w:tcBorders>
            <w:vAlign w:val="center"/>
          </w:tcPr>
          <w:p w14:paraId="7F8CBC26">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551AF28B">
            <w:pPr>
              <w:ind w:firstLine="210" w:firstLineChars="100"/>
              <w:rPr>
                <w:rFonts w:ascii="宋体" w:hAnsi="宋体" w:cs="Segoe UI"/>
                <w:color w:val="auto"/>
                <w:szCs w:val="21"/>
              </w:rPr>
            </w:pPr>
            <w:r>
              <w:rPr>
                <w:rFonts w:ascii="宋体" w:hAnsi="宋体" w:cs="Segoe UI"/>
                <w:color w:val="auto"/>
                <w:szCs w:val="21"/>
              </w:rPr>
              <w:t>1</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05D79857">
            <w:pPr>
              <w:ind w:firstLine="210" w:firstLineChars="100"/>
              <w:rPr>
                <w:rFonts w:ascii="宋体" w:hAnsi="宋体" w:cs="Segoe UI"/>
                <w:color w:val="auto"/>
                <w:szCs w:val="21"/>
              </w:rPr>
            </w:pPr>
            <w:r>
              <w:rPr>
                <w:rFonts w:hint="eastAsia" w:ascii="宋体" w:hAnsi="宋体" w:cs="Segoe UI"/>
                <w:color w:val="auto"/>
                <w:szCs w:val="21"/>
              </w:rPr>
              <w:t>3</w:t>
            </w:r>
            <w:r>
              <w:rPr>
                <w:rFonts w:ascii="宋体" w:hAnsi="宋体" w:cs="Segoe UI"/>
                <w:color w:val="auto"/>
                <w:szCs w:val="21"/>
              </w:rPr>
              <w:t>543</w:t>
            </w:r>
            <w:r>
              <w:rPr>
                <w:rFonts w:hint="eastAsia" w:ascii="宋体" w:hAnsi="宋体" w:cs="Segoe UI"/>
                <w:color w:val="auto"/>
                <w:szCs w:val="21"/>
              </w:rPr>
              <w:t>.00</w:t>
            </w:r>
          </w:p>
        </w:tc>
        <w:tc>
          <w:tcPr>
            <w:tcW w:w="1518" w:type="dxa"/>
            <w:tcBorders>
              <w:top w:val="nil"/>
              <w:left w:val="nil"/>
              <w:bottom w:val="single" w:color="auto" w:sz="4" w:space="0"/>
              <w:right w:val="single" w:color="auto" w:sz="4" w:space="0"/>
            </w:tcBorders>
            <w:vAlign w:val="center"/>
          </w:tcPr>
          <w:p w14:paraId="3AFBECEA">
            <w:pPr>
              <w:ind w:firstLine="210" w:firstLineChars="100"/>
              <w:rPr>
                <w:rFonts w:ascii="宋体" w:hAnsi="宋体" w:cs="Segoe UI"/>
                <w:color w:val="auto"/>
                <w:szCs w:val="21"/>
              </w:rPr>
            </w:pPr>
            <w:r>
              <w:rPr>
                <w:rFonts w:hint="eastAsia" w:ascii="宋体" w:hAnsi="宋体" w:cs="Segoe UI"/>
                <w:color w:val="auto"/>
                <w:szCs w:val="21"/>
              </w:rPr>
              <w:t>3</w:t>
            </w:r>
            <w:r>
              <w:rPr>
                <w:rFonts w:ascii="宋体" w:hAnsi="宋体" w:cs="Segoe UI"/>
                <w:color w:val="auto"/>
                <w:szCs w:val="21"/>
              </w:rPr>
              <w:t>543</w:t>
            </w:r>
            <w:r>
              <w:rPr>
                <w:rFonts w:hint="eastAsia" w:ascii="宋体" w:hAnsi="宋体" w:cs="Segoe UI"/>
                <w:color w:val="auto"/>
                <w:szCs w:val="21"/>
              </w:rPr>
              <w:t>.00</w:t>
            </w:r>
          </w:p>
        </w:tc>
        <w:tc>
          <w:tcPr>
            <w:tcW w:w="2112" w:type="dxa"/>
            <w:tcBorders>
              <w:top w:val="nil"/>
              <w:left w:val="nil"/>
              <w:bottom w:val="single" w:color="auto" w:sz="4" w:space="0"/>
              <w:right w:val="single" w:color="auto" w:sz="4" w:space="0"/>
            </w:tcBorders>
          </w:tcPr>
          <w:p w14:paraId="6DBCA665">
            <w:pPr>
              <w:ind w:firstLine="210" w:firstLineChars="100"/>
              <w:rPr>
                <w:rFonts w:ascii="宋体" w:hAnsi="宋体" w:cs="Segoe UI"/>
                <w:color w:val="auto"/>
                <w:szCs w:val="21"/>
              </w:rPr>
            </w:pPr>
            <w:r>
              <w:rPr>
                <w:rFonts w:ascii="宋体" w:hAnsi="宋体"/>
                <w:color w:val="auto"/>
                <w:szCs w:val="21"/>
              </w:rPr>
              <w:drawing>
                <wp:anchor distT="0" distB="0" distL="114300" distR="114300" simplePos="0" relativeHeight="251666432" behindDoc="0" locked="0" layoutInCell="1" allowOverlap="1">
                  <wp:simplePos x="0" y="0"/>
                  <wp:positionH relativeFrom="column">
                    <wp:posOffset>-50800</wp:posOffset>
                  </wp:positionH>
                  <wp:positionV relativeFrom="paragraph">
                    <wp:posOffset>1125855</wp:posOffset>
                  </wp:positionV>
                  <wp:extent cx="1331595" cy="827405"/>
                  <wp:effectExtent l="0" t="0" r="1905" b="10795"/>
                  <wp:wrapNone/>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331595" cy="827405"/>
                          </a:xfrm>
                          <a:prstGeom prst="rect">
                            <a:avLst/>
                          </a:prstGeom>
                          <a:noFill/>
                          <a:ln w="9525">
                            <a:noFill/>
                          </a:ln>
                        </pic:spPr>
                      </pic:pic>
                    </a:graphicData>
                  </a:graphic>
                </wp:anchor>
              </w:drawing>
            </w:r>
          </w:p>
        </w:tc>
      </w:tr>
      <w:tr w14:paraId="1D53FD99">
        <w:tblPrEx>
          <w:tblCellMar>
            <w:top w:w="0" w:type="dxa"/>
            <w:left w:w="108" w:type="dxa"/>
            <w:bottom w:w="0" w:type="dxa"/>
            <w:right w:w="108" w:type="dxa"/>
          </w:tblCellMar>
        </w:tblPrEx>
        <w:trPr>
          <w:trHeight w:val="6637" w:hRule="atLeast"/>
          <w:jc w:val="center"/>
        </w:trPr>
        <w:tc>
          <w:tcPr>
            <w:tcW w:w="623" w:type="dxa"/>
            <w:tcBorders>
              <w:top w:val="nil"/>
              <w:left w:val="single" w:color="auto" w:sz="4" w:space="0"/>
              <w:bottom w:val="single" w:color="auto" w:sz="4" w:space="0"/>
              <w:right w:val="single" w:color="auto" w:sz="4" w:space="0"/>
            </w:tcBorders>
            <w:vAlign w:val="center"/>
          </w:tcPr>
          <w:p w14:paraId="696246E8">
            <w:pPr>
              <w:ind w:firstLine="210" w:firstLineChars="100"/>
              <w:rPr>
                <w:rFonts w:ascii="宋体" w:hAnsi="宋体" w:cs="Segoe UI"/>
                <w:color w:val="auto"/>
                <w:szCs w:val="21"/>
              </w:rPr>
            </w:pPr>
            <w:r>
              <w:rPr>
                <w:rFonts w:ascii="宋体" w:hAnsi="宋体" w:cs="Segoe UI"/>
                <w:color w:val="auto"/>
                <w:szCs w:val="21"/>
              </w:rPr>
              <w:t>10</w:t>
            </w:r>
          </w:p>
        </w:tc>
        <w:tc>
          <w:tcPr>
            <w:tcW w:w="1091" w:type="dxa"/>
            <w:tcBorders>
              <w:top w:val="nil"/>
              <w:left w:val="nil"/>
              <w:bottom w:val="single" w:color="auto" w:sz="4" w:space="0"/>
              <w:right w:val="single" w:color="auto" w:sz="4" w:space="0"/>
            </w:tcBorders>
            <w:vAlign w:val="center"/>
          </w:tcPr>
          <w:p w14:paraId="7A4724B2">
            <w:pPr>
              <w:rPr>
                <w:rFonts w:ascii="宋体" w:hAnsi="宋体" w:cs="宋体"/>
                <w:color w:val="auto"/>
                <w:szCs w:val="21"/>
              </w:rPr>
            </w:pPr>
            <w:r>
              <w:rPr>
                <w:rFonts w:hint="eastAsia" w:ascii="宋体" w:hAnsi="宋体" w:cs="宋体"/>
                <w:color w:val="auto"/>
                <w:szCs w:val="21"/>
              </w:rPr>
              <w:t>操作台柜（含洗手柜）</w:t>
            </w:r>
          </w:p>
        </w:tc>
        <w:tc>
          <w:tcPr>
            <w:tcW w:w="6277" w:type="dxa"/>
            <w:tcBorders>
              <w:top w:val="nil"/>
              <w:left w:val="nil"/>
              <w:bottom w:val="single" w:color="auto" w:sz="4" w:space="0"/>
              <w:right w:val="single" w:color="auto" w:sz="4" w:space="0"/>
            </w:tcBorders>
            <w:vAlign w:val="center"/>
          </w:tcPr>
          <w:p w14:paraId="1657A884">
            <w:pPr>
              <w:rPr>
                <w:rFonts w:ascii="宋体" w:hAnsi="宋体" w:cs="宋体"/>
                <w:color w:val="auto"/>
                <w:szCs w:val="21"/>
              </w:rPr>
            </w:pPr>
            <w:r>
              <w:rPr>
                <w:rFonts w:hint="eastAsia" w:ascii="宋体" w:hAnsi="宋体" w:cs="宋体"/>
                <w:color w:val="auto"/>
                <w:szCs w:val="21"/>
              </w:rPr>
              <w:t>尺寸 2800×600×2200mm</w:t>
            </w:r>
            <w:r>
              <w:rPr>
                <w:rFonts w:hint="eastAsia" w:ascii="宋体" w:hAnsi="宋体" w:cs="宋体"/>
                <w:color w:val="auto"/>
                <w:szCs w:val="21"/>
              </w:rPr>
              <w:br w:type="textWrapping"/>
            </w:r>
            <w:r>
              <w:rPr>
                <w:rFonts w:hint="eastAsia" w:ascii="宋体" w:hAnsi="宋体" w:cs="宋体"/>
                <w:color w:val="auto"/>
                <w:szCs w:val="21"/>
              </w:rPr>
              <w:t>基材 优质电解钢板，厚度≥0.8mm，符合GB/T 3325-2017</w:t>
            </w:r>
            <w:r>
              <w:rPr>
                <w:rFonts w:hint="eastAsia" w:ascii="宋体" w:hAnsi="宋体" w:cs="宋体"/>
                <w:color w:val="auto"/>
                <w:szCs w:val="21"/>
              </w:rPr>
              <w:br w:type="textWrapping"/>
            </w:r>
            <w:r>
              <w:rPr>
                <w:rFonts w:hint="eastAsia" w:ascii="宋体" w:hAnsi="宋体" w:cs="宋体"/>
                <w:color w:val="auto"/>
                <w:szCs w:val="21"/>
              </w:rPr>
              <w:t>表面处理 环氧树脂静电粉末喷涂，硬度≥3H，附着力≥2级</w:t>
            </w:r>
            <w:r>
              <w:rPr>
                <w:rFonts w:hint="eastAsia" w:ascii="宋体" w:hAnsi="宋体" w:cs="宋体"/>
                <w:color w:val="auto"/>
                <w:szCs w:val="21"/>
              </w:rPr>
              <w:br w:type="textWrapping"/>
            </w:r>
            <w:r>
              <w:rPr>
                <w:rFonts w:hint="eastAsia" w:ascii="宋体" w:hAnsi="宋体" w:cs="宋体"/>
                <w:color w:val="auto"/>
                <w:szCs w:val="21"/>
              </w:rPr>
              <w:t>耐腐蚀 经450h中性盐雾试验（GB/T 10125-2012），锈点数0点，10级</w:t>
            </w:r>
            <w:r>
              <w:rPr>
                <w:rFonts w:hint="eastAsia" w:ascii="宋体" w:hAnsi="宋体" w:cs="宋体"/>
                <w:color w:val="auto"/>
                <w:szCs w:val="21"/>
              </w:rPr>
              <w:br w:type="textWrapping"/>
            </w:r>
            <w:r>
              <w:rPr>
                <w:rFonts w:hint="eastAsia" w:ascii="宋体" w:hAnsi="宋体" w:cs="宋体"/>
                <w:color w:val="auto"/>
                <w:szCs w:val="21"/>
              </w:rPr>
              <w:t>五金 优质品牌三节阻尼导轨（QB/T 2454-2013）、缓冲铰链（QB/T 2189-2013），品牌：东泰DTC/悍高/图特</w:t>
            </w:r>
            <w:r>
              <w:rPr>
                <w:rFonts w:hint="eastAsia" w:ascii="宋体" w:hAnsi="宋体" w:cs="宋体"/>
                <w:color w:val="auto"/>
                <w:szCs w:val="21"/>
              </w:rPr>
              <w:br w:type="textWrapping"/>
            </w:r>
            <w:r>
              <w:rPr>
                <w:rFonts w:hint="eastAsia" w:ascii="宋体" w:hAnsi="宋体" w:cs="宋体"/>
                <w:color w:val="auto"/>
                <w:szCs w:val="21"/>
              </w:rPr>
              <w:t>台面 人造石台面，厚度≥12mm</w:t>
            </w:r>
            <w:r>
              <w:rPr>
                <w:rFonts w:hint="eastAsia" w:ascii="宋体" w:hAnsi="宋体" w:cs="宋体"/>
                <w:color w:val="auto"/>
                <w:szCs w:val="21"/>
              </w:rPr>
              <w:br w:type="textWrapping"/>
            </w:r>
            <w:r>
              <w:rPr>
                <w:rFonts w:hint="eastAsia" w:ascii="宋体" w:hAnsi="宋体" w:cs="宋体"/>
                <w:color w:val="auto"/>
                <w:szCs w:val="21"/>
              </w:rPr>
              <w:t>功能结构 抽屉+移门柜，带锁，柜内配1块活动层板（高度可调）</w:t>
            </w:r>
            <w:r>
              <w:rPr>
                <w:rFonts w:hint="eastAsia" w:ascii="宋体" w:hAnsi="宋体" w:cs="宋体"/>
                <w:color w:val="auto"/>
                <w:szCs w:val="21"/>
              </w:rPr>
              <w:br w:type="textWrapping"/>
            </w:r>
            <w:r>
              <w:rPr>
                <w:rFonts w:hint="eastAsia" w:ascii="宋体" w:hAnsi="宋体" w:cs="宋体"/>
                <w:color w:val="auto"/>
                <w:szCs w:val="21"/>
              </w:rPr>
              <w:t>洗手配置 304不锈钢洗手盆1个，感应式水龙头1个</w:t>
            </w:r>
            <w:r>
              <w:rPr>
                <w:rFonts w:hint="eastAsia" w:ascii="宋体" w:hAnsi="宋体" w:cs="宋体"/>
                <w:color w:val="auto"/>
                <w:szCs w:val="21"/>
              </w:rPr>
              <w:br w:type="textWrapping"/>
            </w:r>
            <w:r>
              <w:rPr>
                <w:rFonts w:hint="eastAsia" w:ascii="宋体" w:hAnsi="宋体" w:cs="宋体"/>
                <w:color w:val="auto"/>
                <w:szCs w:val="21"/>
              </w:rPr>
              <w:t>踢脚线 304不锈钢，高100mm，内缩20mm</w:t>
            </w:r>
            <w:r>
              <w:rPr>
                <w:rFonts w:hint="eastAsia" w:ascii="宋体" w:hAnsi="宋体" w:cs="宋体"/>
                <w:color w:val="auto"/>
                <w:szCs w:val="21"/>
              </w:rPr>
              <w:br w:type="textWrapping"/>
            </w:r>
            <w:r>
              <w:rPr>
                <w:rFonts w:hint="eastAsia" w:ascii="宋体" w:hAnsi="宋体" w:cs="宋体"/>
                <w:color w:val="auto"/>
                <w:szCs w:val="21"/>
              </w:rPr>
              <w:t>拉手 暗拉手或内凹式设计，禁止使用尖锐外凸金属拉手</w:t>
            </w:r>
            <w:r>
              <w:rPr>
                <w:rFonts w:hint="eastAsia" w:ascii="宋体" w:hAnsi="宋体" w:cs="宋体"/>
                <w:color w:val="auto"/>
                <w:szCs w:val="21"/>
              </w:rPr>
              <w:br w:type="textWrapping"/>
            </w:r>
            <w:r>
              <w:rPr>
                <w:rFonts w:hint="eastAsia" w:ascii="宋体" w:hAnsi="宋体" w:cs="宋体"/>
                <w:color w:val="auto"/>
                <w:szCs w:val="21"/>
              </w:rPr>
              <w:t>成品标准 GB/T 3325-2017及GB/T 35607-2024</w:t>
            </w:r>
            <w:r>
              <w:rPr>
                <w:rFonts w:hint="eastAsia" w:ascii="宋体" w:hAnsi="宋体" w:cs="宋体"/>
                <w:color w:val="auto"/>
                <w:szCs w:val="21"/>
              </w:rPr>
              <w:br w:type="textWrapping"/>
            </w:r>
            <w:r>
              <w:rPr>
                <w:rFonts w:hint="eastAsia" w:ascii="宋体" w:hAnsi="宋体" w:cs="宋体"/>
                <w:color w:val="auto"/>
                <w:szCs w:val="21"/>
              </w:rPr>
              <w:t>适老化设计 感应水龙头避免交叉感染；台面高度适宜站立操作；暗拉手防勾绊</w:t>
            </w:r>
          </w:p>
          <w:p w14:paraId="66623274">
            <w:pPr>
              <w:rPr>
                <w:rFonts w:ascii="宋体" w:hAnsi="宋体" w:cs="宋体"/>
                <w:b/>
                <w:bCs/>
                <w:color w:val="auto"/>
                <w:szCs w:val="21"/>
              </w:rPr>
            </w:pPr>
            <w:r>
              <w:rPr>
                <w:rFonts w:hint="eastAsia" w:ascii="宋体" w:hAnsi="宋体" w:cs="宋体"/>
                <w:color w:val="auto"/>
                <w:szCs w:val="21"/>
              </w:rPr>
              <w:t>适用区域：</w:t>
            </w:r>
            <w:r>
              <w:rPr>
                <w:rFonts w:ascii="宋体" w:hAnsi="宋体" w:cs="Segoe UI"/>
                <w:color w:val="auto"/>
                <w:szCs w:val="21"/>
              </w:rPr>
              <w:t>一层治疗室</w:t>
            </w:r>
          </w:p>
        </w:tc>
        <w:tc>
          <w:tcPr>
            <w:tcW w:w="821" w:type="dxa"/>
            <w:tcBorders>
              <w:top w:val="nil"/>
              <w:left w:val="nil"/>
              <w:bottom w:val="single" w:color="auto" w:sz="4" w:space="0"/>
              <w:right w:val="single" w:color="auto" w:sz="4" w:space="0"/>
            </w:tcBorders>
            <w:vAlign w:val="center"/>
          </w:tcPr>
          <w:p w14:paraId="603671D1">
            <w:pPr>
              <w:ind w:firstLine="210" w:firstLineChars="100"/>
              <w:rPr>
                <w:rFonts w:ascii="宋体" w:hAnsi="宋体" w:cs="Segoe UI"/>
                <w:color w:val="auto"/>
                <w:szCs w:val="21"/>
              </w:rPr>
            </w:pPr>
            <w:r>
              <w:rPr>
                <w:rFonts w:ascii="宋体" w:hAnsi="宋体" w:cs="Segoe UI"/>
                <w:color w:val="auto"/>
                <w:szCs w:val="21"/>
              </w:rPr>
              <w:t>套</w:t>
            </w:r>
          </w:p>
        </w:tc>
        <w:tc>
          <w:tcPr>
            <w:tcW w:w="1034" w:type="dxa"/>
            <w:tcBorders>
              <w:top w:val="nil"/>
              <w:left w:val="nil"/>
              <w:bottom w:val="single" w:color="auto" w:sz="4" w:space="0"/>
              <w:right w:val="single" w:color="auto" w:sz="4" w:space="0"/>
            </w:tcBorders>
            <w:vAlign w:val="center"/>
          </w:tcPr>
          <w:p w14:paraId="23B94B6D">
            <w:pPr>
              <w:ind w:firstLine="210" w:firstLineChars="100"/>
              <w:rPr>
                <w:rFonts w:ascii="宋体" w:hAnsi="宋体" w:cs="Segoe UI"/>
                <w:color w:val="auto"/>
                <w:szCs w:val="21"/>
              </w:rPr>
            </w:pPr>
            <w:r>
              <w:rPr>
                <w:rFonts w:ascii="宋体" w:hAnsi="宋体" w:cs="Segoe UI"/>
                <w:color w:val="auto"/>
                <w:szCs w:val="21"/>
              </w:rPr>
              <w:t>1</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168F48AD">
            <w:pPr>
              <w:ind w:firstLine="210" w:firstLineChars="100"/>
              <w:rPr>
                <w:rFonts w:ascii="宋体" w:hAnsi="宋体" w:cs="Segoe UI"/>
                <w:color w:val="auto"/>
                <w:szCs w:val="21"/>
              </w:rPr>
            </w:pPr>
            <w:r>
              <w:rPr>
                <w:rFonts w:ascii="宋体" w:hAnsi="宋体" w:cs="Segoe UI"/>
                <w:color w:val="auto"/>
                <w:szCs w:val="21"/>
              </w:rPr>
              <w:t>12744</w:t>
            </w:r>
            <w:r>
              <w:rPr>
                <w:rFonts w:hint="eastAsia" w:ascii="宋体" w:hAnsi="宋体" w:cs="Segoe UI"/>
                <w:color w:val="auto"/>
                <w:szCs w:val="21"/>
              </w:rPr>
              <w:t>.00</w:t>
            </w:r>
          </w:p>
        </w:tc>
        <w:tc>
          <w:tcPr>
            <w:tcW w:w="1518" w:type="dxa"/>
            <w:tcBorders>
              <w:top w:val="nil"/>
              <w:left w:val="nil"/>
              <w:bottom w:val="single" w:color="auto" w:sz="4" w:space="0"/>
              <w:right w:val="single" w:color="auto" w:sz="4" w:space="0"/>
            </w:tcBorders>
            <w:vAlign w:val="center"/>
          </w:tcPr>
          <w:p w14:paraId="11E3D18B">
            <w:pPr>
              <w:ind w:firstLine="210" w:firstLineChars="100"/>
              <w:rPr>
                <w:rFonts w:ascii="宋体" w:hAnsi="宋体" w:cs="Segoe UI"/>
                <w:color w:val="auto"/>
                <w:szCs w:val="21"/>
              </w:rPr>
            </w:pPr>
            <w:r>
              <w:rPr>
                <w:rFonts w:ascii="宋体" w:hAnsi="宋体" w:cs="Segoe UI"/>
                <w:color w:val="auto"/>
                <w:szCs w:val="21"/>
              </w:rPr>
              <w:t>12744</w:t>
            </w:r>
            <w:r>
              <w:rPr>
                <w:rFonts w:hint="eastAsia" w:ascii="宋体" w:hAnsi="宋体" w:cs="Segoe UI"/>
                <w:color w:val="auto"/>
                <w:szCs w:val="21"/>
              </w:rPr>
              <w:t>.00</w:t>
            </w:r>
          </w:p>
        </w:tc>
        <w:tc>
          <w:tcPr>
            <w:tcW w:w="2112" w:type="dxa"/>
            <w:tcBorders>
              <w:top w:val="nil"/>
              <w:left w:val="nil"/>
              <w:bottom w:val="single" w:color="auto" w:sz="4" w:space="0"/>
              <w:right w:val="single" w:color="auto" w:sz="4" w:space="0"/>
            </w:tcBorders>
          </w:tcPr>
          <w:p w14:paraId="6BEA79EA">
            <w:pPr>
              <w:ind w:firstLine="210" w:firstLineChars="100"/>
              <w:rPr>
                <w:rFonts w:ascii="宋体" w:hAnsi="宋体" w:cs="Segoe UI"/>
                <w:color w:val="auto"/>
                <w:szCs w:val="21"/>
              </w:rPr>
            </w:pPr>
            <w:r>
              <w:rPr>
                <w:rFonts w:ascii="宋体" w:hAnsi="宋体"/>
                <w:color w:val="auto"/>
                <w:szCs w:val="21"/>
              </w:rPr>
              <w:drawing>
                <wp:anchor distT="0" distB="0" distL="114300" distR="114300" simplePos="0" relativeHeight="251667456" behindDoc="0" locked="0" layoutInCell="1" allowOverlap="1">
                  <wp:simplePos x="0" y="0"/>
                  <wp:positionH relativeFrom="column">
                    <wp:posOffset>50165</wp:posOffset>
                  </wp:positionH>
                  <wp:positionV relativeFrom="paragraph">
                    <wp:posOffset>1736725</wp:posOffset>
                  </wp:positionV>
                  <wp:extent cx="1188085" cy="772160"/>
                  <wp:effectExtent l="0" t="0" r="12065" b="8890"/>
                  <wp:wrapNone/>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88085" cy="772160"/>
                          </a:xfrm>
                          <a:prstGeom prst="rect">
                            <a:avLst/>
                          </a:prstGeom>
                          <a:noFill/>
                          <a:ln w="9525">
                            <a:noFill/>
                          </a:ln>
                        </pic:spPr>
                      </pic:pic>
                    </a:graphicData>
                  </a:graphic>
                </wp:anchor>
              </w:drawing>
            </w:r>
          </w:p>
        </w:tc>
      </w:tr>
      <w:tr w14:paraId="53FE1D47">
        <w:tblPrEx>
          <w:tblCellMar>
            <w:top w:w="0" w:type="dxa"/>
            <w:left w:w="108" w:type="dxa"/>
            <w:bottom w:w="0" w:type="dxa"/>
            <w:right w:w="108" w:type="dxa"/>
          </w:tblCellMar>
        </w:tblPrEx>
        <w:trPr>
          <w:trHeight w:val="5468" w:hRule="atLeast"/>
          <w:jc w:val="center"/>
        </w:trPr>
        <w:tc>
          <w:tcPr>
            <w:tcW w:w="623" w:type="dxa"/>
            <w:tcBorders>
              <w:top w:val="nil"/>
              <w:left w:val="single" w:color="auto" w:sz="4" w:space="0"/>
              <w:bottom w:val="single" w:color="auto" w:sz="4" w:space="0"/>
              <w:right w:val="single" w:color="auto" w:sz="4" w:space="0"/>
            </w:tcBorders>
            <w:vAlign w:val="center"/>
          </w:tcPr>
          <w:p w14:paraId="3A34862A">
            <w:pPr>
              <w:ind w:firstLine="210" w:firstLineChars="100"/>
              <w:rPr>
                <w:rFonts w:ascii="宋体" w:hAnsi="宋体" w:cs="Segoe UI"/>
                <w:color w:val="auto"/>
                <w:szCs w:val="21"/>
              </w:rPr>
            </w:pPr>
            <w:r>
              <w:rPr>
                <w:rFonts w:ascii="宋体" w:hAnsi="宋体" w:cs="Segoe UI"/>
                <w:color w:val="auto"/>
                <w:szCs w:val="21"/>
              </w:rPr>
              <w:t>11</w:t>
            </w:r>
          </w:p>
        </w:tc>
        <w:tc>
          <w:tcPr>
            <w:tcW w:w="1091" w:type="dxa"/>
            <w:tcBorders>
              <w:top w:val="nil"/>
              <w:left w:val="nil"/>
              <w:bottom w:val="single" w:color="auto" w:sz="4" w:space="0"/>
              <w:right w:val="single" w:color="auto" w:sz="4" w:space="0"/>
            </w:tcBorders>
            <w:vAlign w:val="center"/>
          </w:tcPr>
          <w:p w14:paraId="0C0BB9D9">
            <w:pPr>
              <w:ind w:firstLine="210" w:firstLineChars="100"/>
              <w:rPr>
                <w:rFonts w:ascii="宋体" w:hAnsi="宋体" w:cs="宋体"/>
                <w:color w:val="auto"/>
                <w:szCs w:val="21"/>
              </w:rPr>
            </w:pPr>
            <w:r>
              <w:rPr>
                <w:rFonts w:hint="eastAsia" w:ascii="宋体" w:hAnsi="宋体" w:cs="宋体"/>
                <w:color w:val="auto"/>
                <w:szCs w:val="21"/>
              </w:rPr>
              <w:t>中药柜</w:t>
            </w:r>
          </w:p>
        </w:tc>
        <w:tc>
          <w:tcPr>
            <w:tcW w:w="6277" w:type="dxa"/>
            <w:tcBorders>
              <w:top w:val="nil"/>
              <w:left w:val="nil"/>
              <w:bottom w:val="single" w:color="auto" w:sz="4" w:space="0"/>
              <w:right w:val="single" w:color="auto" w:sz="4" w:space="0"/>
            </w:tcBorders>
            <w:vAlign w:val="center"/>
          </w:tcPr>
          <w:p w14:paraId="38E58356">
            <w:pPr>
              <w:rPr>
                <w:rFonts w:ascii="宋体" w:hAnsi="宋体" w:cs="宋体"/>
                <w:color w:val="auto"/>
                <w:szCs w:val="21"/>
              </w:rPr>
            </w:pPr>
            <w:r>
              <w:rPr>
                <w:rFonts w:hint="eastAsia" w:ascii="宋体" w:hAnsi="宋体" w:cs="宋体"/>
                <w:color w:val="auto"/>
                <w:szCs w:val="21"/>
              </w:rPr>
              <w:t>尺寸 900×400×1980mm</w:t>
            </w:r>
            <w:r>
              <w:rPr>
                <w:rFonts w:hint="eastAsia" w:ascii="宋体" w:hAnsi="宋体" w:cs="宋体"/>
                <w:color w:val="auto"/>
                <w:szCs w:val="21"/>
              </w:rPr>
              <w:br w:type="textWrapping"/>
            </w:r>
            <w:r>
              <w:rPr>
                <w:rFonts w:hint="eastAsia" w:ascii="宋体" w:hAnsi="宋体" w:cs="宋体"/>
                <w:color w:val="auto"/>
                <w:szCs w:val="21"/>
              </w:rPr>
              <w:t>基材 实木多层板，符合GB/T 9846-2015《普通胶合板》</w:t>
            </w:r>
            <w:r>
              <w:rPr>
                <w:rFonts w:hint="eastAsia" w:ascii="宋体" w:hAnsi="宋体" w:cs="宋体"/>
                <w:color w:val="auto"/>
                <w:szCs w:val="21"/>
              </w:rPr>
              <w:br w:type="textWrapping"/>
            </w:r>
            <w:r>
              <w:rPr>
                <w:rFonts w:hint="eastAsia" w:ascii="宋体" w:hAnsi="宋体" w:cs="宋体"/>
                <w:color w:val="auto"/>
                <w:szCs w:val="21"/>
              </w:rPr>
              <w:t>含水率 5~16%</w:t>
            </w:r>
            <w:r>
              <w:rPr>
                <w:rFonts w:hint="eastAsia" w:ascii="宋体" w:hAnsi="宋体" w:cs="宋体"/>
                <w:color w:val="auto"/>
                <w:szCs w:val="21"/>
              </w:rPr>
              <w:br w:type="textWrapping"/>
            </w:r>
            <w:r>
              <w:rPr>
                <w:rFonts w:hint="eastAsia" w:ascii="宋体" w:hAnsi="宋体" w:cs="宋体"/>
                <w:color w:val="auto"/>
                <w:szCs w:val="21"/>
              </w:rPr>
              <w:t>静曲强度 顺纹≥36.0MPa，横纹≥36.0MPa</w:t>
            </w:r>
            <w:r>
              <w:rPr>
                <w:rFonts w:hint="eastAsia" w:ascii="宋体" w:hAnsi="宋体" w:cs="宋体"/>
                <w:color w:val="auto"/>
                <w:szCs w:val="21"/>
              </w:rPr>
              <w:br w:type="textWrapping"/>
            </w:r>
            <w:r>
              <w:rPr>
                <w:rFonts w:hint="eastAsia" w:ascii="宋体" w:hAnsi="宋体" w:cs="宋体"/>
                <w:color w:val="auto"/>
                <w:szCs w:val="21"/>
              </w:rPr>
              <w:t>弹性模量 顺纹≥5600MPa，横纹≥5400MPa</w:t>
            </w:r>
            <w:r>
              <w:rPr>
                <w:rFonts w:hint="eastAsia" w:ascii="宋体" w:hAnsi="宋体" w:cs="宋体"/>
                <w:color w:val="auto"/>
                <w:szCs w:val="21"/>
              </w:rPr>
              <w:br w:type="textWrapping"/>
            </w:r>
            <w:r>
              <w:rPr>
                <w:rFonts w:hint="eastAsia" w:ascii="宋体" w:hAnsi="宋体" w:cs="宋体"/>
                <w:color w:val="auto"/>
                <w:szCs w:val="21"/>
              </w:rPr>
              <w:t>甲醛释放量 ≤0.026mg/m³（优于E</w:t>
            </w:r>
            <w:r>
              <w:rPr>
                <w:rFonts w:ascii="Cambria Math" w:hAnsi="Cambria Math" w:cs="Cambria Math"/>
                <w:color w:val="auto"/>
                <w:szCs w:val="21"/>
              </w:rPr>
              <w:t>₀</w:t>
            </w:r>
            <w:r>
              <w:rPr>
                <w:rFonts w:hint="eastAsia" w:ascii="宋体" w:hAnsi="宋体" w:cs="宋体"/>
                <w:color w:val="auto"/>
                <w:szCs w:val="21"/>
              </w:rPr>
              <w:t>级）</w:t>
            </w:r>
            <w:r>
              <w:rPr>
                <w:rFonts w:hint="eastAsia" w:ascii="宋体" w:hAnsi="宋体" w:cs="宋体"/>
                <w:color w:val="auto"/>
                <w:szCs w:val="21"/>
              </w:rPr>
              <w:br w:type="textWrapping"/>
            </w:r>
            <w:r>
              <w:rPr>
                <w:rFonts w:hint="eastAsia" w:ascii="宋体" w:hAnsi="宋体" w:cs="宋体"/>
                <w:color w:val="auto"/>
                <w:szCs w:val="21"/>
              </w:rPr>
              <w:t>结构 多抽屉（≥60屉）</w:t>
            </w:r>
            <w:r>
              <w:rPr>
                <w:rFonts w:hint="eastAsia" w:ascii="宋体" w:hAnsi="宋体" w:cs="宋体"/>
                <w:color w:val="auto"/>
                <w:szCs w:val="21"/>
              </w:rPr>
              <w:br w:type="textWrapping"/>
            </w:r>
            <w:r>
              <w:rPr>
                <w:rFonts w:hint="eastAsia" w:ascii="宋体" w:hAnsi="宋体" w:cs="宋体"/>
                <w:color w:val="auto"/>
                <w:szCs w:val="21"/>
              </w:rPr>
              <w:t>抽屉拉手 铜质或实木圆滑拉手，内凹式设计</w:t>
            </w:r>
            <w:r>
              <w:rPr>
                <w:rFonts w:hint="eastAsia" w:ascii="宋体" w:hAnsi="宋体" w:cs="宋体"/>
                <w:color w:val="auto"/>
                <w:szCs w:val="21"/>
              </w:rPr>
              <w:br w:type="textWrapping"/>
            </w:r>
            <w:r>
              <w:rPr>
                <w:rFonts w:hint="eastAsia" w:ascii="宋体" w:hAnsi="宋体" w:cs="宋体"/>
                <w:color w:val="auto"/>
                <w:szCs w:val="21"/>
              </w:rPr>
              <w:t>表面 环保清漆，符合GB 18581-2020</w:t>
            </w:r>
            <w:r>
              <w:rPr>
                <w:rFonts w:hint="eastAsia" w:ascii="宋体" w:hAnsi="宋体" w:cs="宋体"/>
                <w:color w:val="auto"/>
                <w:szCs w:val="21"/>
              </w:rPr>
              <w:br w:type="textWrapping"/>
            </w:r>
            <w:r>
              <w:rPr>
                <w:rFonts w:hint="eastAsia" w:ascii="宋体" w:hAnsi="宋体" w:cs="宋体"/>
                <w:color w:val="auto"/>
                <w:szCs w:val="21"/>
              </w:rPr>
              <w:t>边角 圆角处理，无尖锐凸起</w:t>
            </w:r>
            <w:r>
              <w:rPr>
                <w:rFonts w:hint="eastAsia" w:ascii="宋体" w:hAnsi="宋体" w:cs="宋体"/>
                <w:color w:val="auto"/>
                <w:szCs w:val="21"/>
              </w:rPr>
              <w:br w:type="textWrapping"/>
            </w:r>
            <w:r>
              <w:rPr>
                <w:rFonts w:hint="eastAsia" w:ascii="宋体" w:hAnsi="宋体" w:cs="宋体"/>
                <w:color w:val="auto"/>
                <w:szCs w:val="21"/>
              </w:rPr>
              <w:t>成品标准 GB/T 3324-2017</w:t>
            </w:r>
            <w:r>
              <w:rPr>
                <w:rFonts w:hint="eastAsia" w:ascii="宋体" w:hAnsi="宋体" w:cs="宋体"/>
                <w:color w:val="auto"/>
                <w:szCs w:val="21"/>
              </w:rPr>
              <w:br w:type="textWrapping"/>
            </w:r>
            <w:r>
              <w:rPr>
                <w:rFonts w:hint="eastAsia" w:ascii="宋体" w:hAnsi="宋体" w:cs="宋体"/>
                <w:color w:val="auto"/>
                <w:szCs w:val="21"/>
              </w:rPr>
              <w:t>适老化设计 抽屉标签清晰易读（字体大小适宜）；拉手圆滑防勾绊</w:t>
            </w:r>
          </w:p>
          <w:p w14:paraId="57EC5B59">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一层药房</w:t>
            </w:r>
          </w:p>
        </w:tc>
        <w:tc>
          <w:tcPr>
            <w:tcW w:w="821" w:type="dxa"/>
            <w:tcBorders>
              <w:top w:val="nil"/>
              <w:left w:val="nil"/>
              <w:bottom w:val="single" w:color="auto" w:sz="4" w:space="0"/>
              <w:right w:val="single" w:color="auto" w:sz="4" w:space="0"/>
            </w:tcBorders>
            <w:vAlign w:val="center"/>
          </w:tcPr>
          <w:p w14:paraId="21794EC2">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45CF31C2">
            <w:pPr>
              <w:ind w:firstLine="210" w:firstLineChars="100"/>
              <w:rPr>
                <w:rFonts w:ascii="宋体" w:hAnsi="宋体" w:cs="Segoe UI"/>
                <w:color w:val="auto"/>
                <w:szCs w:val="21"/>
              </w:rPr>
            </w:pPr>
            <w:r>
              <w:rPr>
                <w:rFonts w:ascii="宋体" w:hAnsi="宋体" w:cs="Segoe UI"/>
                <w:color w:val="auto"/>
                <w:szCs w:val="21"/>
              </w:rPr>
              <w:t>1</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38B4ABAE">
            <w:pPr>
              <w:rPr>
                <w:rFonts w:ascii="宋体" w:hAnsi="宋体" w:cs="Segoe UI"/>
                <w:color w:val="auto"/>
                <w:szCs w:val="21"/>
              </w:rPr>
            </w:pPr>
            <w:r>
              <w:rPr>
                <w:rFonts w:hint="eastAsia" w:ascii="宋体" w:hAnsi="宋体" w:cs="Segoe UI"/>
                <w:color w:val="auto"/>
                <w:szCs w:val="21"/>
              </w:rPr>
              <w:t>4500</w:t>
            </w:r>
          </w:p>
        </w:tc>
        <w:tc>
          <w:tcPr>
            <w:tcW w:w="1518" w:type="dxa"/>
            <w:tcBorders>
              <w:top w:val="nil"/>
              <w:left w:val="nil"/>
              <w:bottom w:val="single" w:color="auto" w:sz="4" w:space="0"/>
              <w:right w:val="single" w:color="auto" w:sz="4" w:space="0"/>
            </w:tcBorders>
            <w:vAlign w:val="center"/>
          </w:tcPr>
          <w:p w14:paraId="062B01A4">
            <w:pPr>
              <w:rPr>
                <w:rFonts w:ascii="宋体" w:hAnsi="宋体" w:cs="Segoe UI"/>
                <w:color w:val="auto"/>
                <w:szCs w:val="21"/>
              </w:rPr>
            </w:pPr>
            <w:r>
              <w:rPr>
                <w:rFonts w:hint="eastAsia" w:ascii="宋体" w:hAnsi="宋体" w:cs="Segoe UI"/>
                <w:color w:val="auto"/>
                <w:szCs w:val="21"/>
              </w:rPr>
              <w:t>4500</w:t>
            </w:r>
          </w:p>
        </w:tc>
        <w:tc>
          <w:tcPr>
            <w:tcW w:w="2112" w:type="dxa"/>
            <w:tcBorders>
              <w:top w:val="nil"/>
              <w:left w:val="nil"/>
              <w:bottom w:val="single" w:color="auto" w:sz="4" w:space="0"/>
              <w:right w:val="single" w:color="auto" w:sz="4" w:space="0"/>
            </w:tcBorders>
          </w:tcPr>
          <w:p w14:paraId="3AEA925F">
            <w:pPr>
              <w:rPr>
                <w:rFonts w:ascii="宋体" w:hAnsi="宋体" w:cs="Segoe UI"/>
                <w:color w:val="auto"/>
                <w:szCs w:val="21"/>
              </w:rPr>
            </w:pPr>
            <w:r>
              <w:rPr>
                <w:rFonts w:ascii="宋体" w:hAnsi="宋体"/>
                <w:color w:val="auto"/>
                <w:szCs w:val="21"/>
              </w:rPr>
              <w:drawing>
                <wp:anchor distT="0" distB="0" distL="114300" distR="114300" simplePos="0" relativeHeight="251668480" behindDoc="0" locked="0" layoutInCell="1" allowOverlap="1">
                  <wp:simplePos x="0" y="0"/>
                  <wp:positionH relativeFrom="column">
                    <wp:posOffset>186690</wp:posOffset>
                  </wp:positionH>
                  <wp:positionV relativeFrom="paragraph">
                    <wp:posOffset>1161415</wp:posOffset>
                  </wp:positionV>
                  <wp:extent cx="1005840" cy="1714500"/>
                  <wp:effectExtent l="0" t="0" r="3810" b="0"/>
                  <wp:wrapNone/>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1007879" cy="1717866"/>
                          </a:xfrm>
                          <a:prstGeom prst="rect">
                            <a:avLst/>
                          </a:prstGeom>
                          <a:noFill/>
                          <a:ln w="9525">
                            <a:noFill/>
                          </a:ln>
                        </pic:spPr>
                      </pic:pic>
                    </a:graphicData>
                  </a:graphic>
                </wp:anchor>
              </w:drawing>
            </w:r>
          </w:p>
        </w:tc>
      </w:tr>
      <w:tr w14:paraId="4CCABC80">
        <w:tblPrEx>
          <w:tblCellMar>
            <w:top w:w="0" w:type="dxa"/>
            <w:left w:w="108" w:type="dxa"/>
            <w:bottom w:w="0" w:type="dxa"/>
            <w:right w:w="108" w:type="dxa"/>
          </w:tblCellMar>
        </w:tblPrEx>
        <w:trPr>
          <w:trHeight w:val="1311" w:hRule="atLeast"/>
          <w:jc w:val="center"/>
        </w:trPr>
        <w:tc>
          <w:tcPr>
            <w:tcW w:w="623" w:type="dxa"/>
            <w:tcBorders>
              <w:top w:val="nil"/>
              <w:left w:val="single" w:color="auto" w:sz="4" w:space="0"/>
              <w:bottom w:val="single" w:color="auto" w:sz="4" w:space="0"/>
              <w:right w:val="single" w:color="auto" w:sz="4" w:space="0"/>
            </w:tcBorders>
            <w:vAlign w:val="center"/>
          </w:tcPr>
          <w:p w14:paraId="56B613AB">
            <w:pPr>
              <w:ind w:firstLine="210" w:firstLineChars="100"/>
              <w:rPr>
                <w:rFonts w:ascii="宋体" w:hAnsi="宋体" w:cs="Segoe UI"/>
                <w:color w:val="auto"/>
                <w:szCs w:val="21"/>
              </w:rPr>
            </w:pPr>
            <w:r>
              <w:rPr>
                <w:rFonts w:ascii="宋体" w:hAnsi="宋体" w:cs="Segoe UI"/>
                <w:color w:val="auto"/>
                <w:szCs w:val="21"/>
              </w:rPr>
              <w:t>12</w:t>
            </w:r>
          </w:p>
        </w:tc>
        <w:tc>
          <w:tcPr>
            <w:tcW w:w="1091" w:type="dxa"/>
            <w:tcBorders>
              <w:top w:val="nil"/>
              <w:left w:val="nil"/>
              <w:bottom w:val="single" w:color="auto" w:sz="4" w:space="0"/>
              <w:right w:val="single" w:color="auto" w:sz="4" w:space="0"/>
            </w:tcBorders>
            <w:vAlign w:val="center"/>
          </w:tcPr>
          <w:p w14:paraId="221D7006">
            <w:pPr>
              <w:rPr>
                <w:rFonts w:ascii="宋体" w:hAnsi="宋体" w:cs="宋体"/>
                <w:color w:val="auto"/>
                <w:szCs w:val="21"/>
              </w:rPr>
            </w:pPr>
            <w:r>
              <w:rPr>
                <w:rFonts w:hint="eastAsia" w:ascii="宋体" w:hAnsi="宋体" w:cs="宋体"/>
                <w:color w:val="auto"/>
                <w:szCs w:val="21"/>
              </w:rPr>
              <w:t>中药存放柜</w:t>
            </w:r>
          </w:p>
        </w:tc>
        <w:tc>
          <w:tcPr>
            <w:tcW w:w="6277" w:type="dxa"/>
            <w:tcBorders>
              <w:top w:val="nil"/>
              <w:left w:val="nil"/>
              <w:bottom w:val="single" w:color="auto" w:sz="4" w:space="0"/>
              <w:right w:val="single" w:color="auto" w:sz="4" w:space="0"/>
            </w:tcBorders>
            <w:vAlign w:val="center"/>
          </w:tcPr>
          <w:p w14:paraId="5E5F550B">
            <w:pPr>
              <w:rPr>
                <w:rFonts w:ascii="宋体" w:hAnsi="宋体" w:cs="宋体"/>
                <w:color w:val="auto"/>
                <w:szCs w:val="21"/>
              </w:rPr>
            </w:pPr>
            <w:r>
              <w:rPr>
                <w:rFonts w:hint="eastAsia" w:ascii="宋体" w:hAnsi="宋体" w:cs="宋体"/>
                <w:color w:val="auto"/>
                <w:szCs w:val="21"/>
              </w:rPr>
              <w:t>尺寸 900×400×1980mm</w:t>
            </w:r>
            <w:r>
              <w:rPr>
                <w:rFonts w:hint="eastAsia" w:ascii="宋体" w:hAnsi="宋体" w:cs="宋体"/>
                <w:color w:val="auto"/>
                <w:szCs w:val="21"/>
              </w:rPr>
              <w:br w:type="textWrapping"/>
            </w:r>
            <w:r>
              <w:rPr>
                <w:rFonts w:hint="eastAsia" w:ascii="宋体" w:hAnsi="宋体" w:cs="宋体"/>
                <w:color w:val="auto"/>
                <w:szCs w:val="21"/>
              </w:rPr>
              <w:t>整体 电解钢板，厚度≥0.8mm</w:t>
            </w:r>
            <w:r>
              <w:rPr>
                <w:rFonts w:hint="eastAsia" w:ascii="宋体" w:hAnsi="宋体" w:cs="宋体"/>
                <w:color w:val="auto"/>
                <w:szCs w:val="21"/>
              </w:rPr>
              <w:br w:type="textWrapping"/>
            </w:r>
            <w:r>
              <w:rPr>
                <w:rFonts w:hint="eastAsia" w:ascii="宋体" w:hAnsi="宋体" w:cs="宋体"/>
                <w:color w:val="auto"/>
                <w:szCs w:val="21"/>
              </w:rPr>
              <w:t>表面处理 环氧树脂静电粉末喷涂</w:t>
            </w:r>
            <w:r>
              <w:rPr>
                <w:rFonts w:hint="eastAsia" w:ascii="宋体" w:hAnsi="宋体" w:cs="宋体"/>
                <w:color w:val="auto"/>
                <w:szCs w:val="21"/>
              </w:rPr>
              <w:br w:type="textWrapping"/>
            </w:r>
            <w:r>
              <w:rPr>
                <w:rFonts w:hint="eastAsia" w:ascii="宋体" w:hAnsi="宋体" w:cs="宋体"/>
                <w:color w:val="auto"/>
                <w:szCs w:val="21"/>
              </w:rPr>
              <w:t>耐腐蚀 经210h乙酸盐雾试验（ASS）（GB/T 10125-2012），耐腐蚀等级≥10级</w:t>
            </w:r>
            <w:r>
              <w:rPr>
                <w:rFonts w:hint="eastAsia" w:ascii="宋体" w:hAnsi="宋体" w:cs="宋体"/>
                <w:color w:val="auto"/>
                <w:szCs w:val="21"/>
              </w:rPr>
              <w:br w:type="textWrapping"/>
            </w:r>
            <w:r>
              <w:rPr>
                <w:rFonts w:hint="eastAsia" w:ascii="宋体" w:hAnsi="宋体" w:cs="宋体"/>
                <w:color w:val="auto"/>
                <w:szCs w:val="21"/>
              </w:rPr>
              <w:t>结构 多层搁板（高度可调）</w:t>
            </w:r>
            <w:r>
              <w:rPr>
                <w:rFonts w:hint="eastAsia" w:ascii="宋体" w:hAnsi="宋体" w:cs="宋体"/>
                <w:color w:val="auto"/>
                <w:szCs w:val="21"/>
              </w:rPr>
              <w:br w:type="textWrapping"/>
            </w:r>
            <w:r>
              <w:rPr>
                <w:rFonts w:hint="eastAsia" w:ascii="宋体" w:hAnsi="宋体" w:cs="宋体"/>
                <w:color w:val="auto"/>
                <w:szCs w:val="21"/>
              </w:rPr>
              <w:t>柜门 带锁，缓冲铰链，暗拉手</w:t>
            </w:r>
            <w:r>
              <w:rPr>
                <w:rFonts w:hint="eastAsia" w:ascii="宋体" w:hAnsi="宋体" w:cs="宋体"/>
                <w:color w:val="auto"/>
                <w:szCs w:val="21"/>
              </w:rPr>
              <w:br w:type="textWrapping"/>
            </w:r>
            <w:r>
              <w:rPr>
                <w:rFonts w:hint="eastAsia" w:ascii="宋体" w:hAnsi="宋体" w:cs="宋体"/>
                <w:color w:val="auto"/>
                <w:szCs w:val="21"/>
              </w:rPr>
              <w:t>成品标准 GB/T 3325-2017</w:t>
            </w:r>
            <w:r>
              <w:rPr>
                <w:rFonts w:hint="eastAsia" w:ascii="宋体" w:hAnsi="宋体" w:cs="宋体"/>
                <w:color w:val="auto"/>
                <w:szCs w:val="21"/>
              </w:rPr>
              <w:br w:type="textWrapping"/>
            </w:r>
            <w:r>
              <w:rPr>
                <w:rFonts w:hint="eastAsia" w:ascii="宋体" w:hAnsi="宋体" w:cs="宋体"/>
                <w:color w:val="auto"/>
                <w:szCs w:val="21"/>
              </w:rPr>
              <w:t>适老化设计 暗拉手防勾绊；柜门缓冲防夹手</w:t>
            </w:r>
          </w:p>
          <w:p w14:paraId="0A4E700D">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一层药房</w:t>
            </w:r>
          </w:p>
        </w:tc>
        <w:tc>
          <w:tcPr>
            <w:tcW w:w="821" w:type="dxa"/>
            <w:tcBorders>
              <w:top w:val="nil"/>
              <w:left w:val="nil"/>
              <w:bottom w:val="single" w:color="auto" w:sz="4" w:space="0"/>
              <w:right w:val="single" w:color="auto" w:sz="4" w:space="0"/>
            </w:tcBorders>
            <w:vAlign w:val="center"/>
          </w:tcPr>
          <w:p w14:paraId="7E2D4928">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2A5C8AB4">
            <w:pPr>
              <w:ind w:firstLine="210" w:firstLineChars="100"/>
              <w:rPr>
                <w:rFonts w:ascii="宋体" w:hAnsi="宋体" w:cs="Segoe UI"/>
                <w:color w:val="auto"/>
                <w:szCs w:val="21"/>
              </w:rPr>
            </w:pPr>
            <w:r>
              <w:rPr>
                <w:rFonts w:ascii="宋体" w:hAnsi="宋体" w:cs="Segoe UI"/>
                <w:color w:val="auto"/>
                <w:szCs w:val="21"/>
              </w:rPr>
              <w:t>2</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3B41E8F1">
            <w:pPr>
              <w:rPr>
                <w:rFonts w:ascii="宋体" w:hAnsi="宋体" w:cs="Segoe UI"/>
                <w:color w:val="auto"/>
                <w:szCs w:val="21"/>
              </w:rPr>
            </w:pPr>
            <w:r>
              <w:rPr>
                <w:rFonts w:ascii="宋体" w:hAnsi="宋体" w:cs="Segoe UI"/>
                <w:color w:val="auto"/>
                <w:szCs w:val="21"/>
              </w:rPr>
              <w:t>　</w:t>
            </w:r>
            <w:r>
              <w:rPr>
                <w:rFonts w:hint="eastAsia" w:ascii="宋体" w:hAnsi="宋体" w:cs="Segoe UI"/>
                <w:color w:val="auto"/>
                <w:szCs w:val="21"/>
              </w:rPr>
              <w:t>1875.00</w:t>
            </w:r>
          </w:p>
        </w:tc>
        <w:tc>
          <w:tcPr>
            <w:tcW w:w="1518" w:type="dxa"/>
            <w:tcBorders>
              <w:top w:val="nil"/>
              <w:left w:val="nil"/>
              <w:bottom w:val="single" w:color="auto" w:sz="4" w:space="0"/>
              <w:right w:val="single" w:color="auto" w:sz="4" w:space="0"/>
            </w:tcBorders>
            <w:vAlign w:val="center"/>
          </w:tcPr>
          <w:p w14:paraId="6A923F50">
            <w:pPr>
              <w:rPr>
                <w:rFonts w:ascii="宋体" w:hAnsi="宋体" w:cs="Segoe UI"/>
                <w:color w:val="auto"/>
                <w:szCs w:val="21"/>
              </w:rPr>
            </w:pPr>
            <w:r>
              <w:rPr>
                <w:rFonts w:ascii="宋体" w:hAnsi="宋体" w:cs="Segoe UI"/>
                <w:color w:val="auto"/>
                <w:szCs w:val="21"/>
              </w:rPr>
              <w:t>　</w:t>
            </w:r>
            <w:r>
              <w:rPr>
                <w:rFonts w:hint="eastAsia" w:ascii="宋体" w:hAnsi="宋体" w:cs="Segoe UI"/>
                <w:color w:val="auto"/>
                <w:szCs w:val="21"/>
              </w:rPr>
              <w:t>3750.00</w:t>
            </w:r>
          </w:p>
        </w:tc>
        <w:tc>
          <w:tcPr>
            <w:tcW w:w="2112" w:type="dxa"/>
            <w:tcBorders>
              <w:top w:val="nil"/>
              <w:left w:val="nil"/>
              <w:bottom w:val="single" w:color="auto" w:sz="4" w:space="0"/>
              <w:right w:val="single" w:color="auto" w:sz="4" w:space="0"/>
            </w:tcBorders>
          </w:tcPr>
          <w:p w14:paraId="0793D122">
            <w:pPr>
              <w:rPr>
                <w:rFonts w:ascii="宋体" w:hAnsi="宋体" w:cs="Segoe UI"/>
                <w:color w:val="auto"/>
                <w:szCs w:val="21"/>
              </w:rPr>
            </w:pPr>
            <w:r>
              <w:rPr>
                <w:rFonts w:ascii="宋体" w:hAnsi="宋体"/>
                <w:color w:val="auto"/>
                <w:szCs w:val="21"/>
              </w:rPr>
              <mc:AlternateContent>
                <mc:Choice Requires="wps">
                  <w:drawing>
                    <wp:anchor distT="0" distB="0" distL="114300" distR="114300" simplePos="0" relativeHeight="251669504" behindDoc="0" locked="0" layoutInCell="1" allowOverlap="1">
                      <wp:simplePos x="0" y="0"/>
                      <wp:positionH relativeFrom="column">
                        <wp:posOffset>125095</wp:posOffset>
                      </wp:positionH>
                      <wp:positionV relativeFrom="paragraph">
                        <wp:posOffset>130810</wp:posOffset>
                      </wp:positionV>
                      <wp:extent cx="909955" cy="1360170"/>
                      <wp:effectExtent l="0" t="0" r="4445" b="11430"/>
                      <wp:wrapNone/>
                      <wp:docPr id="21" name="object 515"/>
                      <wp:cNvGraphicFramePr/>
                      <a:graphic xmlns:a="http://schemas.openxmlformats.org/drawingml/2006/main">
                        <a:graphicData uri="http://schemas.microsoft.com/office/word/2010/wordprocessingShape">
                          <wps:wsp>
                            <wps:cNvSpPr/>
                            <wps:spPr>
                              <a:xfrm>
                                <a:off x="0" y="0"/>
                                <a:ext cx="909955" cy="1360170"/>
                              </a:xfrm>
                              <a:prstGeom prst="rect">
                                <a:avLst/>
                              </a:prstGeom>
                              <a:blipFill rotWithShape="1">
                                <a:blip r:embed="rId23"/>
                                <a:stretch>
                                  <a:fillRect/>
                                </a:stretch>
                              </a:blipFill>
                              <a:ln w="9525">
                                <a:noFill/>
                              </a:ln>
                            </wps:spPr>
                            <wps:bodyPr/>
                          </wps:wsp>
                        </a:graphicData>
                      </a:graphic>
                    </wp:anchor>
                  </w:drawing>
                </mc:Choice>
                <mc:Fallback>
                  <w:pict>
                    <v:rect id="object 515" o:spid="_x0000_s1026" o:spt="1" style="position:absolute;left:0pt;margin-left:9.85pt;margin-top:10.3pt;height:107.1pt;width:71.65pt;z-index:251669504;mso-width-relative:page;mso-height-relative:page;" filled="t" stroked="f" coordsize="21600,21600" o:gfxdata="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">
                      <v:fill type="frame" on="t" focussize="0,0" recolor="t" rotate="t" r:id="rId23"/>
                      <v:stroke on="f"/>
                      <v:imagedata o:title=""/>
                      <o:lock v:ext="edit" aspectratio="f"/>
                    </v:rect>
                  </w:pict>
                </mc:Fallback>
              </mc:AlternateContent>
            </w:r>
          </w:p>
        </w:tc>
      </w:tr>
      <w:tr w14:paraId="0F05FF1E">
        <w:tblPrEx>
          <w:tblCellMar>
            <w:top w:w="0" w:type="dxa"/>
            <w:left w:w="108" w:type="dxa"/>
            <w:bottom w:w="0" w:type="dxa"/>
            <w:right w:w="108" w:type="dxa"/>
          </w:tblCellMar>
        </w:tblPrEx>
        <w:trPr>
          <w:trHeight w:val="3518" w:hRule="atLeast"/>
          <w:jc w:val="center"/>
        </w:trPr>
        <w:tc>
          <w:tcPr>
            <w:tcW w:w="623" w:type="dxa"/>
            <w:tcBorders>
              <w:top w:val="nil"/>
              <w:left w:val="single" w:color="auto" w:sz="4" w:space="0"/>
              <w:bottom w:val="single" w:color="auto" w:sz="4" w:space="0"/>
              <w:right w:val="single" w:color="auto" w:sz="4" w:space="0"/>
            </w:tcBorders>
            <w:vAlign w:val="center"/>
          </w:tcPr>
          <w:p w14:paraId="18AE485A">
            <w:pPr>
              <w:ind w:firstLine="210" w:firstLineChars="100"/>
              <w:rPr>
                <w:rFonts w:ascii="宋体" w:hAnsi="宋体" w:cs="Segoe UI"/>
                <w:color w:val="auto"/>
                <w:szCs w:val="21"/>
              </w:rPr>
            </w:pPr>
            <w:r>
              <w:rPr>
                <w:rFonts w:ascii="宋体" w:hAnsi="宋体" w:cs="Segoe UI"/>
                <w:color w:val="auto"/>
                <w:szCs w:val="21"/>
              </w:rPr>
              <w:t>13</w:t>
            </w:r>
          </w:p>
        </w:tc>
        <w:tc>
          <w:tcPr>
            <w:tcW w:w="1091" w:type="dxa"/>
            <w:tcBorders>
              <w:top w:val="nil"/>
              <w:left w:val="nil"/>
              <w:bottom w:val="single" w:color="auto" w:sz="4" w:space="0"/>
              <w:right w:val="single" w:color="auto" w:sz="4" w:space="0"/>
            </w:tcBorders>
            <w:vAlign w:val="center"/>
          </w:tcPr>
          <w:p w14:paraId="711A73F7">
            <w:pPr>
              <w:ind w:firstLine="210" w:firstLineChars="100"/>
              <w:rPr>
                <w:rFonts w:ascii="宋体" w:hAnsi="宋体" w:cs="宋体"/>
                <w:color w:val="auto"/>
                <w:szCs w:val="21"/>
              </w:rPr>
            </w:pPr>
            <w:r>
              <w:rPr>
                <w:rFonts w:hint="eastAsia" w:ascii="宋体" w:hAnsi="宋体" w:cs="宋体"/>
                <w:color w:val="auto"/>
                <w:szCs w:val="21"/>
              </w:rPr>
              <w:t>西药架</w:t>
            </w:r>
          </w:p>
        </w:tc>
        <w:tc>
          <w:tcPr>
            <w:tcW w:w="6277" w:type="dxa"/>
            <w:tcBorders>
              <w:top w:val="nil"/>
              <w:left w:val="nil"/>
              <w:bottom w:val="single" w:color="auto" w:sz="4" w:space="0"/>
              <w:right w:val="single" w:color="auto" w:sz="4" w:space="0"/>
            </w:tcBorders>
            <w:vAlign w:val="center"/>
          </w:tcPr>
          <w:p w14:paraId="1EDFD1AE">
            <w:pPr>
              <w:rPr>
                <w:rFonts w:ascii="宋体" w:hAnsi="宋体" w:cs="宋体"/>
                <w:color w:val="auto"/>
                <w:szCs w:val="21"/>
              </w:rPr>
            </w:pPr>
            <w:r>
              <w:rPr>
                <w:rFonts w:hint="eastAsia" w:ascii="宋体" w:hAnsi="宋体" w:cs="宋体"/>
                <w:color w:val="auto"/>
                <w:szCs w:val="21"/>
              </w:rPr>
              <w:t>尺寸 800×860×1980mm</w:t>
            </w:r>
            <w:r>
              <w:rPr>
                <w:rFonts w:hint="eastAsia" w:ascii="宋体" w:hAnsi="宋体" w:cs="宋体"/>
                <w:color w:val="auto"/>
                <w:szCs w:val="21"/>
              </w:rPr>
              <w:br w:type="textWrapping"/>
            </w:r>
            <w:r>
              <w:rPr>
                <w:rFonts w:hint="eastAsia" w:ascii="宋体" w:hAnsi="宋体" w:cs="宋体"/>
                <w:color w:val="auto"/>
                <w:szCs w:val="21"/>
              </w:rPr>
              <w:t>整体 电解钢板，厚度≥0.8mm</w:t>
            </w:r>
            <w:r>
              <w:rPr>
                <w:rFonts w:hint="eastAsia" w:ascii="宋体" w:hAnsi="宋体" w:cs="宋体"/>
                <w:color w:val="auto"/>
                <w:szCs w:val="21"/>
              </w:rPr>
              <w:br w:type="textWrapping"/>
            </w:r>
            <w:r>
              <w:rPr>
                <w:rFonts w:hint="eastAsia" w:ascii="宋体" w:hAnsi="宋体" w:cs="宋体"/>
                <w:color w:val="auto"/>
                <w:szCs w:val="21"/>
              </w:rPr>
              <w:t>表面处理 环氧树脂静电粉末喷涂</w:t>
            </w:r>
            <w:r>
              <w:rPr>
                <w:rFonts w:hint="eastAsia" w:ascii="宋体" w:hAnsi="宋体" w:cs="宋体"/>
                <w:color w:val="auto"/>
                <w:szCs w:val="21"/>
              </w:rPr>
              <w:br w:type="textWrapping"/>
            </w:r>
            <w:r>
              <w:rPr>
                <w:rFonts w:hint="eastAsia" w:ascii="宋体" w:hAnsi="宋体" w:cs="宋体"/>
                <w:color w:val="auto"/>
                <w:szCs w:val="21"/>
              </w:rPr>
              <w:t>耐腐蚀 经210h乙酸盐雾试验（ASS）（GB/T 10125-2012），耐腐蚀等级≥10级</w:t>
            </w:r>
            <w:r>
              <w:rPr>
                <w:rFonts w:hint="eastAsia" w:ascii="宋体" w:hAnsi="宋体" w:cs="宋体"/>
                <w:color w:val="auto"/>
                <w:szCs w:val="21"/>
              </w:rPr>
              <w:br w:type="textWrapping"/>
            </w:r>
            <w:r>
              <w:rPr>
                <w:rFonts w:hint="eastAsia" w:ascii="宋体" w:hAnsi="宋体" w:cs="宋体"/>
                <w:color w:val="auto"/>
                <w:szCs w:val="21"/>
              </w:rPr>
              <w:t>结构 多层搁板（高度可调），层板承重≥50kg/层</w:t>
            </w:r>
            <w:r>
              <w:rPr>
                <w:rFonts w:hint="eastAsia" w:ascii="宋体" w:hAnsi="宋体" w:cs="宋体"/>
                <w:color w:val="auto"/>
                <w:szCs w:val="21"/>
              </w:rPr>
              <w:br w:type="textWrapping"/>
            </w:r>
            <w:r>
              <w:rPr>
                <w:rFonts w:hint="eastAsia" w:ascii="宋体" w:hAnsi="宋体" w:cs="宋体"/>
                <w:color w:val="auto"/>
                <w:szCs w:val="21"/>
              </w:rPr>
              <w:t>成品标准 GB/T 3325-2017</w:t>
            </w:r>
            <w:r>
              <w:rPr>
                <w:rFonts w:hint="eastAsia" w:ascii="宋体" w:hAnsi="宋体" w:cs="宋体"/>
                <w:color w:val="auto"/>
                <w:szCs w:val="21"/>
              </w:rPr>
              <w:br w:type="textWrapping"/>
            </w:r>
            <w:r>
              <w:rPr>
                <w:rFonts w:hint="eastAsia" w:ascii="宋体" w:hAnsi="宋体" w:cs="宋体"/>
                <w:color w:val="auto"/>
                <w:szCs w:val="21"/>
              </w:rPr>
              <w:t>适老化设计 开放式货架便于取药；层高可调适应不同药品</w:t>
            </w:r>
          </w:p>
          <w:p w14:paraId="0B7BB8EF">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一层药房</w:t>
            </w:r>
          </w:p>
        </w:tc>
        <w:tc>
          <w:tcPr>
            <w:tcW w:w="821" w:type="dxa"/>
            <w:tcBorders>
              <w:top w:val="nil"/>
              <w:left w:val="nil"/>
              <w:bottom w:val="single" w:color="auto" w:sz="4" w:space="0"/>
              <w:right w:val="single" w:color="auto" w:sz="4" w:space="0"/>
            </w:tcBorders>
            <w:vAlign w:val="center"/>
          </w:tcPr>
          <w:p w14:paraId="24726F8F">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552E8668">
            <w:pPr>
              <w:ind w:firstLine="210" w:firstLineChars="100"/>
              <w:rPr>
                <w:rFonts w:ascii="宋体" w:hAnsi="宋体" w:cs="Segoe UI"/>
                <w:color w:val="auto"/>
                <w:szCs w:val="21"/>
              </w:rPr>
            </w:pPr>
            <w:r>
              <w:rPr>
                <w:rFonts w:ascii="宋体" w:hAnsi="宋体" w:cs="Segoe UI"/>
                <w:color w:val="auto"/>
                <w:szCs w:val="21"/>
              </w:rPr>
              <w:t>4</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74E72C3A">
            <w:pPr>
              <w:rPr>
                <w:rFonts w:ascii="宋体" w:hAnsi="宋体" w:cs="Segoe UI"/>
                <w:color w:val="auto"/>
                <w:szCs w:val="21"/>
              </w:rPr>
            </w:pPr>
            <w:r>
              <w:rPr>
                <w:rFonts w:hint="eastAsia" w:ascii="宋体" w:hAnsi="宋体" w:cs="Segoe UI"/>
                <w:color w:val="auto"/>
                <w:szCs w:val="21"/>
              </w:rPr>
              <w:t>1824.75</w:t>
            </w:r>
          </w:p>
        </w:tc>
        <w:tc>
          <w:tcPr>
            <w:tcW w:w="1518" w:type="dxa"/>
            <w:tcBorders>
              <w:top w:val="nil"/>
              <w:left w:val="nil"/>
              <w:bottom w:val="single" w:color="auto" w:sz="4" w:space="0"/>
              <w:right w:val="single" w:color="auto" w:sz="4" w:space="0"/>
            </w:tcBorders>
            <w:vAlign w:val="center"/>
          </w:tcPr>
          <w:p w14:paraId="6398B537">
            <w:pPr>
              <w:rPr>
                <w:rFonts w:ascii="宋体" w:hAnsi="宋体" w:cs="Segoe UI"/>
                <w:color w:val="auto"/>
                <w:szCs w:val="21"/>
              </w:rPr>
            </w:pPr>
            <w:r>
              <w:rPr>
                <w:rFonts w:hint="eastAsia" w:ascii="宋体" w:hAnsi="宋体" w:cs="Segoe UI"/>
                <w:color w:val="auto"/>
                <w:szCs w:val="21"/>
              </w:rPr>
              <w:t>7299</w:t>
            </w:r>
            <w:r>
              <w:rPr>
                <w:rFonts w:ascii="宋体" w:hAnsi="宋体" w:cs="Segoe UI"/>
                <w:color w:val="auto"/>
                <w:szCs w:val="21"/>
              </w:rPr>
              <w:t>.00</w:t>
            </w:r>
          </w:p>
        </w:tc>
        <w:tc>
          <w:tcPr>
            <w:tcW w:w="2112" w:type="dxa"/>
            <w:tcBorders>
              <w:top w:val="nil"/>
              <w:left w:val="nil"/>
              <w:bottom w:val="single" w:color="auto" w:sz="4" w:space="0"/>
              <w:right w:val="single" w:color="auto" w:sz="4" w:space="0"/>
            </w:tcBorders>
          </w:tcPr>
          <w:p w14:paraId="746CDA77">
            <w:pPr>
              <w:rPr>
                <w:rFonts w:ascii="宋体" w:hAnsi="宋体" w:cs="Segoe UI"/>
                <w:color w:val="auto"/>
                <w:szCs w:val="21"/>
              </w:rPr>
            </w:pPr>
            <w:r>
              <w:rPr>
                <w:rFonts w:ascii="宋体" w:hAnsi="宋体"/>
                <w:color w:val="auto"/>
                <w:szCs w:val="21"/>
              </w:rPr>
              <w:drawing>
                <wp:anchor distT="0" distB="0" distL="114300" distR="114300" simplePos="0" relativeHeight="251670528" behindDoc="0" locked="0" layoutInCell="1" allowOverlap="1">
                  <wp:simplePos x="0" y="0"/>
                  <wp:positionH relativeFrom="column">
                    <wp:posOffset>72390</wp:posOffset>
                  </wp:positionH>
                  <wp:positionV relativeFrom="paragraph">
                    <wp:posOffset>528955</wp:posOffset>
                  </wp:positionV>
                  <wp:extent cx="950595" cy="1353185"/>
                  <wp:effectExtent l="0" t="0" r="1905" b="18415"/>
                  <wp:wrapNone/>
                  <wp:docPr id="22"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74"/>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950595" cy="1353185"/>
                          </a:xfrm>
                          <a:prstGeom prst="rect">
                            <a:avLst/>
                          </a:prstGeom>
                          <a:noFill/>
                          <a:ln w="9525">
                            <a:noFill/>
                          </a:ln>
                        </pic:spPr>
                      </pic:pic>
                    </a:graphicData>
                  </a:graphic>
                </wp:anchor>
              </w:drawing>
            </w:r>
          </w:p>
        </w:tc>
      </w:tr>
      <w:tr w14:paraId="7DD49912">
        <w:tblPrEx>
          <w:tblCellMar>
            <w:top w:w="0" w:type="dxa"/>
            <w:left w:w="108" w:type="dxa"/>
            <w:bottom w:w="0" w:type="dxa"/>
            <w:right w:w="108" w:type="dxa"/>
          </w:tblCellMar>
        </w:tblPrEx>
        <w:trPr>
          <w:trHeight w:val="2349" w:hRule="atLeast"/>
          <w:jc w:val="center"/>
        </w:trPr>
        <w:tc>
          <w:tcPr>
            <w:tcW w:w="623" w:type="dxa"/>
            <w:tcBorders>
              <w:top w:val="nil"/>
              <w:left w:val="single" w:color="auto" w:sz="4" w:space="0"/>
              <w:bottom w:val="single" w:color="auto" w:sz="4" w:space="0"/>
              <w:right w:val="single" w:color="auto" w:sz="4" w:space="0"/>
            </w:tcBorders>
            <w:vAlign w:val="center"/>
          </w:tcPr>
          <w:p w14:paraId="7418ED59">
            <w:pPr>
              <w:ind w:firstLine="210" w:firstLineChars="100"/>
              <w:rPr>
                <w:rFonts w:ascii="宋体" w:hAnsi="宋体" w:cs="Segoe UI"/>
                <w:color w:val="auto"/>
                <w:szCs w:val="21"/>
              </w:rPr>
            </w:pPr>
            <w:r>
              <w:rPr>
                <w:rFonts w:ascii="宋体" w:hAnsi="宋体" w:cs="Segoe UI"/>
                <w:color w:val="auto"/>
                <w:szCs w:val="21"/>
              </w:rPr>
              <w:t>14</w:t>
            </w:r>
          </w:p>
        </w:tc>
        <w:tc>
          <w:tcPr>
            <w:tcW w:w="1091" w:type="dxa"/>
            <w:tcBorders>
              <w:top w:val="nil"/>
              <w:left w:val="nil"/>
              <w:bottom w:val="single" w:color="auto" w:sz="4" w:space="0"/>
              <w:right w:val="single" w:color="auto" w:sz="4" w:space="0"/>
            </w:tcBorders>
            <w:vAlign w:val="center"/>
          </w:tcPr>
          <w:p w14:paraId="7B566C29">
            <w:pPr>
              <w:ind w:firstLine="210" w:firstLineChars="100"/>
              <w:rPr>
                <w:rFonts w:ascii="宋体" w:hAnsi="宋体" w:cs="宋体"/>
                <w:color w:val="auto"/>
                <w:szCs w:val="21"/>
              </w:rPr>
            </w:pPr>
            <w:r>
              <w:rPr>
                <w:rFonts w:hint="eastAsia" w:ascii="宋体" w:hAnsi="宋体" w:cs="宋体"/>
                <w:color w:val="auto"/>
                <w:szCs w:val="21"/>
              </w:rPr>
              <w:t>西药架</w:t>
            </w:r>
          </w:p>
        </w:tc>
        <w:tc>
          <w:tcPr>
            <w:tcW w:w="6277" w:type="dxa"/>
            <w:tcBorders>
              <w:top w:val="nil"/>
              <w:left w:val="nil"/>
              <w:bottom w:val="single" w:color="auto" w:sz="4" w:space="0"/>
              <w:right w:val="single" w:color="auto" w:sz="4" w:space="0"/>
            </w:tcBorders>
            <w:vAlign w:val="center"/>
          </w:tcPr>
          <w:p w14:paraId="3D805269">
            <w:pPr>
              <w:rPr>
                <w:rFonts w:ascii="宋体" w:hAnsi="宋体" w:cs="宋体"/>
                <w:color w:val="auto"/>
                <w:szCs w:val="21"/>
              </w:rPr>
            </w:pPr>
            <w:r>
              <w:rPr>
                <w:rFonts w:hint="eastAsia" w:ascii="宋体" w:hAnsi="宋体" w:cs="宋体"/>
                <w:color w:val="auto"/>
                <w:szCs w:val="21"/>
              </w:rPr>
              <w:t>尺寸 900×400×1980mm</w:t>
            </w:r>
            <w:r>
              <w:rPr>
                <w:rFonts w:hint="eastAsia" w:ascii="宋体" w:hAnsi="宋体" w:cs="宋体"/>
                <w:color w:val="auto"/>
                <w:szCs w:val="21"/>
              </w:rPr>
              <w:br w:type="textWrapping"/>
            </w:r>
            <w:r>
              <w:rPr>
                <w:rFonts w:hint="eastAsia" w:ascii="宋体" w:hAnsi="宋体" w:cs="宋体"/>
                <w:color w:val="auto"/>
                <w:szCs w:val="21"/>
              </w:rPr>
              <w:t>技术参数 同序号13（电解钢板厚度≥0.8mm；环氧树脂静电粉末喷涂；耐腐蚀≥10级；多层可调搁板，层板承重≥50kg/层）</w:t>
            </w:r>
            <w:r>
              <w:rPr>
                <w:rFonts w:hint="eastAsia" w:ascii="宋体" w:hAnsi="宋体" w:cs="宋体"/>
                <w:color w:val="auto"/>
                <w:szCs w:val="21"/>
              </w:rPr>
              <w:br w:type="textWrapping"/>
            </w:r>
            <w:r>
              <w:rPr>
                <w:rFonts w:hint="eastAsia" w:ascii="宋体" w:hAnsi="宋体" w:cs="宋体"/>
                <w:color w:val="auto"/>
                <w:szCs w:val="21"/>
              </w:rPr>
              <w:t>成品标准 GB/T 3325-2017</w:t>
            </w:r>
            <w:r>
              <w:rPr>
                <w:rFonts w:hint="eastAsia" w:ascii="宋体" w:hAnsi="宋体" w:cs="宋体"/>
                <w:color w:val="auto"/>
                <w:szCs w:val="21"/>
              </w:rPr>
              <w:br w:type="textWrapping"/>
            </w:r>
            <w:r>
              <w:rPr>
                <w:rFonts w:hint="eastAsia" w:ascii="宋体" w:hAnsi="宋体" w:cs="宋体"/>
                <w:color w:val="auto"/>
                <w:szCs w:val="21"/>
              </w:rPr>
              <w:t>适老化设计 开放式货架便于取药；层高可调适应不同药品</w:t>
            </w:r>
          </w:p>
          <w:p w14:paraId="7EE6672C">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一层药房</w:t>
            </w:r>
          </w:p>
        </w:tc>
        <w:tc>
          <w:tcPr>
            <w:tcW w:w="821" w:type="dxa"/>
            <w:tcBorders>
              <w:top w:val="nil"/>
              <w:left w:val="nil"/>
              <w:bottom w:val="single" w:color="auto" w:sz="4" w:space="0"/>
              <w:right w:val="single" w:color="auto" w:sz="4" w:space="0"/>
            </w:tcBorders>
            <w:vAlign w:val="center"/>
          </w:tcPr>
          <w:p w14:paraId="68110BCD">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70FEAB62">
            <w:pPr>
              <w:ind w:firstLine="210" w:firstLineChars="100"/>
              <w:rPr>
                <w:rFonts w:ascii="宋体" w:hAnsi="宋体" w:cs="Segoe UI"/>
                <w:color w:val="auto"/>
                <w:szCs w:val="21"/>
              </w:rPr>
            </w:pPr>
            <w:r>
              <w:rPr>
                <w:rFonts w:ascii="宋体" w:hAnsi="宋体" w:cs="Segoe UI"/>
                <w:color w:val="auto"/>
                <w:szCs w:val="21"/>
              </w:rPr>
              <w:t>3</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7501CEBA">
            <w:pPr>
              <w:rPr>
                <w:rFonts w:ascii="宋体" w:hAnsi="宋体" w:cs="Segoe UI"/>
                <w:color w:val="auto"/>
                <w:szCs w:val="21"/>
              </w:rPr>
            </w:pPr>
            <w:r>
              <w:rPr>
                <w:rFonts w:hint="eastAsia" w:ascii="宋体" w:hAnsi="宋体" w:cs="Segoe UI"/>
                <w:color w:val="auto"/>
                <w:szCs w:val="21"/>
              </w:rPr>
              <w:t>2188</w:t>
            </w:r>
            <w:r>
              <w:rPr>
                <w:rFonts w:ascii="宋体" w:hAnsi="宋体" w:cs="Segoe UI"/>
                <w:color w:val="auto"/>
                <w:szCs w:val="21"/>
              </w:rPr>
              <w:t>.00</w:t>
            </w:r>
          </w:p>
        </w:tc>
        <w:tc>
          <w:tcPr>
            <w:tcW w:w="1518" w:type="dxa"/>
            <w:tcBorders>
              <w:top w:val="nil"/>
              <w:left w:val="nil"/>
              <w:bottom w:val="single" w:color="auto" w:sz="4" w:space="0"/>
              <w:right w:val="single" w:color="auto" w:sz="4" w:space="0"/>
            </w:tcBorders>
            <w:vAlign w:val="center"/>
          </w:tcPr>
          <w:p w14:paraId="6164A6C9">
            <w:pPr>
              <w:rPr>
                <w:rFonts w:ascii="宋体" w:hAnsi="宋体" w:cs="Segoe UI"/>
                <w:color w:val="auto"/>
                <w:szCs w:val="21"/>
              </w:rPr>
            </w:pPr>
            <w:r>
              <w:rPr>
                <w:rFonts w:hint="eastAsia" w:ascii="宋体" w:hAnsi="宋体" w:cs="Segoe UI"/>
                <w:color w:val="auto"/>
                <w:szCs w:val="21"/>
              </w:rPr>
              <w:t>6564</w:t>
            </w:r>
            <w:r>
              <w:rPr>
                <w:rFonts w:ascii="宋体" w:hAnsi="宋体" w:cs="Segoe UI"/>
                <w:color w:val="auto"/>
                <w:szCs w:val="21"/>
              </w:rPr>
              <w:t>.00</w:t>
            </w:r>
          </w:p>
        </w:tc>
        <w:tc>
          <w:tcPr>
            <w:tcW w:w="2112" w:type="dxa"/>
            <w:tcBorders>
              <w:top w:val="nil"/>
              <w:left w:val="nil"/>
              <w:bottom w:val="single" w:color="auto" w:sz="4" w:space="0"/>
              <w:right w:val="single" w:color="auto" w:sz="4" w:space="0"/>
            </w:tcBorders>
          </w:tcPr>
          <w:p w14:paraId="6D5F588A">
            <w:pPr>
              <w:rPr>
                <w:rFonts w:ascii="宋体" w:hAnsi="宋体" w:cs="Segoe UI"/>
                <w:color w:val="auto"/>
                <w:szCs w:val="21"/>
              </w:rPr>
            </w:pPr>
            <w:r>
              <w:rPr>
                <w:rFonts w:ascii="宋体" w:hAnsi="宋体"/>
                <w:color w:val="auto"/>
                <w:szCs w:val="21"/>
              </w:rPr>
              <w:drawing>
                <wp:anchor distT="0" distB="0" distL="114300" distR="114300" simplePos="0" relativeHeight="251671552" behindDoc="0" locked="0" layoutInCell="1" allowOverlap="1">
                  <wp:simplePos x="0" y="0"/>
                  <wp:positionH relativeFrom="column">
                    <wp:posOffset>-11430</wp:posOffset>
                  </wp:positionH>
                  <wp:positionV relativeFrom="paragraph">
                    <wp:posOffset>135255</wp:posOffset>
                  </wp:positionV>
                  <wp:extent cx="1323975" cy="928370"/>
                  <wp:effectExtent l="0" t="0" r="9525" b="5080"/>
                  <wp:wrapNone/>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23975" cy="928370"/>
                          </a:xfrm>
                          <a:prstGeom prst="rect">
                            <a:avLst/>
                          </a:prstGeom>
                          <a:noFill/>
                          <a:ln w="9525">
                            <a:noFill/>
                          </a:ln>
                        </pic:spPr>
                      </pic:pic>
                    </a:graphicData>
                  </a:graphic>
                </wp:anchor>
              </w:drawing>
            </w:r>
          </w:p>
        </w:tc>
      </w:tr>
      <w:tr w14:paraId="58AF6B0C">
        <w:tblPrEx>
          <w:tblCellMar>
            <w:top w:w="0" w:type="dxa"/>
            <w:left w:w="108" w:type="dxa"/>
            <w:bottom w:w="0" w:type="dxa"/>
            <w:right w:w="108" w:type="dxa"/>
          </w:tblCellMar>
        </w:tblPrEx>
        <w:trPr>
          <w:trHeight w:val="5078" w:hRule="atLeast"/>
          <w:jc w:val="center"/>
        </w:trPr>
        <w:tc>
          <w:tcPr>
            <w:tcW w:w="623" w:type="dxa"/>
            <w:tcBorders>
              <w:top w:val="nil"/>
              <w:left w:val="single" w:color="auto" w:sz="4" w:space="0"/>
              <w:bottom w:val="single" w:color="auto" w:sz="4" w:space="0"/>
              <w:right w:val="single" w:color="auto" w:sz="4" w:space="0"/>
            </w:tcBorders>
            <w:vAlign w:val="center"/>
          </w:tcPr>
          <w:p w14:paraId="600139F4">
            <w:pPr>
              <w:ind w:firstLine="210" w:firstLineChars="100"/>
              <w:rPr>
                <w:rFonts w:ascii="宋体" w:hAnsi="宋体" w:cs="Segoe UI"/>
                <w:color w:val="auto"/>
                <w:szCs w:val="21"/>
              </w:rPr>
            </w:pPr>
            <w:r>
              <w:rPr>
                <w:rFonts w:ascii="宋体" w:hAnsi="宋体" w:cs="Segoe UI"/>
                <w:color w:val="auto"/>
                <w:szCs w:val="21"/>
              </w:rPr>
              <w:t>15</w:t>
            </w:r>
          </w:p>
        </w:tc>
        <w:tc>
          <w:tcPr>
            <w:tcW w:w="1091" w:type="dxa"/>
            <w:tcBorders>
              <w:top w:val="nil"/>
              <w:left w:val="nil"/>
              <w:bottom w:val="single" w:color="auto" w:sz="4" w:space="0"/>
              <w:right w:val="single" w:color="auto" w:sz="4" w:space="0"/>
            </w:tcBorders>
            <w:vAlign w:val="center"/>
          </w:tcPr>
          <w:p w14:paraId="2A192D91">
            <w:pPr>
              <w:ind w:firstLine="210" w:firstLineChars="100"/>
              <w:rPr>
                <w:rFonts w:ascii="宋体" w:hAnsi="宋体" w:cs="宋体"/>
                <w:color w:val="auto"/>
                <w:szCs w:val="21"/>
              </w:rPr>
            </w:pPr>
            <w:r>
              <w:rPr>
                <w:rFonts w:hint="eastAsia" w:ascii="宋体" w:hAnsi="宋体" w:cs="宋体"/>
                <w:color w:val="auto"/>
                <w:szCs w:val="21"/>
              </w:rPr>
              <w:t>诊床</w:t>
            </w:r>
          </w:p>
        </w:tc>
        <w:tc>
          <w:tcPr>
            <w:tcW w:w="6277" w:type="dxa"/>
            <w:tcBorders>
              <w:top w:val="nil"/>
              <w:left w:val="nil"/>
              <w:bottom w:val="single" w:color="auto" w:sz="4" w:space="0"/>
              <w:right w:val="single" w:color="auto" w:sz="4" w:space="0"/>
            </w:tcBorders>
            <w:vAlign w:val="center"/>
          </w:tcPr>
          <w:p w14:paraId="22F5EB0B">
            <w:pPr>
              <w:rPr>
                <w:rFonts w:ascii="宋体" w:hAnsi="宋体" w:cs="宋体"/>
                <w:color w:val="auto"/>
                <w:szCs w:val="21"/>
              </w:rPr>
            </w:pPr>
            <w:r>
              <w:rPr>
                <w:rFonts w:hint="eastAsia" w:ascii="宋体" w:hAnsi="宋体" w:cs="宋体"/>
                <w:color w:val="auto"/>
                <w:szCs w:val="21"/>
              </w:rPr>
              <w:t>尺寸 1950×700×650mm</w:t>
            </w:r>
            <w:r>
              <w:rPr>
                <w:rFonts w:hint="eastAsia" w:ascii="宋体" w:hAnsi="宋体" w:cs="宋体"/>
                <w:color w:val="auto"/>
                <w:szCs w:val="21"/>
              </w:rPr>
              <w:br w:type="textWrapping"/>
            </w:r>
            <w:r>
              <w:rPr>
                <w:rFonts w:hint="eastAsia" w:ascii="宋体" w:hAnsi="宋体" w:cs="宋体"/>
                <w:color w:val="auto"/>
                <w:szCs w:val="21"/>
              </w:rPr>
              <w:t>技术参数 同序号9</w:t>
            </w:r>
            <w:r>
              <w:rPr>
                <w:rFonts w:hint="eastAsia" w:ascii="宋体" w:hAnsi="宋体" w:cs="宋体"/>
                <w:color w:val="auto"/>
                <w:szCs w:val="21"/>
              </w:rPr>
              <w:br w:type="textWrapping"/>
            </w:r>
            <w:r>
              <w:rPr>
                <w:rFonts w:hint="eastAsia" w:ascii="宋体" w:hAnsi="宋体" w:cs="宋体"/>
                <w:color w:val="auto"/>
                <w:szCs w:val="21"/>
              </w:rPr>
              <w:t>床面 5mm厚高密度海绵，外包人造皮，耐磨，防水易清洁</w:t>
            </w:r>
            <w:r>
              <w:rPr>
                <w:rFonts w:hint="eastAsia" w:ascii="宋体" w:hAnsi="宋体" w:cs="宋体"/>
                <w:color w:val="auto"/>
                <w:szCs w:val="21"/>
              </w:rPr>
              <w:br w:type="textWrapping"/>
            </w:r>
            <w:r>
              <w:rPr>
                <w:rFonts w:hint="eastAsia" w:ascii="宋体" w:hAnsi="宋体" w:cs="宋体"/>
                <w:color w:val="auto"/>
                <w:szCs w:val="21"/>
              </w:rPr>
              <w:t>支撑脚 4只，φ32×1.2mm矩管</w:t>
            </w:r>
            <w:r>
              <w:rPr>
                <w:rFonts w:hint="eastAsia" w:ascii="宋体" w:hAnsi="宋体" w:cs="宋体"/>
                <w:color w:val="auto"/>
                <w:szCs w:val="21"/>
              </w:rPr>
              <w:br w:type="textWrapping"/>
            </w:r>
            <w:r>
              <w:rPr>
                <w:rFonts w:hint="eastAsia" w:ascii="宋体" w:hAnsi="宋体" w:cs="宋体"/>
                <w:color w:val="auto"/>
                <w:szCs w:val="21"/>
              </w:rPr>
              <w:t>脚架连接管 φ22×1.2mm矩管</w:t>
            </w:r>
            <w:r>
              <w:rPr>
                <w:rFonts w:hint="eastAsia" w:ascii="宋体" w:hAnsi="宋体" w:cs="宋体"/>
                <w:color w:val="auto"/>
                <w:szCs w:val="21"/>
              </w:rPr>
              <w:br w:type="textWrapping"/>
            </w:r>
            <w:r>
              <w:rPr>
                <w:rFonts w:hint="eastAsia" w:ascii="宋体" w:hAnsi="宋体" w:cs="宋体"/>
                <w:color w:val="auto"/>
                <w:szCs w:val="21"/>
              </w:rPr>
              <w:t>脚架连接板 3mm冷轧钢板</w:t>
            </w:r>
            <w:r>
              <w:rPr>
                <w:rFonts w:hint="eastAsia" w:ascii="宋体" w:hAnsi="宋体" w:cs="宋体"/>
                <w:color w:val="auto"/>
                <w:szCs w:val="21"/>
              </w:rPr>
              <w:br w:type="textWrapping"/>
            </w:r>
            <w:r>
              <w:rPr>
                <w:rFonts w:hint="eastAsia" w:ascii="宋体" w:hAnsi="宋体" w:cs="宋体"/>
                <w:color w:val="auto"/>
                <w:szCs w:val="21"/>
              </w:rPr>
              <w:t>床面额定载荷 ≥135kg</w:t>
            </w:r>
            <w:r>
              <w:rPr>
                <w:rFonts w:hint="eastAsia" w:ascii="宋体" w:hAnsi="宋体" w:cs="宋体"/>
                <w:color w:val="auto"/>
                <w:szCs w:val="21"/>
              </w:rPr>
              <w:br w:type="textWrapping"/>
            </w:r>
            <w:r>
              <w:rPr>
                <w:rFonts w:hint="eastAsia" w:ascii="宋体" w:hAnsi="宋体" w:cs="宋体"/>
                <w:color w:val="auto"/>
                <w:szCs w:val="21"/>
              </w:rPr>
              <w:t>表面处理 静电粉末喷涂，符合GB/T 3325-2017</w:t>
            </w:r>
            <w:r>
              <w:rPr>
                <w:rFonts w:hint="eastAsia" w:ascii="宋体" w:hAnsi="宋体" w:cs="宋体"/>
                <w:color w:val="auto"/>
                <w:szCs w:val="21"/>
              </w:rPr>
              <w:br w:type="textWrapping"/>
            </w:r>
            <w:r>
              <w:rPr>
                <w:rFonts w:hint="eastAsia" w:ascii="宋体" w:hAnsi="宋体" w:cs="宋体"/>
                <w:color w:val="auto"/>
                <w:szCs w:val="21"/>
              </w:rPr>
              <w:t>边角 圆角处理</w:t>
            </w:r>
            <w:r>
              <w:rPr>
                <w:rFonts w:hint="eastAsia" w:ascii="宋体" w:hAnsi="宋体" w:cs="宋体"/>
                <w:color w:val="auto"/>
                <w:szCs w:val="21"/>
              </w:rPr>
              <w:br w:type="textWrapping"/>
            </w:r>
            <w:r>
              <w:rPr>
                <w:rFonts w:hint="eastAsia" w:ascii="宋体" w:hAnsi="宋体" w:cs="宋体"/>
                <w:color w:val="auto"/>
                <w:szCs w:val="21"/>
              </w:rPr>
              <w:t>脚垫 防滑脚垫</w:t>
            </w:r>
            <w:r>
              <w:rPr>
                <w:rFonts w:hint="eastAsia" w:ascii="宋体" w:hAnsi="宋体" w:cs="宋体"/>
                <w:color w:val="auto"/>
                <w:szCs w:val="21"/>
              </w:rPr>
              <w:br w:type="textWrapping"/>
            </w:r>
            <w:r>
              <w:rPr>
                <w:rFonts w:hint="eastAsia" w:ascii="宋体" w:hAnsi="宋体" w:cs="宋体"/>
                <w:color w:val="auto"/>
                <w:szCs w:val="21"/>
              </w:rPr>
              <w:t>成品标准 GB/T 3325-2017</w:t>
            </w:r>
            <w:r>
              <w:rPr>
                <w:rFonts w:hint="eastAsia" w:ascii="宋体" w:hAnsi="宋体" w:cs="宋体"/>
                <w:color w:val="auto"/>
                <w:szCs w:val="21"/>
              </w:rPr>
              <w:br w:type="textWrapping"/>
            </w:r>
            <w:r>
              <w:rPr>
                <w:rFonts w:hint="eastAsia" w:ascii="宋体" w:hAnsi="宋体" w:cs="宋体"/>
                <w:color w:val="auto"/>
                <w:szCs w:val="21"/>
              </w:rPr>
              <w:t>适老化设计 高度650mm适宜老人上下；床面软硬适中；结构稳固</w:t>
            </w:r>
          </w:p>
          <w:p w14:paraId="4F46D6E4">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一层诊室</w:t>
            </w:r>
          </w:p>
        </w:tc>
        <w:tc>
          <w:tcPr>
            <w:tcW w:w="821" w:type="dxa"/>
            <w:tcBorders>
              <w:top w:val="nil"/>
              <w:left w:val="nil"/>
              <w:bottom w:val="single" w:color="auto" w:sz="4" w:space="0"/>
              <w:right w:val="single" w:color="auto" w:sz="4" w:space="0"/>
            </w:tcBorders>
            <w:vAlign w:val="center"/>
          </w:tcPr>
          <w:p w14:paraId="6BAED71F">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2D7FA87D">
            <w:pPr>
              <w:ind w:firstLine="210" w:firstLineChars="100"/>
              <w:rPr>
                <w:rFonts w:ascii="宋体" w:hAnsi="宋体" w:cs="Segoe UI"/>
                <w:color w:val="auto"/>
                <w:szCs w:val="21"/>
              </w:rPr>
            </w:pPr>
            <w:r>
              <w:rPr>
                <w:rFonts w:hint="eastAsia" w:ascii="宋体" w:hAnsi="宋体" w:cs="Segoe UI"/>
                <w:color w:val="auto"/>
                <w:szCs w:val="21"/>
              </w:rPr>
              <w:t>1.00</w:t>
            </w:r>
          </w:p>
        </w:tc>
        <w:tc>
          <w:tcPr>
            <w:tcW w:w="1379" w:type="dxa"/>
            <w:tcBorders>
              <w:top w:val="nil"/>
              <w:left w:val="nil"/>
              <w:bottom w:val="single" w:color="auto" w:sz="4" w:space="0"/>
              <w:right w:val="single" w:color="auto" w:sz="4" w:space="0"/>
            </w:tcBorders>
            <w:vAlign w:val="center"/>
          </w:tcPr>
          <w:p w14:paraId="156F905D">
            <w:pPr>
              <w:ind w:firstLine="210" w:firstLineChars="100"/>
              <w:rPr>
                <w:rFonts w:ascii="宋体" w:hAnsi="宋体" w:cs="Segoe UI"/>
                <w:color w:val="auto"/>
                <w:szCs w:val="21"/>
              </w:rPr>
            </w:pPr>
            <w:r>
              <w:rPr>
                <w:rFonts w:hint="eastAsia" w:ascii="宋体" w:hAnsi="宋体" w:cs="Segoe UI"/>
                <w:color w:val="auto"/>
                <w:szCs w:val="21"/>
              </w:rPr>
              <w:t>3543.00</w:t>
            </w:r>
          </w:p>
        </w:tc>
        <w:tc>
          <w:tcPr>
            <w:tcW w:w="1518" w:type="dxa"/>
            <w:tcBorders>
              <w:top w:val="nil"/>
              <w:left w:val="nil"/>
              <w:bottom w:val="single" w:color="auto" w:sz="4" w:space="0"/>
              <w:right w:val="single" w:color="auto" w:sz="4" w:space="0"/>
            </w:tcBorders>
            <w:vAlign w:val="center"/>
          </w:tcPr>
          <w:p w14:paraId="7402082A">
            <w:pPr>
              <w:ind w:firstLine="210" w:firstLineChars="100"/>
              <w:rPr>
                <w:rFonts w:ascii="宋体" w:hAnsi="宋体" w:cs="Segoe UI"/>
                <w:color w:val="auto"/>
                <w:szCs w:val="21"/>
              </w:rPr>
            </w:pPr>
            <w:r>
              <w:rPr>
                <w:rFonts w:hint="eastAsia" w:ascii="宋体" w:hAnsi="宋体" w:cs="Segoe UI"/>
                <w:color w:val="auto"/>
                <w:szCs w:val="21"/>
              </w:rPr>
              <w:t>3</w:t>
            </w:r>
            <w:r>
              <w:rPr>
                <w:rFonts w:ascii="宋体" w:hAnsi="宋体" w:cs="Segoe UI"/>
                <w:color w:val="auto"/>
                <w:szCs w:val="21"/>
              </w:rPr>
              <w:t>543</w:t>
            </w:r>
            <w:r>
              <w:rPr>
                <w:rFonts w:hint="eastAsia" w:ascii="宋体" w:hAnsi="宋体" w:cs="Segoe UI"/>
                <w:color w:val="auto"/>
                <w:szCs w:val="21"/>
              </w:rPr>
              <w:t>.00</w:t>
            </w:r>
          </w:p>
        </w:tc>
        <w:tc>
          <w:tcPr>
            <w:tcW w:w="2112" w:type="dxa"/>
            <w:tcBorders>
              <w:top w:val="nil"/>
              <w:left w:val="nil"/>
              <w:bottom w:val="single" w:color="auto" w:sz="4" w:space="0"/>
              <w:right w:val="single" w:color="auto" w:sz="4" w:space="0"/>
            </w:tcBorders>
          </w:tcPr>
          <w:p w14:paraId="0D001EEF">
            <w:pPr>
              <w:ind w:firstLine="210" w:firstLineChars="100"/>
              <w:rPr>
                <w:rFonts w:ascii="宋体" w:hAnsi="宋体" w:cs="Segoe UI"/>
                <w:color w:val="auto"/>
                <w:szCs w:val="21"/>
              </w:rPr>
            </w:pPr>
            <w:r>
              <w:rPr>
                <w:rFonts w:ascii="宋体" w:hAnsi="宋体"/>
                <w:color w:val="auto"/>
                <w:szCs w:val="21"/>
              </w:rPr>
              <w:drawing>
                <wp:anchor distT="0" distB="0" distL="114300" distR="114300" simplePos="0" relativeHeight="251672576" behindDoc="0" locked="0" layoutInCell="1" allowOverlap="1">
                  <wp:simplePos x="0" y="0"/>
                  <wp:positionH relativeFrom="column">
                    <wp:posOffset>40640</wp:posOffset>
                  </wp:positionH>
                  <wp:positionV relativeFrom="paragraph">
                    <wp:posOffset>844550</wp:posOffset>
                  </wp:positionV>
                  <wp:extent cx="1263015" cy="784860"/>
                  <wp:effectExtent l="0" t="0" r="13335" b="15240"/>
                  <wp:wrapNone/>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263015" cy="784860"/>
                          </a:xfrm>
                          <a:prstGeom prst="rect">
                            <a:avLst/>
                          </a:prstGeom>
                          <a:noFill/>
                          <a:ln w="9525">
                            <a:noFill/>
                          </a:ln>
                        </pic:spPr>
                      </pic:pic>
                    </a:graphicData>
                  </a:graphic>
                </wp:anchor>
              </w:drawing>
            </w:r>
          </w:p>
        </w:tc>
      </w:tr>
      <w:tr w14:paraId="125D64AF">
        <w:tblPrEx>
          <w:tblCellMar>
            <w:top w:w="0" w:type="dxa"/>
            <w:left w:w="108" w:type="dxa"/>
            <w:bottom w:w="0" w:type="dxa"/>
            <w:right w:w="108" w:type="dxa"/>
          </w:tblCellMar>
        </w:tblPrEx>
        <w:trPr>
          <w:trHeight w:val="2739" w:hRule="atLeast"/>
          <w:jc w:val="center"/>
        </w:trPr>
        <w:tc>
          <w:tcPr>
            <w:tcW w:w="623" w:type="dxa"/>
            <w:tcBorders>
              <w:top w:val="nil"/>
              <w:left w:val="single" w:color="auto" w:sz="4" w:space="0"/>
              <w:bottom w:val="single" w:color="auto" w:sz="4" w:space="0"/>
              <w:right w:val="single" w:color="auto" w:sz="4" w:space="0"/>
            </w:tcBorders>
            <w:vAlign w:val="center"/>
          </w:tcPr>
          <w:p w14:paraId="5CAA9C5A">
            <w:pPr>
              <w:ind w:firstLine="210" w:firstLineChars="100"/>
              <w:rPr>
                <w:rFonts w:ascii="宋体" w:hAnsi="宋体" w:cs="Segoe UI"/>
                <w:color w:val="auto"/>
                <w:szCs w:val="21"/>
              </w:rPr>
            </w:pPr>
            <w:r>
              <w:rPr>
                <w:rFonts w:ascii="宋体" w:hAnsi="宋体" w:cs="Segoe UI"/>
                <w:color w:val="auto"/>
                <w:szCs w:val="21"/>
              </w:rPr>
              <w:t>16</w:t>
            </w:r>
          </w:p>
        </w:tc>
        <w:tc>
          <w:tcPr>
            <w:tcW w:w="1091" w:type="dxa"/>
            <w:tcBorders>
              <w:top w:val="nil"/>
              <w:left w:val="nil"/>
              <w:bottom w:val="single" w:color="auto" w:sz="4" w:space="0"/>
              <w:right w:val="single" w:color="auto" w:sz="4" w:space="0"/>
            </w:tcBorders>
            <w:vAlign w:val="center"/>
          </w:tcPr>
          <w:p w14:paraId="183CFF3E">
            <w:pPr>
              <w:ind w:firstLine="210" w:firstLineChars="100"/>
              <w:rPr>
                <w:rFonts w:ascii="宋体" w:hAnsi="宋体" w:cs="宋体"/>
                <w:color w:val="auto"/>
                <w:szCs w:val="21"/>
              </w:rPr>
            </w:pPr>
            <w:r>
              <w:rPr>
                <w:rFonts w:hint="eastAsia" w:ascii="宋体" w:hAnsi="宋体" w:cs="宋体"/>
                <w:color w:val="auto"/>
                <w:szCs w:val="21"/>
              </w:rPr>
              <w:t>处置柜</w:t>
            </w:r>
          </w:p>
        </w:tc>
        <w:tc>
          <w:tcPr>
            <w:tcW w:w="6277" w:type="dxa"/>
            <w:tcBorders>
              <w:top w:val="nil"/>
              <w:left w:val="nil"/>
              <w:bottom w:val="single" w:color="auto" w:sz="4" w:space="0"/>
              <w:right w:val="single" w:color="auto" w:sz="4" w:space="0"/>
            </w:tcBorders>
            <w:vAlign w:val="center"/>
          </w:tcPr>
          <w:p w14:paraId="77189921">
            <w:pPr>
              <w:rPr>
                <w:rFonts w:ascii="宋体" w:hAnsi="宋体" w:cs="宋体"/>
                <w:color w:val="auto"/>
                <w:szCs w:val="21"/>
              </w:rPr>
            </w:pPr>
            <w:r>
              <w:rPr>
                <w:rFonts w:hint="eastAsia" w:ascii="宋体" w:hAnsi="宋体" w:cs="宋体"/>
                <w:color w:val="auto"/>
                <w:szCs w:val="21"/>
              </w:rPr>
              <w:t>尺寸 (4000+1500)×600×2200mm</w:t>
            </w:r>
            <w:r>
              <w:rPr>
                <w:rFonts w:hint="eastAsia" w:ascii="宋体" w:hAnsi="宋体" w:cs="宋体"/>
                <w:color w:val="auto"/>
                <w:szCs w:val="21"/>
              </w:rPr>
              <w:br w:type="textWrapping"/>
            </w:r>
            <w:r>
              <w:rPr>
                <w:rFonts w:hint="eastAsia" w:ascii="宋体" w:hAnsi="宋体" w:cs="宋体"/>
                <w:color w:val="auto"/>
                <w:szCs w:val="21"/>
              </w:rPr>
              <w:t>基材 优质电解钢板，厚度≥0.8mm，符合GB/T 3325-2017</w:t>
            </w:r>
            <w:r>
              <w:rPr>
                <w:rFonts w:hint="eastAsia" w:ascii="宋体" w:hAnsi="宋体" w:cs="宋体"/>
                <w:color w:val="auto"/>
                <w:szCs w:val="21"/>
              </w:rPr>
              <w:br w:type="textWrapping"/>
            </w:r>
            <w:r>
              <w:rPr>
                <w:rFonts w:hint="eastAsia" w:ascii="宋体" w:hAnsi="宋体" w:cs="宋体"/>
                <w:color w:val="auto"/>
                <w:szCs w:val="21"/>
              </w:rPr>
              <w:t>表面处理 环氧树脂静电粉末喷涂，硬度≥3H，附着力≥2级</w:t>
            </w:r>
            <w:r>
              <w:rPr>
                <w:rFonts w:hint="eastAsia" w:ascii="宋体" w:hAnsi="宋体" w:cs="宋体"/>
                <w:color w:val="auto"/>
                <w:szCs w:val="21"/>
              </w:rPr>
              <w:br w:type="textWrapping"/>
            </w:r>
            <w:r>
              <w:rPr>
                <w:rFonts w:hint="eastAsia" w:ascii="宋体" w:hAnsi="宋体" w:cs="宋体"/>
                <w:color w:val="auto"/>
                <w:szCs w:val="21"/>
              </w:rPr>
              <w:t>耐腐蚀 经450h中性盐雾试验（GB/T 10125-2012），锈点数0点，10级</w:t>
            </w:r>
            <w:r>
              <w:rPr>
                <w:rFonts w:hint="eastAsia" w:ascii="宋体" w:hAnsi="宋体" w:cs="宋体"/>
                <w:color w:val="auto"/>
                <w:szCs w:val="21"/>
              </w:rPr>
              <w:br w:type="textWrapping"/>
            </w:r>
            <w:r>
              <w:rPr>
                <w:rFonts w:hint="eastAsia" w:ascii="宋体" w:hAnsi="宋体" w:cs="宋体"/>
                <w:color w:val="auto"/>
                <w:szCs w:val="21"/>
              </w:rPr>
              <w:t>五金 优质品牌三节阻尼导轨（QB/T 2454-2013）、缓冲铰链（QB/T 2189-2013）</w:t>
            </w:r>
            <w:r>
              <w:rPr>
                <w:rFonts w:hint="eastAsia" w:ascii="宋体" w:hAnsi="宋体" w:cs="宋体"/>
                <w:color w:val="auto"/>
                <w:szCs w:val="21"/>
              </w:rPr>
              <w:br w:type="textWrapping"/>
            </w:r>
            <w:r>
              <w:rPr>
                <w:rFonts w:hint="eastAsia" w:ascii="宋体" w:hAnsi="宋体" w:cs="宋体"/>
                <w:color w:val="auto"/>
                <w:szCs w:val="21"/>
              </w:rPr>
              <w:t>台面 人造石台面，厚度≥12mm</w:t>
            </w:r>
            <w:r>
              <w:rPr>
                <w:rFonts w:hint="eastAsia" w:ascii="宋体" w:hAnsi="宋体" w:cs="宋体"/>
                <w:color w:val="auto"/>
                <w:szCs w:val="21"/>
              </w:rPr>
              <w:br w:type="textWrapping"/>
            </w:r>
            <w:r>
              <w:rPr>
                <w:rFonts w:hint="eastAsia" w:ascii="宋体" w:hAnsi="宋体" w:cs="宋体"/>
                <w:color w:val="auto"/>
                <w:szCs w:val="21"/>
              </w:rPr>
              <w:t>功能结构 抽屉+移门柜，带锁，柜内配活动层板（高度可调）</w:t>
            </w:r>
            <w:r>
              <w:rPr>
                <w:rFonts w:hint="eastAsia" w:ascii="宋体" w:hAnsi="宋体" w:cs="宋体"/>
                <w:color w:val="auto"/>
                <w:szCs w:val="21"/>
              </w:rPr>
              <w:br w:type="textWrapping"/>
            </w:r>
            <w:r>
              <w:rPr>
                <w:rFonts w:hint="eastAsia" w:ascii="宋体" w:hAnsi="宋体" w:cs="宋体"/>
                <w:color w:val="auto"/>
                <w:szCs w:val="21"/>
              </w:rPr>
              <w:t>洗手配置 304不锈钢洗手盆1个，感应式水龙头1个</w:t>
            </w:r>
            <w:r>
              <w:rPr>
                <w:rFonts w:hint="eastAsia" w:ascii="宋体" w:hAnsi="宋体" w:cs="宋体"/>
                <w:color w:val="auto"/>
                <w:szCs w:val="21"/>
              </w:rPr>
              <w:br w:type="textWrapping"/>
            </w:r>
            <w:r>
              <w:rPr>
                <w:rFonts w:hint="eastAsia" w:ascii="宋体" w:hAnsi="宋体" w:cs="宋体"/>
                <w:color w:val="auto"/>
                <w:szCs w:val="21"/>
              </w:rPr>
              <w:t>踢脚线 304不锈钢，高100mm，内缩20mm</w:t>
            </w:r>
            <w:r>
              <w:rPr>
                <w:rFonts w:hint="eastAsia" w:ascii="宋体" w:hAnsi="宋体" w:cs="宋体"/>
                <w:color w:val="auto"/>
                <w:szCs w:val="21"/>
              </w:rPr>
              <w:br w:type="textWrapping"/>
            </w:r>
            <w:r>
              <w:rPr>
                <w:rFonts w:hint="eastAsia" w:ascii="宋体" w:hAnsi="宋体" w:cs="宋体"/>
                <w:color w:val="auto"/>
                <w:szCs w:val="21"/>
              </w:rPr>
              <w:t>拉手 暗拉手或内凹式设计</w:t>
            </w:r>
            <w:r>
              <w:rPr>
                <w:rFonts w:hint="eastAsia" w:ascii="宋体" w:hAnsi="宋体" w:cs="宋体"/>
                <w:color w:val="auto"/>
                <w:szCs w:val="21"/>
              </w:rPr>
              <w:br w:type="textWrapping"/>
            </w:r>
            <w:r>
              <w:rPr>
                <w:rFonts w:hint="eastAsia" w:ascii="宋体" w:hAnsi="宋体" w:cs="宋体"/>
                <w:color w:val="auto"/>
                <w:szCs w:val="21"/>
              </w:rPr>
              <w:t>成品标准 GB/T 3325-2017及GB/T 35607-2024</w:t>
            </w:r>
            <w:r>
              <w:rPr>
                <w:rFonts w:hint="eastAsia" w:ascii="宋体" w:hAnsi="宋体" w:cs="宋体"/>
                <w:color w:val="auto"/>
                <w:szCs w:val="21"/>
              </w:rPr>
              <w:br w:type="textWrapping"/>
            </w:r>
            <w:r>
              <w:rPr>
                <w:rFonts w:hint="eastAsia" w:ascii="宋体" w:hAnsi="宋体" w:cs="宋体"/>
                <w:color w:val="auto"/>
                <w:szCs w:val="21"/>
              </w:rPr>
              <w:t>适老化设计 感应水龙头避免交叉感染；暗拉手防勾绊</w:t>
            </w:r>
          </w:p>
          <w:p w14:paraId="05B77C41">
            <w:pPr>
              <w:rPr>
                <w:rFonts w:ascii="宋体" w:hAnsi="宋体" w:cs="宋体"/>
                <w:color w:val="auto"/>
                <w:szCs w:val="21"/>
              </w:rPr>
            </w:pPr>
            <w:r>
              <w:rPr>
                <w:rFonts w:hint="eastAsia" w:ascii="宋体" w:hAnsi="宋体" w:cs="宋体"/>
                <w:color w:val="auto"/>
                <w:szCs w:val="21"/>
              </w:rPr>
              <w:t>适用区域：一层处置室(原医务室)</w:t>
            </w:r>
          </w:p>
          <w:p w14:paraId="6B26876D">
            <w:pPr>
              <w:rPr>
                <w:rFonts w:ascii="宋体" w:hAnsi="宋体" w:cs="宋体"/>
                <w:color w:val="auto"/>
                <w:szCs w:val="21"/>
              </w:rPr>
            </w:pPr>
          </w:p>
        </w:tc>
        <w:tc>
          <w:tcPr>
            <w:tcW w:w="821" w:type="dxa"/>
            <w:tcBorders>
              <w:top w:val="nil"/>
              <w:left w:val="nil"/>
              <w:bottom w:val="single" w:color="auto" w:sz="4" w:space="0"/>
              <w:right w:val="single" w:color="auto" w:sz="4" w:space="0"/>
            </w:tcBorders>
            <w:vAlign w:val="center"/>
          </w:tcPr>
          <w:p w14:paraId="40265B2E">
            <w:pPr>
              <w:ind w:firstLine="210" w:firstLineChars="100"/>
              <w:rPr>
                <w:rFonts w:ascii="宋体" w:hAnsi="宋体" w:cs="Segoe UI"/>
                <w:color w:val="auto"/>
                <w:szCs w:val="21"/>
              </w:rPr>
            </w:pPr>
            <w:r>
              <w:rPr>
                <w:rFonts w:ascii="宋体" w:hAnsi="宋体" w:cs="Segoe UI"/>
                <w:color w:val="auto"/>
                <w:szCs w:val="21"/>
              </w:rPr>
              <w:t>套</w:t>
            </w:r>
          </w:p>
        </w:tc>
        <w:tc>
          <w:tcPr>
            <w:tcW w:w="1034" w:type="dxa"/>
            <w:tcBorders>
              <w:top w:val="nil"/>
              <w:left w:val="nil"/>
              <w:bottom w:val="single" w:color="auto" w:sz="4" w:space="0"/>
              <w:right w:val="single" w:color="auto" w:sz="4" w:space="0"/>
            </w:tcBorders>
            <w:vAlign w:val="center"/>
          </w:tcPr>
          <w:p w14:paraId="1A84D3D9">
            <w:pPr>
              <w:ind w:firstLine="210" w:firstLineChars="100"/>
              <w:rPr>
                <w:rFonts w:ascii="宋体" w:hAnsi="宋体" w:cs="Segoe UI"/>
                <w:color w:val="auto"/>
                <w:szCs w:val="21"/>
              </w:rPr>
            </w:pPr>
            <w:r>
              <w:rPr>
                <w:rFonts w:ascii="宋体" w:hAnsi="宋体" w:cs="Segoe UI"/>
                <w:color w:val="auto"/>
                <w:szCs w:val="21"/>
              </w:rPr>
              <w:t>1</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74BFE107">
            <w:pPr>
              <w:ind w:firstLine="210" w:firstLineChars="100"/>
              <w:rPr>
                <w:rFonts w:ascii="宋体" w:hAnsi="宋体" w:cs="Segoe UI"/>
                <w:color w:val="auto"/>
                <w:szCs w:val="21"/>
              </w:rPr>
            </w:pPr>
            <w:r>
              <w:rPr>
                <w:rFonts w:ascii="宋体" w:hAnsi="宋体" w:cs="Segoe UI"/>
                <w:color w:val="auto"/>
                <w:szCs w:val="21"/>
              </w:rPr>
              <w:t>13664</w:t>
            </w:r>
            <w:r>
              <w:rPr>
                <w:rFonts w:hint="eastAsia" w:ascii="宋体" w:hAnsi="宋体" w:cs="Segoe UI"/>
                <w:color w:val="auto"/>
                <w:szCs w:val="21"/>
              </w:rPr>
              <w:t>.00</w:t>
            </w:r>
          </w:p>
        </w:tc>
        <w:tc>
          <w:tcPr>
            <w:tcW w:w="1518" w:type="dxa"/>
            <w:tcBorders>
              <w:top w:val="nil"/>
              <w:left w:val="nil"/>
              <w:bottom w:val="single" w:color="auto" w:sz="4" w:space="0"/>
              <w:right w:val="single" w:color="auto" w:sz="4" w:space="0"/>
            </w:tcBorders>
            <w:vAlign w:val="center"/>
          </w:tcPr>
          <w:p w14:paraId="0028C867">
            <w:pPr>
              <w:ind w:firstLine="210" w:firstLineChars="100"/>
              <w:rPr>
                <w:rFonts w:ascii="宋体" w:hAnsi="宋体" w:cs="Segoe UI"/>
                <w:color w:val="auto"/>
                <w:szCs w:val="21"/>
              </w:rPr>
            </w:pPr>
            <w:r>
              <w:rPr>
                <w:rFonts w:ascii="宋体" w:hAnsi="宋体"/>
                <w:color w:val="auto"/>
                <w:szCs w:val="21"/>
              </w:rPr>
              <w:drawing>
                <wp:anchor distT="0" distB="0" distL="114300" distR="114300" simplePos="0" relativeHeight="251673600" behindDoc="0" locked="0" layoutInCell="1" allowOverlap="1">
                  <wp:simplePos x="0" y="0"/>
                  <wp:positionH relativeFrom="column">
                    <wp:posOffset>890905</wp:posOffset>
                  </wp:positionH>
                  <wp:positionV relativeFrom="paragraph">
                    <wp:posOffset>608330</wp:posOffset>
                  </wp:positionV>
                  <wp:extent cx="1276350" cy="829310"/>
                  <wp:effectExtent l="0" t="0" r="0" b="8890"/>
                  <wp:wrapNone/>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76350" cy="829310"/>
                          </a:xfrm>
                          <a:prstGeom prst="rect">
                            <a:avLst/>
                          </a:prstGeom>
                          <a:noFill/>
                          <a:ln w="9525">
                            <a:noFill/>
                          </a:ln>
                        </pic:spPr>
                      </pic:pic>
                    </a:graphicData>
                  </a:graphic>
                </wp:anchor>
              </w:drawing>
            </w:r>
            <w:r>
              <w:rPr>
                <w:rFonts w:ascii="宋体" w:hAnsi="宋体" w:cs="Segoe UI"/>
                <w:color w:val="auto"/>
                <w:szCs w:val="21"/>
              </w:rPr>
              <w:t>13664</w:t>
            </w:r>
            <w:r>
              <w:rPr>
                <w:rFonts w:hint="eastAsia" w:ascii="宋体" w:hAnsi="宋体" w:cs="Segoe UI"/>
                <w:color w:val="auto"/>
                <w:szCs w:val="21"/>
              </w:rPr>
              <w:t>.00</w:t>
            </w:r>
          </w:p>
        </w:tc>
        <w:tc>
          <w:tcPr>
            <w:tcW w:w="2112" w:type="dxa"/>
            <w:tcBorders>
              <w:top w:val="nil"/>
              <w:left w:val="nil"/>
              <w:bottom w:val="single" w:color="auto" w:sz="4" w:space="0"/>
              <w:right w:val="single" w:color="auto" w:sz="4" w:space="0"/>
            </w:tcBorders>
          </w:tcPr>
          <w:p w14:paraId="379CB876">
            <w:pPr>
              <w:ind w:firstLine="210" w:firstLineChars="100"/>
              <w:rPr>
                <w:rFonts w:ascii="宋体" w:hAnsi="宋体" w:cs="Segoe UI"/>
                <w:color w:val="auto"/>
                <w:szCs w:val="21"/>
              </w:rPr>
            </w:pPr>
          </w:p>
        </w:tc>
      </w:tr>
      <w:tr w14:paraId="5F4F640C">
        <w:tblPrEx>
          <w:tblCellMar>
            <w:top w:w="0" w:type="dxa"/>
            <w:left w:w="108" w:type="dxa"/>
            <w:bottom w:w="0" w:type="dxa"/>
            <w:right w:w="108" w:type="dxa"/>
          </w:tblCellMar>
        </w:tblPrEx>
        <w:trPr>
          <w:trHeight w:val="4298" w:hRule="atLeast"/>
          <w:jc w:val="center"/>
        </w:trPr>
        <w:tc>
          <w:tcPr>
            <w:tcW w:w="623" w:type="dxa"/>
            <w:tcBorders>
              <w:top w:val="nil"/>
              <w:left w:val="single" w:color="auto" w:sz="4" w:space="0"/>
              <w:bottom w:val="single" w:color="auto" w:sz="4" w:space="0"/>
              <w:right w:val="single" w:color="auto" w:sz="4" w:space="0"/>
            </w:tcBorders>
            <w:vAlign w:val="center"/>
          </w:tcPr>
          <w:p w14:paraId="23EC38F6">
            <w:pPr>
              <w:ind w:firstLine="210" w:firstLineChars="100"/>
              <w:rPr>
                <w:rFonts w:ascii="宋体" w:hAnsi="宋体" w:cs="Segoe UI"/>
                <w:color w:val="auto"/>
                <w:szCs w:val="21"/>
              </w:rPr>
            </w:pPr>
            <w:r>
              <w:rPr>
                <w:rFonts w:ascii="宋体" w:hAnsi="宋体" w:cs="Segoe UI"/>
                <w:color w:val="auto"/>
                <w:szCs w:val="21"/>
              </w:rPr>
              <w:t>17</w:t>
            </w:r>
          </w:p>
        </w:tc>
        <w:tc>
          <w:tcPr>
            <w:tcW w:w="1091" w:type="dxa"/>
            <w:tcBorders>
              <w:top w:val="nil"/>
              <w:left w:val="nil"/>
              <w:bottom w:val="single" w:color="auto" w:sz="4" w:space="0"/>
              <w:right w:val="single" w:color="auto" w:sz="4" w:space="0"/>
            </w:tcBorders>
            <w:vAlign w:val="center"/>
          </w:tcPr>
          <w:p w14:paraId="3851EF5D">
            <w:pPr>
              <w:ind w:firstLine="210" w:firstLineChars="100"/>
              <w:rPr>
                <w:rFonts w:ascii="宋体" w:hAnsi="宋体" w:cs="Segoe UI"/>
                <w:color w:val="auto"/>
                <w:szCs w:val="21"/>
              </w:rPr>
            </w:pPr>
            <w:r>
              <w:rPr>
                <w:rFonts w:ascii="宋体" w:hAnsi="宋体" w:cs="Segoe UI"/>
                <w:color w:val="auto"/>
                <w:szCs w:val="21"/>
              </w:rPr>
              <w:t>书桌</w:t>
            </w:r>
          </w:p>
        </w:tc>
        <w:tc>
          <w:tcPr>
            <w:tcW w:w="6277" w:type="dxa"/>
            <w:tcBorders>
              <w:top w:val="nil"/>
              <w:left w:val="nil"/>
              <w:bottom w:val="single" w:color="auto" w:sz="4" w:space="0"/>
              <w:right w:val="single" w:color="auto" w:sz="4" w:space="0"/>
            </w:tcBorders>
            <w:vAlign w:val="center"/>
          </w:tcPr>
          <w:p w14:paraId="3A588CE4">
            <w:pPr>
              <w:rPr>
                <w:rFonts w:ascii="宋体" w:hAnsi="宋体" w:cs="宋体"/>
                <w:color w:val="auto"/>
                <w:szCs w:val="21"/>
              </w:rPr>
            </w:pPr>
            <w:r>
              <w:rPr>
                <w:rFonts w:hint="eastAsia" w:ascii="宋体" w:hAnsi="宋体" w:cs="宋体"/>
                <w:color w:val="auto"/>
                <w:szCs w:val="21"/>
              </w:rPr>
              <w:t>尺寸 1400×700×750mm</w:t>
            </w:r>
            <w:r>
              <w:rPr>
                <w:rFonts w:hint="eastAsia" w:ascii="宋体" w:hAnsi="宋体" w:cs="宋体"/>
                <w:color w:val="auto"/>
                <w:szCs w:val="21"/>
              </w:rPr>
              <w:br w:type="textWrapping"/>
            </w:r>
            <w:r>
              <w:rPr>
                <w:rFonts w:hint="eastAsia" w:ascii="宋体" w:hAnsi="宋体" w:cs="宋体"/>
                <w:color w:val="auto"/>
                <w:szCs w:val="21"/>
              </w:rPr>
              <w:t>基材 白蜡木实木框架，含水率＜12%，无节子/裂纹</w:t>
            </w:r>
            <w:r>
              <w:rPr>
                <w:rFonts w:hint="eastAsia" w:ascii="宋体" w:hAnsi="宋体" w:cs="宋体"/>
                <w:color w:val="auto"/>
                <w:szCs w:val="21"/>
              </w:rPr>
              <w:br w:type="textWrapping"/>
            </w:r>
            <w:r>
              <w:rPr>
                <w:rFonts w:hint="eastAsia" w:ascii="宋体" w:hAnsi="宋体" w:cs="宋体"/>
                <w:color w:val="auto"/>
                <w:szCs w:val="21"/>
              </w:rPr>
              <w:t>油漆 环保优质漆，三底两面，硬度2H，符合GB 18581-2020</w:t>
            </w:r>
            <w:r>
              <w:rPr>
                <w:rFonts w:hint="eastAsia" w:ascii="宋体" w:hAnsi="宋体" w:cs="宋体"/>
                <w:color w:val="auto"/>
                <w:szCs w:val="21"/>
              </w:rPr>
              <w:br w:type="textWrapping"/>
            </w:r>
            <w:r>
              <w:rPr>
                <w:rFonts w:hint="eastAsia" w:ascii="宋体" w:hAnsi="宋体" w:cs="宋体"/>
                <w:color w:val="auto"/>
                <w:szCs w:val="21"/>
              </w:rPr>
              <w:t>胶粘剂 符合GB 18583-2008</w:t>
            </w:r>
            <w:r>
              <w:rPr>
                <w:rFonts w:hint="eastAsia" w:ascii="宋体" w:hAnsi="宋体" w:cs="宋体"/>
                <w:color w:val="auto"/>
                <w:szCs w:val="21"/>
              </w:rPr>
              <w:br w:type="textWrapping"/>
            </w:r>
            <w:r>
              <w:rPr>
                <w:rFonts w:hint="eastAsia" w:ascii="宋体" w:hAnsi="宋体" w:cs="宋体"/>
                <w:color w:val="auto"/>
                <w:szCs w:val="21"/>
              </w:rPr>
              <w:t>面料 超纤皮（桌面软包）或实木台面，防水、耐磨</w:t>
            </w:r>
            <w:r>
              <w:rPr>
                <w:rFonts w:hint="eastAsia" w:ascii="宋体" w:hAnsi="宋体" w:cs="宋体"/>
                <w:color w:val="auto"/>
                <w:szCs w:val="21"/>
              </w:rPr>
              <w:br w:type="textWrapping"/>
            </w:r>
            <w:r>
              <w:rPr>
                <w:rFonts w:hint="eastAsia" w:ascii="宋体" w:hAnsi="宋体" w:cs="宋体"/>
                <w:color w:val="auto"/>
                <w:szCs w:val="21"/>
              </w:rPr>
              <w:t>海绵 高弹力聚氨酯，密度≥45kg/m³</w:t>
            </w:r>
            <w:r>
              <w:rPr>
                <w:rFonts w:hint="eastAsia" w:ascii="宋体" w:hAnsi="宋体" w:cs="宋体"/>
                <w:color w:val="auto"/>
                <w:szCs w:val="21"/>
              </w:rPr>
              <w:br w:type="textWrapping"/>
            </w:r>
            <w:r>
              <w:rPr>
                <w:rFonts w:hint="eastAsia" w:ascii="宋体" w:hAnsi="宋体" w:cs="宋体"/>
                <w:color w:val="auto"/>
                <w:szCs w:val="21"/>
              </w:rPr>
              <w:t>边角 圆角R≥10mm</w:t>
            </w:r>
            <w:r>
              <w:rPr>
                <w:rFonts w:hint="eastAsia" w:ascii="宋体" w:hAnsi="宋体" w:cs="宋体"/>
                <w:color w:val="auto"/>
                <w:szCs w:val="21"/>
              </w:rPr>
              <w:br w:type="textWrapping"/>
            </w:r>
            <w:r>
              <w:rPr>
                <w:rFonts w:hint="eastAsia" w:ascii="宋体" w:hAnsi="宋体" w:cs="宋体"/>
                <w:color w:val="auto"/>
                <w:szCs w:val="21"/>
              </w:rPr>
              <w:t>桌下净高 ≥650mm（便于轮椅容膝）</w:t>
            </w:r>
            <w:r>
              <w:rPr>
                <w:rFonts w:hint="eastAsia" w:ascii="宋体" w:hAnsi="宋体" w:cs="宋体"/>
                <w:color w:val="auto"/>
                <w:szCs w:val="21"/>
              </w:rPr>
              <w:br w:type="textWrapping"/>
            </w:r>
            <w:r>
              <w:rPr>
                <w:rFonts w:hint="eastAsia" w:ascii="宋体" w:hAnsi="宋体" w:cs="宋体"/>
                <w:color w:val="auto"/>
                <w:szCs w:val="21"/>
              </w:rPr>
              <w:t>成品标准 GB/T 3324-2017及GB/T 46015-2025</w:t>
            </w:r>
            <w:r>
              <w:rPr>
                <w:rFonts w:hint="eastAsia" w:ascii="宋体" w:hAnsi="宋体" w:cs="宋体"/>
                <w:color w:val="auto"/>
                <w:szCs w:val="21"/>
              </w:rPr>
              <w:br w:type="textWrapping"/>
            </w:r>
            <w:r>
              <w:rPr>
                <w:rFonts w:hint="eastAsia" w:ascii="宋体" w:hAnsi="宋体" w:cs="宋体"/>
                <w:color w:val="auto"/>
                <w:szCs w:val="21"/>
              </w:rPr>
              <w:t>适老化设计 桌下容膝空间便于轮椅使用者（净高≥650mm）</w:t>
            </w:r>
          </w:p>
          <w:p w14:paraId="7221D2F4">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二层手工室</w:t>
            </w:r>
          </w:p>
        </w:tc>
        <w:tc>
          <w:tcPr>
            <w:tcW w:w="821" w:type="dxa"/>
            <w:tcBorders>
              <w:top w:val="nil"/>
              <w:left w:val="nil"/>
              <w:bottom w:val="single" w:color="auto" w:sz="4" w:space="0"/>
              <w:right w:val="single" w:color="auto" w:sz="4" w:space="0"/>
            </w:tcBorders>
            <w:vAlign w:val="center"/>
          </w:tcPr>
          <w:p w14:paraId="16A6C976">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178B8039">
            <w:pPr>
              <w:ind w:firstLine="210" w:firstLineChars="100"/>
              <w:rPr>
                <w:rFonts w:ascii="宋体" w:hAnsi="宋体" w:cs="Segoe UI"/>
                <w:color w:val="auto"/>
                <w:szCs w:val="21"/>
              </w:rPr>
            </w:pPr>
            <w:r>
              <w:rPr>
                <w:rFonts w:ascii="宋体" w:hAnsi="宋体" w:cs="Segoe UI"/>
                <w:color w:val="auto"/>
                <w:szCs w:val="21"/>
              </w:rPr>
              <w:t>4</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5DC2C1B4">
            <w:pPr>
              <w:ind w:firstLine="210" w:firstLineChars="100"/>
              <w:rPr>
                <w:rFonts w:ascii="宋体" w:hAnsi="宋体" w:cs="Segoe UI"/>
                <w:color w:val="auto"/>
                <w:szCs w:val="21"/>
              </w:rPr>
            </w:pPr>
            <w:r>
              <w:rPr>
                <w:rFonts w:ascii="宋体" w:hAnsi="宋体" w:cs="Segoe UI"/>
                <w:color w:val="auto"/>
                <w:szCs w:val="21"/>
              </w:rPr>
              <w:t>1746.4</w:t>
            </w:r>
            <w:r>
              <w:rPr>
                <w:rFonts w:hint="eastAsia" w:ascii="宋体" w:hAnsi="宋体" w:cs="Segoe UI"/>
                <w:color w:val="auto"/>
                <w:szCs w:val="21"/>
              </w:rPr>
              <w:t>0</w:t>
            </w:r>
          </w:p>
        </w:tc>
        <w:tc>
          <w:tcPr>
            <w:tcW w:w="1518" w:type="dxa"/>
            <w:tcBorders>
              <w:top w:val="nil"/>
              <w:left w:val="nil"/>
              <w:bottom w:val="single" w:color="auto" w:sz="4" w:space="0"/>
              <w:right w:val="single" w:color="auto" w:sz="4" w:space="0"/>
            </w:tcBorders>
            <w:vAlign w:val="center"/>
          </w:tcPr>
          <w:p w14:paraId="138DFCAC">
            <w:pPr>
              <w:ind w:firstLine="210" w:firstLineChars="100"/>
              <w:rPr>
                <w:rFonts w:ascii="宋体" w:hAnsi="宋体" w:cs="Segoe UI"/>
                <w:color w:val="auto"/>
                <w:szCs w:val="21"/>
              </w:rPr>
            </w:pPr>
            <w:r>
              <w:rPr>
                <w:rFonts w:ascii="宋体" w:hAnsi="宋体" w:cs="Segoe UI"/>
                <w:color w:val="auto"/>
                <w:szCs w:val="21"/>
              </w:rPr>
              <w:t>6985.6</w:t>
            </w:r>
            <w:r>
              <w:rPr>
                <w:rFonts w:hint="eastAsia" w:ascii="宋体" w:hAnsi="宋体" w:cs="Segoe UI"/>
                <w:color w:val="auto"/>
                <w:szCs w:val="21"/>
              </w:rPr>
              <w:t>0</w:t>
            </w:r>
          </w:p>
        </w:tc>
        <w:tc>
          <w:tcPr>
            <w:tcW w:w="2112" w:type="dxa"/>
            <w:tcBorders>
              <w:top w:val="nil"/>
              <w:left w:val="nil"/>
              <w:bottom w:val="single" w:color="auto" w:sz="4" w:space="0"/>
              <w:right w:val="single" w:color="auto" w:sz="4" w:space="0"/>
            </w:tcBorders>
            <w:vAlign w:val="center"/>
          </w:tcPr>
          <w:p w14:paraId="492303A3">
            <w:pPr>
              <w:jc w:val="center"/>
              <w:textAlignment w:val="center"/>
              <w:rPr>
                <w:rFonts w:ascii="宋体" w:hAnsi="宋体" w:cs="宋体"/>
                <w:color w:val="auto"/>
                <w:sz w:val="20"/>
                <w:szCs w:val="20"/>
              </w:rPr>
            </w:pPr>
            <w:r>
              <w:rPr>
                <w:rFonts w:hint="eastAsia" w:ascii="宋体" w:hAnsi="宋体" w:cs="宋体"/>
                <w:color w:val="auto"/>
                <w:sz w:val="20"/>
                <w:szCs w:val="20"/>
                <w:lang w:bidi="ar"/>
              </w:rPr>
              <w:drawing>
                <wp:inline distT="0" distB="0" distL="114300" distR="114300">
                  <wp:extent cx="1162050" cy="638175"/>
                  <wp:effectExtent l="0" t="0" r="0" b="9525"/>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6"/>
                          <pic:cNvPicPr>
                            <a:picLocks noChangeAspect="1"/>
                          </pic:cNvPicPr>
                        </pic:nvPicPr>
                        <pic:blipFill>
                          <a:blip r:embed="rId27"/>
                          <a:stretch>
                            <a:fillRect/>
                          </a:stretch>
                        </pic:blipFill>
                        <pic:spPr>
                          <a:xfrm>
                            <a:off x="0" y="0"/>
                            <a:ext cx="1162050" cy="638175"/>
                          </a:xfrm>
                          <a:prstGeom prst="rect">
                            <a:avLst/>
                          </a:prstGeom>
                          <a:noFill/>
                          <a:ln w="9525">
                            <a:noFill/>
                          </a:ln>
                        </pic:spPr>
                      </pic:pic>
                    </a:graphicData>
                  </a:graphic>
                </wp:inline>
              </w:drawing>
            </w:r>
          </w:p>
        </w:tc>
      </w:tr>
      <w:tr w14:paraId="5666B32A">
        <w:tblPrEx>
          <w:tblCellMar>
            <w:top w:w="0" w:type="dxa"/>
            <w:left w:w="108" w:type="dxa"/>
            <w:bottom w:w="0" w:type="dxa"/>
            <w:right w:w="108" w:type="dxa"/>
          </w:tblCellMar>
        </w:tblPrEx>
        <w:trPr>
          <w:trHeight w:val="3909" w:hRule="atLeast"/>
          <w:jc w:val="center"/>
        </w:trPr>
        <w:tc>
          <w:tcPr>
            <w:tcW w:w="623" w:type="dxa"/>
            <w:tcBorders>
              <w:top w:val="nil"/>
              <w:left w:val="single" w:color="auto" w:sz="4" w:space="0"/>
              <w:bottom w:val="single" w:color="auto" w:sz="4" w:space="0"/>
              <w:right w:val="single" w:color="auto" w:sz="4" w:space="0"/>
            </w:tcBorders>
            <w:vAlign w:val="center"/>
          </w:tcPr>
          <w:p w14:paraId="03BE066A">
            <w:pPr>
              <w:ind w:firstLine="210" w:firstLineChars="100"/>
              <w:rPr>
                <w:rFonts w:ascii="宋体" w:hAnsi="宋体" w:cs="Segoe UI"/>
                <w:color w:val="auto"/>
                <w:szCs w:val="21"/>
              </w:rPr>
            </w:pPr>
            <w:r>
              <w:rPr>
                <w:rFonts w:ascii="宋体" w:hAnsi="宋体" w:cs="Segoe UI"/>
                <w:color w:val="auto"/>
                <w:szCs w:val="21"/>
              </w:rPr>
              <w:t>18</w:t>
            </w:r>
          </w:p>
        </w:tc>
        <w:tc>
          <w:tcPr>
            <w:tcW w:w="1091" w:type="dxa"/>
            <w:tcBorders>
              <w:top w:val="nil"/>
              <w:left w:val="nil"/>
              <w:bottom w:val="single" w:color="auto" w:sz="4" w:space="0"/>
              <w:right w:val="single" w:color="auto" w:sz="4" w:space="0"/>
            </w:tcBorders>
            <w:vAlign w:val="center"/>
          </w:tcPr>
          <w:p w14:paraId="2C08D31F">
            <w:pPr>
              <w:ind w:firstLine="210" w:firstLineChars="100"/>
              <w:rPr>
                <w:rFonts w:ascii="宋体" w:hAnsi="宋体" w:cs="宋体"/>
                <w:color w:val="auto"/>
                <w:szCs w:val="21"/>
              </w:rPr>
            </w:pPr>
            <w:r>
              <w:rPr>
                <w:rFonts w:hint="eastAsia" w:ascii="宋体" w:hAnsi="宋体" w:cs="宋体"/>
                <w:color w:val="auto"/>
                <w:szCs w:val="21"/>
              </w:rPr>
              <w:t>移动桌</w:t>
            </w:r>
          </w:p>
        </w:tc>
        <w:tc>
          <w:tcPr>
            <w:tcW w:w="6277" w:type="dxa"/>
            <w:tcBorders>
              <w:top w:val="nil"/>
              <w:left w:val="nil"/>
              <w:bottom w:val="single" w:color="auto" w:sz="4" w:space="0"/>
              <w:right w:val="single" w:color="auto" w:sz="4" w:space="0"/>
            </w:tcBorders>
            <w:vAlign w:val="center"/>
          </w:tcPr>
          <w:p w14:paraId="69981218">
            <w:pPr>
              <w:rPr>
                <w:rFonts w:ascii="宋体" w:hAnsi="宋体" w:cs="宋体"/>
                <w:color w:val="auto"/>
                <w:szCs w:val="21"/>
              </w:rPr>
            </w:pPr>
            <w:r>
              <w:rPr>
                <w:rFonts w:hint="eastAsia" w:ascii="宋体" w:hAnsi="宋体" w:cs="宋体"/>
                <w:color w:val="auto"/>
                <w:szCs w:val="21"/>
              </w:rPr>
              <w:t>尺寸 800×800×750mm</w:t>
            </w:r>
            <w:r>
              <w:rPr>
                <w:rFonts w:hint="eastAsia" w:ascii="宋体" w:hAnsi="宋体" w:cs="宋体"/>
                <w:color w:val="auto"/>
                <w:szCs w:val="21"/>
              </w:rPr>
              <w:br w:type="textWrapping"/>
            </w:r>
            <w:r>
              <w:rPr>
                <w:rFonts w:hint="eastAsia" w:ascii="宋体" w:hAnsi="宋体" w:cs="宋体"/>
                <w:color w:val="auto"/>
                <w:szCs w:val="21"/>
              </w:rPr>
              <w:t>基材 白蜡木实木框架，含水率＜12%</w:t>
            </w:r>
            <w:r>
              <w:rPr>
                <w:rFonts w:hint="eastAsia" w:ascii="宋体" w:hAnsi="宋体" w:cs="宋体"/>
                <w:color w:val="auto"/>
                <w:szCs w:val="21"/>
              </w:rPr>
              <w:br w:type="textWrapping"/>
            </w:r>
            <w:r>
              <w:rPr>
                <w:rFonts w:hint="eastAsia" w:ascii="宋体" w:hAnsi="宋体" w:cs="宋体"/>
                <w:color w:val="auto"/>
                <w:szCs w:val="21"/>
              </w:rPr>
              <w:t>油漆 环保开放漆，硬度2H，符合GB 18581-2020</w:t>
            </w:r>
            <w:r>
              <w:rPr>
                <w:rFonts w:hint="eastAsia" w:ascii="宋体" w:hAnsi="宋体" w:cs="宋体"/>
                <w:color w:val="auto"/>
                <w:szCs w:val="21"/>
              </w:rPr>
              <w:br w:type="textWrapping"/>
            </w:r>
            <w:r>
              <w:rPr>
                <w:rFonts w:hint="eastAsia" w:ascii="宋体" w:hAnsi="宋体" w:cs="宋体"/>
                <w:color w:val="auto"/>
                <w:szCs w:val="21"/>
              </w:rPr>
              <w:t>胶粘剂 符合GB 18583-2008</w:t>
            </w:r>
            <w:r>
              <w:rPr>
                <w:rFonts w:hint="eastAsia" w:ascii="宋体" w:hAnsi="宋体" w:cs="宋体"/>
                <w:color w:val="auto"/>
                <w:szCs w:val="21"/>
              </w:rPr>
              <w:br w:type="textWrapping"/>
            </w:r>
            <w:r>
              <w:rPr>
                <w:rFonts w:hint="eastAsia" w:ascii="宋体" w:hAnsi="宋体" w:cs="宋体"/>
                <w:color w:val="auto"/>
                <w:szCs w:val="21"/>
              </w:rPr>
              <w:t>面材 A级天然木皮≥0.6mm，多层实木板E</w:t>
            </w:r>
            <w:r>
              <w:rPr>
                <w:rFonts w:ascii="Cambria Math" w:hAnsi="Cambria Math" w:cs="Cambria Math"/>
                <w:color w:val="auto"/>
                <w:szCs w:val="21"/>
              </w:rPr>
              <w:t>₁</w:t>
            </w:r>
            <w:r>
              <w:rPr>
                <w:rFonts w:hint="eastAsia" w:ascii="宋体" w:hAnsi="宋体" w:cs="宋体"/>
                <w:color w:val="auto"/>
                <w:szCs w:val="21"/>
              </w:rPr>
              <w:t>级</w:t>
            </w:r>
            <w:r>
              <w:rPr>
                <w:rFonts w:hint="eastAsia" w:ascii="宋体" w:hAnsi="宋体" w:cs="宋体"/>
                <w:color w:val="auto"/>
                <w:szCs w:val="21"/>
              </w:rPr>
              <w:br w:type="textWrapping"/>
            </w:r>
            <w:r>
              <w:rPr>
                <w:rFonts w:hint="eastAsia" w:ascii="宋体" w:hAnsi="宋体" w:cs="宋体"/>
                <w:color w:val="auto"/>
                <w:szCs w:val="21"/>
              </w:rPr>
              <w:t>桌脚 带万向制动轮（制动状态下稳固不滑动）</w:t>
            </w:r>
            <w:r>
              <w:rPr>
                <w:rFonts w:hint="eastAsia" w:ascii="宋体" w:hAnsi="宋体" w:cs="宋体"/>
                <w:color w:val="auto"/>
                <w:szCs w:val="21"/>
              </w:rPr>
              <w:br w:type="textWrapping"/>
            </w:r>
            <w:r>
              <w:rPr>
                <w:rFonts w:hint="eastAsia" w:ascii="宋体" w:hAnsi="宋体" w:cs="宋体"/>
                <w:color w:val="auto"/>
                <w:szCs w:val="21"/>
              </w:rPr>
              <w:t>边角 圆角R≥10mm</w:t>
            </w:r>
            <w:r>
              <w:rPr>
                <w:rFonts w:hint="eastAsia" w:ascii="宋体" w:hAnsi="宋体" w:cs="宋体"/>
                <w:color w:val="auto"/>
                <w:szCs w:val="21"/>
              </w:rPr>
              <w:br w:type="textWrapping"/>
            </w:r>
            <w:r>
              <w:rPr>
                <w:rFonts w:hint="eastAsia" w:ascii="宋体" w:hAnsi="宋体" w:cs="宋体"/>
                <w:color w:val="auto"/>
                <w:szCs w:val="21"/>
              </w:rPr>
              <w:t>成品标准 GB/T 3324-2017</w:t>
            </w:r>
            <w:r>
              <w:rPr>
                <w:rFonts w:hint="eastAsia" w:ascii="宋体" w:hAnsi="宋体" w:cs="宋体"/>
                <w:color w:val="auto"/>
                <w:szCs w:val="21"/>
              </w:rPr>
              <w:br w:type="textWrapping"/>
            </w:r>
            <w:r>
              <w:rPr>
                <w:rFonts w:hint="eastAsia" w:ascii="宋体" w:hAnsi="宋体" w:cs="宋体"/>
                <w:color w:val="auto"/>
                <w:szCs w:val="21"/>
              </w:rPr>
              <w:t>适老化设计 万向轮便于移动和收纳；制动轮保证使用安全</w:t>
            </w:r>
          </w:p>
          <w:p w14:paraId="09FB07A7">
            <w:pPr>
              <w:rPr>
                <w:rFonts w:ascii="宋体" w:hAnsi="宋体" w:cs="宋体"/>
                <w:color w:val="auto"/>
                <w:szCs w:val="21"/>
              </w:rPr>
            </w:pPr>
            <w:r>
              <w:rPr>
                <w:rFonts w:hint="eastAsia" w:ascii="宋体" w:hAnsi="宋体" w:cs="宋体"/>
                <w:color w:val="auto"/>
                <w:szCs w:val="21"/>
              </w:rPr>
              <w:t>适用区域：二层棋牌室</w:t>
            </w:r>
          </w:p>
        </w:tc>
        <w:tc>
          <w:tcPr>
            <w:tcW w:w="821" w:type="dxa"/>
            <w:tcBorders>
              <w:top w:val="nil"/>
              <w:left w:val="nil"/>
              <w:bottom w:val="single" w:color="auto" w:sz="4" w:space="0"/>
              <w:right w:val="single" w:color="auto" w:sz="4" w:space="0"/>
            </w:tcBorders>
            <w:vAlign w:val="center"/>
          </w:tcPr>
          <w:p w14:paraId="7E61387A">
            <w:pPr>
              <w:ind w:firstLine="210" w:firstLineChars="100"/>
              <w:rPr>
                <w:rFonts w:ascii="宋体" w:hAnsi="宋体" w:cs="宋体"/>
                <w:color w:val="auto"/>
                <w:szCs w:val="21"/>
              </w:rPr>
            </w:pPr>
            <w:r>
              <w:rPr>
                <w:rFonts w:hint="eastAsia" w:ascii="宋体" w:hAnsi="宋体" w:cs="宋体"/>
                <w:color w:val="auto"/>
                <w:szCs w:val="21"/>
              </w:rPr>
              <w:t>件</w:t>
            </w:r>
          </w:p>
        </w:tc>
        <w:tc>
          <w:tcPr>
            <w:tcW w:w="1034" w:type="dxa"/>
            <w:tcBorders>
              <w:top w:val="nil"/>
              <w:left w:val="nil"/>
              <w:bottom w:val="single" w:color="auto" w:sz="4" w:space="0"/>
              <w:right w:val="single" w:color="auto" w:sz="4" w:space="0"/>
            </w:tcBorders>
            <w:vAlign w:val="center"/>
          </w:tcPr>
          <w:p w14:paraId="72C0A3F7">
            <w:pPr>
              <w:ind w:firstLine="210" w:firstLineChars="100"/>
              <w:rPr>
                <w:rFonts w:ascii="宋体" w:hAnsi="宋体" w:cs="Segoe UI"/>
                <w:color w:val="auto"/>
                <w:szCs w:val="21"/>
              </w:rPr>
            </w:pPr>
            <w:r>
              <w:rPr>
                <w:rFonts w:ascii="宋体" w:hAnsi="宋体" w:cs="Segoe UI"/>
                <w:color w:val="auto"/>
                <w:szCs w:val="21"/>
              </w:rPr>
              <w:t>3</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635F407A">
            <w:pPr>
              <w:ind w:firstLine="210" w:firstLineChars="100"/>
              <w:rPr>
                <w:rFonts w:ascii="宋体" w:hAnsi="宋体" w:cs="Segoe UI"/>
                <w:color w:val="auto"/>
                <w:szCs w:val="21"/>
              </w:rPr>
            </w:pPr>
            <w:r>
              <w:rPr>
                <w:rFonts w:ascii="宋体" w:hAnsi="宋体" w:cs="Segoe UI"/>
                <w:color w:val="auto"/>
                <w:szCs w:val="21"/>
              </w:rPr>
              <w:t>1156.4</w:t>
            </w:r>
            <w:r>
              <w:rPr>
                <w:rFonts w:hint="eastAsia" w:ascii="宋体" w:hAnsi="宋体" w:cs="Segoe UI"/>
                <w:color w:val="auto"/>
                <w:szCs w:val="21"/>
              </w:rPr>
              <w:t>0</w:t>
            </w:r>
          </w:p>
        </w:tc>
        <w:tc>
          <w:tcPr>
            <w:tcW w:w="1518" w:type="dxa"/>
            <w:tcBorders>
              <w:top w:val="nil"/>
              <w:left w:val="nil"/>
              <w:bottom w:val="single" w:color="auto" w:sz="4" w:space="0"/>
              <w:right w:val="single" w:color="auto" w:sz="4" w:space="0"/>
            </w:tcBorders>
            <w:vAlign w:val="center"/>
          </w:tcPr>
          <w:p w14:paraId="58396B00">
            <w:pPr>
              <w:ind w:firstLine="210" w:firstLineChars="100"/>
              <w:rPr>
                <w:rFonts w:ascii="宋体" w:hAnsi="宋体" w:cs="Segoe UI"/>
                <w:color w:val="auto"/>
                <w:szCs w:val="21"/>
              </w:rPr>
            </w:pPr>
            <w:r>
              <w:rPr>
                <w:rFonts w:ascii="宋体" w:hAnsi="宋体" w:cs="Segoe UI"/>
                <w:color w:val="auto"/>
                <w:szCs w:val="21"/>
              </w:rPr>
              <w:t>3469.2</w:t>
            </w:r>
            <w:r>
              <w:rPr>
                <w:rFonts w:hint="eastAsia" w:ascii="宋体" w:hAnsi="宋体" w:cs="Segoe UI"/>
                <w:color w:val="auto"/>
                <w:szCs w:val="21"/>
              </w:rPr>
              <w:t>0</w:t>
            </w:r>
          </w:p>
        </w:tc>
        <w:tc>
          <w:tcPr>
            <w:tcW w:w="2112" w:type="dxa"/>
            <w:tcBorders>
              <w:top w:val="nil"/>
              <w:left w:val="nil"/>
              <w:bottom w:val="single" w:color="auto" w:sz="4" w:space="0"/>
              <w:right w:val="single" w:color="auto" w:sz="4" w:space="0"/>
            </w:tcBorders>
            <w:vAlign w:val="center"/>
          </w:tcPr>
          <w:p w14:paraId="2DCAC14F">
            <w:pPr>
              <w:jc w:val="center"/>
              <w:textAlignment w:val="center"/>
              <w:rPr>
                <w:rFonts w:ascii="宋体" w:hAnsi="宋体" w:cs="宋体"/>
                <w:color w:val="auto"/>
                <w:sz w:val="20"/>
                <w:szCs w:val="20"/>
              </w:rPr>
            </w:pPr>
            <w:r>
              <w:rPr>
                <w:rFonts w:hint="eastAsia" w:ascii="宋体" w:hAnsi="宋体" w:cs="宋体"/>
                <w:color w:val="auto"/>
                <w:sz w:val="20"/>
                <w:szCs w:val="20"/>
                <w:lang w:bidi="ar"/>
              </w:rPr>
              <w:drawing>
                <wp:inline distT="0" distB="0" distL="114300" distR="114300">
                  <wp:extent cx="904875" cy="933450"/>
                  <wp:effectExtent l="0" t="0" r="9525" b="0"/>
                  <wp:docPr id="20"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descr="IMG_256"/>
                          <pic:cNvPicPr>
                            <a:picLocks noChangeAspect="1"/>
                          </pic:cNvPicPr>
                        </pic:nvPicPr>
                        <pic:blipFill>
                          <a:blip r:embed="rId28"/>
                          <a:stretch>
                            <a:fillRect/>
                          </a:stretch>
                        </pic:blipFill>
                        <pic:spPr>
                          <a:xfrm>
                            <a:off x="0" y="0"/>
                            <a:ext cx="904875" cy="933450"/>
                          </a:xfrm>
                          <a:prstGeom prst="rect">
                            <a:avLst/>
                          </a:prstGeom>
                          <a:noFill/>
                          <a:ln w="9525">
                            <a:noFill/>
                          </a:ln>
                        </pic:spPr>
                      </pic:pic>
                    </a:graphicData>
                  </a:graphic>
                </wp:inline>
              </w:drawing>
            </w:r>
          </w:p>
        </w:tc>
      </w:tr>
      <w:tr w14:paraId="2B3D3447">
        <w:tblPrEx>
          <w:tblCellMar>
            <w:top w:w="0" w:type="dxa"/>
            <w:left w:w="108" w:type="dxa"/>
            <w:bottom w:w="0" w:type="dxa"/>
            <w:right w:w="108" w:type="dxa"/>
          </w:tblCellMar>
        </w:tblPrEx>
        <w:trPr>
          <w:trHeight w:val="690" w:hRule="atLeast"/>
          <w:jc w:val="center"/>
        </w:trPr>
        <w:tc>
          <w:tcPr>
            <w:tcW w:w="623" w:type="dxa"/>
            <w:tcBorders>
              <w:top w:val="nil"/>
              <w:left w:val="single" w:color="auto" w:sz="4" w:space="0"/>
              <w:bottom w:val="single" w:color="auto" w:sz="4" w:space="0"/>
              <w:right w:val="single" w:color="auto" w:sz="4" w:space="0"/>
            </w:tcBorders>
            <w:vAlign w:val="center"/>
          </w:tcPr>
          <w:p w14:paraId="3CF42654">
            <w:pPr>
              <w:ind w:firstLine="210" w:firstLineChars="100"/>
              <w:rPr>
                <w:rFonts w:ascii="宋体" w:hAnsi="宋体" w:cs="Segoe UI"/>
                <w:color w:val="auto"/>
                <w:szCs w:val="21"/>
              </w:rPr>
            </w:pPr>
            <w:r>
              <w:rPr>
                <w:rFonts w:ascii="宋体" w:hAnsi="宋体" w:cs="Segoe UI"/>
                <w:color w:val="auto"/>
                <w:szCs w:val="21"/>
              </w:rPr>
              <w:t>19</w:t>
            </w:r>
          </w:p>
        </w:tc>
        <w:tc>
          <w:tcPr>
            <w:tcW w:w="1091" w:type="dxa"/>
            <w:tcBorders>
              <w:top w:val="nil"/>
              <w:left w:val="nil"/>
              <w:bottom w:val="single" w:color="auto" w:sz="4" w:space="0"/>
              <w:right w:val="single" w:color="auto" w:sz="4" w:space="0"/>
            </w:tcBorders>
            <w:vAlign w:val="center"/>
          </w:tcPr>
          <w:p w14:paraId="7D6F36B5">
            <w:pPr>
              <w:ind w:firstLine="210" w:firstLineChars="100"/>
              <w:rPr>
                <w:rFonts w:ascii="宋体" w:hAnsi="宋体" w:cs="Segoe UI"/>
                <w:color w:val="auto"/>
                <w:szCs w:val="21"/>
              </w:rPr>
            </w:pPr>
            <w:r>
              <w:rPr>
                <w:rFonts w:ascii="宋体" w:hAnsi="宋体" w:cs="Segoe UI"/>
                <w:color w:val="auto"/>
                <w:szCs w:val="21"/>
              </w:rPr>
              <w:t>正方桌</w:t>
            </w:r>
          </w:p>
        </w:tc>
        <w:tc>
          <w:tcPr>
            <w:tcW w:w="6277" w:type="dxa"/>
            <w:tcBorders>
              <w:top w:val="nil"/>
              <w:left w:val="nil"/>
              <w:bottom w:val="single" w:color="auto" w:sz="4" w:space="0"/>
              <w:right w:val="single" w:color="auto" w:sz="4" w:space="0"/>
            </w:tcBorders>
            <w:vAlign w:val="center"/>
          </w:tcPr>
          <w:p w14:paraId="2E92C7EC">
            <w:pPr>
              <w:rPr>
                <w:rFonts w:ascii="宋体" w:hAnsi="宋体" w:cs="宋体"/>
                <w:color w:val="auto"/>
                <w:szCs w:val="21"/>
              </w:rPr>
            </w:pPr>
            <w:r>
              <w:rPr>
                <w:rFonts w:hint="eastAsia" w:ascii="宋体" w:hAnsi="宋体" w:cs="宋体"/>
                <w:color w:val="auto"/>
                <w:szCs w:val="21"/>
              </w:rPr>
              <w:t>尺寸 900×900×750mm</w:t>
            </w:r>
            <w:r>
              <w:rPr>
                <w:rFonts w:hint="eastAsia" w:ascii="宋体" w:hAnsi="宋体" w:cs="宋体"/>
                <w:color w:val="auto"/>
                <w:szCs w:val="21"/>
              </w:rPr>
              <w:br w:type="textWrapping"/>
            </w:r>
            <w:r>
              <w:rPr>
                <w:rFonts w:hint="eastAsia" w:ascii="宋体" w:hAnsi="宋体" w:cs="宋体"/>
                <w:color w:val="auto"/>
                <w:szCs w:val="21"/>
              </w:rPr>
              <w:t>基材 白蜡木实木框架，含水率＜12%，无节子/裂纹</w:t>
            </w:r>
            <w:r>
              <w:rPr>
                <w:rFonts w:hint="eastAsia" w:ascii="宋体" w:hAnsi="宋体" w:cs="宋体"/>
                <w:color w:val="auto"/>
                <w:szCs w:val="21"/>
              </w:rPr>
              <w:br w:type="textWrapping"/>
            </w:r>
            <w:r>
              <w:rPr>
                <w:rFonts w:hint="eastAsia" w:ascii="宋体" w:hAnsi="宋体" w:cs="宋体"/>
                <w:color w:val="auto"/>
                <w:szCs w:val="21"/>
              </w:rPr>
              <w:t>油漆 环保优质漆，三底两面，硬度2H，符合GB 18581-2020</w:t>
            </w:r>
            <w:r>
              <w:rPr>
                <w:rFonts w:hint="eastAsia" w:ascii="宋体" w:hAnsi="宋体" w:cs="宋体"/>
                <w:color w:val="auto"/>
                <w:szCs w:val="21"/>
              </w:rPr>
              <w:br w:type="textWrapping"/>
            </w:r>
            <w:r>
              <w:rPr>
                <w:rFonts w:hint="eastAsia" w:ascii="宋体" w:hAnsi="宋体" w:cs="宋体"/>
                <w:color w:val="auto"/>
                <w:szCs w:val="21"/>
              </w:rPr>
              <w:t>胶粘剂 符合GB 18583-2008</w:t>
            </w:r>
            <w:r>
              <w:rPr>
                <w:rFonts w:hint="eastAsia" w:ascii="宋体" w:hAnsi="宋体" w:cs="宋体"/>
                <w:color w:val="auto"/>
                <w:szCs w:val="21"/>
              </w:rPr>
              <w:br w:type="textWrapping"/>
            </w:r>
            <w:r>
              <w:rPr>
                <w:rFonts w:hint="eastAsia" w:ascii="宋体" w:hAnsi="宋体" w:cs="宋体"/>
                <w:color w:val="auto"/>
                <w:szCs w:val="21"/>
              </w:rPr>
              <w:t>面料 超纤皮，防水、耐磨、易清洁</w:t>
            </w:r>
            <w:r>
              <w:rPr>
                <w:rFonts w:hint="eastAsia" w:ascii="宋体" w:hAnsi="宋体" w:cs="宋体"/>
                <w:color w:val="auto"/>
                <w:szCs w:val="21"/>
              </w:rPr>
              <w:br w:type="textWrapping"/>
            </w:r>
            <w:r>
              <w:rPr>
                <w:rFonts w:hint="eastAsia" w:ascii="宋体" w:hAnsi="宋体" w:cs="宋体"/>
                <w:color w:val="auto"/>
                <w:szCs w:val="21"/>
              </w:rPr>
              <w:t>海绵 高弹力聚氨酯，密度≥45kg/m³</w:t>
            </w:r>
            <w:r>
              <w:rPr>
                <w:rFonts w:hint="eastAsia" w:ascii="宋体" w:hAnsi="宋体" w:cs="宋体"/>
                <w:color w:val="auto"/>
                <w:szCs w:val="21"/>
              </w:rPr>
              <w:br w:type="textWrapping"/>
            </w:r>
            <w:r>
              <w:rPr>
                <w:rFonts w:hint="eastAsia" w:ascii="宋体" w:hAnsi="宋体" w:cs="宋体"/>
                <w:color w:val="auto"/>
                <w:szCs w:val="21"/>
              </w:rPr>
              <w:t>边角 圆角R≥10mm</w:t>
            </w:r>
            <w:r>
              <w:rPr>
                <w:rFonts w:hint="eastAsia" w:ascii="宋体" w:hAnsi="宋体" w:cs="宋体"/>
                <w:color w:val="auto"/>
                <w:szCs w:val="21"/>
              </w:rPr>
              <w:br w:type="textWrapping"/>
            </w:r>
            <w:r>
              <w:rPr>
                <w:rFonts w:hint="eastAsia" w:ascii="宋体" w:hAnsi="宋体" w:cs="宋体"/>
                <w:color w:val="auto"/>
                <w:szCs w:val="21"/>
              </w:rPr>
              <w:t>桌下净高 ≥650mm（便于轮椅容膝）</w:t>
            </w:r>
            <w:r>
              <w:rPr>
                <w:rFonts w:hint="eastAsia" w:ascii="宋体" w:hAnsi="宋体" w:cs="宋体"/>
                <w:color w:val="auto"/>
                <w:szCs w:val="21"/>
              </w:rPr>
              <w:br w:type="textWrapping"/>
            </w:r>
            <w:r>
              <w:rPr>
                <w:rFonts w:hint="eastAsia" w:ascii="宋体" w:hAnsi="宋体" w:cs="宋体"/>
                <w:color w:val="auto"/>
                <w:szCs w:val="21"/>
              </w:rPr>
              <w:t>成品标准 GB/T 3324-2017及GB/T 46015-2025</w:t>
            </w:r>
            <w:r>
              <w:rPr>
                <w:rFonts w:hint="eastAsia" w:ascii="宋体" w:hAnsi="宋体" w:cs="宋体"/>
                <w:color w:val="auto"/>
                <w:szCs w:val="21"/>
              </w:rPr>
              <w:br w:type="textWrapping"/>
            </w:r>
            <w:r>
              <w:rPr>
                <w:rFonts w:hint="eastAsia" w:ascii="宋体" w:hAnsi="宋体" w:cs="宋体"/>
                <w:color w:val="auto"/>
                <w:szCs w:val="21"/>
              </w:rPr>
              <w:t>适老化设计 正方形适合围坐就餐；桌下容膝空间便于轮椅靠近</w:t>
            </w:r>
          </w:p>
          <w:p w14:paraId="500C807A">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三-七层护士站+就餐区</w:t>
            </w:r>
          </w:p>
        </w:tc>
        <w:tc>
          <w:tcPr>
            <w:tcW w:w="821" w:type="dxa"/>
            <w:tcBorders>
              <w:top w:val="nil"/>
              <w:left w:val="nil"/>
              <w:bottom w:val="single" w:color="auto" w:sz="4" w:space="0"/>
              <w:right w:val="single" w:color="auto" w:sz="4" w:space="0"/>
            </w:tcBorders>
            <w:vAlign w:val="center"/>
          </w:tcPr>
          <w:p w14:paraId="0AA996B3">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2707045B">
            <w:pPr>
              <w:ind w:firstLine="210" w:firstLineChars="100"/>
              <w:rPr>
                <w:rFonts w:ascii="宋体" w:hAnsi="宋体" w:cs="Segoe UI"/>
                <w:color w:val="auto"/>
                <w:szCs w:val="21"/>
              </w:rPr>
            </w:pPr>
            <w:r>
              <w:rPr>
                <w:rFonts w:ascii="宋体" w:hAnsi="宋体" w:cs="Segoe UI"/>
                <w:color w:val="auto"/>
                <w:szCs w:val="21"/>
              </w:rPr>
              <w:t>40</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533EDACB">
            <w:pPr>
              <w:ind w:firstLine="210" w:firstLineChars="100"/>
              <w:rPr>
                <w:rFonts w:ascii="宋体" w:hAnsi="宋体" w:cs="Segoe UI"/>
                <w:color w:val="auto"/>
                <w:szCs w:val="21"/>
              </w:rPr>
            </w:pPr>
            <w:r>
              <w:rPr>
                <w:rFonts w:ascii="宋体" w:hAnsi="宋体" w:cs="Segoe UI"/>
                <w:color w:val="auto"/>
                <w:szCs w:val="21"/>
              </w:rPr>
              <w:t>1510.4</w:t>
            </w:r>
            <w:r>
              <w:rPr>
                <w:rFonts w:hint="eastAsia" w:ascii="宋体" w:hAnsi="宋体" w:cs="Segoe UI"/>
                <w:color w:val="auto"/>
                <w:szCs w:val="21"/>
              </w:rPr>
              <w:t>0</w:t>
            </w:r>
          </w:p>
        </w:tc>
        <w:tc>
          <w:tcPr>
            <w:tcW w:w="1518" w:type="dxa"/>
            <w:tcBorders>
              <w:top w:val="nil"/>
              <w:left w:val="nil"/>
              <w:bottom w:val="single" w:color="auto" w:sz="4" w:space="0"/>
              <w:right w:val="single" w:color="auto" w:sz="4" w:space="0"/>
            </w:tcBorders>
            <w:vAlign w:val="center"/>
          </w:tcPr>
          <w:p w14:paraId="2D5C7F61">
            <w:pPr>
              <w:rPr>
                <w:color w:val="auto"/>
              </w:rPr>
            </w:pPr>
            <w:r>
              <w:rPr>
                <w:color w:val="auto"/>
              </w:rPr>
              <w:t>60416</w:t>
            </w:r>
            <w:r>
              <w:rPr>
                <w:rFonts w:hint="eastAsia"/>
                <w:color w:val="auto"/>
              </w:rPr>
              <w:t>.00</w:t>
            </w:r>
          </w:p>
        </w:tc>
        <w:tc>
          <w:tcPr>
            <w:tcW w:w="2112" w:type="dxa"/>
            <w:tcBorders>
              <w:top w:val="nil"/>
              <w:left w:val="nil"/>
              <w:bottom w:val="single" w:color="auto" w:sz="4" w:space="0"/>
              <w:right w:val="single" w:color="auto" w:sz="4" w:space="0"/>
            </w:tcBorders>
          </w:tcPr>
          <w:p w14:paraId="508F79B7">
            <w:pPr>
              <w:ind w:firstLine="210" w:firstLineChars="100"/>
              <w:rPr>
                <w:rFonts w:ascii="宋体" w:hAnsi="宋体" w:cs="Segoe UI"/>
                <w:color w:val="auto"/>
                <w:szCs w:val="21"/>
              </w:rPr>
            </w:pPr>
            <w:r>
              <w:rPr>
                <w:rFonts w:ascii="宋体" w:hAnsi="宋体"/>
                <w:color w:val="auto"/>
                <w:szCs w:val="21"/>
              </w:rPr>
              <w:drawing>
                <wp:anchor distT="0" distB="0" distL="114300" distR="114300" simplePos="0" relativeHeight="251674624" behindDoc="0" locked="0" layoutInCell="1" allowOverlap="1">
                  <wp:simplePos x="0" y="0"/>
                  <wp:positionH relativeFrom="column">
                    <wp:posOffset>5715</wp:posOffset>
                  </wp:positionH>
                  <wp:positionV relativeFrom="paragraph">
                    <wp:posOffset>614680</wp:posOffset>
                  </wp:positionV>
                  <wp:extent cx="1199515" cy="1009650"/>
                  <wp:effectExtent l="0" t="0" r="635" b="0"/>
                  <wp:wrapNone/>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199515" cy="1009650"/>
                          </a:xfrm>
                          <a:prstGeom prst="rect">
                            <a:avLst/>
                          </a:prstGeom>
                          <a:noFill/>
                          <a:ln w="1">
                            <a:noFill/>
                            <a:miter lim="800000"/>
                            <a:headEnd/>
                            <a:tailEnd type="none" w="med" len="med"/>
                          </a:ln>
                          <a:effectLst/>
                        </pic:spPr>
                      </pic:pic>
                    </a:graphicData>
                  </a:graphic>
                </wp:anchor>
              </w:drawing>
            </w:r>
          </w:p>
        </w:tc>
      </w:tr>
      <w:tr w14:paraId="2D311719">
        <w:tblPrEx>
          <w:tblCellMar>
            <w:top w:w="0" w:type="dxa"/>
            <w:left w:w="108" w:type="dxa"/>
            <w:bottom w:w="0" w:type="dxa"/>
            <w:right w:w="108" w:type="dxa"/>
          </w:tblCellMar>
        </w:tblPrEx>
        <w:trPr>
          <w:trHeight w:val="4298" w:hRule="atLeast"/>
          <w:jc w:val="center"/>
        </w:trPr>
        <w:tc>
          <w:tcPr>
            <w:tcW w:w="623" w:type="dxa"/>
            <w:tcBorders>
              <w:top w:val="nil"/>
              <w:left w:val="single" w:color="auto" w:sz="4" w:space="0"/>
              <w:bottom w:val="single" w:color="auto" w:sz="4" w:space="0"/>
              <w:right w:val="single" w:color="auto" w:sz="4" w:space="0"/>
            </w:tcBorders>
            <w:vAlign w:val="center"/>
          </w:tcPr>
          <w:p w14:paraId="660B569E">
            <w:pPr>
              <w:ind w:firstLine="210" w:firstLineChars="100"/>
              <w:rPr>
                <w:rFonts w:ascii="宋体" w:hAnsi="宋体" w:cs="Segoe UI"/>
                <w:color w:val="auto"/>
                <w:szCs w:val="21"/>
              </w:rPr>
            </w:pPr>
            <w:r>
              <w:rPr>
                <w:rFonts w:ascii="宋体" w:hAnsi="宋体" w:cs="Segoe UI"/>
                <w:color w:val="auto"/>
                <w:szCs w:val="21"/>
              </w:rPr>
              <w:t>20</w:t>
            </w:r>
          </w:p>
        </w:tc>
        <w:tc>
          <w:tcPr>
            <w:tcW w:w="1091" w:type="dxa"/>
            <w:tcBorders>
              <w:top w:val="nil"/>
              <w:left w:val="nil"/>
              <w:bottom w:val="single" w:color="auto" w:sz="4" w:space="0"/>
              <w:right w:val="single" w:color="auto" w:sz="4" w:space="0"/>
            </w:tcBorders>
            <w:vAlign w:val="center"/>
          </w:tcPr>
          <w:p w14:paraId="5C06C888">
            <w:pPr>
              <w:ind w:firstLine="210" w:firstLineChars="100"/>
              <w:rPr>
                <w:rFonts w:ascii="宋体" w:hAnsi="宋体" w:cs="宋体"/>
                <w:color w:val="auto"/>
                <w:szCs w:val="21"/>
              </w:rPr>
            </w:pPr>
            <w:r>
              <w:rPr>
                <w:rFonts w:hint="eastAsia" w:ascii="宋体" w:hAnsi="宋体" w:cs="宋体"/>
                <w:color w:val="auto"/>
                <w:szCs w:val="21"/>
              </w:rPr>
              <w:t>书桌</w:t>
            </w:r>
          </w:p>
        </w:tc>
        <w:tc>
          <w:tcPr>
            <w:tcW w:w="6277" w:type="dxa"/>
            <w:tcBorders>
              <w:top w:val="nil"/>
              <w:left w:val="nil"/>
              <w:bottom w:val="single" w:color="auto" w:sz="4" w:space="0"/>
              <w:right w:val="single" w:color="auto" w:sz="4" w:space="0"/>
            </w:tcBorders>
            <w:vAlign w:val="center"/>
          </w:tcPr>
          <w:p w14:paraId="0B480125">
            <w:pPr>
              <w:rPr>
                <w:rFonts w:ascii="宋体" w:hAnsi="宋体" w:cs="宋体"/>
                <w:color w:val="auto"/>
                <w:szCs w:val="21"/>
              </w:rPr>
            </w:pPr>
            <w:r>
              <w:rPr>
                <w:rFonts w:hint="eastAsia" w:ascii="宋体" w:hAnsi="宋体" w:cs="宋体"/>
                <w:color w:val="auto"/>
                <w:szCs w:val="21"/>
              </w:rPr>
              <w:t>尺寸 1800×600×750mm</w:t>
            </w:r>
            <w:r>
              <w:rPr>
                <w:rFonts w:hint="eastAsia" w:ascii="宋体" w:hAnsi="宋体" w:cs="宋体"/>
                <w:color w:val="auto"/>
                <w:szCs w:val="21"/>
              </w:rPr>
              <w:br w:type="textWrapping"/>
            </w:r>
            <w:r>
              <w:rPr>
                <w:rFonts w:hint="eastAsia" w:ascii="宋体" w:hAnsi="宋体" w:cs="宋体"/>
                <w:color w:val="auto"/>
                <w:szCs w:val="21"/>
              </w:rPr>
              <w:t>基材 白蜡木实木框架，含水率＜12%，无节子/裂纹</w:t>
            </w:r>
            <w:r>
              <w:rPr>
                <w:rFonts w:hint="eastAsia" w:ascii="宋体" w:hAnsi="宋体" w:cs="宋体"/>
                <w:color w:val="auto"/>
                <w:szCs w:val="21"/>
              </w:rPr>
              <w:br w:type="textWrapping"/>
            </w:r>
            <w:r>
              <w:rPr>
                <w:rFonts w:hint="eastAsia" w:ascii="宋体" w:hAnsi="宋体" w:cs="宋体"/>
                <w:color w:val="auto"/>
                <w:szCs w:val="21"/>
              </w:rPr>
              <w:t>油漆 环保优质漆，三底两面，硬度2H，符合GB 18581-2020</w:t>
            </w:r>
            <w:r>
              <w:rPr>
                <w:rFonts w:hint="eastAsia" w:ascii="宋体" w:hAnsi="宋体" w:cs="宋体"/>
                <w:color w:val="auto"/>
                <w:szCs w:val="21"/>
              </w:rPr>
              <w:br w:type="textWrapping"/>
            </w:r>
            <w:r>
              <w:rPr>
                <w:rFonts w:hint="eastAsia" w:ascii="宋体" w:hAnsi="宋体" w:cs="宋体"/>
                <w:color w:val="auto"/>
                <w:szCs w:val="21"/>
              </w:rPr>
              <w:t>胶粘剂 符合GB 18583-2008</w:t>
            </w:r>
            <w:r>
              <w:rPr>
                <w:rFonts w:hint="eastAsia" w:ascii="宋体" w:hAnsi="宋体" w:cs="宋体"/>
                <w:color w:val="auto"/>
                <w:szCs w:val="21"/>
              </w:rPr>
              <w:br w:type="textWrapping"/>
            </w:r>
            <w:r>
              <w:rPr>
                <w:rFonts w:hint="eastAsia" w:ascii="宋体" w:hAnsi="宋体" w:cs="宋体"/>
                <w:color w:val="auto"/>
                <w:szCs w:val="21"/>
              </w:rPr>
              <w:t>面料 超纤皮，防水、耐磨、易清洁</w:t>
            </w:r>
            <w:r>
              <w:rPr>
                <w:rFonts w:hint="eastAsia" w:ascii="宋体" w:hAnsi="宋体" w:cs="宋体"/>
                <w:color w:val="auto"/>
                <w:szCs w:val="21"/>
              </w:rPr>
              <w:br w:type="textWrapping"/>
            </w:r>
            <w:r>
              <w:rPr>
                <w:rFonts w:hint="eastAsia" w:ascii="宋体" w:hAnsi="宋体" w:cs="宋体"/>
                <w:color w:val="auto"/>
                <w:szCs w:val="21"/>
              </w:rPr>
              <w:t>海绵 高弹力聚氨酯，密度≥45kg/m³</w:t>
            </w:r>
            <w:r>
              <w:rPr>
                <w:rFonts w:hint="eastAsia" w:ascii="宋体" w:hAnsi="宋体" w:cs="宋体"/>
                <w:color w:val="auto"/>
                <w:szCs w:val="21"/>
              </w:rPr>
              <w:br w:type="textWrapping"/>
            </w:r>
            <w:r>
              <w:rPr>
                <w:rFonts w:hint="eastAsia" w:ascii="宋体" w:hAnsi="宋体" w:cs="宋体"/>
                <w:color w:val="auto"/>
                <w:szCs w:val="21"/>
              </w:rPr>
              <w:t>边角 圆角R≥10mm</w:t>
            </w:r>
            <w:r>
              <w:rPr>
                <w:rFonts w:hint="eastAsia" w:ascii="宋体" w:hAnsi="宋体" w:cs="宋体"/>
                <w:color w:val="auto"/>
                <w:szCs w:val="21"/>
              </w:rPr>
              <w:br w:type="textWrapping"/>
            </w:r>
            <w:r>
              <w:rPr>
                <w:rFonts w:hint="eastAsia" w:ascii="宋体" w:hAnsi="宋体" w:cs="宋体"/>
                <w:color w:val="auto"/>
                <w:szCs w:val="21"/>
              </w:rPr>
              <w:t>桌下净高 ≥650mm（便于轮椅容膝）</w:t>
            </w:r>
            <w:r>
              <w:rPr>
                <w:rFonts w:hint="eastAsia" w:ascii="宋体" w:hAnsi="宋体" w:cs="宋体"/>
                <w:color w:val="auto"/>
                <w:szCs w:val="21"/>
              </w:rPr>
              <w:br w:type="textWrapping"/>
            </w:r>
            <w:r>
              <w:rPr>
                <w:rFonts w:hint="eastAsia" w:ascii="宋体" w:hAnsi="宋体" w:cs="宋体"/>
                <w:color w:val="auto"/>
                <w:szCs w:val="21"/>
              </w:rPr>
              <w:t>成品标准 GB/T 3324-2017及GB/T 46015-2025</w:t>
            </w:r>
            <w:r>
              <w:rPr>
                <w:rFonts w:hint="eastAsia" w:ascii="宋体" w:hAnsi="宋体" w:cs="宋体"/>
                <w:color w:val="auto"/>
                <w:szCs w:val="21"/>
              </w:rPr>
              <w:br w:type="textWrapping"/>
            </w:r>
            <w:r>
              <w:rPr>
                <w:rFonts w:hint="eastAsia" w:ascii="宋体" w:hAnsi="宋体" w:cs="宋体"/>
                <w:color w:val="auto"/>
                <w:szCs w:val="21"/>
              </w:rPr>
              <w:t>适老化设计 长台面满足双人使用；桌下容膝空间便于轮椅靠近</w:t>
            </w:r>
          </w:p>
          <w:p w14:paraId="6460A5F5">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三-七层双人间</w:t>
            </w:r>
          </w:p>
        </w:tc>
        <w:tc>
          <w:tcPr>
            <w:tcW w:w="821" w:type="dxa"/>
            <w:tcBorders>
              <w:top w:val="nil"/>
              <w:left w:val="nil"/>
              <w:bottom w:val="single" w:color="auto" w:sz="4" w:space="0"/>
              <w:right w:val="single" w:color="auto" w:sz="4" w:space="0"/>
            </w:tcBorders>
            <w:vAlign w:val="center"/>
          </w:tcPr>
          <w:p w14:paraId="6ACB86B6">
            <w:pPr>
              <w:ind w:firstLine="210" w:firstLineChars="100"/>
              <w:rPr>
                <w:rFonts w:ascii="宋体" w:hAnsi="宋体" w:cs="Segoe UI"/>
                <w:color w:val="auto"/>
                <w:szCs w:val="21"/>
              </w:rPr>
            </w:pPr>
            <w:r>
              <w:rPr>
                <w:rFonts w:ascii="宋体" w:hAnsi="宋体" w:cs="Segoe UI"/>
                <w:color w:val="auto"/>
                <w:szCs w:val="21"/>
              </w:rPr>
              <w:t>件</w:t>
            </w:r>
          </w:p>
        </w:tc>
        <w:tc>
          <w:tcPr>
            <w:tcW w:w="1034" w:type="dxa"/>
            <w:tcBorders>
              <w:top w:val="nil"/>
              <w:left w:val="nil"/>
              <w:bottom w:val="single" w:color="auto" w:sz="4" w:space="0"/>
              <w:right w:val="single" w:color="auto" w:sz="4" w:space="0"/>
            </w:tcBorders>
            <w:vAlign w:val="center"/>
          </w:tcPr>
          <w:p w14:paraId="1CFBE4BD">
            <w:pPr>
              <w:ind w:firstLine="210" w:firstLineChars="100"/>
              <w:rPr>
                <w:rFonts w:ascii="宋体" w:hAnsi="宋体" w:cs="Segoe UI"/>
                <w:color w:val="auto"/>
                <w:szCs w:val="21"/>
              </w:rPr>
            </w:pPr>
            <w:r>
              <w:rPr>
                <w:rFonts w:ascii="宋体" w:hAnsi="宋体" w:cs="Segoe UI"/>
                <w:color w:val="auto"/>
                <w:szCs w:val="21"/>
              </w:rPr>
              <w:t>126</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0682DA70">
            <w:pPr>
              <w:ind w:firstLine="210" w:firstLineChars="100"/>
              <w:rPr>
                <w:rFonts w:ascii="宋体" w:hAnsi="宋体" w:cs="Segoe UI"/>
                <w:color w:val="auto"/>
                <w:szCs w:val="21"/>
              </w:rPr>
            </w:pPr>
            <w:r>
              <w:rPr>
                <w:rFonts w:ascii="宋体" w:hAnsi="宋体" w:cs="Segoe UI"/>
                <w:color w:val="auto"/>
                <w:szCs w:val="21"/>
              </w:rPr>
              <w:t>2183</w:t>
            </w:r>
            <w:r>
              <w:rPr>
                <w:rFonts w:hint="eastAsia" w:ascii="宋体" w:hAnsi="宋体" w:cs="Segoe UI"/>
                <w:color w:val="auto"/>
                <w:szCs w:val="21"/>
              </w:rPr>
              <w:t>.00</w:t>
            </w:r>
          </w:p>
        </w:tc>
        <w:tc>
          <w:tcPr>
            <w:tcW w:w="1518" w:type="dxa"/>
            <w:tcBorders>
              <w:top w:val="nil"/>
              <w:left w:val="nil"/>
              <w:bottom w:val="single" w:color="auto" w:sz="4" w:space="0"/>
              <w:right w:val="single" w:color="auto" w:sz="4" w:space="0"/>
            </w:tcBorders>
            <w:vAlign w:val="center"/>
          </w:tcPr>
          <w:p w14:paraId="6502C1DE">
            <w:pPr>
              <w:ind w:firstLine="210" w:firstLineChars="100"/>
              <w:rPr>
                <w:rFonts w:ascii="宋体" w:hAnsi="宋体" w:cs="Segoe UI"/>
                <w:color w:val="auto"/>
                <w:szCs w:val="21"/>
              </w:rPr>
            </w:pPr>
            <w:r>
              <w:rPr>
                <w:rFonts w:ascii="宋体" w:hAnsi="宋体" w:cs="Segoe UI"/>
                <w:color w:val="auto"/>
                <w:szCs w:val="21"/>
              </w:rPr>
              <w:t>275058</w:t>
            </w:r>
            <w:r>
              <w:rPr>
                <w:rFonts w:hint="eastAsia" w:ascii="宋体" w:hAnsi="宋体" w:cs="Segoe UI"/>
                <w:color w:val="auto"/>
                <w:szCs w:val="21"/>
              </w:rPr>
              <w:t>.00</w:t>
            </w:r>
          </w:p>
        </w:tc>
        <w:tc>
          <w:tcPr>
            <w:tcW w:w="2112" w:type="dxa"/>
            <w:tcBorders>
              <w:top w:val="nil"/>
              <w:left w:val="nil"/>
              <w:bottom w:val="single" w:color="auto" w:sz="4" w:space="0"/>
              <w:right w:val="single" w:color="auto" w:sz="4" w:space="0"/>
            </w:tcBorders>
          </w:tcPr>
          <w:p w14:paraId="35D450EB">
            <w:pPr>
              <w:ind w:firstLine="210" w:firstLineChars="100"/>
              <w:rPr>
                <w:rFonts w:ascii="宋体" w:hAnsi="宋体" w:cs="Segoe UI"/>
                <w:color w:val="auto"/>
                <w:szCs w:val="21"/>
              </w:rPr>
            </w:pPr>
            <w:r>
              <w:rPr>
                <w:rFonts w:ascii="宋体" w:hAnsi="宋体"/>
                <w:color w:val="auto"/>
                <w:szCs w:val="21"/>
              </w:rPr>
              <w:drawing>
                <wp:anchor distT="0" distB="0" distL="114300" distR="114300" simplePos="0" relativeHeight="251675648" behindDoc="0" locked="0" layoutInCell="1" allowOverlap="1">
                  <wp:simplePos x="0" y="0"/>
                  <wp:positionH relativeFrom="column">
                    <wp:posOffset>121920</wp:posOffset>
                  </wp:positionH>
                  <wp:positionV relativeFrom="paragraph">
                    <wp:posOffset>615950</wp:posOffset>
                  </wp:positionV>
                  <wp:extent cx="1120775" cy="795655"/>
                  <wp:effectExtent l="0" t="0" r="3175" b="4445"/>
                  <wp:wrapNone/>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20775" cy="795655"/>
                          </a:xfrm>
                          <a:prstGeom prst="rect">
                            <a:avLst/>
                          </a:prstGeom>
                          <a:noFill/>
                          <a:ln w="9525">
                            <a:noFill/>
                          </a:ln>
                        </pic:spPr>
                      </pic:pic>
                    </a:graphicData>
                  </a:graphic>
                </wp:anchor>
              </w:drawing>
            </w:r>
          </w:p>
        </w:tc>
      </w:tr>
      <w:tr w14:paraId="2E4C3C28">
        <w:tblPrEx>
          <w:tblCellMar>
            <w:top w:w="0" w:type="dxa"/>
            <w:left w:w="108" w:type="dxa"/>
            <w:bottom w:w="0" w:type="dxa"/>
            <w:right w:w="108" w:type="dxa"/>
          </w:tblCellMar>
        </w:tblPrEx>
        <w:trPr>
          <w:trHeight w:val="1909" w:hRule="atLeast"/>
          <w:jc w:val="center"/>
        </w:trPr>
        <w:tc>
          <w:tcPr>
            <w:tcW w:w="623" w:type="dxa"/>
            <w:tcBorders>
              <w:top w:val="nil"/>
              <w:left w:val="single" w:color="auto" w:sz="4" w:space="0"/>
              <w:bottom w:val="single" w:color="auto" w:sz="4" w:space="0"/>
              <w:right w:val="single" w:color="auto" w:sz="4" w:space="0"/>
            </w:tcBorders>
            <w:vAlign w:val="center"/>
          </w:tcPr>
          <w:p w14:paraId="4F4FD7BF">
            <w:pPr>
              <w:ind w:firstLine="210" w:firstLineChars="100"/>
              <w:rPr>
                <w:rFonts w:ascii="宋体" w:hAnsi="宋体" w:cs="Segoe UI"/>
                <w:color w:val="auto"/>
                <w:szCs w:val="21"/>
              </w:rPr>
            </w:pPr>
            <w:r>
              <w:rPr>
                <w:rFonts w:ascii="宋体" w:hAnsi="宋体" w:cs="Segoe UI"/>
                <w:color w:val="auto"/>
                <w:szCs w:val="21"/>
              </w:rPr>
              <w:t>22</w:t>
            </w:r>
          </w:p>
        </w:tc>
        <w:tc>
          <w:tcPr>
            <w:tcW w:w="1091" w:type="dxa"/>
            <w:tcBorders>
              <w:top w:val="nil"/>
              <w:left w:val="nil"/>
              <w:bottom w:val="single" w:color="auto" w:sz="4" w:space="0"/>
              <w:right w:val="single" w:color="auto" w:sz="4" w:space="0"/>
            </w:tcBorders>
            <w:vAlign w:val="center"/>
          </w:tcPr>
          <w:p w14:paraId="4514A708">
            <w:pPr>
              <w:ind w:firstLine="210" w:firstLineChars="100"/>
              <w:rPr>
                <w:rFonts w:ascii="宋体" w:hAnsi="宋体" w:cs="Segoe UI"/>
                <w:color w:val="auto"/>
                <w:szCs w:val="21"/>
              </w:rPr>
            </w:pPr>
            <w:r>
              <w:rPr>
                <w:rFonts w:ascii="宋体" w:hAnsi="宋体" w:cs="Segoe UI"/>
                <w:color w:val="auto"/>
                <w:szCs w:val="21"/>
              </w:rPr>
              <w:t>护理床</w:t>
            </w:r>
          </w:p>
        </w:tc>
        <w:tc>
          <w:tcPr>
            <w:tcW w:w="6277" w:type="dxa"/>
            <w:tcBorders>
              <w:top w:val="nil"/>
              <w:left w:val="nil"/>
              <w:bottom w:val="single" w:color="auto" w:sz="4" w:space="0"/>
              <w:right w:val="single" w:color="auto" w:sz="4" w:space="0"/>
            </w:tcBorders>
            <w:vAlign w:val="center"/>
          </w:tcPr>
          <w:p w14:paraId="4458C648">
            <w:pPr>
              <w:rPr>
                <w:rFonts w:ascii="宋体" w:hAnsi="宋体" w:cs="宋体"/>
                <w:color w:val="auto"/>
                <w:szCs w:val="21"/>
              </w:rPr>
            </w:pPr>
            <w:r>
              <w:rPr>
                <w:rFonts w:hint="eastAsia" w:ascii="宋体" w:hAnsi="宋体" w:cs="宋体"/>
                <w:color w:val="auto"/>
                <w:szCs w:val="21"/>
              </w:rPr>
              <w:t>寸 2100×1000×410-720mm（整体升降）</w:t>
            </w:r>
            <w:r>
              <w:rPr>
                <w:rFonts w:hint="eastAsia" w:ascii="宋体" w:hAnsi="宋体" w:cs="宋体"/>
                <w:color w:val="auto"/>
                <w:szCs w:val="21"/>
              </w:rPr>
              <w:br w:type="textWrapping"/>
            </w:r>
            <w:r>
              <w:rPr>
                <w:rFonts w:hint="eastAsia" w:ascii="宋体" w:hAnsi="宋体" w:cs="宋体"/>
                <w:color w:val="auto"/>
                <w:szCs w:val="21"/>
              </w:rPr>
              <w:t>功能 电动三功能（背板起降0-75°±5°，腿板升降0-45°±5°，整体升降410-720mm）</w:t>
            </w:r>
            <w:r>
              <w:rPr>
                <w:rFonts w:hint="eastAsia" w:ascii="宋体" w:hAnsi="宋体" w:cs="宋体"/>
                <w:color w:val="auto"/>
                <w:szCs w:val="21"/>
              </w:rPr>
              <w:br w:type="textWrapping"/>
            </w:r>
            <w:r>
              <w:rPr>
                <w:rFonts w:hint="eastAsia" w:ascii="宋体" w:hAnsi="宋体" w:cs="宋体"/>
                <w:color w:val="auto"/>
                <w:szCs w:val="21"/>
              </w:rPr>
              <w:t>电机 通过第三方检验认证，噪音＜45dB，防水防尘，电源220V/50Hz，品牌：捷昌驱动/新益驱动/迪洛克</w:t>
            </w:r>
            <w:r>
              <w:rPr>
                <w:rFonts w:hint="eastAsia" w:ascii="宋体" w:hAnsi="宋体" w:cs="宋体"/>
                <w:color w:val="auto"/>
                <w:szCs w:val="21"/>
              </w:rPr>
              <w:br w:type="textWrapping"/>
            </w:r>
            <w:r>
              <w:rPr>
                <w:rFonts w:hint="eastAsia" w:ascii="宋体" w:hAnsi="宋体" w:cs="宋体"/>
                <w:color w:val="auto"/>
                <w:szCs w:val="21"/>
              </w:rPr>
              <w:t>床架 30×60×1.2mm碳钢矩管</w:t>
            </w:r>
            <w:r>
              <w:rPr>
                <w:rFonts w:hint="eastAsia" w:ascii="宋体" w:hAnsi="宋体" w:cs="宋体"/>
                <w:color w:val="auto"/>
                <w:szCs w:val="21"/>
              </w:rPr>
              <w:br w:type="textWrapping"/>
            </w:r>
            <w:r>
              <w:rPr>
                <w:rFonts w:hint="eastAsia" w:ascii="宋体" w:hAnsi="宋体" w:cs="宋体"/>
                <w:color w:val="auto"/>
                <w:szCs w:val="21"/>
              </w:rPr>
              <w:t>床面 1.0mm冷轧钢板冲压成型，多气孔防滑设计，床板中部有2条加强筋</w:t>
            </w:r>
            <w:r>
              <w:rPr>
                <w:rFonts w:hint="eastAsia" w:ascii="宋体" w:hAnsi="宋体" w:cs="宋体"/>
                <w:color w:val="auto"/>
                <w:szCs w:val="21"/>
              </w:rPr>
              <w:br w:type="textWrapping"/>
            </w:r>
            <w:r>
              <w:rPr>
                <w:rFonts w:hint="eastAsia" w:ascii="宋体" w:hAnsi="宋体" w:cs="宋体"/>
                <w:color w:val="auto"/>
                <w:szCs w:val="21"/>
              </w:rPr>
              <w:t>床体承重 ≥280kg</w:t>
            </w:r>
            <w:r>
              <w:rPr>
                <w:rFonts w:hint="eastAsia" w:ascii="宋体" w:hAnsi="宋体" w:cs="宋体"/>
                <w:color w:val="auto"/>
                <w:szCs w:val="21"/>
              </w:rPr>
              <w:br w:type="textWrapping"/>
            </w:r>
            <w:r>
              <w:rPr>
                <w:rFonts w:hint="eastAsia" w:ascii="宋体" w:hAnsi="宋体" w:cs="宋体"/>
                <w:color w:val="auto"/>
                <w:szCs w:val="21"/>
              </w:rPr>
              <w:t>床头床尾 白蜡木实木框架，E</w:t>
            </w:r>
            <w:r>
              <w:rPr>
                <w:rFonts w:ascii="Cambria Math" w:hAnsi="Cambria Math" w:cs="Cambria Math"/>
                <w:color w:val="auto"/>
                <w:szCs w:val="21"/>
              </w:rPr>
              <w:t>₁</w:t>
            </w:r>
            <w:r>
              <w:rPr>
                <w:rFonts w:hint="eastAsia" w:ascii="宋体" w:hAnsi="宋体" w:cs="宋体"/>
                <w:color w:val="auto"/>
                <w:szCs w:val="21"/>
              </w:rPr>
              <w:t>级多层板贴白蜡木皮，软包厚度≥35mm，超纤皮面料（耐磨防水、抗菌防霉、耐消毒剂）</w:t>
            </w:r>
            <w:r>
              <w:rPr>
                <w:rFonts w:hint="eastAsia" w:ascii="宋体" w:hAnsi="宋体" w:cs="宋体"/>
                <w:color w:val="auto"/>
                <w:szCs w:val="21"/>
              </w:rPr>
              <w:br w:type="textWrapping"/>
            </w:r>
            <w:r>
              <w:rPr>
                <w:rFonts w:hint="eastAsia" w:ascii="宋体" w:hAnsi="宋体" w:cs="宋体"/>
                <w:color w:val="auto"/>
                <w:szCs w:val="21"/>
              </w:rPr>
              <w:t>海绵 密度≥45kg/m³高弹海绵</w:t>
            </w:r>
            <w:r>
              <w:rPr>
                <w:rFonts w:hint="eastAsia" w:ascii="宋体" w:hAnsi="宋体" w:cs="宋体"/>
                <w:color w:val="auto"/>
                <w:szCs w:val="21"/>
              </w:rPr>
              <w:br w:type="textWrapping"/>
            </w:r>
            <w:r>
              <w:rPr>
                <w:rFonts w:hint="eastAsia" w:ascii="宋体" w:hAnsi="宋体" w:cs="宋体"/>
                <w:color w:val="auto"/>
                <w:szCs w:val="21"/>
              </w:rPr>
              <w:t>油漆 环保漆，符合GB 18581-2020</w:t>
            </w:r>
            <w:r>
              <w:rPr>
                <w:rFonts w:hint="eastAsia" w:ascii="宋体" w:hAnsi="宋体" w:cs="宋体"/>
                <w:color w:val="auto"/>
                <w:szCs w:val="21"/>
              </w:rPr>
              <w:br w:type="textWrapping"/>
            </w:r>
            <w:r>
              <w:rPr>
                <w:rFonts w:hint="eastAsia" w:ascii="宋体" w:hAnsi="宋体" w:cs="宋体"/>
                <w:color w:val="auto"/>
                <w:szCs w:val="21"/>
              </w:rPr>
              <w:t xml:space="preserve">脚轮 </w:t>
            </w:r>
            <w:r>
              <w:rPr>
                <w:rFonts w:ascii="宋体" w:hAnsi="宋体" w:cs="Calibri"/>
                <w:color w:val="auto"/>
                <w:szCs w:val="21"/>
              </w:rPr>
              <w:t>φ</w:t>
            </w:r>
            <w:r>
              <w:rPr>
                <w:rFonts w:hint="eastAsia" w:ascii="宋体" w:hAnsi="宋体" w:cs="宋体"/>
                <w:color w:val="auto"/>
                <w:szCs w:val="21"/>
              </w:rPr>
              <w:t>125mm制动脚轮，双轮饼设计增加着地面积，防水防尘，品牌：科顺COLSON/中威/航天双菱</w:t>
            </w:r>
            <w:r>
              <w:rPr>
                <w:rFonts w:hint="eastAsia" w:ascii="宋体" w:hAnsi="宋体" w:cs="宋体"/>
                <w:color w:val="auto"/>
                <w:szCs w:val="21"/>
              </w:rPr>
              <w:br w:type="textWrapping"/>
            </w:r>
            <w:r>
              <w:rPr>
                <w:rFonts w:hint="eastAsia" w:ascii="宋体" w:hAnsi="宋体" w:cs="宋体"/>
                <w:color w:val="auto"/>
                <w:szCs w:val="21"/>
              </w:rPr>
              <w:t>床垫 40mm椰棕+40mm高密度海绵，防水帆布外套，可拆洗</w:t>
            </w:r>
            <w:r>
              <w:rPr>
                <w:rFonts w:hint="eastAsia" w:ascii="宋体" w:hAnsi="宋体" w:cs="宋体"/>
                <w:color w:val="auto"/>
                <w:szCs w:val="21"/>
              </w:rPr>
              <w:br w:type="textWrapping"/>
            </w:r>
            <w:r>
              <w:rPr>
                <w:rFonts w:hint="eastAsia" w:ascii="宋体" w:hAnsi="宋体" w:cs="宋体"/>
                <w:color w:val="auto"/>
                <w:szCs w:val="21"/>
              </w:rPr>
              <w:t>护栏 ABS或金属折叠护栏，护栏间距符合安全要求</w:t>
            </w:r>
            <w:r>
              <w:rPr>
                <w:rFonts w:hint="eastAsia" w:ascii="宋体" w:hAnsi="宋体" w:cs="宋体"/>
                <w:color w:val="auto"/>
                <w:szCs w:val="21"/>
              </w:rPr>
              <w:br w:type="textWrapping"/>
            </w:r>
            <w:r>
              <w:rPr>
                <w:rFonts w:hint="eastAsia" w:ascii="宋体" w:hAnsi="宋体" w:cs="宋体"/>
                <w:color w:val="auto"/>
                <w:szCs w:val="21"/>
              </w:rPr>
              <w:t>配置 输液架插孔（标配2个），引流挂钩可选</w:t>
            </w:r>
            <w:r>
              <w:rPr>
                <w:rFonts w:hint="eastAsia" w:ascii="宋体" w:hAnsi="宋体" w:cs="宋体"/>
                <w:color w:val="auto"/>
                <w:szCs w:val="21"/>
              </w:rPr>
              <w:br w:type="textWrapping"/>
            </w:r>
            <w:r>
              <w:rPr>
                <w:rFonts w:hint="eastAsia" w:ascii="宋体" w:hAnsi="宋体" w:cs="宋体"/>
                <w:color w:val="auto"/>
                <w:szCs w:val="21"/>
              </w:rPr>
              <w:t>表面处理 抛丸除锈+静电粉末喷涂，不脱落，不生锈</w:t>
            </w:r>
            <w:r>
              <w:rPr>
                <w:rFonts w:hint="eastAsia" w:ascii="宋体" w:hAnsi="宋体" w:cs="宋体"/>
                <w:color w:val="auto"/>
                <w:szCs w:val="21"/>
              </w:rPr>
              <w:br w:type="textWrapping"/>
            </w:r>
            <w:r>
              <w:rPr>
                <w:rFonts w:hint="eastAsia" w:ascii="宋体" w:hAnsi="宋体" w:cs="宋体"/>
                <w:color w:val="auto"/>
                <w:szCs w:val="21"/>
              </w:rPr>
              <w:t>成品标准 GB/T 3325-2017、GB/T 35607-2024及MZ/T 219-2024</w:t>
            </w:r>
            <w:r>
              <w:rPr>
                <w:rFonts w:hint="eastAsia" w:ascii="宋体" w:hAnsi="宋体" w:cs="宋体"/>
                <w:color w:val="auto"/>
                <w:szCs w:val="21"/>
              </w:rPr>
              <w:br w:type="textWrapping"/>
            </w:r>
            <w:r>
              <w:rPr>
                <w:rFonts w:hint="eastAsia" w:ascii="宋体" w:hAnsi="宋体" w:cs="宋体"/>
                <w:color w:val="auto"/>
                <w:szCs w:val="21"/>
              </w:rPr>
              <w:t>适老化设计 电动升降助起卧（背板75°、腿板45°）；护栏防坠床；床头软包防磕碰（≥35mm）；整体升降适配不同身高（410-720mm）</w:t>
            </w:r>
          </w:p>
          <w:p w14:paraId="1CBB92F9">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三-七层双人间</w:t>
            </w:r>
          </w:p>
        </w:tc>
        <w:tc>
          <w:tcPr>
            <w:tcW w:w="821" w:type="dxa"/>
            <w:tcBorders>
              <w:top w:val="nil"/>
              <w:left w:val="nil"/>
              <w:bottom w:val="single" w:color="auto" w:sz="4" w:space="0"/>
              <w:right w:val="single" w:color="auto" w:sz="4" w:space="0"/>
            </w:tcBorders>
            <w:vAlign w:val="center"/>
          </w:tcPr>
          <w:p w14:paraId="630213A0">
            <w:pPr>
              <w:ind w:firstLine="210" w:firstLineChars="100"/>
              <w:rPr>
                <w:rFonts w:ascii="宋体" w:hAnsi="宋体" w:cs="Segoe UI"/>
                <w:color w:val="auto"/>
                <w:szCs w:val="21"/>
              </w:rPr>
            </w:pPr>
            <w:r>
              <w:rPr>
                <w:rFonts w:ascii="宋体" w:hAnsi="宋体" w:cs="Segoe UI"/>
                <w:color w:val="auto"/>
                <w:szCs w:val="21"/>
              </w:rPr>
              <w:t>张</w:t>
            </w:r>
          </w:p>
        </w:tc>
        <w:tc>
          <w:tcPr>
            <w:tcW w:w="1034" w:type="dxa"/>
            <w:tcBorders>
              <w:top w:val="nil"/>
              <w:left w:val="nil"/>
              <w:bottom w:val="single" w:color="auto" w:sz="4" w:space="0"/>
              <w:right w:val="single" w:color="auto" w:sz="4" w:space="0"/>
            </w:tcBorders>
            <w:vAlign w:val="center"/>
          </w:tcPr>
          <w:p w14:paraId="61B7D1AA">
            <w:pPr>
              <w:ind w:firstLine="210" w:firstLineChars="100"/>
              <w:rPr>
                <w:rFonts w:ascii="宋体" w:hAnsi="宋体" w:cs="Segoe UI"/>
                <w:color w:val="auto"/>
                <w:szCs w:val="21"/>
              </w:rPr>
            </w:pPr>
            <w:r>
              <w:rPr>
                <w:rFonts w:ascii="宋体" w:hAnsi="宋体" w:cs="Segoe UI"/>
                <w:color w:val="auto"/>
                <w:szCs w:val="21"/>
              </w:rPr>
              <w:t>15</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63F36037">
            <w:pPr>
              <w:ind w:firstLine="210" w:firstLineChars="100"/>
              <w:rPr>
                <w:rFonts w:ascii="宋体" w:hAnsi="宋体" w:cs="Segoe UI"/>
                <w:color w:val="auto"/>
                <w:szCs w:val="21"/>
              </w:rPr>
            </w:pPr>
            <w:r>
              <w:rPr>
                <w:rFonts w:ascii="宋体" w:hAnsi="宋体" w:cs="Segoe UI"/>
                <w:color w:val="auto"/>
                <w:szCs w:val="21"/>
              </w:rPr>
              <w:t>3363</w:t>
            </w:r>
            <w:r>
              <w:rPr>
                <w:rFonts w:hint="eastAsia" w:ascii="宋体" w:hAnsi="宋体" w:cs="Segoe UI"/>
                <w:color w:val="auto"/>
                <w:szCs w:val="21"/>
              </w:rPr>
              <w:t>.00</w:t>
            </w:r>
          </w:p>
        </w:tc>
        <w:tc>
          <w:tcPr>
            <w:tcW w:w="1518" w:type="dxa"/>
            <w:tcBorders>
              <w:top w:val="nil"/>
              <w:left w:val="nil"/>
              <w:bottom w:val="single" w:color="auto" w:sz="4" w:space="0"/>
              <w:right w:val="single" w:color="auto" w:sz="4" w:space="0"/>
            </w:tcBorders>
            <w:vAlign w:val="center"/>
          </w:tcPr>
          <w:p w14:paraId="0ABF08AF">
            <w:pPr>
              <w:ind w:firstLine="210" w:firstLineChars="100"/>
              <w:rPr>
                <w:rFonts w:ascii="宋体" w:hAnsi="宋体" w:cs="Segoe UI"/>
                <w:color w:val="auto"/>
                <w:szCs w:val="21"/>
              </w:rPr>
            </w:pPr>
            <w:r>
              <w:rPr>
                <w:rFonts w:ascii="宋体" w:hAnsi="宋体" w:cs="Segoe UI"/>
                <w:color w:val="auto"/>
                <w:szCs w:val="21"/>
              </w:rPr>
              <w:t>50445</w:t>
            </w:r>
            <w:r>
              <w:rPr>
                <w:rFonts w:hint="eastAsia" w:ascii="宋体" w:hAnsi="宋体" w:cs="Segoe UI"/>
                <w:color w:val="auto"/>
                <w:szCs w:val="21"/>
              </w:rPr>
              <w:t>.00</w:t>
            </w:r>
          </w:p>
        </w:tc>
        <w:tc>
          <w:tcPr>
            <w:tcW w:w="2112" w:type="dxa"/>
            <w:tcBorders>
              <w:top w:val="nil"/>
              <w:left w:val="nil"/>
              <w:bottom w:val="single" w:color="auto" w:sz="4" w:space="0"/>
              <w:right w:val="single" w:color="auto" w:sz="4" w:space="0"/>
            </w:tcBorders>
          </w:tcPr>
          <w:p w14:paraId="5DBCC7DC">
            <w:pPr>
              <w:ind w:firstLine="210" w:firstLineChars="100"/>
              <w:rPr>
                <w:rFonts w:ascii="宋体" w:hAnsi="宋体" w:cs="Segoe UI"/>
                <w:color w:val="auto"/>
                <w:szCs w:val="21"/>
              </w:rPr>
            </w:pPr>
            <w:r>
              <w:rPr>
                <w:rFonts w:ascii="宋体" w:hAnsi="宋体"/>
                <w:color w:val="auto"/>
                <w:szCs w:val="21"/>
              </w:rPr>
              <w:drawing>
                <wp:anchor distT="0" distB="0" distL="114300" distR="114300" simplePos="0" relativeHeight="251676672" behindDoc="0" locked="0" layoutInCell="1" allowOverlap="1">
                  <wp:simplePos x="0" y="0"/>
                  <wp:positionH relativeFrom="column">
                    <wp:posOffset>-6350</wp:posOffset>
                  </wp:positionH>
                  <wp:positionV relativeFrom="paragraph">
                    <wp:posOffset>870585</wp:posOffset>
                  </wp:positionV>
                  <wp:extent cx="1117600" cy="810260"/>
                  <wp:effectExtent l="0" t="0" r="6350" b="8890"/>
                  <wp:wrapNone/>
                  <wp:docPr id="3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17600" cy="810260"/>
                          </a:xfrm>
                          <a:prstGeom prst="rect">
                            <a:avLst/>
                          </a:prstGeom>
                          <a:noFill/>
                          <a:ln w="9525">
                            <a:noFill/>
                          </a:ln>
                        </pic:spPr>
                      </pic:pic>
                    </a:graphicData>
                  </a:graphic>
                </wp:anchor>
              </w:drawing>
            </w:r>
          </w:p>
        </w:tc>
      </w:tr>
      <w:tr w14:paraId="4BC76334">
        <w:tblPrEx>
          <w:tblCellMar>
            <w:top w:w="0" w:type="dxa"/>
            <w:left w:w="108" w:type="dxa"/>
            <w:bottom w:w="0" w:type="dxa"/>
            <w:right w:w="108" w:type="dxa"/>
          </w:tblCellMar>
        </w:tblPrEx>
        <w:trPr>
          <w:trHeight w:val="1184" w:hRule="atLeast"/>
          <w:jc w:val="center"/>
        </w:trPr>
        <w:tc>
          <w:tcPr>
            <w:tcW w:w="623" w:type="dxa"/>
            <w:tcBorders>
              <w:top w:val="nil"/>
              <w:left w:val="single" w:color="auto" w:sz="4" w:space="0"/>
              <w:bottom w:val="single" w:color="auto" w:sz="4" w:space="0"/>
              <w:right w:val="single" w:color="auto" w:sz="4" w:space="0"/>
            </w:tcBorders>
            <w:vAlign w:val="center"/>
          </w:tcPr>
          <w:p w14:paraId="3DACA053">
            <w:pPr>
              <w:ind w:firstLine="210" w:firstLineChars="100"/>
              <w:rPr>
                <w:rFonts w:ascii="宋体" w:hAnsi="宋体" w:cs="Segoe UI"/>
                <w:color w:val="auto"/>
                <w:szCs w:val="21"/>
              </w:rPr>
            </w:pPr>
            <w:r>
              <w:rPr>
                <w:rFonts w:ascii="宋体" w:hAnsi="宋体" w:cs="Segoe UI"/>
                <w:color w:val="auto"/>
                <w:szCs w:val="21"/>
              </w:rPr>
              <w:t>23</w:t>
            </w:r>
          </w:p>
        </w:tc>
        <w:tc>
          <w:tcPr>
            <w:tcW w:w="1091" w:type="dxa"/>
            <w:tcBorders>
              <w:top w:val="nil"/>
              <w:left w:val="nil"/>
              <w:bottom w:val="single" w:color="auto" w:sz="4" w:space="0"/>
              <w:right w:val="single" w:color="auto" w:sz="4" w:space="0"/>
            </w:tcBorders>
            <w:vAlign w:val="center"/>
          </w:tcPr>
          <w:p w14:paraId="228F692B">
            <w:pPr>
              <w:ind w:firstLine="210" w:firstLineChars="100"/>
              <w:rPr>
                <w:rFonts w:ascii="宋体" w:hAnsi="宋体" w:cs="Segoe UI"/>
                <w:color w:val="auto"/>
                <w:szCs w:val="21"/>
              </w:rPr>
            </w:pPr>
            <w:r>
              <w:rPr>
                <w:rFonts w:ascii="宋体" w:hAnsi="宋体" w:cs="Segoe UI"/>
                <w:color w:val="auto"/>
                <w:szCs w:val="21"/>
              </w:rPr>
              <w:t>护理床</w:t>
            </w:r>
          </w:p>
        </w:tc>
        <w:tc>
          <w:tcPr>
            <w:tcW w:w="6277" w:type="dxa"/>
            <w:tcBorders>
              <w:top w:val="nil"/>
              <w:left w:val="nil"/>
              <w:bottom w:val="single" w:color="auto" w:sz="4" w:space="0"/>
              <w:right w:val="single" w:color="auto" w:sz="4" w:space="0"/>
            </w:tcBorders>
            <w:vAlign w:val="center"/>
          </w:tcPr>
          <w:p w14:paraId="72C2685D">
            <w:pPr>
              <w:rPr>
                <w:rFonts w:ascii="宋体" w:hAnsi="宋体" w:cs="宋体"/>
                <w:color w:val="auto"/>
                <w:szCs w:val="21"/>
              </w:rPr>
            </w:pPr>
            <w:r>
              <w:rPr>
                <w:rFonts w:hint="eastAsia" w:ascii="宋体" w:hAnsi="宋体" w:cs="宋体"/>
                <w:color w:val="auto"/>
                <w:szCs w:val="21"/>
              </w:rPr>
              <w:t>寸 2100×1000×410-720mm（整体升降）</w:t>
            </w:r>
            <w:r>
              <w:rPr>
                <w:rFonts w:hint="eastAsia" w:ascii="宋体" w:hAnsi="宋体" w:cs="宋体"/>
                <w:color w:val="auto"/>
                <w:szCs w:val="21"/>
              </w:rPr>
              <w:br w:type="textWrapping"/>
            </w:r>
            <w:r>
              <w:rPr>
                <w:rFonts w:hint="eastAsia" w:ascii="宋体" w:hAnsi="宋体" w:cs="宋体"/>
                <w:color w:val="auto"/>
                <w:szCs w:val="21"/>
              </w:rPr>
              <w:t>功能 电动三功能（背板起降0-75°±5°，腿板升降0-45°±5°，整体升降410-720mm）</w:t>
            </w:r>
            <w:r>
              <w:rPr>
                <w:rFonts w:hint="eastAsia" w:ascii="宋体" w:hAnsi="宋体" w:cs="宋体"/>
                <w:color w:val="auto"/>
                <w:szCs w:val="21"/>
              </w:rPr>
              <w:br w:type="textWrapping"/>
            </w:r>
            <w:r>
              <w:rPr>
                <w:rFonts w:ascii="宋体" w:hAnsi="宋体"/>
                <w:color w:val="auto"/>
                <w:szCs w:val="21"/>
              </w:rPr>
              <w:drawing>
                <wp:anchor distT="0" distB="0" distL="114300" distR="114300" simplePos="0" relativeHeight="251677696" behindDoc="0" locked="0" layoutInCell="1" allowOverlap="1">
                  <wp:simplePos x="0" y="0"/>
                  <wp:positionH relativeFrom="column">
                    <wp:posOffset>7006590</wp:posOffset>
                  </wp:positionH>
                  <wp:positionV relativeFrom="paragraph">
                    <wp:posOffset>1261745</wp:posOffset>
                  </wp:positionV>
                  <wp:extent cx="1092200" cy="791210"/>
                  <wp:effectExtent l="0" t="0" r="12700" b="8890"/>
                  <wp:wrapNone/>
                  <wp:docPr id="65259364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593641" name="图片 32"/>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92200" cy="791210"/>
                          </a:xfrm>
                          <a:prstGeom prst="rect">
                            <a:avLst/>
                          </a:prstGeom>
                          <a:noFill/>
                          <a:ln w="9525">
                            <a:noFill/>
                          </a:ln>
                        </pic:spPr>
                      </pic:pic>
                    </a:graphicData>
                  </a:graphic>
                </wp:anchor>
              </w:drawing>
            </w:r>
            <w:r>
              <w:rPr>
                <w:rFonts w:hint="eastAsia" w:ascii="宋体" w:hAnsi="宋体" w:cs="宋体"/>
                <w:color w:val="auto"/>
                <w:szCs w:val="21"/>
              </w:rPr>
              <w:t>电机 通过第三方检验认证，噪音＜45dB，防水防尘，电源220V/50Hz，品牌：捷昌驱动/新益驱动/迪洛克</w:t>
            </w:r>
            <w:r>
              <w:rPr>
                <w:rFonts w:hint="eastAsia" w:ascii="宋体" w:hAnsi="宋体" w:cs="宋体"/>
                <w:color w:val="auto"/>
                <w:szCs w:val="21"/>
              </w:rPr>
              <w:br w:type="textWrapping"/>
            </w:r>
            <w:r>
              <w:rPr>
                <w:rFonts w:hint="eastAsia" w:ascii="宋体" w:hAnsi="宋体" w:cs="宋体"/>
                <w:color w:val="auto"/>
                <w:szCs w:val="21"/>
              </w:rPr>
              <w:t>床架 30×60×1.2mm碳钢矩管</w:t>
            </w:r>
            <w:r>
              <w:rPr>
                <w:rFonts w:hint="eastAsia" w:ascii="宋体" w:hAnsi="宋体" w:cs="宋体"/>
                <w:color w:val="auto"/>
                <w:szCs w:val="21"/>
              </w:rPr>
              <w:br w:type="textWrapping"/>
            </w:r>
            <w:r>
              <w:rPr>
                <w:rFonts w:hint="eastAsia" w:ascii="宋体" w:hAnsi="宋体" w:cs="宋体"/>
                <w:color w:val="auto"/>
                <w:szCs w:val="21"/>
              </w:rPr>
              <w:t>床面 1.0mm冷轧钢板冲压成型，多气孔防滑设计，床板中部有2条加强筋</w:t>
            </w:r>
            <w:r>
              <w:rPr>
                <w:rFonts w:hint="eastAsia" w:ascii="宋体" w:hAnsi="宋体" w:cs="宋体"/>
                <w:color w:val="auto"/>
                <w:szCs w:val="21"/>
              </w:rPr>
              <w:br w:type="textWrapping"/>
            </w:r>
            <w:r>
              <w:rPr>
                <w:rFonts w:hint="eastAsia" w:ascii="宋体" w:hAnsi="宋体" w:cs="宋体"/>
                <w:color w:val="auto"/>
                <w:szCs w:val="21"/>
              </w:rPr>
              <w:t>床体承重 ≥280kg</w:t>
            </w:r>
            <w:r>
              <w:rPr>
                <w:rFonts w:hint="eastAsia" w:ascii="宋体" w:hAnsi="宋体" w:cs="宋体"/>
                <w:color w:val="auto"/>
                <w:szCs w:val="21"/>
              </w:rPr>
              <w:br w:type="textWrapping"/>
            </w:r>
            <w:r>
              <w:rPr>
                <w:rFonts w:hint="eastAsia" w:ascii="宋体" w:hAnsi="宋体" w:cs="宋体"/>
                <w:color w:val="auto"/>
                <w:szCs w:val="21"/>
              </w:rPr>
              <w:t>床头床尾 白蜡木实木框架，E</w:t>
            </w:r>
            <w:r>
              <w:rPr>
                <w:rFonts w:ascii="Cambria Math" w:hAnsi="Cambria Math" w:cs="Cambria Math"/>
                <w:color w:val="auto"/>
                <w:szCs w:val="21"/>
              </w:rPr>
              <w:t>₁</w:t>
            </w:r>
            <w:r>
              <w:rPr>
                <w:rFonts w:hint="eastAsia" w:ascii="宋体" w:hAnsi="宋体" w:cs="宋体"/>
                <w:color w:val="auto"/>
                <w:szCs w:val="21"/>
              </w:rPr>
              <w:t>级多层板贴白蜡木皮，软包厚度≥35mm，超纤皮面料（耐磨防水、抗菌防霉、耐消毒剂）</w:t>
            </w:r>
            <w:r>
              <w:rPr>
                <w:rFonts w:hint="eastAsia" w:ascii="宋体" w:hAnsi="宋体" w:cs="宋体"/>
                <w:color w:val="auto"/>
                <w:szCs w:val="21"/>
              </w:rPr>
              <w:br w:type="textWrapping"/>
            </w:r>
            <w:r>
              <w:rPr>
                <w:rFonts w:hint="eastAsia" w:ascii="宋体" w:hAnsi="宋体" w:cs="宋体"/>
                <w:color w:val="auto"/>
                <w:szCs w:val="21"/>
              </w:rPr>
              <w:t>海绵 密度≥45kg/m³高弹海绵</w:t>
            </w:r>
            <w:r>
              <w:rPr>
                <w:rFonts w:hint="eastAsia" w:ascii="宋体" w:hAnsi="宋体" w:cs="宋体"/>
                <w:color w:val="auto"/>
                <w:szCs w:val="21"/>
              </w:rPr>
              <w:br w:type="textWrapping"/>
            </w:r>
            <w:r>
              <w:rPr>
                <w:rFonts w:hint="eastAsia" w:ascii="宋体" w:hAnsi="宋体" w:cs="宋体"/>
                <w:color w:val="auto"/>
                <w:szCs w:val="21"/>
              </w:rPr>
              <w:t>油漆 环保漆，符合GB 18581-2020</w:t>
            </w:r>
            <w:r>
              <w:rPr>
                <w:rFonts w:hint="eastAsia" w:ascii="宋体" w:hAnsi="宋体" w:cs="宋体"/>
                <w:color w:val="auto"/>
                <w:szCs w:val="21"/>
              </w:rPr>
              <w:br w:type="textWrapping"/>
            </w:r>
            <w:r>
              <w:rPr>
                <w:rFonts w:hint="eastAsia" w:ascii="宋体" w:hAnsi="宋体" w:cs="宋体"/>
                <w:color w:val="auto"/>
                <w:szCs w:val="21"/>
              </w:rPr>
              <w:t xml:space="preserve">脚轮 </w:t>
            </w:r>
            <w:r>
              <w:rPr>
                <w:rFonts w:ascii="宋体" w:hAnsi="宋体" w:cs="Calibri"/>
                <w:color w:val="auto"/>
                <w:szCs w:val="21"/>
              </w:rPr>
              <w:t>φ</w:t>
            </w:r>
            <w:r>
              <w:rPr>
                <w:rFonts w:hint="eastAsia" w:ascii="宋体" w:hAnsi="宋体" w:cs="宋体"/>
                <w:color w:val="auto"/>
                <w:szCs w:val="21"/>
              </w:rPr>
              <w:t>125mm制动脚轮，双轮饼设计增加着地面积，防水防尘，品牌：科顺COLSON/中威/航天双菱</w:t>
            </w:r>
            <w:r>
              <w:rPr>
                <w:rFonts w:hint="eastAsia" w:ascii="宋体" w:hAnsi="宋体" w:cs="宋体"/>
                <w:color w:val="auto"/>
                <w:szCs w:val="21"/>
              </w:rPr>
              <w:br w:type="textWrapping"/>
            </w:r>
            <w:r>
              <w:rPr>
                <w:rFonts w:hint="eastAsia" w:ascii="宋体" w:hAnsi="宋体" w:cs="宋体"/>
                <w:color w:val="auto"/>
                <w:szCs w:val="21"/>
              </w:rPr>
              <w:t>床垫 40mm椰棕+40mm高密度海绵，防水帆布外套，可拆洗</w:t>
            </w:r>
            <w:r>
              <w:rPr>
                <w:rFonts w:hint="eastAsia" w:ascii="宋体" w:hAnsi="宋体" w:cs="宋体"/>
                <w:color w:val="auto"/>
                <w:szCs w:val="21"/>
              </w:rPr>
              <w:br w:type="textWrapping"/>
            </w:r>
            <w:r>
              <w:rPr>
                <w:rFonts w:hint="eastAsia" w:ascii="宋体" w:hAnsi="宋体" w:cs="宋体"/>
                <w:color w:val="auto"/>
                <w:szCs w:val="21"/>
              </w:rPr>
              <w:t>护栏 ABS或金属折叠护栏，护栏间距符合安全要求</w:t>
            </w:r>
            <w:r>
              <w:rPr>
                <w:rFonts w:hint="eastAsia" w:ascii="宋体" w:hAnsi="宋体" w:cs="宋体"/>
                <w:color w:val="auto"/>
                <w:szCs w:val="21"/>
              </w:rPr>
              <w:br w:type="textWrapping"/>
            </w:r>
            <w:r>
              <w:rPr>
                <w:rFonts w:hint="eastAsia" w:ascii="宋体" w:hAnsi="宋体" w:cs="宋体"/>
                <w:color w:val="auto"/>
                <w:szCs w:val="21"/>
              </w:rPr>
              <w:t>配置 输液架插孔（标配2个），引流挂钩可选</w:t>
            </w:r>
            <w:r>
              <w:rPr>
                <w:rFonts w:hint="eastAsia" w:ascii="宋体" w:hAnsi="宋体" w:cs="宋体"/>
                <w:color w:val="auto"/>
                <w:szCs w:val="21"/>
              </w:rPr>
              <w:br w:type="textWrapping"/>
            </w:r>
            <w:r>
              <w:rPr>
                <w:rFonts w:hint="eastAsia" w:ascii="宋体" w:hAnsi="宋体" w:cs="宋体"/>
                <w:color w:val="auto"/>
                <w:szCs w:val="21"/>
              </w:rPr>
              <w:t>表面处理 抛丸除锈+静电粉末喷涂，不脱落，不生锈</w:t>
            </w:r>
            <w:r>
              <w:rPr>
                <w:rFonts w:hint="eastAsia" w:ascii="宋体" w:hAnsi="宋体" w:cs="宋体"/>
                <w:color w:val="auto"/>
                <w:szCs w:val="21"/>
              </w:rPr>
              <w:br w:type="textWrapping"/>
            </w:r>
            <w:r>
              <w:rPr>
                <w:rFonts w:hint="eastAsia" w:ascii="宋体" w:hAnsi="宋体" w:cs="宋体"/>
                <w:color w:val="auto"/>
                <w:szCs w:val="21"/>
              </w:rPr>
              <w:t>成品标准 GB/T 3325-2017、GB/T 35607-2024及MZ/T 219-2024</w:t>
            </w:r>
            <w:r>
              <w:rPr>
                <w:rFonts w:hint="eastAsia" w:ascii="宋体" w:hAnsi="宋体" w:cs="宋体"/>
                <w:color w:val="auto"/>
                <w:szCs w:val="21"/>
              </w:rPr>
              <w:br w:type="textWrapping"/>
            </w:r>
            <w:r>
              <w:rPr>
                <w:rFonts w:hint="eastAsia" w:ascii="宋体" w:hAnsi="宋体" w:cs="宋体"/>
                <w:color w:val="auto"/>
                <w:szCs w:val="21"/>
              </w:rPr>
              <w:t>适老化设计 电动升降助起卧（背板75°、腿板45°）；护栏防坠床；床头软包防磕碰（≥35mm）；整体升降适配不同身高（410-720mm）</w:t>
            </w:r>
          </w:p>
          <w:p w14:paraId="272ABE82">
            <w:pPr>
              <w:rPr>
                <w:rFonts w:ascii="宋体" w:hAnsi="宋体" w:cs="宋体"/>
                <w:color w:val="auto"/>
                <w:szCs w:val="21"/>
              </w:rPr>
            </w:pPr>
            <w:r>
              <w:rPr>
                <w:rFonts w:hint="eastAsia" w:ascii="宋体" w:hAnsi="宋体" w:cs="宋体"/>
                <w:color w:val="auto"/>
                <w:szCs w:val="21"/>
              </w:rPr>
              <w:t>适用区域：</w:t>
            </w:r>
            <w:r>
              <w:rPr>
                <w:rFonts w:ascii="宋体" w:hAnsi="宋体" w:cs="Segoe UI"/>
                <w:color w:val="auto"/>
                <w:szCs w:val="21"/>
              </w:rPr>
              <w:t>二层样板间</w:t>
            </w:r>
          </w:p>
        </w:tc>
        <w:tc>
          <w:tcPr>
            <w:tcW w:w="821" w:type="dxa"/>
            <w:tcBorders>
              <w:top w:val="nil"/>
              <w:left w:val="nil"/>
              <w:bottom w:val="single" w:color="auto" w:sz="4" w:space="0"/>
              <w:right w:val="single" w:color="auto" w:sz="4" w:space="0"/>
            </w:tcBorders>
            <w:vAlign w:val="center"/>
          </w:tcPr>
          <w:p w14:paraId="2DDB4B7B">
            <w:pPr>
              <w:ind w:firstLine="210" w:firstLineChars="100"/>
              <w:rPr>
                <w:rFonts w:ascii="宋体" w:hAnsi="宋体" w:cs="Segoe UI"/>
                <w:color w:val="auto"/>
                <w:szCs w:val="21"/>
              </w:rPr>
            </w:pPr>
            <w:r>
              <w:rPr>
                <w:rFonts w:ascii="宋体" w:hAnsi="宋体" w:cs="Segoe UI"/>
                <w:color w:val="auto"/>
                <w:szCs w:val="21"/>
              </w:rPr>
              <w:t>张</w:t>
            </w:r>
          </w:p>
        </w:tc>
        <w:tc>
          <w:tcPr>
            <w:tcW w:w="1034" w:type="dxa"/>
            <w:tcBorders>
              <w:top w:val="nil"/>
              <w:left w:val="nil"/>
              <w:bottom w:val="single" w:color="auto" w:sz="4" w:space="0"/>
              <w:right w:val="single" w:color="auto" w:sz="4" w:space="0"/>
            </w:tcBorders>
            <w:vAlign w:val="center"/>
          </w:tcPr>
          <w:p w14:paraId="50EB87BF">
            <w:pPr>
              <w:ind w:firstLine="210" w:firstLineChars="100"/>
              <w:rPr>
                <w:rFonts w:ascii="宋体" w:hAnsi="宋体" w:cs="Segoe UI"/>
                <w:color w:val="auto"/>
                <w:szCs w:val="21"/>
              </w:rPr>
            </w:pPr>
            <w:r>
              <w:rPr>
                <w:rFonts w:ascii="宋体" w:hAnsi="宋体" w:cs="Segoe UI"/>
                <w:color w:val="auto"/>
                <w:szCs w:val="21"/>
              </w:rPr>
              <w:t>3</w:t>
            </w:r>
            <w:r>
              <w:rPr>
                <w:rFonts w:hint="eastAsia" w:ascii="宋体" w:hAnsi="宋体" w:cs="Segoe UI"/>
                <w:color w:val="auto"/>
                <w:szCs w:val="21"/>
              </w:rPr>
              <w:t>.00</w:t>
            </w:r>
          </w:p>
        </w:tc>
        <w:tc>
          <w:tcPr>
            <w:tcW w:w="1379" w:type="dxa"/>
            <w:tcBorders>
              <w:top w:val="nil"/>
              <w:left w:val="nil"/>
              <w:bottom w:val="single" w:color="auto" w:sz="4" w:space="0"/>
              <w:right w:val="single" w:color="auto" w:sz="4" w:space="0"/>
            </w:tcBorders>
            <w:vAlign w:val="center"/>
          </w:tcPr>
          <w:p w14:paraId="76C390F6">
            <w:pPr>
              <w:ind w:firstLine="210" w:firstLineChars="100"/>
              <w:rPr>
                <w:rFonts w:ascii="宋体" w:hAnsi="宋体" w:cs="Segoe UI"/>
                <w:color w:val="auto"/>
                <w:szCs w:val="21"/>
              </w:rPr>
            </w:pPr>
            <w:r>
              <w:rPr>
                <w:rFonts w:ascii="宋体" w:hAnsi="宋体" w:cs="Segoe UI"/>
                <w:color w:val="auto"/>
                <w:szCs w:val="21"/>
              </w:rPr>
              <w:t>3363</w:t>
            </w:r>
            <w:r>
              <w:rPr>
                <w:rFonts w:hint="eastAsia" w:ascii="宋体" w:hAnsi="宋体" w:cs="Segoe UI"/>
                <w:color w:val="auto"/>
                <w:szCs w:val="21"/>
              </w:rPr>
              <w:t>.00</w:t>
            </w:r>
          </w:p>
        </w:tc>
        <w:tc>
          <w:tcPr>
            <w:tcW w:w="1518" w:type="dxa"/>
            <w:tcBorders>
              <w:top w:val="nil"/>
              <w:left w:val="nil"/>
              <w:bottom w:val="single" w:color="auto" w:sz="4" w:space="0"/>
              <w:right w:val="single" w:color="auto" w:sz="4" w:space="0"/>
            </w:tcBorders>
            <w:vAlign w:val="center"/>
          </w:tcPr>
          <w:p w14:paraId="479D20C2">
            <w:pPr>
              <w:ind w:firstLine="210" w:firstLineChars="100"/>
              <w:rPr>
                <w:rFonts w:ascii="宋体" w:hAnsi="宋体" w:cs="Segoe UI"/>
                <w:color w:val="auto"/>
                <w:szCs w:val="21"/>
              </w:rPr>
            </w:pPr>
            <w:r>
              <w:rPr>
                <w:rFonts w:ascii="宋体" w:hAnsi="宋体" w:cs="Segoe UI"/>
                <w:color w:val="auto"/>
                <w:szCs w:val="21"/>
              </w:rPr>
              <w:t>10089</w:t>
            </w:r>
            <w:r>
              <w:rPr>
                <w:rFonts w:hint="eastAsia" w:ascii="宋体" w:hAnsi="宋体" w:cs="Segoe UI"/>
                <w:color w:val="auto"/>
                <w:szCs w:val="21"/>
              </w:rPr>
              <w:t>.00</w:t>
            </w:r>
          </w:p>
        </w:tc>
        <w:tc>
          <w:tcPr>
            <w:tcW w:w="2112" w:type="dxa"/>
            <w:tcBorders>
              <w:top w:val="nil"/>
              <w:left w:val="nil"/>
              <w:bottom w:val="single" w:color="auto" w:sz="4" w:space="0"/>
              <w:right w:val="single" w:color="auto" w:sz="4" w:space="0"/>
            </w:tcBorders>
          </w:tcPr>
          <w:p w14:paraId="71FE81D3">
            <w:pPr>
              <w:ind w:firstLine="210" w:firstLineChars="100"/>
              <w:rPr>
                <w:rFonts w:ascii="宋体" w:hAnsi="宋体" w:cs="Segoe UI"/>
                <w:color w:val="auto"/>
                <w:szCs w:val="21"/>
              </w:rPr>
            </w:pPr>
          </w:p>
        </w:tc>
      </w:tr>
    </w:tbl>
    <w:p w14:paraId="3B359CEE">
      <w:pPr>
        <w:rPr>
          <w:rFonts w:ascii="宋体" w:hAnsi="宋体"/>
          <w:color w:val="auto"/>
          <w:szCs w:val="21"/>
        </w:rPr>
      </w:pPr>
    </w:p>
    <w:p w14:paraId="0655C73A">
      <w:pPr>
        <w:rPr>
          <w:rFonts w:ascii="宋体" w:hAnsi="宋体"/>
          <w:color w:val="auto"/>
          <w:szCs w:val="21"/>
        </w:rPr>
        <w:sectPr>
          <w:pgSz w:w="16838" w:h="11906" w:orient="landscape"/>
          <w:pgMar w:top="1800" w:right="1440" w:bottom="1800" w:left="1440" w:header="708" w:footer="708" w:gutter="0"/>
          <w:cols w:space="708" w:num="1"/>
          <w:titlePg/>
          <w:docGrid w:type="lines" w:linePitch="360" w:charSpace="0"/>
        </w:sectPr>
      </w:pPr>
      <w:r>
        <w:rPr>
          <w:rFonts w:hint="eastAsia" w:ascii="宋体" w:hAnsi="宋体"/>
          <w:color w:val="auto"/>
          <w:szCs w:val="21"/>
        </w:rPr>
        <w:br w:type="page"/>
      </w:r>
    </w:p>
    <w:p w14:paraId="22D07FF3">
      <w:pPr>
        <w:rPr>
          <w:rFonts w:ascii="宋体" w:hAnsi="宋体"/>
          <w:b/>
          <w:bCs/>
          <w:color w:val="auto"/>
          <w:szCs w:val="21"/>
        </w:rPr>
      </w:pPr>
      <w:r>
        <w:rPr>
          <w:rFonts w:ascii="宋体" w:hAnsi="宋体"/>
          <w:color w:val="auto"/>
          <w:szCs w:val="21"/>
        </w:rPr>
        <w:t>★</w:t>
      </w:r>
      <w:r>
        <w:rPr>
          <w:rFonts w:hint="eastAsia" w:ascii="宋体" w:hAnsi="宋体"/>
          <w:b/>
          <w:bCs/>
          <w:color w:val="auto"/>
          <w:szCs w:val="21"/>
        </w:rPr>
        <w:t>二、五金推荐品牌</w:t>
      </w:r>
    </w:p>
    <w:p w14:paraId="33C9617F">
      <w:pPr>
        <w:rPr>
          <w:rFonts w:ascii="宋体" w:hAnsi="宋体"/>
          <w:b/>
          <w:bCs/>
          <w:color w:val="auto"/>
          <w:szCs w:val="21"/>
        </w:rPr>
      </w:pPr>
      <w:r>
        <w:rPr>
          <w:rFonts w:ascii="宋体" w:hAnsi="宋体"/>
          <w:color w:val="auto"/>
          <w:szCs w:val="21"/>
        </w:rPr>
        <w:t>投标人可选择推荐品牌或同档次及以上品牌产品，须提供品牌证明及出厂合格证</w:t>
      </w:r>
    </w:p>
    <w:tbl>
      <w:tblPr>
        <w:tblStyle w:val="33"/>
        <w:tblW w:w="8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874"/>
        <w:gridCol w:w="1873"/>
        <w:gridCol w:w="3830"/>
      </w:tblGrid>
      <w:tr w14:paraId="34F8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860" w:type="dxa"/>
            <w:vAlign w:val="center"/>
          </w:tcPr>
          <w:p w14:paraId="4FAE2545">
            <w:pPr>
              <w:jc w:val="center"/>
              <w:rPr>
                <w:rFonts w:ascii="宋体" w:hAnsi="宋体" w:cs="Times New Roman"/>
                <w:b/>
                <w:bCs/>
                <w:color w:val="auto"/>
                <w:szCs w:val="21"/>
              </w:rPr>
            </w:pPr>
            <w:r>
              <w:rPr>
                <w:rFonts w:hint="eastAsia" w:ascii="宋体" w:hAnsi="宋体" w:cs="Times New Roman"/>
                <w:b/>
                <w:bCs/>
                <w:color w:val="auto"/>
                <w:szCs w:val="21"/>
              </w:rPr>
              <w:t>序号</w:t>
            </w:r>
          </w:p>
        </w:tc>
        <w:tc>
          <w:tcPr>
            <w:tcW w:w="1874" w:type="dxa"/>
            <w:vAlign w:val="center"/>
          </w:tcPr>
          <w:p w14:paraId="66D8A3A0">
            <w:pPr>
              <w:jc w:val="center"/>
              <w:rPr>
                <w:rFonts w:ascii="宋体" w:hAnsi="宋体" w:cs="Times New Roman"/>
                <w:b/>
                <w:bCs/>
                <w:color w:val="auto"/>
                <w:szCs w:val="21"/>
              </w:rPr>
            </w:pPr>
            <w:r>
              <w:rPr>
                <w:rFonts w:hint="eastAsia" w:ascii="宋体" w:hAnsi="宋体" w:cs="Times New Roman"/>
                <w:b/>
                <w:bCs/>
                <w:color w:val="auto"/>
                <w:szCs w:val="21"/>
              </w:rPr>
              <w:t>五金件名称</w:t>
            </w:r>
          </w:p>
        </w:tc>
        <w:tc>
          <w:tcPr>
            <w:tcW w:w="1873" w:type="dxa"/>
            <w:vAlign w:val="center"/>
          </w:tcPr>
          <w:p w14:paraId="200A2FFB">
            <w:pPr>
              <w:jc w:val="center"/>
              <w:rPr>
                <w:rFonts w:ascii="宋体" w:hAnsi="宋体" w:cs="Times New Roman"/>
                <w:b/>
                <w:bCs/>
                <w:color w:val="auto"/>
                <w:szCs w:val="21"/>
              </w:rPr>
            </w:pPr>
            <w:r>
              <w:rPr>
                <w:rFonts w:hint="eastAsia" w:ascii="宋体" w:hAnsi="宋体" w:cs="Times New Roman"/>
                <w:b/>
                <w:bCs/>
                <w:color w:val="auto"/>
                <w:szCs w:val="21"/>
              </w:rPr>
              <w:t>适用家具</w:t>
            </w:r>
          </w:p>
        </w:tc>
        <w:tc>
          <w:tcPr>
            <w:tcW w:w="3830" w:type="dxa"/>
            <w:vAlign w:val="center"/>
          </w:tcPr>
          <w:p w14:paraId="41DF7784">
            <w:pPr>
              <w:jc w:val="center"/>
              <w:rPr>
                <w:rFonts w:ascii="宋体" w:hAnsi="宋体" w:cs="Times New Roman"/>
                <w:b/>
                <w:bCs/>
                <w:color w:val="auto"/>
                <w:szCs w:val="21"/>
              </w:rPr>
            </w:pPr>
            <w:r>
              <w:rPr>
                <w:rFonts w:hint="eastAsia" w:ascii="宋体" w:hAnsi="宋体" w:cs="Times New Roman"/>
                <w:b/>
                <w:bCs/>
                <w:color w:val="auto"/>
                <w:szCs w:val="21"/>
              </w:rPr>
              <w:t>推荐品牌</w:t>
            </w:r>
          </w:p>
        </w:tc>
      </w:tr>
      <w:tr w14:paraId="76E4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60" w:type="dxa"/>
            <w:vAlign w:val="center"/>
          </w:tcPr>
          <w:p w14:paraId="49C82E97">
            <w:pPr>
              <w:jc w:val="center"/>
              <w:rPr>
                <w:rFonts w:ascii="宋体" w:hAnsi="宋体" w:cs="Times New Roman"/>
                <w:color w:val="auto"/>
                <w:szCs w:val="21"/>
              </w:rPr>
            </w:pPr>
            <w:r>
              <w:rPr>
                <w:rFonts w:hint="eastAsia" w:ascii="宋体" w:hAnsi="宋体" w:cs="Times New Roman"/>
                <w:color w:val="auto"/>
                <w:szCs w:val="21"/>
              </w:rPr>
              <w:t>1</w:t>
            </w:r>
          </w:p>
        </w:tc>
        <w:tc>
          <w:tcPr>
            <w:tcW w:w="1874" w:type="dxa"/>
            <w:vAlign w:val="center"/>
          </w:tcPr>
          <w:p w14:paraId="1FB03BA3">
            <w:pPr>
              <w:jc w:val="center"/>
              <w:rPr>
                <w:rFonts w:ascii="宋体" w:hAnsi="宋体" w:cs="Times New Roman"/>
                <w:color w:val="auto"/>
                <w:szCs w:val="21"/>
              </w:rPr>
            </w:pPr>
            <w:r>
              <w:rPr>
                <w:rFonts w:hint="eastAsia" w:ascii="宋体" w:hAnsi="宋体" w:cs="Times New Roman"/>
                <w:color w:val="auto"/>
                <w:szCs w:val="21"/>
              </w:rPr>
              <w:t>缓冲铰链</w:t>
            </w:r>
          </w:p>
        </w:tc>
        <w:tc>
          <w:tcPr>
            <w:tcW w:w="1873" w:type="dxa"/>
            <w:vAlign w:val="center"/>
          </w:tcPr>
          <w:p w14:paraId="46EC9B74">
            <w:pPr>
              <w:jc w:val="center"/>
              <w:rPr>
                <w:rFonts w:ascii="宋体" w:hAnsi="宋体" w:cs="Times New Roman"/>
                <w:color w:val="auto"/>
                <w:szCs w:val="21"/>
              </w:rPr>
            </w:pPr>
            <w:r>
              <w:rPr>
                <w:rFonts w:hint="eastAsia" w:ascii="宋体" w:hAnsi="宋体" w:cs="Times New Roman"/>
                <w:color w:val="auto"/>
                <w:szCs w:val="21"/>
              </w:rPr>
              <w:t>柜类家具</w:t>
            </w:r>
          </w:p>
        </w:tc>
        <w:tc>
          <w:tcPr>
            <w:tcW w:w="3830" w:type="dxa"/>
            <w:vAlign w:val="center"/>
          </w:tcPr>
          <w:p w14:paraId="7E1496AA">
            <w:pPr>
              <w:jc w:val="center"/>
              <w:rPr>
                <w:rFonts w:ascii="宋体" w:hAnsi="宋体" w:cs="Times New Roman"/>
                <w:color w:val="auto"/>
                <w:szCs w:val="21"/>
              </w:rPr>
            </w:pPr>
            <w:r>
              <w:rPr>
                <w:rFonts w:hint="eastAsia" w:ascii="宋体" w:hAnsi="宋体" w:cs="Times New Roman"/>
                <w:color w:val="auto"/>
                <w:szCs w:val="21"/>
              </w:rPr>
              <w:t>东泰、悍高、图特</w:t>
            </w:r>
          </w:p>
        </w:tc>
      </w:tr>
      <w:tr w14:paraId="765A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860" w:type="dxa"/>
            <w:vAlign w:val="center"/>
          </w:tcPr>
          <w:p w14:paraId="49BE820B">
            <w:pPr>
              <w:jc w:val="center"/>
              <w:rPr>
                <w:rFonts w:ascii="宋体" w:hAnsi="宋体" w:cs="Times New Roman"/>
                <w:color w:val="auto"/>
                <w:szCs w:val="21"/>
              </w:rPr>
            </w:pPr>
            <w:r>
              <w:rPr>
                <w:rFonts w:hint="eastAsia" w:ascii="宋体" w:hAnsi="宋体" w:cs="Times New Roman"/>
                <w:color w:val="auto"/>
                <w:szCs w:val="21"/>
              </w:rPr>
              <w:t>2</w:t>
            </w:r>
          </w:p>
        </w:tc>
        <w:tc>
          <w:tcPr>
            <w:tcW w:w="1874" w:type="dxa"/>
            <w:vAlign w:val="center"/>
          </w:tcPr>
          <w:p w14:paraId="2C8FA9F4">
            <w:pPr>
              <w:jc w:val="center"/>
              <w:rPr>
                <w:rFonts w:ascii="宋体" w:hAnsi="宋体" w:cs="Times New Roman"/>
                <w:color w:val="auto"/>
                <w:szCs w:val="21"/>
              </w:rPr>
            </w:pPr>
            <w:r>
              <w:rPr>
                <w:rFonts w:ascii="宋体" w:hAnsi="宋体" w:cs="Times New Roman"/>
                <w:color w:val="auto"/>
                <w:szCs w:val="21"/>
              </w:rPr>
              <w:t>抽屉导轨/滑轨</w:t>
            </w:r>
          </w:p>
        </w:tc>
        <w:tc>
          <w:tcPr>
            <w:tcW w:w="1873" w:type="dxa"/>
            <w:vAlign w:val="center"/>
          </w:tcPr>
          <w:p w14:paraId="1E77B3D5">
            <w:pPr>
              <w:jc w:val="center"/>
              <w:rPr>
                <w:rFonts w:ascii="宋体" w:hAnsi="宋体" w:cs="Times New Roman"/>
                <w:color w:val="auto"/>
                <w:szCs w:val="21"/>
              </w:rPr>
            </w:pPr>
            <w:r>
              <w:rPr>
                <w:rFonts w:ascii="宋体" w:hAnsi="宋体" w:cs="Times New Roman"/>
                <w:color w:val="auto"/>
                <w:szCs w:val="21"/>
              </w:rPr>
              <w:t>柜类家具抽屉</w:t>
            </w:r>
          </w:p>
        </w:tc>
        <w:tc>
          <w:tcPr>
            <w:tcW w:w="3830" w:type="dxa"/>
            <w:vAlign w:val="center"/>
          </w:tcPr>
          <w:p w14:paraId="713AC313">
            <w:pPr>
              <w:jc w:val="center"/>
              <w:rPr>
                <w:rFonts w:ascii="宋体" w:hAnsi="宋体" w:cs="Times New Roman"/>
                <w:color w:val="auto"/>
                <w:szCs w:val="21"/>
              </w:rPr>
            </w:pPr>
            <w:r>
              <w:rPr>
                <w:rFonts w:hint="eastAsia" w:ascii="宋体" w:hAnsi="宋体" w:cs="Times New Roman"/>
                <w:color w:val="auto"/>
                <w:szCs w:val="21"/>
              </w:rPr>
              <w:t>东泰、悍高、</w:t>
            </w:r>
            <w:r>
              <w:rPr>
                <w:rFonts w:ascii="宋体" w:hAnsi="宋体" w:cs="Times New Roman"/>
                <w:color w:val="auto"/>
                <w:szCs w:val="21"/>
              </w:rPr>
              <w:t>星徽精密</w:t>
            </w:r>
          </w:p>
        </w:tc>
      </w:tr>
      <w:tr w14:paraId="14FF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60" w:type="dxa"/>
            <w:vAlign w:val="center"/>
          </w:tcPr>
          <w:p w14:paraId="0DFDC62F">
            <w:pPr>
              <w:jc w:val="center"/>
              <w:rPr>
                <w:rFonts w:ascii="宋体" w:hAnsi="宋体" w:cs="Times New Roman"/>
                <w:color w:val="auto"/>
                <w:szCs w:val="21"/>
              </w:rPr>
            </w:pPr>
            <w:r>
              <w:rPr>
                <w:rFonts w:hint="eastAsia" w:ascii="宋体" w:hAnsi="宋体" w:cs="Times New Roman"/>
                <w:color w:val="auto"/>
                <w:szCs w:val="21"/>
              </w:rPr>
              <w:t>3</w:t>
            </w:r>
          </w:p>
        </w:tc>
        <w:tc>
          <w:tcPr>
            <w:tcW w:w="1874" w:type="dxa"/>
            <w:vAlign w:val="center"/>
          </w:tcPr>
          <w:p w14:paraId="5BA8C008">
            <w:pPr>
              <w:jc w:val="center"/>
              <w:rPr>
                <w:rFonts w:ascii="宋体" w:hAnsi="宋体" w:cs="Times New Roman"/>
                <w:color w:val="auto"/>
                <w:szCs w:val="21"/>
              </w:rPr>
            </w:pPr>
            <w:r>
              <w:rPr>
                <w:rFonts w:ascii="宋体" w:hAnsi="宋体" w:cs="Times New Roman"/>
                <w:color w:val="auto"/>
                <w:szCs w:val="21"/>
              </w:rPr>
              <w:t>锁具</w:t>
            </w:r>
          </w:p>
        </w:tc>
        <w:tc>
          <w:tcPr>
            <w:tcW w:w="1873" w:type="dxa"/>
            <w:vAlign w:val="center"/>
          </w:tcPr>
          <w:p w14:paraId="73DBCD44">
            <w:pPr>
              <w:jc w:val="center"/>
              <w:rPr>
                <w:rFonts w:ascii="宋体" w:hAnsi="宋体" w:cs="Times New Roman"/>
                <w:color w:val="auto"/>
                <w:szCs w:val="21"/>
              </w:rPr>
            </w:pPr>
            <w:r>
              <w:rPr>
                <w:rFonts w:ascii="宋体" w:hAnsi="宋体" w:cs="Times New Roman"/>
                <w:color w:val="auto"/>
                <w:szCs w:val="21"/>
              </w:rPr>
              <w:t>药柜、处置柜</w:t>
            </w:r>
          </w:p>
        </w:tc>
        <w:tc>
          <w:tcPr>
            <w:tcW w:w="3830" w:type="dxa"/>
            <w:vAlign w:val="center"/>
          </w:tcPr>
          <w:p w14:paraId="525EAC27">
            <w:pPr>
              <w:jc w:val="center"/>
              <w:rPr>
                <w:rFonts w:ascii="宋体" w:hAnsi="宋体" w:cs="Times New Roman"/>
                <w:color w:val="auto"/>
                <w:szCs w:val="21"/>
              </w:rPr>
            </w:pPr>
            <w:r>
              <w:rPr>
                <w:rFonts w:hint="eastAsia" w:ascii="宋体" w:hAnsi="宋体" w:cs="Times New Roman"/>
                <w:color w:val="auto"/>
                <w:szCs w:val="21"/>
              </w:rPr>
              <w:t>东泰、雅洁、坚朗</w:t>
            </w:r>
          </w:p>
        </w:tc>
      </w:tr>
      <w:tr w14:paraId="7B7A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860" w:type="dxa"/>
            <w:vAlign w:val="center"/>
          </w:tcPr>
          <w:p w14:paraId="1DF384A0">
            <w:pPr>
              <w:jc w:val="center"/>
              <w:rPr>
                <w:rFonts w:ascii="宋体" w:hAnsi="宋体" w:cs="Times New Roman"/>
                <w:color w:val="auto"/>
                <w:szCs w:val="21"/>
              </w:rPr>
            </w:pPr>
            <w:r>
              <w:rPr>
                <w:rFonts w:hint="eastAsia" w:ascii="宋体" w:hAnsi="宋体" w:cs="Times New Roman"/>
                <w:color w:val="auto"/>
                <w:szCs w:val="21"/>
              </w:rPr>
              <w:t>4</w:t>
            </w:r>
          </w:p>
        </w:tc>
        <w:tc>
          <w:tcPr>
            <w:tcW w:w="1874" w:type="dxa"/>
            <w:vAlign w:val="center"/>
          </w:tcPr>
          <w:p w14:paraId="22339D1B">
            <w:pPr>
              <w:jc w:val="center"/>
              <w:rPr>
                <w:rFonts w:ascii="宋体" w:hAnsi="宋体" w:cs="Times New Roman"/>
                <w:color w:val="auto"/>
                <w:szCs w:val="21"/>
              </w:rPr>
            </w:pPr>
            <w:r>
              <w:rPr>
                <w:rFonts w:hint="eastAsia" w:ascii="宋体" w:hAnsi="宋体" w:cs="Times New Roman"/>
                <w:color w:val="auto"/>
                <w:szCs w:val="21"/>
              </w:rPr>
              <w:t>拉手</w:t>
            </w:r>
          </w:p>
        </w:tc>
        <w:tc>
          <w:tcPr>
            <w:tcW w:w="1873" w:type="dxa"/>
            <w:vAlign w:val="center"/>
          </w:tcPr>
          <w:p w14:paraId="311EEA61">
            <w:pPr>
              <w:jc w:val="center"/>
              <w:rPr>
                <w:rFonts w:ascii="宋体" w:hAnsi="宋体" w:cs="Times New Roman"/>
                <w:color w:val="auto"/>
                <w:szCs w:val="21"/>
              </w:rPr>
            </w:pPr>
            <w:r>
              <w:rPr>
                <w:rFonts w:hint="eastAsia" w:ascii="宋体" w:hAnsi="宋体" w:cs="Times New Roman"/>
                <w:color w:val="auto"/>
                <w:szCs w:val="21"/>
              </w:rPr>
              <w:t>柜门、抽屉</w:t>
            </w:r>
          </w:p>
        </w:tc>
        <w:tc>
          <w:tcPr>
            <w:tcW w:w="3830" w:type="dxa"/>
            <w:vAlign w:val="center"/>
          </w:tcPr>
          <w:p w14:paraId="0A124F5A">
            <w:pPr>
              <w:jc w:val="center"/>
              <w:rPr>
                <w:rFonts w:ascii="宋体" w:hAnsi="宋体" w:cs="Times New Roman"/>
                <w:color w:val="auto"/>
                <w:szCs w:val="21"/>
              </w:rPr>
            </w:pPr>
            <w:r>
              <w:rPr>
                <w:rFonts w:hint="eastAsia" w:ascii="宋体" w:hAnsi="宋体" w:cs="Times New Roman"/>
                <w:color w:val="auto"/>
                <w:szCs w:val="21"/>
              </w:rPr>
              <w:t>东泰、悍高、诺米</w:t>
            </w:r>
          </w:p>
        </w:tc>
      </w:tr>
      <w:tr w14:paraId="22ED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60" w:type="dxa"/>
            <w:vAlign w:val="center"/>
          </w:tcPr>
          <w:p w14:paraId="350DB949">
            <w:pPr>
              <w:jc w:val="center"/>
              <w:rPr>
                <w:rFonts w:ascii="宋体" w:hAnsi="宋体" w:cs="Times New Roman"/>
                <w:color w:val="auto"/>
                <w:szCs w:val="21"/>
              </w:rPr>
            </w:pPr>
            <w:r>
              <w:rPr>
                <w:rFonts w:hint="eastAsia" w:ascii="宋体" w:hAnsi="宋体" w:cs="Times New Roman"/>
                <w:color w:val="auto"/>
                <w:szCs w:val="21"/>
              </w:rPr>
              <w:t>5</w:t>
            </w:r>
          </w:p>
        </w:tc>
        <w:tc>
          <w:tcPr>
            <w:tcW w:w="1874" w:type="dxa"/>
            <w:vAlign w:val="center"/>
          </w:tcPr>
          <w:p w14:paraId="6A89FA43">
            <w:pPr>
              <w:jc w:val="center"/>
              <w:rPr>
                <w:rFonts w:ascii="宋体" w:hAnsi="宋体" w:cs="Times New Roman"/>
                <w:color w:val="auto"/>
                <w:szCs w:val="21"/>
              </w:rPr>
            </w:pPr>
            <w:r>
              <w:rPr>
                <w:rFonts w:hint="eastAsia" w:ascii="宋体" w:hAnsi="宋体" w:cs="Times New Roman"/>
                <w:color w:val="auto"/>
                <w:szCs w:val="21"/>
              </w:rPr>
              <w:t>连接件/紧固件</w:t>
            </w:r>
          </w:p>
        </w:tc>
        <w:tc>
          <w:tcPr>
            <w:tcW w:w="1873" w:type="dxa"/>
            <w:vAlign w:val="center"/>
          </w:tcPr>
          <w:p w14:paraId="4A52C6E3">
            <w:pPr>
              <w:jc w:val="center"/>
              <w:rPr>
                <w:rFonts w:ascii="宋体" w:hAnsi="宋体" w:cs="Times New Roman"/>
                <w:color w:val="auto"/>
                <w:szCs w:val="21"/>
              </w:rPr>
            </w:pPr>
            <w:r>
              <w:rPr>
                <w:rFonts w:hint="eastAsia" w:ascii="宋体" w:hAnsi="宋体" w:cs="Times New Roman"/>
                <w:color w:val="auto"/>
                <w:szCs w:val="21"/>
              </w:rPr>
              <w:t>全品类</w:t>
            </w:r>
          </w:p>
        </w:tc>
        <w:tc>
          <w:tcPr>
            <w:tcW w:w="3830" w:type="dxa"/>
            <w:vAlign w:val="center"/>
          </w:tcPr>
          <w:p w14:paraId="64A4D78B">
            <w:pPr>
              <w:jc w:val="center"/>
              <w:rPr>
                <w:rFonts w:ascii="宋体" w:hAnsi="宋体" w:cs="Times New Roman"/>
                <w:color w:val="auto"/>
                <w:szCs w:val="21"/>
              </w:rPr>
            </w:pPr>
            <w:r>
              <w:rPr>
                <w:rFonts w:hint="eastAsia" w:ascii="宋体" w:hAnsi="宋体" w:cs="Times New Roman"/>
                <w:color w:val="auto"/>
                <w:szCs w:val="21"/>
              </w:rPr>
              <w:t>东泰、顶固、炬森</w:t>
            </w:r>
          </w:p>
        </w:tc>
      </w:tr>
      <w:tr w14:paraId="5098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860" w:type="dxa"/>
            <w:vAlign w:val="center"/>
          </w:tcPr>
          <w:p w14:paraId="178297B8">
            <w:pPr>
              <w:jc w:val="center"/>
              <w:rPr>
                <w:rFonts w:ascii="宋体" w:hAnsi="宋体" w:cs="Times New Roman"/>
                <w:color w:val="auto"/>
                <w:szCs w:val="21"/>
              </w:rPr>
            </w:pPr>
            <w:r>
              <w:rPr>
                <w:rFonts w:hint="eastAsia" w:ascii="宋体" w:hAnsi="宋体" w:cs="Times New Roman"/>
                <w:color w:val="auto"/>
                <w:szCs w:val="21"/>
              </w:rPr>
              <w:t>6</w:t>
            </w:r>
          </w:p>
        </w:tc>
        <w:tc>
          <w:tcPr>
            <w:tcW w:w="1874" w:type="dxa"/>
            <w:vAlign w:val="center"/>
          </w:tcPr>
          <w:p w14:paraId="0803278B">
            <w:pPr>
              <w:jc w:val="center"/>
              <w:rPr>
                <w:rFonts w:ascii="宋体" w:hAnsi="宋体" w:cs="Times New Roman"/>
                <w:color w:val="auto"/>
                <w:szCs w:val="21"/>
              </w:rPr>
            </w:pPr>
            <w:r>
              <w:rPr>
                <w:rFonts w:hint="eastAsia" w:ascii="宋体" w:hAnsi="宋体" w:cs="Times New Roman"/>
                <w:color w:val="auto"/>
                <w:szCs w:val="21"/>
              </w:rPr>
              <w:t>脚轮</w:t>
            </w:r>
          </w:p>
        </w:tc>
        <w:tc>
          <w:tcPr>
            <w:tcW w:w="1873" w:type="dxa"/>
            <w:vAlign w:val="center"/>
          </w:tcPr>
          <w:p w14:paraId="7C10ADB9">
            <w:pPr>
              <w:jc w:val="center"/>
              <w:rPr>
                <w:rFonts w:ascii="宋体" w:hAnsi="宋体" w:cs="Times New Roman"/>
                <w:color w:val="auto"/>
                <w:szCs w:val="21"/>
              </w:rPr>
            </w:pPr>
            <w:r>
              <w:rPr>
                <w:rFonts w:hint="eastAsia" w:ascii="宋体" w:hAnsi="宋体" w:cs="Times New Roman"/>
                <w:color w:val="auto"/>
                <w:szCs w:val="21"/>
              </w:rPr>
              <w:t>护理床</w:t>
            </w:r>
          </w:p>
        </w:tc>
        <w:tc>
          <w:tcPr>
            <w:tcW w:w="3830" w:type="dxa"/>
            <w:vAlign w:val="center"/>
          </w:tcPr>
          <w:p w14:paraId="26E5952F">
            <w:pPr>
              <w:jc w:val="center"/>
              <w:rPr>
                <w:rFonts w:ascii="宋体" w:hAnsi="宋体" w:cs="Times New Roman"/>
                <w:color w:val="auto"/>
                <w:szCs w:val="21"/>
              </w:rPr>
            </w:pPr>
            <w:r>
              <w:rPr>
                <w:rFonts w:hint="eastAsia" w:ascii="宋体" w:hAnsi="宋体" w:cs="Times New Roman"/>
                <w:color w:val="auto"/>
                <w:szCs w:val="21"/>
              </w:rPr>
              <w:t>科顺、中威控股集团、</w:t>
            </w:r>
            <w:r>
              <w:rPr>
                <w:rFonts w:ascii="宋体" w:hAnsi="宋体" w:cs="Times New Roman"/>
                <w:color w:val="auto"/>
                <w:szCs w:val="21"/>
              </w:rPr>
              <w:t>航天双</w:t>
            </w:r>
            <w:bookmarkStart w:id="70" w:name="OLE_LINK3"/>
            <w:r>
              <w:rPr>
                <w:rFonts w:ascii="宋体" w:hAnsi="宋体" w:cs="Times New Roman"/>
                <w:color w:val="auto"/>
                <w:szCs w:val="21"/>
              </w:rPr>
              <w:t>菱</w:t>
            </w:r>
            <w:bookmarkEnd w:id="70"/>
          </w:p>
        </w:tc>
      </w:tr>
      <w:tr w14:paraId="05C0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60" w:type="dxa"/>
            <w:vAlign w:val="center"/>
          </w:tcPr>
          <w:p w14:paraId="16B05446">
            <w:pPr>
              <w:jc w:val="center"/>
              <w:rPr>
                <w:rFonts w:ascii="宋体" w:hAnsi="宋体" w:cs="Times New Roman"/>
                <w:color w:val="auto"/>
                <w:szCs w:val="21"/>
              </w:rPr>
            </w:pPr>
            <w:r>
              <w:rPr>
                <w:rFonts w:hint="eastAsia" w:ascii="宋体" w:hAnsi="宋体" w:cs="Times New Roman"/>
                <w:color w:val="auto"/>
                <w:szCs w:val="21"/>
              </w:rPr>
              <w:t>7</w:t>
            </w:r>
          </w:p>
        </w:tc>
        <w:tc>
          <w:tcPr>
            <w:tcW w:w="1874" w:type="dxa"/>
            <w:vAlign w:val="center"/>
          </w:tcPr>
          <w:p w14:paraId="059DB728">
            <w:pPr>
              <w:jc w:val="center"/>
              <w:rPr>
                <w:rFonts w:ascii="宋体" w:hAnsi="宋体" w:cs="Times New Roman"/>
                <w:color w:val="auto"/>
                <w:szCs w:val="21"/>
              </w:rPr>
            </w:pPr>
            <w:r>
              <w:rPr>
                <w:rFonts w:ascii="宋体" w:hAnsi="宋体" w:cs="Times New Roman"/>
                <w:color w:val="auto"/>
                <w:szCs w:val="21"/>
              </w:rPr>
              <w:t>电动推杆/电机</w:t>
            </w:r>
          </w:p>
        </w:tc>
        <w:tc>
          <w:tcPr>
            <w:tcW w:w="1873" w:type="dxa"/>
            <w:vAlign w:val="center"/>
          </w:tcPr>
          <w:p w14:paraId="0E883614">
            <w:pPr>
              <w:jc w:val="center"/>
              <w:rPr>
                <w:rFonts w:ascii="宋体" w:hAnsi="宋体" w:cs="Times New Roman"/>
                <w:color w:val="auto"/>
                <w:szCs w:val="21"/>
              </w:rPr>
            </w:pPr>
            <w:r>
              <w:rPr>
                <w:rFonts w:hint="eastAsia" w:ascii="宋体" w:hAnsi="宋体" w:cs="Times New Roman"/>
                <w:color w:val="auto"/>
                <w:szCs w:val="21"/>
              </w:rPr>
              <w:t>护理床</w:t>
            </w:r>
          </w:p>
        </w:tc>
        <w:tc>
          <w:tcPr>
            <w:tcW w:w="3830" w:type="dxa"/>
            <w:vAlign w:val="center"/>
          </w:tcPr>
          <w:p w14:paraId="1A8F47C1">
            <w:pPr>
              <w:jc w:val="center"/>
              <w:rPr>
                <w:rFonts w:ascii="宋体" w:hAnsi="宋体" w:cs="Times New Roman"/>
                <w:color w:val="auto"/>
                <w:szCs w:val="21"/>
              </w:rPr>
            </w:pPr>
            <w:r>
              <w:rPr>
                <w:rFonts w:ascii="宋体" w:hAnsi="宋体" w:cs="Times New Roman"/>
                <w:color w:val="auto"/>
                <w:szCs w:val="21"/>
              </w:rPr>
              <w:t>捷昌驱动、新益驱动、迪洛克</w:t>
            </w:r>
          </w:p>
        </w:tc>
      </w:tr>
    </w:tbl>
    <w:p w14:paraId="41B7952D">
      <w:pPr>
        <w:rPr>
          <w:b/>
          <w:bCs/>
          <w:color w:val="auto"/>
        </w:rPr>
      </w:pPr>
    </w:p>
    <w:p w14:paraId="3AE2A6FB">
      <w:pPr>
        <w:outlineLvl w:val="2"/>
        <w:rPr>
          <w:b/>
          <w:bCs/>
          <w:color w:val="auto"/>
        </w:rPr>
      </w:pPr>
      <w:bookmarkStart w:id="71" w:name="_Toc1363"/>
      <w:r>
        <w:rPr>
          <w:rFonts w:hint="eastAsia"/>
          <w:b/>
          <w:bCs/>
          <w:color w:val="auto"/>
        </w:rPr>
        <w:t>三、投标样品</w:t>
      </w:r>
      <w:bookmarkEnd w:id="71"/>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2641"/>
        <w:gridCol w:w="4032"/>
      </w:tblGrid>
      <w:tr w14:paraId="5F43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386" w:type="dxa"/>
            <w:vAlign w:val="center"/>
          </w:tcPr>
          <w:p w14:paraId="242CB78A">
            <w:pPr>
              <w:jc w:val="center"/>
              <w:rPr>
                <w:color w:val="auto"/>
              </w:rPr>
            </w:pPr>
            <w:r>
              <w:rPr>
                <w:rFonts w:hint="eastAsia"/>
                <w:color w:val="auto"/>
              </w:rPr>
              <w:t>序号</w:t>
            </w:r>
          </w:p>
        </w:tc>
        <w:tc>
          <w:tcPr>
            <w:tcW w:w="2641" w:type="dxa"/>
            <w:vAlign w:val="center"/>
          </w:tcPr>
          <w:p w14:paraId="6289E021">
            <w:pPr>
              <w:jc w:val="center"/>
              <w:rPr>
                <w:color w:val="auto"/>
              </w:rPr>
            </w:pPr>
            <w:r>
              <w:rPr>
                <w:rFonts w:hint="eastAsia"/>
                <w:color w:val="auto"/>
              </w:rPr>
              <w:t>投标样品名称</w:t>
            </w:r>
          </w:p>
        </w:tc>
        <w:tc>
          <w:tcPr>
            <w:tcW w:w="4032" w:type="dxa"/>
            <w:vAlign w:val="center"/>
          </w:tcPr>
          <w:p w14:paraId="5E683844">
            <w:pPr>
              <w:jc w:val="center"/>
              <w:rPr>
                <w:color w:val="auto"/>
              </w:rPr>
            </w:pPr>
            <w:r>
              <w:rPr>
                <w:rFonts w:hint="eastAsia"/>
                <w:color w:val="auto"/>
              </w:rPr>
              <w:t>数量</w:t>
            </w:r>
          </w:p>
        </w:tc>
      </w:tr>
      <w:tr w14:paraId="5463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386" w:type="dxa"/>
            <w:vAlign w:val="center"/>
          </w:tcPr>
          <w:p w14:paraId="36CF242E">
            <w:pPr>
              <w:jc w:val="center"/>
              <w:rPr>
                <w:color w:val="auto"/>
              </w:rPr>
            </w:pPr>
            <w:r>
              <w:rPr>
                <w:rFonts w:hint="eastAsia"/>
                <w:color w:val="auto"/>
              </w:rPr>
              <w:t>1</w:t>
            </w:r>
          </w:p>
        </w:tc>
        <w:tc>
          <w:tcPr>
            <w:tcW w:w="2641" w:type="dxa"/>
            <w:vAlign w:val="center"/>
          </w:tcPr>
          <w:p w14:paraId="43ABB866">
            <w:pPr>
              <w:jc w:val="center"/>
              <w:rPr>
                <w:color w:val="auto"/>
              </w:rPr>
            </w:pPr>
            <w:r>
              <w:rPr>
                <w:color w:val="auto"/>
              </w:rPr>
              <w:t>适老椅</w:t>
            </w:r>
          </w:p>
        </w:tc>
        <w:tc>
          <w:tcPr>
            <w:tcW w:w="4032" w:type="dxa"/>
            <w:vAlign w:val="center"/>
          </w:tcPr>
          <w:p w14:paraId="2DCE0A08">
            <w:pPr>
              <w:jc w:val="center"/>
              <w:rPr>
                <w:color w:val="auto"/>
              </w:rPr>
            </w:pPr>
            <w:r>
              <w:rPr>
                <w:rFonts w:hint="eastAsia"/>
                <w:color w:val="auto"/>
              </w:rPr>
              <w:t>1.00</w:t>
            </w:r>
          </w:p>
        </w:tc>
      </w:tr>
      <w:tr w14:paraId="56A4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86" w:type="dxa"/>
            <w:vAlign w:val="center"/>
          </w:tcPr>
          <w:p w14:paraId="0C342998">
            <w:pPr>
              <w:jc w:val="center"/>
              <w:rPr>
                <w:color w:val="auto"/>
              </w:rPr>
            </w:pPr>
            <w:r>
              <w:rPr>
                <w:rFonts w:hint="eastAsia"/>
                <w:color w:val="auto"/>
              </w:rPr>
              <w:t>2</w:t>
            </w:r>
          </w:p>
        </w:tc>
        <w:tc>
          <w:tcPr>
            <w:tcW w:w="2641" w:type="dxa"/>
            <w:vAlign w:val="center"/>
          </w:tcPr>
          <w:p w14:paraId="482C5308">
            <w:pPr>
              <w:jc w:val="center"/>
              <w:rPr>
                <w:color w:val="auto"/>
              </w:rPr>
            </w:pPr>
            <w:r>
              <w:rPr>
                <w:rFonts w:ascii="宋体" w:hAnsi="宋体" w:cs="Segoe UI"/>
                <w:color w:val="auto"/>
                <w:szCs w:val="21"/>
              </w:rPr>
              <w:t>三人沙发</w:t>
            </w:r>
          </w:p>
        </w:tc>
        <w:tc>
          <w:tcPr>
            <w:tcW w:w="4032" w:type="dxa"/>
            <w:vAlign w:val="center"/>
          </w:tcPr>
          <w:p w14:paraId="677A3731">
            <w:pPr>
              <w:jc w:val="center"/>
              <w:rPr>
                <w:color w:val="auto"/>
              </w:rPr>
            </w:pPr>
            <w:r>
              <w:rPr>
                <w:rFonts w:hint="eastAsia"/>
                <w:color w:val="auto"/>
              </w:rPr>
              <w:t>1.00</w:t>
            </w:r>
          </w:p>
        </w:tc>
      </w:tr>
      <w:tr w14:paraId="14B5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86" w:type="dxa"/>
            <w:vAlign w:val="center"/>
          </w:tcPr>
          <w:p w14:paraId="742337CE">
            <w:pPr>
              <w:jc w:val="center"/>
              <w:rPr>
                <w:color w:val="auto"/>
              </w:rPr>
            </w:pPr>
            <w:r>
              <w:rPr>
                <w:rFonts w:hint="eastAsia"/>
                <w:color w:val="auto"/>
              </w:rPr>
              <w:t>3</w:t>
            </w:r>
          </w:p>
        </w:tc>
        <w:tc>
          <w:tcPr>
            <w:tcW w:w="2641" w:type="dxa"/>
            <w:vAlign w:val="center"/>
          </w:tcPr>
          <w:p w14:paraId="0620DFA9">
            <w:pPr>
              <w:jc w:val="center"/>
              <w:rPr>
                <w:color w:val="auto"/>
              </w:rPr>
            </w:pPr>
            <w:r>
              <w:rPr>
                <w:rFonts w:ascii="宋体" w:hAnsi="宋体" w:cs="Segoe UI"/>
                <w:color w:val="auto"/>
                <w:szCs w:val="21"/>
              </w:rPr>
              <w:t>单人沙发</w:t>
            </w:r>
          </w:p>
        </w:tc>
        <w:tc>
          <w:tcPr>
            <w:tcW w:w="4032" w:type="dxa"/>
            <w:vAlign w:val="center"/>
          </w:tcPr>
          <w:p w14:paraId="363119C2">
            <w:pPr>
              <w:jc w:val="center"/>
              <w:rPr>
                <w:color w:val="auto"/>
              </w:rPr>
            </w:pPr>
            <w:r>
              <w:rPr>
                <w:rFonts w:hint="eastAsia"/>
                <w:color w:val="auto"/>
              </w:rPr>
              <w:t>1.00</w:t>
            </w:r>
          </w:p>
        </w:tc>
      </w:tr>
      <w:tr w14:paraId="5543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86" w:type="dxa"/>
            <w:vAlign w:val="center"/>
          </w:tcPr>
          <w:p w14:paraId="214FA0C9">
            <w:pPr>
              <w:jc w:val="center"/>
              <w:rPr>
                <w:color w:val="auto"/>
              </w:rPr>
            </w:pPr>
            <w:r>
              <w:rPr>
                <w:rFonts w:hint="eastAsia"/>
                <w:color w:val="auto"/>
              </w:rPr>
              <w:t>4</w:t>
            </w:r>
          </w:p>
        </w:tc>
        <w:tc>
          <w:tcPr>
            <w:tcW w:w="2641" w:type="dxa"/>
            <w:vAlign w:val="center"/>
          </w:tcPr>
          <w:p w14:paraId="06D80FF2">
            <w:pPr>
              <w:jc w:val="center"/>
              <w:rPr>
                <w:rFonts w:ascii="宋体" w:hAnsi="宋体" w:cs="Segoe UI"/>
                <w:color w:val="auto"/>
                <w:szCs w:val="21"/>
              </w:rPr>
            </w:pPr>
            <w:r>
              <w:rPr>
                <w:color w:val="auto"/>
              </w:rPr>
              <w:t>正方桌</w:t>
            </w:r>
          </w:p>
        </w:tc>
        <w:tc>
          <w:tcPr>
            <w:tcW w:w="4032" w:type="dxa"/>
            <w:vAlign w:val="center"/>
          </w:tcPr>
          <w:p w14:paraId="29E870FC">
            <w:pPr>
              <w:jc w:val="center"/>
              <w:rPr>
                <w:color w:val="auto"/>
              </w:rPr>
            </w:pPr>
            <w:r>
              <w:rPr>
                <w:rFonts w:hint="eastAsia"/>
                <w:color w:val="auto"/>
              </w:rPr>
              <w:t>1.00</w:t>
            </w:r>
          </w:p>
        </w:tc>
      </w:tr>
      <w:tr w14:paraId="6EC6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86" w:type="dxa"/>
            <w:vAlign w:val="center"/>
          </w:tcPr>
          <w:p w14:paraId="10AC4FC5">
            <w:pPr>
              <w:jc w:val="center"/>
              <w:rPr>
                <w:color w:val="auto"/>
              </w:rPr>
            </w:pPr>
            <w:r>
              <w:rPr>
                <w:rFonts w:hint="eastAsia"/>
                <w:color w:val="auto"/>
              </w:rPr>
              <w:t>5</w:t>
            </w:r>
          </w:p>
        </w:tc>
        <w:tc>
          <w:tcPr>
            <w:tcW w:w="2641" w:type="dxa"/>
            <w:vAlign w:val="center"/>
          </w:tcPr>
          <w:p w14:paraId="3D7D0166">
            <w:pPr>
              <w:jc w:val="center"/>
              <w:rPr>
                <w:color w:val="auto"/>
              </w:rPr>
            </w:pPr>
            <w:r>
              <w:rPr>
                <w:rFonts w:hint="eastAsia"/>
                <w:color w:val="auto"/>
              </w:rPr>
              <w:t>书桌（序号20）</w:t>
            </w:r>
          </w:p>
        </w:tc>
        <w:tc>
          <w:tcPr>
            <w:tcW w:w="4032" w:type="dxa"/>
            <w:vAlign w:val="center"/>
          </w:tcPr>
          <w:p w14:paraId="7FAB6ECE">
            <w:pPr>
              <w:jc w:val="center"/>
              <w:rPr>
                <w:color w:val="auto"/>
              </w:rPr>
            </w:pPr>
            <w:r>
              <w:rPr>
                <w:rFonts w:hint="eastAsia"/>
                <w:color w:val="auto"/>
              </w:rPr>
              <w:t>1.00</w:t>
            </w:r>
          </w:p>
        </w:tc>
      </w:tr>
      <w:tr w14:paraId="0D7E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86" w:type="dxa"/>
            <w:vAlign w:val="center"/>
          </w:tcPr>
          <w:p w14:paraId="5F0CB9C0">
            <w:pPr>
              <w:jc w:val="center"/>
              <w:rPr>
                <w:color w:val="auto"/>
              </w:rPr>
            </w:pPr>
            <w:r>
              <w:rPr>
                <w:rFonts w:hint="eastAsia"/>
                <w:color w:val="auto"/>
              </w:rPr>
              <w:t>6</w:t>
            </w:r>
          </w:p>
        </w:tc>
        <w:tc>
          <w:tcPr>
            <w:tcW w:w="2641" w:type="dxa"/>
            <w:vAlign w:val="center"/>
          </w:tcPr>
          <w:p w14:paraId="063EF4AA">
            <w:pPr>
              <w:jc w:val="center"/>
              <w:rPr>
                <w:color w:val="auto"/>
              </w:rPr>
            </w:pPr>
            <w:r>
              <w:rPr>
                <w:rFonts w:ascii="宋体" w:hAnsi="宋体" w:cs="Segoe UI"/>
                <w:color w:val="auto"/>
                <w:szCs w:val="21"/>
              </w:rPr>
              <w:t>护理床</w:t>
            </w:r>
            <w:r>
              <w:rPr>
                <w:rFonts w:hint="eastAsia" w:ascii="宋体" w:hAnsi="宋体" w:cs="Segoe UI"/>
                <w:color w:val="auto"/>
                <w:szCs w:val="21"/>
              </w:rPr>
              <w:t>（序号22）</w:t>
            </w:r>
          </w:p>
        </w:tc>
        <w:tc>
          <w:tcPr>
            <w:tcW w:w="4032" w:type="dxa"/>
            <w:vAlign w:val="center"/>
          </w:tcPr>
          <w:p w14:paraId="383CBF2D">
            <w:pPr>
              <w:jc w:val="center"/>
              <w:rPr>
                <w:color w:val="auto"/>
              </w:rPr>
            </w:pPr>
            <w:r>
              <w:rPr>
                <w:rFonts w:hint="eastAsia"/>
                <w:color w:val="auto"/>
              </w:rPr>
              <w:t>1.00</w:t>
            </w:r>
          </w:p>
        </w:tc>
      </w:tr>
    </w:tbl>
    <w:p w14:paraId="5B887155">
      <w:pPr>
        <w:rPr>
          <w:b/>
          <w:bCs/>
          <w:color w:val="auto"/>
        </w:rPr>
      </w:pPr>
    </w:p>
    <w:p w14:paraId="1C70B0E8">
      <w:pPr>
        <w:rPr>
          <w:b/>
          <w:bCs/>
          <w:color w:val="auto"/>
          <w:sz w:val="28"/>
          <w:szCs w:val="28"/>
        </w:rPr>
      </w:pPr>
      <w:r>
        <w:rPr>
          <w:rFonts w:hint="eastAsia"/>
          <w:b/>
          <w:bCs/>
          <w:color w:val="auto"/>
          <w:sz w:val="28"/>
          <w:szCs w:val="28"/>
        </w:rPr>
        <w:br w:type="page"/>
      </w:r>
    </w:p>
    <w:p w14:paraId="2A3F84C2">
      <w:pPr>
        <w:outlineLvl w:val="0"/>
        <w:rPr>
          <w:b/>
          <w:bCs/>
          <w:color w:val="auto"/>
          <w:sz w:val="24"/>
          <w:szCs w:val="24"/>
        </w:rPr>
      </w:pPr>
      <w:bookmarkStart w:id="72" w:name="_Toc30484"/>
      <w:r>
        <w:rPr>
          <w:rFonts w:hint="eastAsia"/>
          <w:b/>
          <w:bCs/>
          <w:color w:val="auto"/>
          <w:sz w:val="28"/>
          <w:szCs w:val="28"/>
        </w:rPr>
        <w:t>第四部分投标人须知</w:t>
      </w:r>
      <w:bookmarkEnd w:id="59"/>
      <w:bookmarkEnd w:id="60"/>
      <w:bookmarkEnd w:id="61"/>
      <w:bookmarkEnd w:id="72"/>
    </w:p>
    <w:p w14:paraId="61D4BD19">
      <w:pPr>
        <w:pStyle w:val="4"/>
        <w:numPr>
          <w:ilvl w:val="0"/>
          <w:numId w:val="2"/>
        </w:numPr>
        <w:spacing w:before="0" w:after="0" w:line="480" w:lineRule="auto"/>
        <w:jc w:val="center"/>
        <w:rPr>
          <w:rFonts w:ascii="宋体" w:hAnsi="宋体"/>
          <w:color w:val="auto"/>
        </w:rPr>
      </w:pPr>
      <w:bookmarkStart w:id="73" w:name="_Toc2247"/>
      <w:bookmarkStart w:id="74" w:name="_Toc20041"/>
      <w:bookmarkStart w:id="75" w:name="_Toc15408"/>
      <w:bookmarkStart w:id="76" w:name="_Toc869"/>
      <w:r>
        <w:rPr>
          <w:rFonts w:hint="eastAsia" w:ascii="宋体" w:hAnsi="宋体"/>
          <w:color w:val="auto"/>
        </w:rPr>
        <w:t>说明</w:t>
      </w:r>
      <w:bookmarkEnd w:id="73"/>
      <w:bookmarkEnd w:id="74"/>
      <w:bookmarkEnd w:id="75"/>
      <w:bookmarkEnd w:id="76"/>
    </w:p>
    <w:p w14:paraId="396751E2">
      <w:pPr>
        <w:pStyle w:val="5"/>
        <w:widowControl w:val="0"/>
        <w:numPr>
          <w:ilvl w:val="0"/>
          <w:numId w:val="3"/>
        </w:numPr>
        <w:overflowPunct w:val="0"/>
        <w:rPr>
          <w:rFonts w:ascii="宋体" w:hAnsi="宋体" w:cs="宋体"/>
          <w:color w:val="auto"/>
          <w:sz w:val="21"/>
          <w:szCs w:val="21"/>
        </w:rPr>
      </w:pPr>
      <w:bookmarkStart w:id="77" w:name="_Toc10233"/>
      <w:bookmarkStart w:id="78" w:name="_Toc14914"/>
      <w:bookmarkStart w:id="79" w:name="_Toc12371"/>
      <w:bookmarkStart w:id="80" w:name="_Toc10475"/>
      <w:r>
        <w:rPr>
          <w:rFonts w:hint="eastAsia" w:ascii="宋体" w:hAnsi="宋体" w:cs="宋体"/>
          <w:color w:val="auto"/>
          <w:sz w:val="21"/>
          <w:szCs w:val="21"/>
        </w:rPr>
        <w:t>适用范围</w:t>
      </w:r>
      <w:bookmarkEnd w:id="77"/>
      <w:bookmarkEnd w:id="78"/>
      <w:bookmarkEnd w:id="79"/>
      <w:bookmarkEnd w:id="80"/>
    </w:p>
    <w:p w14:paraId="4BBD10DC">
      <w:pPr>
        <w:widowControl w:val="0"/>
        <w:numPr>
          <w:ilvl w:val="1"/>
          <w:numId w:val="3"/>
        </w:numPr>
        <w:overflowPunct w:val="0"/>
        <w:outlineLvl w:val="3"/>
        <w:rPr>
          <w:rFonts w:ascii="宋体" w:hAnsi="宋体" w:cs="宋体"/>
          <w:color w:val="auto"/>
          <w:szCs w:val="21"/>
        </w:rPr>
      </w:pPr>
      <w:bookmarkStart w:id="81" w:name="_Toc19291"/>
      <w:r>
        <w:rPr>
          <w:rFonts w:hint="eastAsia" w:ascii="宋体" w:hAnsi="宋体" w:cs="宋体"/>
          <w:color w:val="auto"/>
          <w:szCs w:val="21"/>
        </w:rPr>
        <w:t>采购范围：见本文件《用户需求书》</w:t>
      </w:r>
      <w:bookmarkEnd w:id="81"/>
    </w:p>
    <w:p w14:paraId="2F3CA5E2">
      <w:pPr>
        <w:rPr>
          <w:rFonts w:ascii="宋体" w:hAnsi="宋体" w:cs="宋体"/>
          <w:color w:val="auto"/>
        </w:rPr>
      </w:pPr>
    </w:p>
    <w:p w14:paraId="44B4A066">
      <w:pPr>
        <w:pStyle w:val="5"/>
        <w:widowControl w:val="0"/>
        <w:numPr>
          <w:ilvl w:val="0"/>
          <w:numId w:val="3"/>
        </w:numPr>
        <w:overflowPunct w:val="0"/>
        <w:rPr>
          <w:rFonts w:ascii="宋体" w:hAnsi="宋体" w:cs="宋体"/>
          <w:color w:val="auto"/>
          <w:sz w:val="21"/>
          <w:szCs w:val="21"/>
        </w:rPr>
      </w:pPr>
      <w:bookmarkStart w:id="82" w:name="_Toc303084246"/>
      <w:bookmarkStart w:id="83" w:name="_Toc9694"/>
      <w:bookmarkStart w:id="84" w:name="_Toc1530"/>
      <w:bookmarkStart w:id="85" w:name="_Toc5044"/>
      <w:bookmarkStart w:id="86" w:name="_Toc15953"/>
      <w:bookmarkStart w:id="87" w:name="_Toc298847174"/>
      <w:bookmarkStart w:id="88" w:name="_Toc382049092"/>
      <w:bookmarkStart w:id="89" w:name="_Toc29705"/>
      <w:r>
        <w:rPr>
          <w:rFonts w:hint="eastAsia" w:ascii="宋体" w:hAnsi="宋体" w:cs="宋体"/>
          <w:color w:val="auto"/>
          <w:sz w:val="21"/>
          <w:szCs w:val="21"/>
        </w:rPr>
        <w:t>定义</w:t>
      </w:r>
      <w:bookmarkEnd w:id="82"/>
      <w:bookmarkEnd w:id="83"/>
      <w:bookmarkEnd w:id="84"/>
      <w:bookmarkEnd w:id="85"/>
      <w:bookmarkEnd w:id="86"/>
      <w:bookmarkEnd w:id="87"/>
      <w:bookmarkEnd w:id="88"/>
      <w:bookmarkEnd w:id="89"/>
    </w:p>
    <w:p w14:paraId="607A45F7">
      <w:pPr>
        <w:pStyle w:val="47"/>
        <w:widowControl w:val="0"/>
        <w:adjustRightInd/>
        <w:snapToGrid/>
        <w:ind w:left="425" w:firstLineChars="0"/>
        <w:jc w:val="both"/>
        <w:rPr>
          <w:rFonts w:ascii="宋体" w:hAnsi="宋体" w:cs="宋体"/>
          <w:vanish/>
          <w:color w:val="auto"/>
          <w:szCs w:val="21"/>
        </w:rPr>
      </w:pPr>
    </w:p>
    <w:p w14:paraId="4DDAF78F">
      <w:pPr>
        <w:widowControl w:val="0"/>
        <w:numPr>
          <w:ilvl w:val="1"/>
          <w:numId w:val="3"/>
        </w:numPr>
        <w:overflowPunct w:val="0"/>
        <w:outlineLvl w:val="3"/>
        <w:rPr>
          <w:rFonts w:ascii="宋体" w:hAnsi="宋体" w:cs="宋体"/>
          <w:color w:val="auto"/>
          <w:szCs w:val="21"/>
        </w:rPr>
      </w:pPr>
      <w:bookmarkStart w:id="90" w:name="_Toc12703"/>
      <w:r>
        <w:rPr>
          <w:rFonts w:hint="eastAsia" w:ascii="宋体" w:hAnsi="宋体" w:cs="宋体"/>
          <w:color w:val="auto"/>
          <w:szCs w:val="21"/>
        </w:rPr>
        <w:t>采购人：见投标邀请书。</w:t>
      </w:r>
      <w:bookmarkEnd w:id="90"/>
    </w:p>
    <w:p w14:paraId="64581931">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投标人：响应采购并且符合采购文件规定资格条件和参加投标竞争的法人、其他组织或者自然人。</w:t>
      </w:r>
    </w:p>
    <w:p w14:paraId="22CB4A63">
      <w:pPr>
        <w:widowControl w:val="0"/>
        <w:numPr>
          <w:ilvl w:val="1"/>
          <w:numId w:val="3"/>
        </w:numPr>
        <w:overflowPunct w:val="0"/>
        <w:rPr>
          <w:rFonts w:ascii="宋体" w:hAnsi="宋体" w:cs="宋体"/>
          <w:color w:val="auto"/>
          <w:szCs w:val="21"/>
        </w:rPr>
      </w:pPr>
      <w:r>
        <w:rPr>
          <w:rFonts w:hint="eastAsia" w:ascii="宋体" w:hAnsi="宋体" w:cs="宋体"/>
          <w:color w:val="auto"/>
          <w:szCs w:val="21"/>
        </w:rPr>
        <w:t>法人：法人是依法在国内进行注册并具有民事权利能力和民事行为能力，依法独立享有民事权利和承担民事义务的组织。</w:t>
      </w:r>
    </w:p>
    <w:p w14:paraId="6BF18CC8">
      <w:pPr>
        <w:widowControl w:val="0"/>
        <w:numPr>
          <w:ilvl w:val="1"/>
          <w:numId w:val="3"/>
        </w:numPr>
        <w:overflowPunct w:val="0"/>
        <w:rPr>
          <w:rFonts w:ascii="宋体" w:hAnsi="宋体" w:cs="宋体"/>
          <w:color w:val="auto"/>
          <w:szCs w:val="21"/>
        </w:rPr>
      </w:pPr>
      <w:r>
        <w:rPr>
          <w:rFonts w:hint="eastAsia" w:ascii="宋体" w:hAnsi="宋体" w:cs="宋体"/>
          <w:color w:val="auto"/>
          <w:szCs w:val="21"/>
        </w:rPr>
        <w:t>中标人：指经评标委员会评审推荐、采购人确认的获得本项目中标资格的投标人。</w:t>
      </w:r>
    </w:p>
    <w:p w14:paraId="2CB2C62D">
      <w:pPr>
        <w:widowControl w:val="0"/>
        <w:numPr>
          <w:ilvl w:val="1"/>
          <w:numId w:val="3"/>
        </w:numPr>
        <w:overflowPunct w:val="0"/>
        <w:outlineLvl w:val="3"/>
        <w:rPr>
          <w:rFonts w:ascii="宋体" w:hAnsi="宋体" w:cs="宋体"/>
          <w:color w:val="auto"/>
          <w:szCs w:val="21"/>
        </w:rPr>
      </w:pPr>
      <w:bookmarkStart w:id="91" w:name="_Toc8491"/>
      <w:r>
        <w:rPr>
          <w:rFonts w:hint="eastAsia" w:ascii="宋体" w:hAnsi="宋体" w:cs="宋体"/>
          <w:color w:val="auto"/>
          <w:szCs w:val="21"/>
        </w:rPr>
        <w:t>采购代理机构：见投标邀请书。</w:t>
      </w:r>
      <w:bookmarkEnd w:id="91"/>
    </w:p>
    <w:p w14:paraId="61696704">
      <w:pPr>
        <w:widowControl w:val="0"/>
        <w:numPr>
          <w:ilvl w:val="1"/>
          <w:numId w:val="3"/>
        </w:numPr>
        <w:overflowPunct w:val="0"/>
        <w:rPr>
          <w:rFonts w:ascii="宋体" w:hAnsi="宋体" w:cs="宋体"/>
          <w:color w:val="auto"/>
          <w:szCs w:val="21"/>
        </w:rPr>
      </w:pPr>
      <w:r>
        <w:rPr>
          <w:rFonts w:hint="eastAsia" w:ascii="宋体" w:hAnsi="宋体" w:cs="宋体"/>
          <w:color w:val="auto"/>
          <w:szCs w:val="21"/>
        </w:rPr>
        <w:t>评标委员会：评标委员会是依据相关规定组建的专门负责本次采购其评标工作的临时性机构。</w:t>
      </w:r>
    </w:p>
    <w:p w14:paraId="23A1E6E9">
      <w:pPr>
        <w:widowControl w:val="0"/>
        <w:numPr>
          <w:ilvl w:val="1"/>
          <w:numId w:val="3"/>
        </w:numPr>
        <w:overflowPunct w:val="0"/>
        <w:outlineLvl w:val="3"/>
        <w:rPr>
          <w:rFonts w:ascii="宋体" w:hAnsi="宋体" w:cs="宋体"/>
          <w:color w:val="auto"/>
          <w:szCs w:val="21"/>
        </w:rPr>
      </w:pPr>
      <w:bookmarkStart w:id="92" w:name="_Toc11275"/>
      <w:r>
        <w:rPr>
          <w:rFonts w:hint="eastAsia" w:ascii="宋体" w:hAnsi="宋体" w:cs="宋体"/>
          <w:color w:val="auto"/>
          <w:szCs w:val="21"/>
        </w:rPr>
        <w:t>合同：指由本次采购所产生的合同或合约文件。</w:t>
      </w:r>
      <w:bookmarkEnd w:id="92"/>
    </w:p>
    <w:p w14:paraId="1524460C">
      <w:pPr>
        <w:widowControl w:val="0"/>
        <w:numPr>
          <w:ilvl w:val="1"/>
          <w:numId w:val="3"/>
        </w:numPr>
        <w:overflowPunct w:val="0"/>
        <w:rPr>
          <w:rFonts w:ascii="宋体" w:hAnsi="宋体" w:cs="宋体"/>
          <w:color w:val="auto"/>
          <w:szCs w:val="21"/>
        </w:rPr>
      </w:pPr>
      <w:r>
        <w:rPr>
          <w:rFonts w:hint="eastAsia" w:ascii="宋体" w:hAnsi="宋体" w:cs="宋体"/>
          <w:color w:val="auto"/>
          <w:szCs w:val="21"/>
        </w:rPr>
        <w:t>公章：公章是指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p>
    <w:p w14:paraId="2BA00630">
      <w:pPr>
        <w:widowControl w:val="0"/>
        <w:numPr>
          <w:ilvl w:val="1"/>
          <w:numId w:val="3"/>
        </w:numPr>
        <w:overflowPunct w:val="0"/>
        <w:rPr>
          <w:rFonts w:ascii="宋体" w:hAnsi="宋体" w:cs="宋体"/>
          <w:color w:val="auto"/>
          <w:szCs w:val="21"/>
        </w:rPr>
      </w:pPr>
      <w:r>
        <w:rPr>
          <w:rFonts w:hint="eastAsia" w:ascii="宋体" w:hAnsi="宋体" w:cs="宋体"/>
          <w:color w:val="auto"/>
          <w:szCs w:val="21"/>
        </w:rPr>
        <w:t>时间：本文件规定按日计算期间的，开始当天不计入，从次日开始计算。期限的最后一日是国家法定节假日的，顺延到节假日后的次日为期限的最后一日。</w:t>
      </w:r>
    </w:p>
    <w:p w14:paraId="351A3262">
      <w:pPr>
        <w:rPr>
          <w:rFonts w:ascii="宋体" w:hAnsi="宋体" w:cs="宋体"/>
          <w:color w:val="auto"/>
        </w:rPr>
      </w:pPr>
    </w:p>
    <w:p w14:paraId="490BB65D">
      <w:pPr>
        <w:pStyle w:val="5"/>
        <w:widowControl w:val="0"/>
        <w:numPr>
          <w:ilvl w:val="0"/>
          <w:numId w:val="3"/>
        </w:numPr>
        <w:overflowPunct w:val="0"/>
        <w:rPr>
          <w:rFonts w:ascii="宋体" w:hAnsi="宋体" w:cs="宋体"/>
          <w:color w:val="auto"/>
          <w:sz w:val="21"/>
          <w:szCs w:val="21"/>
        </w:rPr>
      </w:pPr>
      <w:bookmarkStart w:id="93" w:name="_Toc14065"/>
      <w:bookmarkStart w:id="94" w:name="_Toc32765"/>
      <w:bookmarkStart w:id="95" w:name="_Toc7825"/>
      <w:bookmarkStart w:id="96" w:name="_Toc25894"/>
      <w:r>
        <w:rPr>
          <w:rFonts w:hint="eastAsia" w:ascii="宋体" w:hAnsi="宋体" w:cs="宋体"/>
          <w:color w:val="auto"/>
          <w:sz w:val="21"/>
          <w:szCs w:val="21"/>
        </w:rPr>
        <w:t>货物和服务</w:t>
      </w:r>
      <w:bookmarkEnd w:id="93"/>
      <w:bookmarkEnd w:id="94"/>
      <w:bookmarkEnd w:id="95"/>
      <w:bookmarkEnd w:id="96"/>
    </w:p>
    <w:p w14:paraId="615FE2AD">
      <w:pPr>
        <w:pStyle w:val="47"/>
        <w:widowControl w:val="0"/>
        <w:adjustRightInd/>
        <w:snapToGrid/>
        <w:ind w:left="425" w:firstLineChars="0"/>
        <w:jc w:val="both"/>
        <w:rPr>
          <w:rFonts w:ascii="宋体" w:hAnsi="宋体" w:cs="宋体"/>
          <w:vanish/>
          <w:color w:val="auto"/>
          <w:szCs w:val="21"/>
        </w:rPr>
      </w:pPr>
    </w:p>
    <w:p w14:paraId="3687FF55">
      <w:pPr>
        <w:widowControl w:val="0"/>
        <w:numPr>
          <w:ilvl w:val="1"/>
          <w:numId w:val="3"/>
        </w:numPr>
        <w:overflowPunct w:val="0"/>
        <w:rPr>
          <w:rFonts w:ascii="宋体" w:hAnsi="宋体" w:cs="宋体"/>
          <w:color w:val="auto"/>
          <w:szCs w:val="21"/>
        </w:rPr>
      </w:pPr>
      <w:r>
        <w:rPr>
          <w:rFonts w:hint="eastAsia" w:ascii="宋体" w:hAnsi="宋体" w:cs="宋体"/>
          <w:color w:val="auto"/>
          <w:szCs w:val="21"/>
        </w:rPr>
        <w:t>货物是指各种形态和种类的物品，包括原材料、燃料、设备、产品等。</w:t>
      </w:r>
    </w:p>
    <w:p w14:paraId="1A5B3CB8">
      <w:pPr>
        <w:widowControl w:val="0"/>
        <w:numPr>
          <w:ilvl w:val="1"/>
          <w:numId w:val="3"/>
        </w:numPr>
        <w:overflowPunct w:val="0"/>
        <w:outlineLvl w:val="3"/>
        <w:rPr>
          <w:rFonts w:ascii="宋体" w:hAnsi="宋体" w:cs="宋体"/>
          <w:color w:val="auto"/>
          <w:szCs w:val="21"/>
        </w:rPr>
      </w:pPr>
      <w:bookmarkStart w:id="97" w:name="_Toc28292"/>
      <w:r>
        <w:rPr>
          <w:rFonts w:hint="eastAsia" w:ascii="宋体" w:hAnsi="宋体" w:cs="宋体"/>
          <w:color w:val="auto"/>
          <w:szCs w:val="21"/>
        </w:rPr>
        <w:t>服务是指除货物和工程以外的其他采购对象。</w:t>
      </w:r>
      <w:bookmarkEnd w:id="97"/>
    </w:p>
    <w:p w14:paraId="39351458">
      <w:pPr>
        <w:rPr>
          <w:rFonts w:ascii="宋体" w:hAnsi="宋体" w:cs="宋体"/>
          <w:color w:val="auto"/>
        </w:rPr>
      </w:pPr>
    </w:p>
    <w:p w14:paraId="445A41F8">
      <w:pPr>
        <w:pStyle w:val="5"/>
        <w:widowControl w:val="0"/>
        <w:numPr>
          <w:ilvl w:val="0"/>
          <w:numId w:val="3"/>
        </w:numPr>
        <w:overflowPunct w:val="0"/>
        <w:rPr>
          <w:rFonts w:ascii="宋体" w:hAnsi="宋体" w:cs="宋体"/>
          <w:color w:val="auto"/>
          <w:sz w:val="21"/>
          <w:szCs w:val="21"/>
        </w:rPr>
      </w:pPr>
      <w:bookmarkStart w:id="98" w:name="_Toc9546"/>
      <w:bookmarkStart w:id="99" w:name="_Toc1145"/>
      <w:bookmarkStart w:id="100" w:name="_Toc8334"/>
      <w:bookmarkStart w:id="101" w:name="_Toc3646"/>
      <w:r>
        <w:rPr>
          <w:rFonts w:hint="eastAsia" w:ascii="宋体" w:hAnsi="宋体" w:cs="宋体"/>
          <w:color w:val="auto"/>
          <w:sz w:val="21"/>
          <w:szCs w:val="21"/>
        </w:rPr>
        <w:t>投标费用</w:t>
      </w:r>
      <w:bookmarkEnd w:id="98"/>
      <w:bookmarkEnd w:id="99"/>
      <w:bookmarkEnd w:id="100"/>
      <w:bookmarkEnd w:id="101"/>
    </w:p>
    <w:p w14:paraId="55A1A44E">
      <w:pPr>
        <w:pStyle w:val="47"/>
        <w:widowControl w:val="0"/>
        <w:adjustRightInd/>
        <w:snapToGrid/>
        <w:ind w:left="425" w:firstLineChars="0"/>
        <w:jc w:val="both"/>
        <w:rPr>
          <w:rFonts w:ascii="宋体" w:hAnsi="宋体" w:cs="宋体"/>
          <w:vanish/>
          <w:color w:val="auto"/>
          <w:szCs w:val="21"/>
        </w:rPr>
      </w:pPr>
    </w:p>
    <w:p w14:paraId="35291CAD">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投标人应承担所有与编写投标文件和参加投标有关的自身的所有费用，不论投标的结果如何，采购代理机构和采购人在任何情况下均无义务和责任承担这些费用。</w:t>
      </w:r>
    </w:p>
    <w:p w14:paraId="053DF89C">
      <w:pPr>
        <w:widowControl w:val="0"/>
        <w:adjustRightInd/>
        <w:snapToGrid/>
        <w:jc w:val="both"/>
        <w:rPr>
          <w:rFonts w:ascii="宋体" w:hAnsi="宋体" w:cs="宋体"/>
          <w:color w:val="auto"/>
          <w:szCs w:val="21"/>
        </w:rPr>
      </w:pPr>
    </w:p>
    <w:p w14:paraId="35773165">
      <w:pPr>
        <w:pStyle w:val="5"/>
        <w:widowControl w:val="0"/>
        <w:numPr>
          <w:ilvl w:val="0"/>
          <w:numId w:val="3"/>
        </w:numPr>
        <w:overflowPunct w:val="0"/>
        <w:rPr>
          <w:rFonts w:ascii="宋体" w:hAnsi="宋体" w:cs="宋体"/>
          <w:color w:val="auto"/>
          <w:sz w:val="21"/>
          <w:szCs w:val="21"/>
        </w:rPr>
      </w:pPr>
      <w:bookmarkStart w:id="102" w:name="_Toc30089"/>
      <w:bookmarkStart w:id="103" w:name="_Toc30569"/>
      <w:bookmarkStart w:id="104" w:name="_Toc16743"/>
      <w:bookmarkStart w:id="105" w:name="_Toc26779"/>
      <w:r>
        <w:rPr>
          <w:rFonts w:hint="eastAsia" w:ascii="宋体" w:hAnsi="宋体" w:cs="宋体"/>
          <w:color w:val="auto"/>
          <w:sz w:val="21"/>
          <w:szCs w:val="21"/>
        </w:rPr>
        <w:t>知识产权</w:t>
      </w:r>
      <w:bookmarkEnd w:id="102"/>
      <w:bookmarkEnd w:id="103"/>
      <w:bookmarkEnd w:id="104"/>
      <w:bookmarkEnd w:id="105"/>
    </w:p>
    <w:p w14:paraId="38AEB66D">
      <w:pPr>
        <w:pStyle w:val="47"/>
        <w:widowControl w:val="0"/>
        <w:adjustRightInd/>
        <w:snapToGrid/>
        <w:ind w:left="425" w:firstLineChars="0"/>
        <w:jc w:val="both"/>
        <w:rPr>
          <w:rFonts w:ascii="宋体" w:hAnsi="宋体" w:cs="宋体"/>
          <w:vanish/>
          <w:color w:val="auto"/>
          <w:szCs w:val="21"/>
        </w:rPr>
      </w:pPr>
    </w:p>
    <w:p w14:paraId="2199390F">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0E2EB68A">
      <w:pPr>
        <w:widowControl w:val="0"/>
        <w:numPr>
          <w:ilvl w:val="1"/>
          <w:numId w:val="3"/>
        </w:numPr>
        <w:overflowPunct w:val="0"/>
        <w:outlineLvl w:val="3"/>
        <w:rPr>
          <w:rFonts w:ascii="宋体" w:hAnsi="宋体" w:cs="宋体"/>
          <w:color w:val="auto"/>
          <w:szCs w:val="21"/>
        </w:rPr>
      </w:pPr>
      <w:bookmarkStart w:id="106" w:name="_Toc11718"/>
      <w:r>
        <w:rPr>
          <w:rFonts w:hint="eastAsia" w:ascii="宋体" w:hAnsi="宋体" w:cs="宋体"/>
          <w:color w:val="auto"/>
          <w:szCs w:val="21"/>
        </w:rPr>
        <w:t>采购人享有本项目实施过程中产生的知识成果及知识产权。</w:t>
      </w:r>
      <w:bookmarkEnd w:id="106"/>
    </w:p>
    <w:p w14:paraId="311D878D">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投标人如欲在项目实施过程中采用自有知识成果，需在投标文件中声明，并提供相关知识产权证明文件。使用该知识成果后，投标人需提供开发接口和开发手册等技术文档。</w:t>
      </w:r>
    </w:p>
    <w:p w14:paraId="54E607A2">
      <w:pPr>
        <w:widowControl w:val="0"/>
        <w:numPr>
          <w:ilvl w:val="1"/>
          <w:numId w:val="3"/>
        </w:numPr>
        <w:overflowPunct w:val="0"/>
        <w:rPr>
          <w:rFonts w:ascii="宋体" w:hAnsi="宋体" w:cs="宋体"/>
          <w:color w:val="auto"/>
          <w:szCs w:val="21"/>
        </w:rPr>
      </w:pPr>
      <w:r>
        <w:rPr>
          <w:rFonts w:hint="eastAsia" w:ascii="宋体" w:hAnsi="宋体" w:cs="宋体"/>
          <w:color w:val="auto"/>
          <w:szCs w:val="21"/>
        </w:rPr>
        <w:t>采购货物为计算机办公设备时，投标人提供的产品必须是预装正版操作系统软件的计算机产品。</w:t>
      </w:r>
    </w:p>
    <w:p w14:paraId="17BFC2C5">
      <w:pPr>
        <w:widowControl w:val="0"/>
        <w:adjustRightInd/>
        <w:snapToGrid/>
        <w:ind w:left="567"/>
        <w:jc w:val="both"/>
        <w:rPr>
          <w:rFonts w:ascii="宋体" w:hAnsi="宋体" w:cs="宋体"/>
          <w:color w:val="auto"/>
          <w:szCs w:val="21"/>
        </w:rPr>
      </w:pPr>
    </w:p>
    <w:p w14:paraId="329FCF24">
      <w:pPr>
        <w:pStyle w:val="5"/>
        <w:widowControl w:val="0"/>
        <w:numPr>
          <w:ilvl w:val="0"/>
          <w:numId w:val="3"/>
        </w:numPr>
        <w:overflowPunct w:val="0"/>
        <w:rPr>
          <w:rFonts w:ascii="宋体" w:hAnsi="宋体" w:cs="宋体"/>
          <w:color w:val="auto"/>
          <w:sz w:val="21"/>
          <w:szCs w:val="21"/>
        </w:rPr>
      </w:pPr>
      <w:bookmarkStart w:id="107" w:name="_Toc14642"/>
      <w:bookmarkStart w:id="108" w:name="_Toc8489"/>
      <w:bookmarkStart w:id="109" w:name="_Toc3398"/>
      <w:bookmarkStart w:id="110" w:name="_Toc13841"/>
      <w:r>
        <w:rPr>
          <w:rFonts w:hint="eastAsia" w:ascii="宋体" w:hAnsi="宋体" w:cs="宋体"/>
          <w:color w:val="auto"/>
          <w:sz w:val="21"/>
          <w:szCs w:val="21"/>
        </w:rPr>
        <w:t>关于联合体投标</w:t>
      </w:r>
      <w:bookmarkEnd w:id="107"/>
      <w:bookmarkEnd w:id="108"/>
      <w:bookmarkEnd w:id="109"/>
      <w:bookmarkEnd w:id="110"/>
    </w:p>
    <w:p w14:paraId="37DA6E2C">
      <w:pPr>
        <w:pStyle w:val="47"/>
        <w:widowControl w:val="0"/>
        <w:adjustRightInd/>
        <w:snapToGrid/>
        <w:ind w:left="425" w:firstLineChars="0"/>
        <w:jc w:val="both"/>
        <w:rPr>
          <w:rFonts w:ascii="宋体" w:hAnsi="宋体" w:cs="宋体"/>
          <w:vanish/>
          <w:color w:val="auto"/>
          <w:szCs w:val="21"/>
        </w:rPr>
      </w:pPr>
    </w:p>
    <w:p w14:paraId="51C15C82">
      <w:pPr>
        <w:widowControl w:val="0"/>
        <w:numPr>
          <w:ilvl w:val="1"/>
          <w:numId w:val="3"/>
        </w:numPr>
        <w:overflowPunct w:val="0"/>
        <w:rPr>
          <w:rFonts w:ascii="宋体" w:hAnsi="宋体" w:cs="宋体"/>
          <w:color w:val="auto"/>
          <w:szCs w:val="21"/>
        </w:rPr>
      </w:pPr>
      <w:r>
        <w:rPr>
          <w:rFonts w:hint="eastAsia" w:ascii="宋体" w:hAnsi="宋体" w:cs="宋体"/>
          <w:color w:val="auto"/>
          <w:szCs w:val="21"/>
        </w:rPr>
        <w:t>对接受联合体投标的项目：两个以上的自然人、法人或者其他组织可以组成一个联合体，以一个投标人的身份共同参加采购活动。</w:t>
      </w:r>
    </w:p>
    <w:p w14:paraId="0206CEDB">
      <w:pPr>
        <w:widowControl w:val="0"/>
        <w:numPr>
          <w:ilvl w:val="1"/>
          <w:numId w:val="3"/>
        </w:numPr>
        <w:overflowPunct w:val="0"/>
        <w:rPr>
          <w:rFonts w:ascii="宋体" w:hAnsi="宋体" w:cs="宋体"/>
          <w:color w:val="auto"/>
          <w:szCs w:val="21"/>
        </w:rPr>
      </w:pPr>
      <w:r>
        <w:rPr>
          <w:rFonts w:hint="eastAsia" w:ascii="宋体" w:hAnsi="宋体" w:cs="宋体"/>
          <w:color w:val="auto"/>
          <w:szCs w:val="21"/>
        </w:rPr>
        <w:t>以联合体形式参与项目的供应商在领购采购文件时，应提供所有联合体组成成员的营业执照复印件，并加盖各联合体组成成员的公章。</w:t>
      </w:r>
    </w:p>
    <w:p w14:paraId="5A3A630D">
      <w:pPr>
        <w:widowControl w:val="0"/>
        <w:numPr>
          <w:ilvl w:val="1"/>
          <w:numId w:val="3"/>
        </w:numPr>
        <w:overflowPunct w:val="0"/>
        <w:rPr>
          <w:rFonts w:ascii="宋体" w:hAnsi="宋体" w:cs="宋体"/>
          <w:color w:val="auto"/>
          <w:szCs w:val="21"/>
        </w:rPr>
      </w:pPr>
      <w:r>
        <w:rPr>
          <w:rFonts w:hint="eastAsia" w:ascii="宋体" w:hAnsi="宋体" w:cs="宋体"/>
          <w:color w:val="auto"/>
          <w:szCs w:val="21"/>
        </w:rPr>
        <w:t>联合体各方均应具有独立承担民事责任能力的法人或其他组织。</w:t>
      </w:r>
    </w:p>
    <w:p w14:paraId="0CF6CC1C">
      <w:pPr>
        <w:widowControl w:val="0"/>
        <w:numPr>
          <w:ilvl w:val="1"/>
          <w:numId w:val="3"/>
        </w:numPr>
        <w:overflowPunct w:val="0"/>
        <w:rPr>
          <w:rFonts w:ascii="宋体" w:hAnsi="宋体" w:cs="宋体"/>
          <w:color w:val="auto"/>
          <w:szCs w:val="21"/>
        </w:rPr>
      </w:pPr>
      <w:r>
        <w:rPr>
          <w:rFonts w:hint="eastAsia" w:ascii="宋体" w:hAnsi="宋体" w:cs="宋体"/>
          <w:color w:val="auto"/>
          <w:szCs w:val="21"/>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7301053E">
      <w:pPr>
        <w:widowControl w:val="0"/>
        <w:numPr>
          <w:ilvl w:val="1"/>
          <w:numId w:val="3"/>
        </w:numPr>
        <w:overflowPunct w:val="0"/>
        <w:rPr>
          <w:rFonts w:ascii="宋体" w:hAnsi="宋体" w:cs="宋体"/>
          <w:color w:val="auto"/>
          <w:szCs w:val="21"/>
        </w:rPr>
      </w:pPr>
      <w:r>
        <w:rPr>
          <w:rFonts w:hint="eastAsia" w:ascii="宋体" w:hAnsi="宋体" w:cs="宋体"/>
          <w:color w:val="auto"/>
          <w:szCs w:val="21"/>
        </w:rPr>
        <w:t>采购文件对投标人资格条件有规定的，联合体各方均应当具备规定的相应资格条件。由同一专业的单位组成的联合体，按照资质等级较低的单位确定资质等级。</w:t>
      </w:r>
    </w:p>
    <w:p w14:paraId="093308C6">
      <w:pPr>
        <w:widowControl w:val="0"/>
        <w:numPr>
          <w:ilvl w:val="1"/>
          <w:numId w:val="3"/>
        </w:numPr>
        <w:overflowPunct w:val="0"/>
        <w:rPr>
          <w:rFonts w:ascii="宋体" w:hAnsi="宋体" w:cs="宋体"/>
          <w:color w:val="auto"/>
          <w:szCs w:val="21"/>
        </w:rPr>
      </w:pPr>
      <w:r>
        <w:rPr>
          <w:rFonts w:hint="eastAsia" w:ascii="宋体" w:hAnsi="宋体" w:cs="宋体"/>
          <w:color w:val="auto"/>
          <w:szCs w:val="21"/>
        </w:rPr>
        <w:t>联合体各方之间应当签订共同投标协议并在投标文件内提交，明确约定联合体各方承担的工作和相应的责任。联合体各方签订共同投标协议后，不得再以自己名义单独在同一项目中投标，也不得组成新的联合体参加同一项目投标。</w:t>
      </w:r>
    </w:p>
    <w:p w14:paraId="05E4411E">
      <w:pPr>
        <w:widowControl w:val="0"/>
        <w:numPr>
          <w:ilvl w:val="1"/>
          <w:numId w:val="3"/>
        </w:numPr>
        <w:overflowPunct w:val="0"/>
        <w:rPr>
          <w:rFonts w:ascii="宋体" w:hAnsi="宋体" w:cs="宋体"/>
          <w:color w:val="auto"/>
          <w:szCs w:val="21"/>
        </w:rPr>
      </w:pPr>
      <w:r>
        <w:rPr>
          <w:rFonts w:hint="eastAsia" w:ascii="宋体" w:hAnsi="宋体" w:cs="宋体"/>
          <w:color w:val="auto"/>
          <w:szCs w:val="21"/>
        </w:rPr>
        <w:t>供应商为联合体的，可以由联合体中的任意一方交纳保证金，其交纳的保证金对联合体各方均具有约束力。</w:t>
      </w:r>
    </w:p>
    <w:p w14:paraId="20A2BD52">
      <w:pPr>
        <w:widowControl w:val="0"/>
        <w:numPr>
          <w:ilvl w:val="1"/>
          <w:numId w:val="3"/>
        </w:numPr>
        <w:overflowPunct w:val="0"/>
        <w:rPr>
          <w:rFonts w:ascii="宋体" w:hAnsi="宋体" w:cs="宋体"/>
          <w:color w:val="auto"/>
          <w:szCs w:val="21"/>
        </w:rPr>
      </w:pPr>
      <w:r>
        <w:rPr>
          <w:rFonts w:hint="eastAsia" w:ascii="宋体" w:hAnsi="宋体" w:cs="宋体"/>
          <w:color w:val="auto"/>
          <w:szCs w:val="21"/>
        </w:rPr>
        <w:t>除联合体协议明确授权盖章单位外，联合体投标时投标文件中所有要求盖章的地方均须加盖联合体所有组成成员的公章，否则该处盖章无效。</w:t>
      </w:r>
    </w:p>
    <w:p w14:paraId="1E45A6B7">
      <w:pPr>
        <w:widowControl w:val="0"/>
        <w:numPr>
          <w:ilvl w:val="1"/>
          <w:numId w:val="3"/>
        </w:numPr>
        <w:overflowPunct w:val="0"/>
        <w:rPr>
          <w:rFonts w:ascii="宋体" w:hAnsi="宋体" w:cs="宋体"/>
          <w:color w:val="auto"/>
          <w:szCs w:val="21"/>
        </w:rPr>
      </w:pPr>
      <w:r>
        <w:rPr>
          <w:rFonts w:hint="eastAsia" w:ascii="宋体" w:hAnsi="宋体" w:cs="宋体"/>
          <w:color w:val="auto"/>
          <w:szCs w:val="21"/>
        </w:rPr>
        <w:t>联合体进行评分时，业绩、奖项等的认定和评分根据共同投标协议约定的各方承担的工作和相应责任，确定一方打分，不累加打分；评审标准不明确或难以明确以哪一方计算评分情况时，则按主体方情况评分。</w:t>
      </w:r>
    </w:p>
    <w:p w14:paraId="71198F99">
      <w:pPr>
        <w:widowControl w:val="0"/>
        <w:adjustRightInd/>
        <w:snapToGrid/>
        <w:ind w:left="567"/>
        <w:jc w:val="both"/>
        <w:rPr>
          <w:rFonts w:ascii="宋体" w:hAnsi="宋体" w:cs="宋体"/>
          <w:color w:val="auto"/>
          <w:szCs w:val="21"/>
        </w:rPr>
      </w:pPr>
    </w:p>
    <w:p w14:paraId="7CA6C79B">
      <w:pPr>
        <w:pStyle w:val="5"/>
        <w:widowControl w:val="0"/>
        <w:numPr>
          <w:ilvl w:val="0"/>
          <w:numId w:val="3"/>
        </w:numPr>
        <w:overflowPunct w:val="0"/>
        <w:rPr>
          <w:rFonts w:ascii="宋体" w:hAnsi="宋体" w:cs="宋体"/>
          <w:color w:val="auto"/>
          <w:sz w:val="21"/>
          <w:szCs w:val="21"/>
        </w:rPr>
      </w:pPr>
      <w:bookmarkStart w:id="111" w:name="_Toc18013"/>
      <w:bookmarkStart w:id="112" w:name="_Toc7475"/>
      <w:bookmarkStart w:id="113" w:name="_Toc23671"/>
      <w:bookmarkStart w:id="114" w:name="_Toc9716"/>
      <w:r>
        <w:rPr>
          <w:rFonts w:hint="eastAsia" w:ascii="宋体" w:hAnsi="宋体" w:cs="宋体"/>
          <w:color w:val="auto"/>
          <w:sz w:val="21"/>
          <w:szCs w:val="21"/>
        </w:rPr>
        <w:t>关于分支机构投标</w:t>
      </w:r>
      <w:bookmarkEnd w:id="111"/>
      <w:bookmarkEnd w:id="112"/>
      <w:bookmarkEnd w:id="113"/>
      <w:bookmarkEnd w:id="114"/>
    </w:p>
    <w:p w14:paraId="25447C39">
      <w:pPr>
        <w:pStyle w:val="47"/>
        <w:widowControl w:val="0"/>
        <w:adjustRightInd/>
        <w:snapToGrid/>
        <w:ind w:left="425" w:firstLineChars="0"/>
        <w:jc w:val="both"/>
        <w:rPr>
          <w:rFonts w:ascii="宋体" w:hAnsi="宋体" w:cs="宋体"/>
          <w:vanish/>
          <w:color w:val="auto"/>
          <w:szCs w:val="21"/>
        </w:rPr>
      </w:pPr>
      <w:bookmarkStart w:id="115" w:name="EB389f116341dd4693875bc7987e7327f3"/>
    </w:p>
    <w:p w14:paraId="4F5E545F">
      <w:pPr>
        <w:widowControl w:val="0"/>
        <w:numPr>
          <w:ilvl w:val="1"/>
          <w:numId w:val="3"/>
        </w:numPr>
        <w:overflowPunct w:val="0"/>
        <w:rPr>
          <w:rFonts w:ascii="宋体" w:hAnsi="宋体" w:cs="宋体"/>
          <w:color w:val="auto"/>
          <w:szCs w:val="21"/>
        </w:rPr>
      </w:pPr>
      <w:r>
        <w:rPr>
          <w:rFonts w:hint="eastAsia" w:ascii="宋体" w:hAnsi="宋体" w:cs="宋体"/>
          <w:color w:val="auto"/>
          <w:szCs w:val="21"/>
        </w:rPr>
        <w:t>对可接受分支机构投标的项目，分支机构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115"/>
    </w:p>
    <w:p w14:paraId="70D7AD28">
      <w:pPr>
        <w:widowControl w:val="0"/>
        <w:adjustRightInd/>
        <w:snapToGrid/>
        <w:ind w:left="567"/>
        <w:jc w:val="both"/>
        <w:rPr>
          <w:rFonts w:ascii="宋体" w:hAnsi="宋体" w:cs="宋体"/>
          <w:color w:val="auto"/>
          <w:szCs w:val="21"/>
        </w:rPr>
      </w:pPr>
    </w:p>
    <w:p w14:paraId="1D1ABFE9">
      <w:pPr>
        <w:pStyle w:val="5"/>
        <w:widowControl w:val="0"/>
        <w:numPr>
          <w:ilvl w:val="0"/>
          <w:numId w:val="3"/>
        </w:numPr>
        <w:overflowPunct w:val="0"/>
        <w:rPr>
          <w:rFonts w:ascii="宋体" w:hAnsi="宋体" w:cs="宋体"/>
          <w:color w:val="auto"/>
          <w:sz w:val="21"/>
          <w:szCs w:val="21"/>
        </w:rPr>
      </w:pPr>
      <w:bookmarkStart w:id="116" w:name="_Toc31319"/>
      <w:bookmarkStart w:id="117" w:name="_Toc9573"/>
      <w:bookmarkStart w:id="118" w:name="_Toc8711"/>
      <w:bookmarkStart w:id="119" w:name="_Toc17851"/>
      <w:r>
        <w:rPr>
          <w:rFonts w:hint="eastAsia" w:ascii="宋体" w:hAnsi="宋体" w:cs="宋体"/>
          <w:color w:val="auto"/>
          <w:sz w:val="21"/>
          <w:szCs w:val="21"/>
        </w:rPr>
        <w:t>踏勘现场</w:t>
      </w:r>
      <w:bookmarkEnd w:id="116"/>
      <w:bookmarkEnd w:id="117"/>
      <w:bookmarkEnd w:id="118"/>
      <w:bookmarkEnd w:id="119"/>
    </w:p>
    <w:p w14:paraId="2641022C">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《投标资料表》规定组织踏勘现场的，采购人按《投标资料表》规定的时间、地点组织响应人踏勘项目现场；</w:t>
      </w:r>
    </w:p>
    <w:p w14:paraId="26FD1220">
      <w:pPr>
        <w:widowControl w:val="0"/>
        <w:numPr>
          <w:ilvl w:val="1"/>
          <w:numId w:val="3"/>
        </w:numPr>
        <w:overflowPunct w:val="0"/>
        <w:outlineLvl w:val="3"/>
        <w:rPr>
          <w:rFonts w:ascii="宋体" w:hAnsi="宋体" w:cs="宋体"/>
          <w:color w:val="auto"/>
          <w:szCs w:val="21"/>
        </w:rPr>
      </w:pPr>
      <w:bookmarkStart w:id="120" w:name="_Toc30265"/>
      <w:r>
        <w:rPr>
          <w:rFonts w:hint="eastAsia" w:ascii="宋体" w:hAnsi="宋体" w:cs="宋体"/>
          <w:color w:val="auto"/>
          <w:szCs w:val="21"/>
        </w:rPr>
        <w:t>响应人踏勘现场发生的费用自理；</w:t>
      </w:r>
      <w:bookmarkEnd w:id="120"/>
    </w:p>
    <w:p w14:paraId="55AD1BAF">
      <w:pPr>
        <w:widowControl w:val="0"/>
        <w:numPr>
          <w:ilvl w:val="1"/>
          <w:numId w:val="3"/>
        </w:numPr>
        <w:overflowPunct w:val="0"/>
        <w:rPr>
          <w:rFonts w:ascii="宋体" w:hAnsi="宋体" w:cs="宋体"/>
          <w:color w:val="auto"/>
          <w:szCs w:val="21"/>
        </w:rPr>
      </w:pPr>
      <w:r>
        <w:rPr>
          <w:rFonts w:hint="eastAsia" w:ascii="宋体" w:hAnsi="宋体" w:cs="宋体"/>
          <w:color w:val="auto"/>
          <w:szCs w:val="21"/>
        </w:rPr>
        <w:t>除采购人的原因外，响应人自行负责在踏勘现场中所发生的人员伤亡和财产损失；</w:t>
      </w:r>
    </w:p>
    <w:p w14:paraId="6D0BDC0B">
      <w:pPr>
        <w:widowControl w:val="0"/>
        <w:numPr>
          <w:ilvl w:val="1"/>
          <w:numId w:val="3"/>
        </w:numPr>
        <w:overflowPunct w:val="0"/>
        <w:rPr>
          <w:rFonts w:ascii="宋体" w:hAnsi="宋体" w:cs="宋体"/>
          <w:color w:val="auto"/>
          <w:szCs w:val="21"/>
        </w:rPr>
      </w:pPr>
      <w:r>
        <w:rPr>
          <w:rFonts w:hint="eastAsia" w:ascii="宋体" w:hAnsi="宋体" w:cs="宋体"/>
          <w:color w:val="auto"/>
          <w:szCs w:val="21"/>
        </w:rPr>
        <w:t>采购人在踏勘现场中介绍的实施地点和相关的周边环境情况，供响应人在编制投标文件时参考，采购人不对响应人据此作出的判断和决策负责；</w:t>
      </w:r>
    </w:p>
    <w:p w14:paraId="7B05792B">
      <w:pPr>
        <w:rPr>
          <w:rFonts w:ascii="宋体" w:hAnsi="宋体" w:cs="宋体"/>
          <w:color w:val="auto"/>
        </w:rPr>
      </w:pPr>
    </w:p>
    <w:p w14:paraId="1C066B79">
      <w:pPr>
        <w:pStyle w:val="4"/>
        <w:numPr>
          <w:ilvl w:val="0"/>
          <w:numId w:val="2"/>
        </w:numPr>
        <w:spacing w:before="0" w:after="0" w:line="360" w:lineRule="auto"/>
        <w:jc w:val="center"/>
        <w:rPr>
          <w:rFonts w:ascii="宋体" w:hAnsi="宋体" w:cs="宋体"/>
          <w:color w:val="auto"/>
        </w:rPr>
      </w:pPr>
      <w:bookmarkStart w:id="121" w:name="_Toc10723"/>
      <w:bookmarkStart w:id="122" w:name="_Toc8421"/>
      <w:bookmarkStart w:id="123" w:name="_Toc3302"/>
      <w:bookmarkStart w:id="124" w:name="_Toc17811"/>
      <w:r>
        <w:rPr>
          <w:rFonts w:hint="eastAsia" w:ascii="宋体" w:hAnsi="宋体" w:cs="宋体"/>
          <w:color w:val="auto"/>
        </w:rPr>
        <w:t>采购文件</w:t>
      </w:r>
      <w:bookmarkEnd w:id="121"/>
      <w:bookmarkEnd w:id="122"/>
      <w:bookmarkEnd w:id="123"/>
      <w:bookmarkEnd w:id="124"/>
    </w:p>
    <w:p w14:paraId="3D55B662">
      <w:pPr>
        <w:pStyle w:val="5"/>
        <w:widowControl w:val="0"/>
        <w:numPr>
          <w:ilvl w:val="0"/>
          <w:numId w:val="3"/>
        </w:numPr>
        <w:overflowPunct w:val="0"/>
        <w:rPr>
          <w:rFonts w:ascii="宋体" w:hAnsi="宋体" w:cs="宋体"/>
          <w:color w:val="auto"/>
          <w:sz w:val="21"/>
          <w:szCs w:val="21"/>
        </w:rPr>
      </w:pPr>
      <w:bookmarkStart w:id="125" w:name="_Toc23219"/>
      <w:bookmarkStart w:id="126" w:name="_Toc4610"/>
      <w:bookmarkStart w:id="127" w:name="_Toc21653"/>
      <w:bookmarkStart w:id="128" w:name="_Toc30872"/>
      <w:r>
        <w:rPr>
          <w:rFonts w:hint="eastAsia" w:ascii="宋体" w:hAnsi="宋体" w:cs="宋体"/>
          <w:color w:val="auto"/>
          <w:sz w:val="21"/>
          <w:szCs w:val="21"/>
        </w:rPr>
        <w:t>采购文件的组成</w:t>
      </w:r>
      <w:bookmarkEnd w:id="125"/>
      <w:bookmarkEnd w:id="126"/>
      <w:bookmarkEnd w:id="127"/>
      <w:bookmarkEnd w:id="128"/>
    </w:p>
    <w:p w14:paraId="1C4294A3">
      <w:pPr>
        <w:pStyle w:val="47"/>
        <w:widowControl w:val="0"/>
        <w:numPr>
          <w:ilvl w:val="0"/>
          <w:numId w:val="4"/>
        </w:numPr>
        <w:adjustRightInd/>
        <w:snapToGrid/>
        <w:ind w:firstLineChars="0"/>
        <w:jc w:val="both"/>
        <w:rPr>
          <w:rFonts w:ascii="宋体" w:hAnsi="宋体" w:cs="宋体"/>
          <w:vanish/>
          <w:color w:val="auto"/>
          <w:szCs w:val="21"/>
        </w:rPr>
      </w:pPr>
    </w:p>
    <w:p w14:paraId="414CEC2F">
      <w:pPr>
        <w:widowControl w:val="0"/>
        <w:numPr>
          <w:ilvl w:val="1"/>
          <w:numId w:val="3"/>
        </w:numPr>
        <w:overflowPunct w:val="0"/>
        <w:outlineLvl w:val="3"/>
        <w:rPr>
          <w:rFonts w:ascii="宋体" w:hAnsi="宋体" w:cs="宋体"/>
          <w:color w:val="auto"/>
          <w:szCs w:val="21"/>
        </w:rPr>
      </w:pPr>
      <w:bookmarkStart w:id="129" w:name="_Toc15575"/>
      <w:r>
        <w:rPr>
          <w:rFonts w:hint="eastAsia" w:ascii="宋体" w:hAnsi="宋体" w:cs="宋体"/>
          <w:color w:val="auto"/>
          <w:szCs w:val="21"/>
        </w:rPr>
        <w:t>采购文件包括：</w:t>
      </w:r>
      <w:bookmarkEnd w:id="129"/>
    </w:p>
    <w:p w14:paraId="3F0D9F0A">
      <w:pPr>
        <w:widowControl w:val="0"/>
        <w:overflowPunct w:val="0"/>
        <w:rPr>
          <w:rFonts w:ascii="宋体" w:hAnsi="宋体" w:cs="宋体"/>
          <w:color w:val="auto"/>
          <w:szCs w:val="21"/>
        </w:rPr>
      </w:pPr>
      <w:r>
        <w:rPr>
          <w:rFonts w:hint="eastAsia" w:ascii="宋体" w:hAnsi="宋体" w:cs="宋体"/>
          <w:color w:val="auto"/>
          <w:szCs w:val="21"/>
        </w:rPr>
        <w:t>（1）投标邀请书；</w:t>
      </w:r>
    </w:p>
    <w:p w14:paraId="089B25EB">
      <w:pPr>
        <w:widowControl w:val="0"/>
        <w:overflowPunct w:val="0"/>
        <w:rPr>
          <w:rFonts w:ascii="宋体" w:hAnsi="宋体" w:cs="宋体"/>
          <w:color w:val="auto"/>
          <w:szCs w:val="21"/>
        </w:rPr>
      </w:pPr>
      <w:r>
        <w:rPr>
          <w:rFonts w:hint="eastAsia" w:ascii="宋体" w:hAnsi="宋体" w:cs="宋体"/>
          <w:color w:val="auto"/>
          <w:szCs w:val="21"/>
        </w:rPr>
        <w:t>（2）投标资料表；</w:t>
      </w:r>
    </w:p>
    <w:p w14:paraId="430A4F55">
      <w:pPr>
        <w:widowControl w:val="0"/>
        <w:overflowPunct w:val="0"/>
        <w:rPr>
          <w:rFonts w:ascii="宋体" w:hAnsi="宋体" w:cs="宋体"/>
          <w:color w:val="auto"/>
          <w:szCs w:val="21"/>
        </w:rPr>
      </w:pPr>
      <w:r>
        <w:rPr>
          <w:rFonts w:hint="eastAsia" w:ascii="宋体" w:hAnsi="宋体" w:cs="宋体"/>
          <w:color w:val="auto"/>
          <w:szCs w:val="21"/>
        </w:rPr>
        <w:t>（3）用户需求书；</w:t>
      </w:r>
    </w:p>
    <w:p w14:paraId="7D925B19">
      <w:pPr>
        <w:widowControl w:val="0"/>
        <w:overflowPunct w:val="0"/>
        <w:rPr>
          <w:rFonts w:ascii="宋体" w:hAnsi="宋体" w:cs="宋体"/>
          <w:color w:val="auto"/>
          <w:szCs w:val="21"/>
        </w:rPr>
      </w:pPr>
      <w:r>
        <w:rPr>
          <w:rFonts w:hint="eastAsia" w:ascii="宋体" w:hAnsi="宋体" w:cs="宋体"/>
          <w:color w:val="auto"/>
          <w:szCs w:val="21"/>
        </w:rPr>
        <w:t>（4）投标人须知；</w:t>
      </w:r>
    </w:p>
    <w:p w14:paraId="72BDCB82">
      <w:pPr>
        <w:widowControl w:val="0"/>
        <w:overflowPunct w:val="0"/>
        <w:rPr>
          <w:rFonts w:ascii="宋体" w:hAnsi="宋体" w:cs="宋体"/>
          <w:color w:val="auto"/>
          <w:szCs w:val="21"/>
        </w:rPr>
      </w:pPr>
      <w:r>
        <w:rPr>
          <w:rFonts w:hint="eastAsia" w:ascii="宋体" w:hAnsi="宋体" w:cs="宋体"/>
          <w:color w:val="auto"/>
          <w:szCs w:val="21"/>
        </w:rPr>
        <w:t>（5）拟签订的合同文本；</w:t>
      </w:r>
    </w:p>
    <w:p w14:paraId="76353D20">
      <w:pPr>
        <w:widowControl w:val="0"/>
        <w:overflowPunct w:val="0"/>
        <w:rPr>
          <w:rFonts w:ascii="宋体" w:hAnsi="宋体" w:cs="宋体"/>
          <w:color w:val="auto"/>
          <w:szCs w:val="21"/>
        </w:rPr>
      </w:pPr>
      <w:r>
        <w:rPr>
          <w:rFonts w:hint="eastAsia" w:ascii="宋体" w:hAnsi="宋体" w:cs="宋体"/>
          <w:color w:val="auto"/>
          <w:szCs w:val="21"/>
        </w:rPr>
        <w:t>（6）投标文件格式；</w:t>
      </w:r>
    </w:p>
    <w:p w14:paraId="7376DB0D">
      <w:pPr>
        <w:widowControl w:val="0"/>
        <w:overflowPunct w:val="0"/>
        <w:rPr>
          <w:rFonts w:ascii="宋体" w:hAnsi="宋体" w:cs="宋体"/>
          <w:color w:val="auto"/>
          <w:szCs w:val="21"/>
        </w:rPr>
      </w:pPr>
      <w:r>
        <w:rPr>
          <w:rFonts w:hint="eastAsia" w:ascii="宋体" w:hAnsi="宋体" w:cs="宋体"/>
          <w:color w:val="auto"/>
          <w:szCs w:val="21"/>
        </w:rPr>
        <w:t>（7）在采购过程中由采购代理机构发出的澄清更正文件等。</w:t>
      </w:r>
    </w:p>
    <w:p w14:paraId="31BE6740">
      <w:pPr>
        <w:rPr>
          <w:rFonts w:ascii="宋体" w:hAnsi="宋体" w:cs="宋体"/>
          <w:color w:val="auto"/>
        </w:rPr>
      </w:pPr>
    </w:p>
    <w:p w14:paraId="708BE0E2">
      <w:pPr>
        <w:pStyle w:val="5"/>
        <w:widowControl w:val="0"/>
        <w:numPr>
          <w:ilvl w:val="0"/>
          <w:numId w:val="3"/>
        </w:numPr>
        <w:overflowPunct w:val="0"/>
        <w:rPr>
          <w:rFonts w:ascii="宋体" w:hAnsi="宋体" w:cs="宋体"/>
          <w:color w:val="auto"/>
          <w:sz w:val="21"/>
          <w:szCs w:val="21"/>
        </w:rPr>
      </w:pPr>
      <w:bookmarkStart w:id="130" w:name="_Toc32394"/>
      <w:bookmarkStart w:id="131" w:name="_Toc11082"/>
      <w:bookmarkStart w:id="132" w:name="_Toc765"/>
      <w:bookmarkStart w:id="133" w:name="_Toc24270"/>
      <w:r>
        <w:rPr>
          <w:rFonts w:hint="eastAsia" w:ascii="宋体" w:hAnsi="宋体" w:cs="宋体"/>
          <w:color w:val="auto"/>
          <w:sz w:val="21"/>
          <w:szCs w:val="21"/>
        </w:rPr>
        <w:t>采购文件的澄清或修改</w:t>
      </w:r>
      <w:bookmarkEnd w:id="130"/>
      <w:bookmarkEnd w:id="131"/>
      <w:bookmarkEnd w:id="132"/>
      <w:bookmarkEnd w:id="133"/>
    </w:p>
    <w:p w14:paraId="413F27C0">
      <w:pPr>
        <w:pStyle w:val="47"/>
        <w:widowControl w:val="0"/>
        <w:numPr>
          <w:ilvl w:val="0"/>
          <w:numId w:val="4"/>
        </w:numPr>
        <w:adjustRightInd/>
        <w:snapToGrid/>
        <w:ind w:firstLineChars="0"/>
        <w:jc w:val="both"/>
        <w:rPr>
          <w:rFonts w:ascii="宋体" w:hAnsi="宋体" w:cs="宋体"/>
          <w:vanish/>
          <w:color w:val="auto"/>
          <w:szCs w:val="21"/>
        </w:rPr>
      </w:pPr>
    </w:p>
    <w:p w14:paraId="2EE4CF16">
      <w:pPr>
        <w:widowControl w:val="0"/>
        <w:numPr>
          <w:ilvl w:val="1"/>
          <w:numId w:val="3"/>
        </w:numPr>
        <w:overflowPunct w:val="0"/>
        <w:rPr>
          <w:rFonts w:ascii="宋体" w:hAnsi="宋体" w:cs="宋体"/>
          <w:color w:val="auto"/>
          <w:szCs w:val="21"/>
        </w:rPr>
      </w:pPr>
      <w:r>
        <w:rPr>
          <w:rFonts w:hint="eastAsia" w:ascii="宋体" w:hAnsi="宋体" w:cs="宋体"/>
          <w:color w:val="auto"/>
          <w:szCs w:val="21"/>
        </w:rPr>
        <w:t>采购人或者采购代理机构可以对已发出的采购文件、资格预审文件、投标邀请书进行必要的澄清或者修改。澄清或者修改的内容为采购文件、资格预审文件、投标邀请书的组成部分，具有约束作用。当采购文件、采购文件的澄清或修改等在同一内容的表述上不一致时，以最后发出的书面文件及公告为准。</w:t>
      </w:r>
    </w:p>
    <w:p w14:paraId="1AE94CC5">
      <w:pPr>
        <w:widowControl w:val="0"/>
        <w:numPr>
          <w:ilvl w:val="1"/>
          <w:numId w:val="3"/>
        </w:numPr>
        <w:overflowPunct w:val="0"/>
        <w:rPr>
          <w:rFonts w:ascii="宋体" w:hAnsi="宋体" w:cs="宋体"/>
          <w:b/>
          <w:bCs/>
          <w:color w:val="auto"/>
          <w:szCs w:val="21"/>
        </w:rPr>
      </w:pPr>
      <w:r>
        <w:rPr>
          <w:rFonts w:hint="eastAsia" w:ascii="宋体" w:hAnsi="宋体" w:cs="宋体"/>
          <w:b/>
          <w:bCs/>
          <w:color w:val="auto"/>
          <w:szCs w:val="21"/>
        </w:rPr>
        <w:t>采购期间，投标人有义务上网查看，公告一经上网发布，即视为送达。因投标人未及时上网查看而造成的所有后果，由投标人自行承担。</w:t>
      </w:r>
    </w:p>
    <w:p w14:paraId="0332E9E0">
      <w:pPr>
        <w:widowControl w:val="0"/>
        <w:adjustRightInd/>
        <w:snapToGrid/>
        <w:ind w:left="567"/>
        <w:jc w:val="both"/>
        <w:rPr>
          <w:rFonts w:ascii="宋体" w:hAnsi="宋体" w:cs="宋体"/>
          <w:color w:val="auto"/>
          <w:szCs w:val="21"/>
        </w:rPr>
      </w:pPr>
    </w:p>
    <w:p w14:paraId="5342F4B7">
      <w:pPr>
        <w:pStyle w:val="4"/>
        <w:numPr>
          <w:ilvl w:val="0"/>
          <w:numId w:val="2"/>
        </w:numPr>
        <w:spacing w:before="0" w:after="0" w:line="360" w:lineRule="auto"/>
        <w:jc w:val="center"/>
        <w:rPr>
          <w:rFonts w:ascii="宋体" w:hAnsi="宋体" w:cs="宋体"/>
          <w:color w:val="auto"/>
        </w:rPr>
      </w:pPr>
      <w:bookmarkStart w:id="134" w:name="_Toc31398"/>
      <w:bookmarkStart w:id="135" w:name="_Toc25139"/>
      <w:bookmarkStart w:id="136" w:name="_Toc21020"/>
      <w:bookmarkStart w:id="137" w:name="_Toc24125"/>
      <w:r>
        <w:rPr>
          <w:rFonts w:hint="eastAsia" w:ascii="宋体" w:hAnsi="宋体" w:cs="宋体"/>
          <w:color w:val="auto"/>
        </w:rPr>
        <w:t>投标文件的编制</w:t>
      </w:r>
      <w:bookmarkEnd w:id="134"/>
      <w:bookmarkEnd w:id="135"/>
      <w:bookmarkEnd w:id="136"/>
      <w:bookmarkEnd w:id="137"/>
    </w:p>
    <w:p w14:paraId="4AB2EF1E">
      <w:pPr>
        <w:pStyle w:val="5"/>
        <w:widowControl w:val="0"/>
        <w:numPr>
          <w:ilvl w:val="0"/>
          <w:numId w:val="3"/>
        </w:numPr>
        <w:overflowPunct w:val="0"/>
        <w:rPr>
          <w:rFonts w:ascii="宋体" w:hAnsi="宋体" w:cs="宋体"/>
          <w:color w:val="auto"/>
          <w:sz w:val="21"/>
          <w:szCs w:val="21"/>
        </w:rPr>
      </w:pPr>
      <w:bookmarkStart w:id="138" w:name="_Toc29844"/>
      <w:bookmarkStart w:id="139" w:name="_Toc31328"/>
      <w:bookmarkStart w:id="140" w:name="_Toc13224"/>
      <w:bookmarkStart w:id="141" w:name="_Toc11287"/>
      <w:r>
        <w:rPr>
          <w:rFonts w:hint="eastAsia" w:ascii="宋体" w:hAnsi="宋体" w:cs="宋体"/>
          <w:color w:val="auto"/>
          <w:sz w:val="21"/>
          <w:szCs w:val="21"/>
        </w:rPr>
        <w:t>投标文件的语言及度量衡单位</w:t>
      </w:r>
      <w:bookmarkEnd w:id="138"/>
      <w:bookmarkEnd w:id="139"/>
      <w:bookmarkEnd w:id="140"/>
      <w:bookmarkEnd w:id="141"/>
    </w:p>
    <w:p w14:paraId="4D8C2C30">
      <w:pPr>
        <w:pStyle w:val="47"/>
        <w:widowControl w:val="0"/>
        <w:numPr>
          <w:ilvl w:val="0"/>
          <w:numId w:val="4"/>
        </w:numPr>
        <w:adjustRightInd/>
        <w:snapToGrid/>
        <w:ind w:firstLineChars="0"/>
        <w:jc w:val="both"/>
        <w:rPr>
          <w:rFonts w:ascii="宋体" w:hAnsi="宋体" w:cs="宋体"/>
          <w:vanish/>
          <w:color w:val="auto"/>
          <w:szCs w:val="21"/>
        </w:rPr>
      </w:pPr>
    </w:p>
    <w:p w14:paraId="1588028F">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1DD6E89D">
      <w:pPr>
        <w:widowControl w:val="0"/>
        <w:numPr>
          <w:ilvl w:val="1"/>
          <w:numId w:val="3"/>
        </w:numPr>
        <w:overflowPunct w:val="0"/>
        <w:rPr>
          <w:rFonts w:ascii="宋体" w:hAnsi="宋体" w:cs="宋体"/>
          <w:color w:val="auto"/>
          <w:szCs w:val="21"/>
        </w:rPr>
      </w:pPr>
      <w:r>
        <w:rPr>
          <w:rFonts w:hint="eastAsia" w:ascii="宋体" w:hAnsi="宋体" w:cs="宋体"/>
          <w:color w:val="auto"/>
          <w:szCs w:val="21"/>
        </w:rPr>
        <w:t>除非采购文件在技术规格中另有规定，投标人在投标文件中及其与采购代理机构和采购人所有往来文件中的所有计量单位均应采用中华人民共和国法定计量单位。</w:t>
      </w:r>
    </w:p>
    <w:p w14:paraId="58A69F82">
      <w:pPr>
        <w:widowControl w:val="0"/>
        <w:adjustRightInd/>
        <w:snapToGrid/>
        <w:ind w:left="567"/>
        <w:jc w:val="both"/>
        <w:rPr>
          <w:rFonts w:ascii="宋体" w:hAnsi="宋体" w:cs="宋体"/>
          <w:color w:val="auto"/>
          <w:szCs w:val="21"/>
        </w:rPr>
      </w:pPr>
    </w:p>
    <w:p w14:paraId="0B421B37">
      <w:pPr>
        <w:pStyle w:val="5"/>
        <w:widowControl w:val="0"/>
        <w:numPr>
          <w:ilvl w:val="0"/>
          <w:numId w:val="3"/>
        </w:numPr>
        <w:overflowPunct w:val="0"/>
        <w:rPr>
          <w:rFonts w:ascii="宋体" w:hAnsi="宋体" w:cs="宋体"/>
          <w:color w:val="auto"/>
          <w:sz w:val="21"/>
          <w:szCs w:val="21"/>
        </w:rPr>
      </w:pPr>
      <w:bookmarkStart w:id="142" w:name="_Toc303084256"/>
      <w:bookmarkStart w:id="143" w:name="_Toc10824"/>
      <w:bookmarkStart w:id="144" w:name="_Toc382049103"/>
      <w:bookmarkStart w:id="145" w:name="_Toc8556"/>
      <w:bookmarkStart w:id="146" w:name="_Toc307934854"/>
      <w:bookmarkStart w:id="147" w:name="_Toc3072"/>
      <w:bookmarkStart w:id="148" w:name="_Toc24344"/>
      <w:bookmarkStart w:id="149" w:name="_Toc28866"/>
      <w:r>
        <w:rPr>
          <w:rFonts w:hint="eastAsia" w:ascii="宋体" w:hAnsi="宋体" w:cs="宋体"/>
          <w:color w:val="auto"/>
          <w:sz w:val="21"/>
          <w:szCs w:val="21"/>
        </w:rPr>
        <w:t>投标文件的组成</w:t>
      </w:r>
      <w:bookmarkEnd w:id="142"/>
      <w:bookmarkEnd w:id="143"/>
      <w:bookmarkEnd w:id="144"/>
      <w:bookmarkEnd w:id="145"/>
      <w:bookmarkEnd w:id="146"/>
      <w:bookmarkEnd w:id="147"/>
      <w:bookmarkEnd w:id="148"/>
      <w:bookmarkEnd w:id="149"/>
    </w:p>
    <w:p w14:paraId="021AD06C">
      <w:pPr>
        <w:pStyle w:val="47"/>
        <w:widowControl w:val="0"/>
        <w:numPr>
          <w:ilvl w:val="0"/>
          <w:numId w:val="4"/>
        </w:numPr>
        <w:adjustRightInd/>
        <w:snapToGrid/>
        <w:ind w:firstLineChars="0"/>
        <w:jc w:val="both"/>
        <w:rPr>
          <w:rFonts w:ascii="宋体" w:hAnsi="宋体" w:cs="宋体"/>
          <w:vanish/>
          <w:color w:val="auto"/>
          <w:szCs w:val="21"/>
        </w:rPr>
      </w:pPr>
    </w:p>
    <w:p w14:paraId="59BA5EA1">
      <w:pPr>
        <w:widowControl w:val="0"/>
        <w:numPr>
          <w:ilvl w:val="1"/>
          <w:numId w:val="3"/>
        </w:numPr>
        <w:overflowPunct w:val="0"/>
        <w:outlineLvl w:val="3"/>
        <w:rPr>
          <w:rFonts w:ascii="宋体" w:hAnsi="宋体" w:cs="宋体"/>
          <w:color w:val="auto"/>
          <w:szCs w:val="21"/>
        </w:rPr>
      </w:pPr>
      <w:bookmarkStart w:id="150" w:name="_Toc21466"/>
      <w:r>
        <w:rPr>
          <w:rFonts w:hint="eastAsia" w:ascii="宋体" w:hAnsi="宋体" w:cs="宋体"/>
          <w:color w:val="auto"/>
          <w:szCs w:val="21"/>
        </w:rPr>
        <w:t>包括但不限于采购文件附件格式中要求提供的表格。</w:t>
      </w:r>
      <w:bookmarkEnd w:id="150"/>
    </w:p>
    <w:p w14:paraId="5DCD2473">
      <w:pPr>
        <w:widowControl w:val="0"/>
        <w:numPr>
          <w:ilvl w:val="1"/>
          <w:numId w:val="3"/>
        </w:numPr>
        <w:overflowPunct w:val="0"/>
        <w:rPr>
          <w:rFonts w:ascii="宋体" w:hAnsi="宋体" w:cs="宋体"/>
          <w:color w:val="auto"/>
          <w:szCs w:val="21"/>
        </w:rPr>
      </w:pPr>
      <w:r>
        <w:rPr>
          <w:rFonts w:hint="eastAsia" w:ascii="宋体" w:hAnsi="宋体" w:cs="宋体"/>
          <w:color w:val="auto"/>
          <w:szCs w:val="21"/>
        </w:rPr>
        <w:t>上述文件须按顺序装订成册，并编制投标文件目录。除上述文件资料外投标人还须按投标人须知的要求制作“唱标信封”。“唱标信封”作为投标文件的一部分，但须单独密封。</w:t>
      </w:r>
    </w:p>
    <w:p w14:paraId="21FC3814">
      <w:pPr>
        <w:rPr>
          <w:rFonts w:ascii="宋体" w:hAnsi="宋体" w:cs="宋体"/>
          <w:color w:val="auto"/>
        </w:rPr>
      </w:pPr>
    </w:p>
    <w:p w14:paraId="64002B1C">
      <w:pPr>
        <w:pStyle w:val="5"/>
        <w:widowControl w:val="0"/>
        <w:numPr>
          <w:ilvl w:val="0"/>
          <w:numId w:val="3"/>
        </w:numPr>
        <w:overflowPunct w:val="0"/>
        <w:rPr>
          <w:rFonts w:ascii="宋体" w:hAnsi="宋体" w:cs="宋体"/>
          <w:color w:val="auto"/>
          <w:sz w:val="21"/>
          <w:szCs w:val="21"/>
        </w:rPr>
      </w:pPr>
      <w:bookmarkStart w:id="151" w:name="_Toc6049"/>
      <w:bookmarkStart w:id="152" w:name="_Toc27496"/>
      <w:bookmarkStart w:id="153" w:name="_Toc32344"/>
      <w:bookmarkStart w:id="154" w:name="_Toc15699"/>
      <w:r>
        <w:rPr>
          <w:rFonts w:hint="eastAsia" w:ascii="宋体" w:hAnsi="宋体" w:cs="宋体"/>
          <w:color w:val="auto"/>
          <w:sz w:val="21"/>
          <w:szCs w:val="21"/>
        </w:rPr>
        <w:t>投标文件编制</w:t>
      </w:r>
      <w:bookmarkEnd w:id="151"/>
      <w:bookmarkEnd w:id="152"/>
      <w:bookmarkEnd w:id="153"/>
      <w:bookmarkEnd w:id="154"/>
    </w:p>
    <w:p w14:paraId="7582B4D3">
      <w:pPr>
        <w:pStyle w:val="47"/>
        <w:widowControl w:val="0"/>
        <w:numPr>
          <w:ilvl w:val="0"/>
          <w:numId w:val="4"/>
        </w:numPr>
        <w:adjustRightInd/>
        <w:snapToGrid/>
        <w:ind w:firstLineChars="0"/>
        <w:jc w:val="both"/>
        <w:rPr>
          <w:rFonts w:ascii="宋体" w:hAnsi="宋体" w:cs="宋体"/>
          <w:vanish/>
          <w:color w:val="auto"/>
          <w:szCs w:val="21"/>
        </w:rPr>
      </w:pPr>
      <w:bookmarkStart w:id="155" w:name="_Toc303084258"/>
    </w:p>
    <w:p w14:paraId="325FF2D2">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应按采购文件的规定以及附件要求的内容和格式完整地填写（表格可以按同样格式扩展）和提供资料，投标人必须对投标文件所提供的全部材料的真实性承担法律责任，并无条件接受采购人或采购代理机构对其中任何资料进行核实的要求。</w:t>
      </w:r>
    </w:p>
    <w:p w14:paraId="25F338FC">
      <w:pPr>
        <w:widowControl w:val="0"/>
        <w:numPr>
          <w:ilvl w:val="1"/>
          <w:numId w:val="3"/>
        </w:numPr>
        <w:overflowPunct w:val="0"/>
        <w:rPr>
          <w:rFonts w:ascii="宋体" w:hAnsi="宋体" w:cs="宋体"/>
          <w:color w:val="auto"/>
          <w:szCs w:val="21"/>
        </w:rPr>
      </w:pPr>
      <w:r>
        <w:rPr>
          <w:rFonts w:hint="eastAsia" w:ascii="宋体" w:hAnsi="宋体" w:cs="宋体"/>
          <w:color w:val="auto"/>
          <w:szCs w:val="21"/>
        </w:rPr>
        <w:t>因投标文件编制存在歧义对投标人产生负面影响的，投标人自行承担后果。</w:t>
      </w:r>
    </w:p>
    <w:p w14:paraId="7EDDD517">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投标单位名称与投标人公章不一致，若投标单位名称已进行变更，应在投标文件中提供相应的证明材料并加盖公章，否则投标文件无效。</w:t>
      </w:r>
    </w:p>
    <w:p w14:paraId="1F44C061">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投标文件密封、标记及内容与本项目采购信息不符，导致无法分辨所投项目为本项目的，投标文件无效。</w:t>
      </w:r>
    </w:p>
    <w:p w14:paraId="2B9507CE">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投标人须客观撰写投标人简介（格式自理，并提供相关证明）以及所投的产品或服务说明。</w:t>
      </w:r>
    </w:p>
    <w:p w14:paraId="0F593704">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投标文件若出现以下内容，经评标委员会认定有可能间接影响评审秩序，作废标处理。</w:t>
      </w:r>
    </w:p>
    <w:p w14:paraId="6CA04B60">
      <w:pPr>
        <w:pStyle w:val="47"/>
        <w:widowControl w:val="0"/>
        <w:numPr>
          <w:ilvl w:val="0"/>
          <w:numId w:val="5"/>
        </w:numPr>
        <w:adjustRightInd/>
        <w:snapToGrid/>
        <w:ind w:firstLineChars="0"/>
        <w:jc w:val="both"/>
        <w:rPr>
          <w:rFonts w:ascii="宋体" w:hAnsi="宋体" w:cs="宋体"/>
          <w:color w:val="auto"/>
          <w:szCs w:val="21"/>
        </w:rPr>
      </w:pPr>
      <w:r>
        <w:rPr>
          <w:rFonts w:hint="eastAsia" w:ascii="宋体" w:hAnsi="宋体" w:cs="宋体"/>
          <w:color w:val="auto"/>
          <w:szCs w:val="21"/>
        </w:rPr>
        <w:t>投标文件内出现无官方证明文件的行业地域排名或使用“国家级”、“最高级”、“最佳”等用语字眼的。</w:t>
      </w:r>
    </w:p>
    <w:p w14:paraId="5C78812F">
      <w:pPr>
        <w:pStyle w:val="47"/>
        <w:widowControl w:val="0"/>
        <w:numPr>
          <w:ilvl w:val="0"/>
          <w:numId w:val="5"/>
        </w:numPr>
        <w:adjustRightInd/>
        <w:snapToGrid/>
        <w:ind w:firstLineChars="0"/>
        <w:jc w:val="both"/>
        <w:rPr>
          <w:rFonts w:ascii="宋体" w:hAnsi="宋体" w:cs="宋体"/>
          <w:color w:val="auto"/>
          <w:szCs w:val="21"/>
        </w:rPr>
      </w:pPr>
      <w:r>
        <w:rPr>
          <w:rFonts w:hint="eastAsia" w:ascii="宋体" w:hAnsi="宋体" w:cs="宋体"/>
          <w:color w:val="auto"/>
          <w:szCs w:val="21"/>
        </w:rPr>
        <w:t>投标文件内出现恶意诋毁、贬低其他生产经营者的商品或者服务的内容。</w:t>
      </w:r>
    </w:p>
    <w:p w14:paraId="1600C3B7">
      <w:pPr>
        <w:widowControl w:val="0"/>
        <w:numPr>
          <w:ilvl w:val="1"/>
          <w:numId w:val="3"/>
        </w:numPr>
        <w:overflowPunct w:val="0"/>
        <w:spacing w:line="264" w:lineRule="auto"/>
        <w:outlineLvl w:val="3"/>
        <w:rPr>
          <w:rFonts w:ascii="宋体" w:hAnsi="宋体" w:cs="宋体"/>
          <w:color w:val="auto"/>
          <w:szCs w:val="21"/>
        </w:rPr>
      </w:pPr>
      <w:bookmarkStart w:id="156" w:name="_Toc17415"/>
      <w:r>
        <w:rPr>
          <w:rFonts w:hint="eastAsia" w:ascii="宋体" w:hAnsi="宋体" w:cs="宋体"/>
          <w:color w:val="auto"/>
          <w:szCs w:val="21"/>
        </w:rPr>
        <w:t>有下列情形之一的，视为投标人串通投标，其投标无效：</w:t>
      </w:r>
      <w:bookmarkEnd w:id="156"/>
    </w:p>
    <w:p w14:paraId="3660FC94">
      <w:pPr>
        <w:widowControl w:val="0"/>
        <w:adjustRightInd/>
        <w:snapToGrid/>
        <w:spacing w:line="264" w:lineRule="auto"/>
        <w:ind w:firstLine="420" w:firstLineChars="200"/>
        <w:jc w:val="both"/>
        <w:rPr>
          <w:rFonts w:ascii="宋体" w:hAnsi="宋体" w:cs="宋体"/>
          <w:color w:val="auto"/>
          <w:szCs w:val="21"/>
        </w:rPr>
      </w:pPr>
      <w:r>
        <w:rPr>
          <w:rFonts w:hint="eastAsia" w:ascii="宋体" w:hAnsi="宋体" w:cs="宋体"/>
          <w:color w:val="auto"/>
          <w:szCs w:val="21"/>
        </w:rPr>
        <w:t>（1）不同投标人的投标文件由同一单位或者个人编制；</w:t>
      </w:r>
    </w:p>
    <w:p w14:paraId="41C67CFA">
      <w:pPr>
        <w:widowControl w:val="0"/>
        <w:adjustRightInd/>
        <w:snapToGrid/>
        <w:spacing w:line="264" w:lineRule="auto"/>
        <w:ind w:firstLine="420" w:firstLineChars="200"/>
        <w:jc w:val="both"/>
        <w:rPr>
          <w:rFonts w:ascii="宋体" w:hAnsi="宋体" w:cs="宋体"/>
          <w:color w:val="auto"/>
          <w:szCs w:val="21"/>
        </w:rPr>
      </w:pPr>
      <w:r>
        <w:rPr>
          <w:rFonts w:hint="eastAsia" w:ascii="宋体" w:hAnsi="宋体" w:cs="宋体"/>
          <w:color w:val="auto"/>
          <w:szCs w:val="21"/>
        </w:rPr>
        <w:t>（2）不同投标人委托同一单位或者个人办理投标事宜；</w:t>
      </w:r>
    </w:p>
    <w:p w14:paraId="76B55A09">
      <w:pPr>
        <w:widowControl w:val="0"/>
        <w:adjustRightInd/>
        <w:snapToGrid/>
        <w:spacing w:line="264" w:lineRule="auto"/>
        <w:ind w:firstLine="420" w:firstLineChars="200"/>
        <w:jc w:val="both"/>
        <w:rPr>
          <w:rFonts w:ascii="宋体" w:hAnsi="宋体" w:cs="宋体"/>
          <w:color w:val="auto"/>
          <w:szCs w:val="21"/>
        </w:rPr>
      </w:pPr>
      <w:r>
        <w:rPr>
          <w:rFonts w:hint="eastAsia" w:ascii="宋体" w:hAnsi="宋体" w:cs="宋体"/>
          <w:color w:val="auto"/>
          <w:szCs w:val="21"/>
        </w:rPr>
        <w:t>（3）不同投标人的投标文件载明的项目管理成员或者联系人员为同一人；</w:t>
      </w:r>
    </w:p>
    <w:p w14:paraId="264BF598">
      <w:pPr>
        <w:widowControl w:val="0"/>
        <w:adjustRightInd/>
        <w:snapToGrid/>
        <w:spacing w:line="264" w:lineRule="auto"/>
        <w:ind w:firstLine="420" w:firstLineChars="200"/>
        <w:jc w:val="both"/>
        <w:rPr>
          <w:rFonts w:ascii="宋体" w:hAnsi="宋体" w:cs="宋体"/>
          <w:color w:val="auto"/>
          <w:szCs w:val="21"/>
        </w:rPr>
      </w:pPr>
      <w:r>
        <w:rPr>
          <w:rFonts w:hint="eastAsia" w:ascii="宋体" w:hAnsi="宋体" w:cs="宋体"/>
          <w:color w:val="auto"/>
          <w:szCs w:val="21"/>
        </w:rPr>
        <w:t>（4）不同投标人的投标文件异常一致或者投标报价呈规律性差异；</w:t>
      </w:r>
    </w:p>
    <w:p w14:paraId="4B199877">
      <w:pPr>
        <w:widowControl w:val="0"/>
        <w:adjustRightInd/>
        <w:snapToGrid/>
        <w:spacing w:line="264" w:lineRule="auto"/>
        <w:ind w:firstLine="420" w:firstLineChars="200"/>
        <w:jc w:val="both"/>
        <w:rPr>
          <w:rFonts w:ascii="宋体" w:hAnsi="宋体" w:cs="宋体"/>
          <w:color w:val="auto"/>
          <w:szCs w:val="21"/>
        </w:rPr>
      </w:pPr>
      <w:r>
        <w:rPr>
          <w:rFonts w:hint="eastAsia" w:ascii="宋体" w:hAnsi="宋体" w:cs="宋体"/>
          <w:color w:val="auto"/>
          <w:szCs w:val="21"/>
        </w:rPr>
        <w:t>（5）不同投标人的投标文件相互混装；</w:t>
      </w:r>
    </w:p>
    <w:p w14:paraId="2FFAFBAD">
      <w:pPr>
        <w:widowControl w:val="0"/>
        <w:adjustRightInd/>
        <w:snapToGrid/>
        <w:spacing w:line="264" w:lineRule="auto"/>
        <w:ind w:firstLine="420" w:firstLineChars="200"/>
        <w:jc w:val="both"/>
        <w:rPr>
          <w:rFonts w:ascii="宋体" w:hAnsi="宋体" w:cs="宋体"/>
          <w:color w:val="auto"/>
          <w:szCs w:val="21"/>
        </w:rPr>
      </w:pPr>
      <w:r>
        <w:rPr>
          <w:rFonts w:hint="eastAsia" w:ascii="宋体" w:hAnsi="宋体" w:cs="宋体"/>
          <w:color w:val="auto"/>
          <w:szCs w:val="21"/>
        </w:rPr>
        <w:t>（6）不同投标人的投标保证金从同一单位或者个人的账户转出。</w:t>
      </w:r>
    </w:p>
    <w:bookmarkEnd w:id="155"/>
    <w:p w14:paraId="4A95EBA5">
      <w:pPr>
        <w:rPr>
          <w:rFonts w:ascii="宋体" w:hAnsi="宋体" w:cs="宋体"/>
          <w:color w:val="auto"/>
        </w:rPr>
      </w:pPr>
    </w:p>
    <w:p w14:paraId="747E03F0">
      <w:pPr>
        <w:pStyle w:val="5"/>
        <w:widowControl w:val="0"/>
        <w:numPr>
          <w:ilvl w:val="0"/>
          <w:numId w:val="3"/>
        </w:numPr>
        <w:overflowPunct w:val="0"/>
        <w:rPr>
          <w:rFonts w:ascii="宋体" w:hAnsi="宋体" w:cs="宋体"/>
          <w:color w:val="auto"/>
          <w:sz w:val="21"/>
          <w:szCs w:val="21"/>
        </w:rPr>
      </w:pPr>
      <w:bookmarkStart w:id="157" w:name="_Toc20138"/>
      <w:bookmarkStart w:id="158" w:name="_Toc26251"/>
      <w:bookmarkStart w:id="159" w:name="_Toc26026"/>
      <w:bookmarkStart w:id="160" w:name="_Toc27668"/>
      <w:r>
        <w:rPr>
          <w:rFonts w:hint="eastAsia" w:ascii="宋体" w:hAnsi="宋体" w:cs="宋体"/>
          <w:color w:val="auto"/>
          <w:sz w:val="21"/>
          <w:szCs w:val="21"/>
        </w:rPr>
        <w:t>投标报价说明</w:t>
      </w:r>
      <w:bookmarkEnd w:id="157"/>
      <w:bookmarkEnd w:id="158"/>
      <w:bookmarkEnd w:id="159"/>
      <w:bookmarkEnd w:id="160"/>
    </w:p>
    <w:p w14:paraId="2169F6B7">
      <w:pPr>
        <w:pStyle w:val="47"/>
        <w:widowControl w:val="0"/>
        <w:numPr>
          <w:ilvl w:val="0"/>
          <w:numId w:val="4"/>
        </w:numPr>
        <w:adjustRightInd/>
        <w:snapToGrid/>
        <w:ind w:firstLineChars="0"/>
        <w:jc w:val="both"/>
        <w:rPr>
          <w:rFonts w:ascii="宋体" w:hAnsi="宋体" w:cs="宋体"/>
          <w:vanish/>
          <w:color w:val="auto"/>
          <w:szCs w:val="21"/>
        </w:rPr>
      </w:pPr>
    </w:p>
    <w:p w14:paraId="792A8CF0">
      <w:pPr>
        <w:widowControl w:val="0"/>
        <w:numPr>
          <w:ilvl w:val="1"/>
          <w:numId w:val="3"/>
        </w:numPr>
        <w:overflowPunct w:val="0"/>
        <w:rPr>
          <w:rFonts w:ascii="宋体" w:hAnsi="宋体" w:cs="宋体"/>
          <w:color w:val="auto"/>
          <w:szCs w:val="21"/>
        </w:rPr>
      </w:pPr>
      <w:r>
        <w:rPr>
          <w:rFonts w:hint="eastAsia" w:ascii="宋体" w:hAnsi="宋体" w:cs="宋体"/>
          <w:color w:val="auto"/>
          <w:szCs w:val="21"/>
        </w:rPr>
        <w:t>本次采购，投标人应按用户需求中的要求进行投标报价，少报无效。</w:t>
      </w:r>
    </w:p>
    <w:p w14:paraId="706DD7CF">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投标人所提供的货物或服务均以人民币（或相关费率）报价。</w:t>
      </w:r>
    </w:p>
    <w:p w14:paraId="40FD0D85">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投标报价应包含完成本次采购所有服务内容的费用，包含各种税务费及合同实施过程中的全部费用和售后服务费等。</w:t>
      </w:r>
    </w:p>
    <w:p w14:paraId="46FC81C1">
      <w:pPr>
        <w:widowControl w:val="0"/>
        <w:numPr>
          <w:ilvl w:val="1"/>
          <w:numId w:val="3"/>
        </w:numPr>
        <w:overflowPunct w:val="0"/>
        <w:rPr>
          <w:rFonts w:ascii="宋体" w:hAnsi="宋体" w:cs="宋体"/>
          <w:color w:val="auto"/>
          <w:szCs w:val="21"/>
        </w:rPr>
      </w:pPr>
      <w:r>
        <w:rPr>
          <w:rFonts w:hint="eastAsia" w:ascii="宋体" w:hAnsi="宋体" w:cs="宋体"/>
          <w:color w:val="auto"/>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00AAC2B">
      <w:pPr>
        <w:widowControl w:val="0"/>
        <w:numPr>
          <w:ilvl w:val="1"/>
          <w:numId w:val="3"/>
        </w:numPr>
        <w:overflowPunct w:val="0"/>
        <w:outlineLvl w:val="3"/>
        <w:rPr>
          <w:rFonts w:ascii="宋体" w:hAnsi="宋体" w:cs="宋体"/>
          <w:color w:val="auto"/>
          <w:szCs w:val="21"/>
        </w:rPr>
      </w:pPr>
      <w:bookmarkStart w:id="161" w:name="_Toc28379"/>
      <w:r>
        <w:rPr>
          <w:rFonts w:hint="eastAsia" w:ascii="宋体" w:hAnsi="宋体" w:cs="宋体"/>
          <w:color w:val="auto"/>
          <w:szCs w:val="21"/>
        </w:rPr>
        <w:t>中标后开出的所有发票必须与中标人的名称一致。</w:t>
      </w:r>
      <w:bookmarkEnd w:id="161"/>
    </w:p>
    <w:p w14:paraId="147BCC69">
      <w:pPr>
        <w:rPr>
          <w:rFonts w:ascii="宋体" w:hAnsi="宋体" w:cs="宋体"/>
          <w:color w:val="auto"/>
        </w:rPr>
      </w:pPr>
    </w:p>
    <w:p w14:paraId="6C5D8300">
      <w:pPr>
        <w:pStyle w:val="5"/>
        <w:widowControl w:val="0"/>
        <w:numPr>
          <w:ilvl w:val="0"/>
          <w:numId w:val="3"/>
        </w:numPr>
        <w:overflowPunct w:val="0"/>
        <w:rPr>
          <w:rFonts w:ascii="宋体" w:hAnsi="宋体" w:cs="宋体"/>
          <w:color w:val="auto"/>
          <w:sz w:val="21"/>
          <w:szCs w:val="21"/>
        </w:rPr>
      </w:pPr>
      <w:bookmarkStart w:id="162" w:name="_Toc11696"/>
      <w:bookmarkStart w:id="163" w:name="_Toc31762"/>
      <w:bookmarkStart w:id="164" w:name="_Toc28939"/>
      <w:bookmarkStart w:id="165" w:name="_Toc25341"/>
      <w:r>
        <w:rPr>
          <w:rFonts w:hint="eastAsia" w:ascii="宋体" w:hAnsi="宋体" w:cs="宋体"/>
          <w:color w:val="auto"/>
          <w:sz w:val="21"/>
          <w:szCs w:val="21"/>
        </w:rPr>
        <w:t>投标人所提供的服务或货物的证明文件</w:t>
      </w:r>
      <w:bookmarkEnd w:id="162"/>
      <w:bookmarkEnd w:id="163"/>
      <w:bookmarkEnd w:id="164"/>
      <w:bookmarkEnd w:id="165"/>
    </w:p>
    <w:p w14:paraId="5A77934E">
      <w:pPr>
        <w:pStyle w:val="47"/>
        <w:widowControl w:val="0"/>
        <w:numPr>
          <w:ilvl w:val="0"/>
          <w:numId w:val="4"/>
        </w:numPr>
        <w:adjustRightInd/>
        <w:snapToGrid/>
        <w:ind w:firstLineChars="0"/>
        <w:jc w:val="both"/>
        <w:rPr>
          <w:rFonts w:ascii="宋体" w:hAnsi="宋体" w:cs="宋体"/>
          <w:vanish/>
          <w:color w:val="auto"/>
          <w:szCs w:val="21"/>
        </w:rPr>
      </w:pPr>
    </w:p>
    <w:p w14:paraId="385AFE5D">
      <w:pPr>
        <w:widowControl w:val="0"/>
        <w:numPr>
          <w:ilvl w:val="1"/>
          <w:numId w:val="3"/>
        </w:numPr>
        <w:overflowPunct w:val="0"/>
        <w:rPr>
          <w:rFonts w:ascii="宋体" w:hAnsi="宋体" w:cs="宋体"/>
          <w:color w:val="auto"/>
          <w:szCs w:val="21"/>
        </w:rPr>
      </w:pPr>
      <w:bookmarkStart w:id="166" w:name="_Hlt107925668"/>
      <w:bookmarkEnd w:id="166"/>
      <w:bookmarkStart w:id="167" w:name="_Hlt107925638"/>
      <w:bookmarkEnd w:id="167"/>
      <w:r>
        <w:rPr>
          <w:rFonts w:hint="eastAsia" w:ascii="宋体" w:hAnsi="宋体" w:cs="宋体"/>
          <w:color w:val="auto"/>
          <w:szCs w:val="21"/>
        </w:rPr>
        <w:t>证明服务或货物的文件，它可以是文字资料、图纸和数据包括但不限于：服务主要内容、标准、质量、人员资质、计划安排、报告审核等的详细说明；对采购文件第三部分《用户需求书》中规定的要求进行详细应答和说明。</w:t>
      </w:r>
    </w:p>
    <w:p w14:paraId="15DD0643">
      <w:pPr>
        <w:widowControl w:val="0"/>
        <w:numPr>
          <w:ilvl w:val="1"/>
          <w:numId w:val="3"/>
        </w:numPr>
        <w:overflowPunct w:val="0"/>
        <w:outlineLvl w:val="3"/>
        <w:rPr>
          <w:rFonts w:ascii="宋体" w:hAnsi="宋体" w:cs="宋体"/>
          <w:color w:val="auto"/>
          <w:szCs w:val="21"/>
        </w:rPr>
      </w:pPr>
      <w:bookmarkStart w:id="168" w:name="_Toc13286"/>
      <w:r>
        <w:rPr>
          <w:rFonts w:hint="eastAsia" w:ascii="宋体" w:hAnsi="宋体" w:cs="宋体"/>
          <w:color w:val="auto"/>
          <w:szCs w:val="21"/>
        </w:rPr>
        <w:t>有下列情形之一的，视为投标人弄虚作假，其投标无效：</w:t>
      </w:r>
      <w:bookmarkEnd w:id="168"/>
    </w:p>
    <w:p w14:paraId="5B45EEF6">
      <w:pPr>
        <w:pStyle w:val="47"/>
        <w:widowControl w:val="0"/>
        <w:adjustRightInd/>
        <w:snapToGrid/>
        <w:spacing w:line="264" w:lineRule="auto"/>
        <w:ind w:left="425" w:firstLine="0" w:firstLineChars="0"/>
        <w:jc w:val="both"/>
        <w:rPr>
          <w:rFonts w:ascii="宋体" w:hAnsi="宋体" w:cs="宋体"/>
          <w:color w:val="auto"/>
        </w:rPr>
      </w:pPr>
      <w:r>
        <w:rPr>
          <w:rFonts w:hint="eastAsia" w:ascii="宋体" w:hAnsi="宋体" w:cs="宋体"/>
          <w:color w:val="auto"/>
        </w:rPr>
        <w:t>1、使用通过受让或者租借等方式获取的资格、资质证书投标的，属于以他人名义投标。</w:t>
      </w:r>
    </w:p>
    <w:p w14:paraId="24ED3D2B">
      <w:pPr>
        <w:pStyle w:val="47"/>
        <w:widowControl w:val="0"/>
        <w:adjustRightInd/>
        <w:snapToGrid/>
        <w:spacing w:line="264" w:lineRule="auto"/>
        <w:ind w:left="425" w:firstLine="0" w:firstLineChars="0"/>
        <w:jc w:val="both"/>
        <w:outlineLvl w:val="2"/>
        <w:rPr>
          <w:rFonts w:ascii="宋体" w:hAnsi="宋体" w:cs="宋体"/>
          <w:color w:val="auto"/>
        </w:rPr>
      </w:pPr>
      <w:bookmarkStart w:id="169" w:name="_Toc20623"/>
      <w:r>
        <w:rPr>
          <w:rFonts w:hint="eastAsia" w:ascii="宋体" w:hAnsi="宋体" w:cs="宋体"/>
          <w:color w:val="auto"/>
        </w:rPr>
        <w:t>2、投标人有下列情形之一的，属于以其他方式弄虚作假的行为：</w:t>
      </w:r>
      <w:bookmarkEnd w:id="169"/>
    </w:p>
    <w:p w14:paraId="3C506061">
      <w:pPr>
        <w:pStyle w:val="47"/>
        <w:widowControl w:val="0"/>
        <w:adjustRightInd/>
        <w:snapToGrid/>
        <w:spacing w:line="264" w:lineRule="auto"/>
        <w:ind w:left="425" w:firstLine="0" w:firstLineChars="0"/>
        <w:jc w:val="both"/>
        <w:rPr>
          <w:rFonts w:ascii="宋体" w:hAnsi="宋体" w:cs="宋体"/>
          <w:color w:val="auto"/>
        </w:rPr>
      </w:pPr>
      <w:r>
        <w:rPr>
          <w:rFonts w:hint="eastAsia" w:ascii="宋体" w:hAnsi="宋体" w:cs="宋体"/>
          <w:color w:val="auto"/>
        </w:rPr>
        <w:t>（1）使用伪造、变造的许可证件；</w:t>
      </w:r>
    </w:p>
    <w:p w14:paraId="728E4732">
      <w:pPr>
        <w:pStyle w:val="47"/>
        <w:widowControl w:val="0"/>
        <w:adjustRightInd/>
        <w:snapToGrid/>
        <w:spacing w:line="264" w:lineRule="auto"/>
        <w:ind w:left="425" w:firstLine="0" w:firstLineChars="0"/>
        <w:jc w:val="both"/>
        <w:rPr>
          <w:rFonts w:ascii="宋体" w:hAnsi="宋体" w:cs="宋体"/>
          <w:color w:val="auto"/>
        </w:rPr>
      </w:pPr>
      <w:r>
        <w:rPr>
          <w:rFonts w:hint="eastAsia" w:ascii="宋体" w:hAnsi="宋体" w:cs="宋体"/>
          <w:color w:val="auto"/>
        </w:rPr>
        <w:t>（2）提供虚假的财务状况或者业绩；</w:t>
      </w:r>
    </w:p>
    <w:p w14:paraId="574E40D3">
      <w:pPr>
        <w:pStyle w:val="47"/>
        <w:widowControl w:val="0"/>
        <w:adjustRightInd/>
        <w:snapToGrid/>
        <w:spacing w:line="264" w:lineRule="auto"/>
        <w:ind w:left="425" w:firstLine="0" w:firstLineChars="0"/>
        <w:jc w:val="both"/>
        <w:rPr>
          <w:rFonts w:ascii="宋体" w:hAnsi="宋体" w:cs="宋体"/>
          <w:color w:val="auto"/>
        </w:rPr>
      </w:pPr>
      <w:r>
        <w:rPr>
          <w:rFonts w:hint="eastAsia" w:ascii="宋体" w:hAnsi="宋体" w:cs="宋体"/>
          <w:color w:val="auto"/>
        </w:rPr>
        <w:t>（3）提供虚假的项目负责人或者主要技术人员简历、劳动关系证明；</w:t>
      </w:r>
    </w:p>
    <w:p w14:paraId="7019BBA3">
      <w:pPr>
        <w:pStyle w:val="47"/>
        <w:widowControl w:val="0"/>
        <w:adjustRightInd/>
        <w:snapToGrid/>
        <w:spacing w:line="264" w:lineRule="auto"/>
        <w:ind w:left="425" w:firstLine="0" w:firstLineChars="0"/>
        <w:jc w:val="both"/>
        <w:rPr>
          <w:rFonts w:ascii="宋体" w:hAnsi="宋体" w:cs="宋体"/>
          <w:color w:val="auto"/>
        </w:rPr>
      </w:pPr>
      <w:r>
        <w:rPr>
          <w:rFonts w:hint="eastAsia" w:ascii="宋体" w:hAnsi="宋体" w:cs="宋体"/>
          <w:color w:val="auto"/>
        </w:rPr>
        <w:t>（4）提供虚假的信用状况；</w:t>
      </w:r>
    </w:p>
    <w:p w14:paraId="26404604">
      <w:pPr>
        <w:pStyle w:val="47"/>
        <w:widowControl w:val="0"/>
        <w:adjustRightInd/>
        <w:snapToGrid/>
        <w:spacing w:line="264" w:lineRule="auto"/>
        <w:ind w:left="425" w:firstLine="0" w:firstLineChars="0"/>
        <w:jc w:val="both"/>
        <w:rPr>
          <w:rFonts w:ascii="宋体" w:hAnsi="宋体" w:cs="宋体"/>
          <w:color w:val="auto"/>
        </w:rPr>
      </w:pPr>
      <w:r>
        <w:rPr>
          <w:rFonts w:hint="eastAsia" w:ascii="宋体" w:hAnsi="宋体" w:cs="宋体"/>
          <w:color w:val="auto"/>
        </w:rPr>
        <w:t>（5）其他弄虚作假的行为。</w:t>
      </w:r>
    </w:p>
    <w:p w14:paraId="0ACACD37">
      <w:pPr>
        <w:pStyle w:val="5"/>
        <w:widowControl w:val="0"/>
        <w:numPr>
          <w:ilvl w:val="0"/>
          <w:numId w:val="3"/>
        </w:numPr>
        <w:overflowPunct w:val="0"/>
        <w:rPr>
          <w:rFonts w:ascii="宋体" w:hAnsi="宋体" w:cs="宋体"/>
          <w:color w:val="auto"/>
          <w:sz w:val="21"/>
          <w:szCs w:val="21"/>
        </w:rPr>
      </w:pPr>
      <w:bookmarkStart w:id="170" w:name="_Toc10158"/>
      <w:bookmarkStart w:id="171" w:name="_Toc18022"/>
      <w:bookmarkStart w:id="172" w:name="_Toc2116"/>
      <w:bookmarkStart w:id="173" w:name="_Toc32111"/>
      <w:r>
        <w:rPr>
          <w:rFonts w:hint="eastAsia" w:ascii="宋体" w:hAnsi="宋体" w:cs="宋体"/>
          <w:color w:val="auto"/>
          <w:sz w:val="21"/>
          <w:szCs w:val="21"/>
        </w:rPr>
        <w:t>投标有效期</w:t>
      </w:r>
      <w:bookmarkEnd w:id="170"/>
      <w:bookmarkEnd w:id="171"/>
      <w:bookmarkEnd w:id="172"/>
      <w:bookmarkEnd w:id="173"/>
    </w:p>
    <w:p w14:paraId="212F6E94">
      <w:pPr>
        <w:pStyle w:val="47"/>
        <w:widowControl w:val="0"/>
        <w:numPr>
          <w:ilvl w:val="0"/>
          <w:numId w:val="4"/>
        </w:numPr>
        <w:adjustRightInd/>
        <w:snapToGrid/>
        <w:ind w:firstLineChars="0"/>
        <w:jc w:val="both"/>
        <w:rPr>
          <w:rFonts w:ascii="宋体" w:hAnsi="宋体" w:cs="宋体"/>
          <w:vanish/>
          <w:color w:val="auto"/>
          <w:szCs w:val="21"/>
        </w:rPr>
      </w:pPr>
    </w:p>
    <w:p w14:paraId="33B1F510">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投标文件应根据投标人须知的规定在投标截止日后的90天内保持有效。</w:t>
      </w:r>
    </w:p>
    <w:p w14:paraId="4D1343B9">
      <w:pPr>
        <w:widowControl w:val="0"/>
        <w:adjustRightInd/>
        <w:snapToGrid/>
        <w:ind w:left="567"/>
        <w:jc w:val="both"/>
        <w:rPr>
          <w:rFonts w:ascii="宋体" w:hAnsi="宋体" w:cs="宋体"/>
          <w:color w:val="auto"/>
        </w:rPr>
      </w:pPr>
    </w:p>
    <w:p w14:paraId="7719F309">
      <w:pPr>
        <w:pStyle w:val="5"/>
        <w:widowControl w:val="0"/>
        <w:numPr>
          <w:ilvl w:val="0"/>
          <w:numId w:val="3"/>
        </w:numPr>
        <w:overflowPunct w:val="0"/>
        <w:rPr>
          <w:rFonts w:ascii="宋体" w:hAnsi="宋体" w:cs="宋体"/>
          <w:color w:val="auto"/>
          <w:sz w:val="21"/>
          <w:szCs w:val="21"/>
        </w:rPr>
      </w:pPr>
      <w:bookmarkStart w:id="174" w:name="_Toc28301"/>
      <w:bookmarkStart w:id="175" w:name="_Toc13409"/>
      <w:bookmarkStart w:id="176" w:name="_Toc1163"/>
      <w:bookmarkStart w:id="177" w:name="_Toc24350"/>
      <w:r>
        <w:rPr>
          <w:rFonts w:hint="eastAsia" w:ascii="宋体" w:hAnsi="宋体" w:cs="宋体"/>
          <w:color w:val="auto"/>
          <w:sz w:val="21"/>
          <w:szCs w:val="21"/>
        </w:rPr>
        <w:t>投标保证金</w:t>
      </w:r>
      <w:bookmarkEnd w:id="174"/>
      <w:bookmarkEnd w:id="175"/>
      <w:bookmarkEnd w:id="176"/>
      <w:bookmarkEnd w:id="177"/>
    </w:p>
    <w:p w14:paraId="398D9083">
      <w:pPr>
        <w:pStyle w:val="47"/>
        <w:widowControl w:val="0"/>
        <w:numPr>
          <w:ilvl w:val="0"/>
          <w:numId w:val="4"/>
        </w:numPr>
        <w:adjustRightInd/>
        <w:snapToGrid/>
        <w:ind w:firstLineChars="0"/>
        <w:jc w:val="both"/>
        <w:rPr>
          <w:rFonts w:ascii="宋体" w:hAnsi="宋体" w:cs="宋体"/>
          <w:vanish/>
          <w:color w:val="auto"/>
          <w:szCs w:val="21"/>
        </w:rPr>
      </w:pPr>
      <w:bookmarkStart w:id="178" w:name="_Ref179619405"/>
    </w:p>
    <w:p w14:paraId="06EDCF54">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投标人应在投标文件递交截止前提交相应的投标保证金，并作为其投标的一部分。</w:t>
      </w:r>
      <w:bookmarkEnd w:id="178"/>
    </w:p>
    <w:p w14:paraId="6C3785E8">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投标保证金是为了保护采购代理机构和采购人免遭因投标人的行为而蒙受的损失。采购代理机构和采购人在因投标人的行为受到损害时可根据本须知（17.7）的规定没收投标人的投标保证金。</w:t>
      </w:r>
    </w:p>
    <w:p w14:paraId="2918FE8F">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保证金采用转账、电汇方式方式提交，应符合以下要求：采用银行转账、电汇方式提交的，保证金汇入《投标资料表》中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w:t>
      </w:r>
    </w:p>
    <w:p w14:paraId="3EEA6F5E">
      <w:pPr>
        <w:widowControl w:val="0"/>
        <w:numPr>
          <w:ilvl w:val="1"/>
          <w:numId w:val="3"/>
        </w:numPr>
        <w:overflowPunct w:val="0"/>
        <w:rPr>
          <w:rFonts w:ascii="宋体" w:hAnsi="宋体" w:cs="宋体"/>
          <w:color w:val="auto"/>
          <w:szCs w:val="21"/>
        </w:rPr>
      </w:pPr>
      <w:r>
        <w:rPr>
          <w:rFonts w:hint="eastAsia" w:ascii="宋体" w:hAnsi="宋体" w:cs="宋体"/>
          <w:color w:val="auto"/>
          <w:szCs w:val="21"/>
        </w:rPr>
        <w:t>凡没有根据本须知（17.1和17.3）的规定随附有效的投标保证金的投标，将被视为非响应性投标予以拒绝。</w:t>
      </w:r>
    </w:p>
    <w:p w14:paraId="42BF4490">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投标保证金有效期应当与投标有效期一致。采购人如果按照采购文件另外规定延长了投标文件有效期，则投标担保的有效期也相应延长。</w:t>
      </w:r>
    </w:p>
    <w:p w14:paraId="3EB612DE">
      <w:pPr>
        <w:widowControl w:val="0"/>
        <w:numPr>
          <w:ilvl w:val="1"/>
          <w:numId w:val="3"/>
        </w:numPr>
        <w:overflowPunct w:val="0"/>
        <w:rPr>
          <w:rFonts w:ascii="宋体" w:hAnsi="宋体" w:cs="宋体"/>
          <w:color w:val="auto"/>
          <w:szCs w:val="21"/>
        </w:rPr>
      </w:pPr>
      <w:r>
        <w:rPr>
          <w:rFonts w:hint="eastAsia" w:ascii="宋体" w:hAnsi="宋体" w:cs="宋体"/>
          <w:color w:val="auto"/>
          <w:szCs w:val="21"/>
        </w:rPr>
        <w:t>中标人在签订采购合同并按采购文件第（33）条规定提交履约担保金后，携带退保证金声明函、投标保证金汇款单复印件（加盖公章）和合同正本到采购人处办理投标保证金（无息）退回手续。</w:t>
      </w:r>
    </w:p>
    <w:p w14:paraId="69FE9E38">
      <w:pPr>
        <w:widowControl w:val="0"/>
        <w:numPr>
          <w:ilvl w:val="1"/>
          <w:numId w:val="3"/>
        </w:numPr>
        <w:overflowPunct w:val="0"/>
        <w:outlineLvl w:val="3"/>
        <w:rPr>
          <w:rFonts w:ascii="宋体" w:hAnsi="宋体" w:cs="宋体"/>
          <w:color w:val="auto"/>
          <w:szCs w:val="21"/>
        </w:rPr>
      </w:pPr>
      <w:bookmarkStart w:id="179" w:name="_Toc8991"/>
      <w:r>
        <w:rPr>
          <w:rFonts w:hint="eastAsia" w:ascii="宋体" w:hAnsi="宋体" w:cs="宋体"/>
          <w:color w:val="auto"/>
          <w:szCs w:val="21"/>
        </w:rPr>
        <w:t>下列任何情况发生时，投标保证金将不予退还：</w:t>
      </w:r>
      <w:bookmarkEnd w:id="179"/>
    </w:p>
    <w:p w14:paraId="6808C6CC">
      <w:pPr>
        <w:widowControl w:val="0"/>
        <w:adjustRightInd/>
        <w:snapToGrid/>
        <w:ind w:left="540" w:leftChars="257"/>
        <w:jc w:val="both"/>
        <w:outlineLvl w:val="4"/>
        <w:rPr>
          <w:rFonts w:ascii="宋体" w:hAnsi="宋体" w:cs="宋体"/>
          <w:color w:val="auto"/>
          <w:szCs w:val="21"/>
        </w:rPr>
      </w:pPr>
      <w:r>
        <w:rPr>
          <w:rFonts w:hint="eastAsia" w:ascii="宋体" w:hAnsi="宋体" w:cs="宋体"/>
          <w:color w:val="auto"/>
          <w:szCs w:val="21"/>
        </w:rPr>
        <w:t>（1）投标人在采购文件中规定的投标有效期内撤回其投标；</w:t>
      </w:r>
    </w:p>
    <w:p w14:paraId="33BF7500">
      <w:pPr>
        <w:widowControl w:val="0"/>
        <w:adjustRightInd/>
        <w:snapToGrid/>
        <w:ind w:left="540" w:leftChars="257"/>
        <w:jc w:val="both"/>
        <w:rPr>
          <w:rFonts w:ascii="宋体" w:hAnsi="宋体" w:cs="宋体"/>
          <w:color w:val="auto"/>
          <w:szCs w:val="21"/>
        </w:rPr>
      </w:pPr>
      <w:r>
        <w:rPr>
          <w:rFonts w:hint="eastAsia" w:ascii="宋体" w:hAnsi="宋体" w:cs="宋体"/>
          <w:color w:val="auto"/>
          <w:szCs w:val="21"/>
        </w:rPr>
        <w:t>（2）中标人无正当理由不与采购人订立合同，在签订合同时向采购人提出附加条件，或者不按照采购文件要求提交履约保证金的；</w:t>
      </w:r>
    </w:p>
    <w:p w14:paraId="52F84243">
      <w:pPr>
        <w:widowControl w:val="0"/>
        <w:adjustRightInd/>
        <w:snapToGrid/>
        <w:ind w:left="540" w:leftChars="257"/>
        <w:jc w:val="both"/>
        <w:rPr>
          <w:rFonts w:ascii="宋体" w:hAnsi="宋体" w:cs="宋体"/>
          <w:color w:val="auto"/>
          <w:szCs w:val="21"/>
        </w:rPr>
      </w:pPr>
      <w:r>
        <w:rPr>
          <w:rFonts w:hint="eastAsia" w:ascii="宋体" w:hAnsi="宋体" w:cs="宋体"/>
          <w:color w:val="auto"/>
          <w:szCs w:val="21"/>
        </w:rPr>
        <w:t>（3）中标人将本项目转让给他人，或者在投标文件中未说明，且未经采购人同意，将中标项目分包给他人的；</w:t>
      </w:r>
    </w:p>
    <w:p w14:paraId="1912E633">
      <w:pPr>
        <w:widowControl w:val="0"/>
        <w:adjustRightInd/>
        <w:snapToGrid/>
        <w:ind w:left="540" w:leftChars="257"/>
        <w:jc w:val="both"/>
        <w:outlineLvl w:val="4"/>
        <w:rPr>
          <w:rFonts w:ascii="宋体" w:hAnsi="宋体" w:cs="宋体"/>
          <w:color w:val="auto"/>
          <w:szCs w:val="21"/>
        </w:rPr>
      </w:pPr>
      <w:r>
        <w:rPr>
          <w:rFonts w:hint="eastAsia" w:ascii="宋体" w:hAnsi="宋体" w:cs="宋体"/>
          <w:color w:val="auto"/>
          <w:szCs w:val="21"/>
        </w:rPr>
        <w:t>（4）投标人提供虚假投标文件或虚假补充文件的。</w:t>
      </w:r>
    </w:p>
    <w:p w14:paraId="0515EE8D">
      <w:pPr>
        <w:widowControl w:val="0"/>
        <w:numPr>
          <w:ilvl w:val="1"/>
          <w:numId w:val="3"/>
        </w:numPr>
        <w:overflowPunct w:val="0"/>
        <w:rPr>
          <w:rFonts w:ascii="宋体" w:hAnsi="宋体" w:cs="宋体"/>
          <w:color w:val="auto"/>
          <w:szCs w:val="21"/>
        </w:rPr>
      </w:pPr>
      <w:r>
        <w:rPr>
          <w:rFonts w:hint="eastAsia" w:ascii="宋体" w:hAnsi="宋体" w:cs="宋体"/>
          <w:color w:val="auto"/>
          <w:szCs w:val="21"/>
        </w:rPr>
        <w:t>在中标通知书发出后，未中标投标人的投标保证金，由采购人自行返还至投标人的原转出账户。</w:t>
      </w:r>
    </w:p>
    <w:p w14:paraId="356D374B">
      <w:pPr>
        <w:rPr>
          <w:rFonts w:ascii="宋体" w:hAnsi="宋体" w:cs="宋体"/>
          <w:color w:val="auto"/>
        </w:rPr>
      </w:pPr>
    </w:p>
    <w:p w14:paraId="39EF0832">
      <w:pPr>
        <w:pStyle w:val="4"/>
        <w:numPr>
          <w:ilvl w:val="0"/>
          <w:numId w:val="2"/>
        </w:numPr>
        <w:spacing w:before="0" w:after="0" w:line="360" w:lineRule="auto"/>
        <w:jc w:val="center"/>
        <w:rPr>
          <w:rFonts w:ascii="宋体" w:hAnsi="宋体" w:cs="宋体"/>
          <w:color w:val="auto"/>
        </w:rPr>
      </w:pPr>
      <w:bookmarkStart w:id="180" w:name="_Toc748"/>
      <w:bookmarkStart w:id="181" w:name="_Toc12999"/>
      <w:bookmarkStart w:id="182" w:name="_Toc30534"/>
      <w:bookmarkStart w:id="183" w:name="_Toc7513"/>
      <w:r>
        <w:rPr>
          <w:rFonts w:hint="eastAsia" w:ascii="宋体" w:hAnsi="宋体" w:cs="宋体"/>
          <w:color w:val="auto"/>
        </w:rPr>
        <w:t>投标文件的递交</w:t>
      </w:r>
      <w:bookmarkEnd w:id="180"/>
      <w:bookmarkEnd w:id="181"/>
      <w:bookmarkEnd w:id="182"/>
      <w:bookmarkEnd w:id="183"/>
    </w:p>
    <w:p w14:paraId="221A38BD">
      <w:pPr>
        <w:pStyle w:val="5"/>
        <w:widowControl w:val="0"/>
        <w:numPr>
          <w:ilvl w:val="0"/>
          <w:numId w:val="3"/>
        </w:numPr>
        <w:overflowPunct w:val="0"/>
        <w:rPr>
          <w:rFonts w:ascii="宋体" w:hAnsi="宋体" w:cs="宋体"/>
          <w:color w:val="auto"/>
          <w:sz w:val="21"/>
          <w:szCs w:val="21"/>
        </w:rPr>
      </w:pPr>
      <w:bookmarkStart w:id="184" w:name="_Toc303084264"/>
      <w:bookmarkStart w:id="185" w:name="_Toc382049111"/>
      <w:bookmarkStart w:id="186" w:name="_Toc31180"/>
      <w:bookmarkStart w:id="187" w:name="_Toc24997"/>
      <w:bookmarkStart w:id="188" w:name="_Toc29743"/>
      <w:bookmarkStart w:id="189" w:name="_Toc4180"/>
      <w:bookmarkStart w:id="190" w:name="_Toc25759"/>
      <w:r>
        <w:rPr>
          <w:rFonts w:hint="eastAsia" w:ascii="宋体" w:hAnsi="宋体" w:cs="宋体"/>
          <w:color w:val="auto"/>
          <w:sz w:val="21"/>
          <w:szCs w:val="21"/>
        </w:rPr>
        <w:t>投标文件的装订，签署，密封和标记</w:t>
      </w:r>
      <w:bookmarkEnd w:id="184"/>
      <w:bookmarkEnd w:id="185"/>
      <w:bookmarkEnd w:id="186"/>
      <w:bookmarkEnd w:id="187"/>
      <w:bookmarkEnd w:id="188"/>
      <w:bookmarkEnd w:id="189"/>
      <w:bookmarkEnd w:id="190"/>
    </w:p>
    <w:p w14:paraId="62FF6494">
      <w:pPr>
        <w:pStyle w:val="47"/>
        <w:widowControl w:val="0"/>
        <w:numPr>
          <w:ilvl w:val="0"/>
          <w:numId w:val="4"/>
        </w:numPr>
        <w:adjustRightInd/>
        <w:snapToGrid/>
        <w:ind w:firstLineChars="0"/>
        <w:jc w:val="both"/>
        <w:rPr>
          <w:rFonts w:ascii="宋体" w:hAnsi="宋体" w:cs="宋体"/>
          <w:vanish/>
          <w:color w:val="auto"/>
          <w:szCs w:val="21"/>
        </w:rPr>
      </w:pPr>
    </w:p>
    <w:p w14:paraId="7AC26B43">
      <w:pPr>
        <w:widowControl w:val="0"/>
        <w:numPr>
          <w:ilvl w:val="1"/>
          <w:numId w:val="3"/>
        </w:numPr>
        <w:overflowPunct w:val="0"/>
        <w:rPr>
          <w:rFonts w:ascii="宋体" w:hAnsi="宋体" w:cs="宋体"/>
          <w:color w:val="auto"/>
          <w:szCs w:val="21"/>
        </w:rPr>
      </w:pPr>
      <w:r>
        <w:rPr>
          <w:rFonts w:hint="eastAsia" w:ascii="宋体" w:hAnsi="宋体"/>
          <w:color w:val="auto"/>
          <w:szCs w:val="21"/>
        </w:rPr>
        <w:t>投标人应按《投标资料表》的份数准备价格文件、商务文件、技术文件、唱标信封和电子文件（</w:t>
      </w:r>
      <w:r>
        <w:rPr>
          <w:rFonts w:hint="eastAsia" w:ascii="宋体" w:hAnsi="宋体"/>
          <w:b/>
          <w:color w:val="auto"/>
          <w:szCs w:val="21"/>
        </w:rPr>
        <w:t>价格文件、商务文件、技术文件分别单独装订成册</w:t>
      </w:r>
      <w:r>
        <w:rPr>
          <w:rFonts w:hint="eastAsia" w:ascii="宋体" w:hAnsi="宋体"/>
          <w:color w:val="auto"/>
          <w:szCs w:val="21"/>
        </w:rPr>
        <w:t>），每一份投标文件均需编上页次，装订成册（不允许使用活页夹，否则由此产生的风险由投标人自行承担）。所有投标文件必须封入密封完好的信封或包装，封口加盖公章</w:t>
      </w:r>
      <w:r>
        <w:rPr>
          <w:rFonts w:hint="eastAsia" w:ascii="宋体" w:hAnsi="宋体" w:cs="宋体"/>
          <w:color w:val="auto"/>
          <w:szCs w:val="21"/>
        </w:rPr>
        <w:t>。</w:t>
      </w:r>
    </w:p>
    <w:p w14:paraId="0F99DFF4">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文件正本均须用不褪色墨水书写或打印。投标文件的副本可采用投标文件的正本复印件，每套投标文件应当标明“正本”、“副本”的字样。投标文件的【正本】及所有【副本】的封面及骑缝均须加盖投标人公章（文件每页盖章等同于盖骑缝章）。若正本与副本不符，以正本为准。</w:t>
      </w:r>
    </w:p>
    <w:p w14:paraId="1D315BCD">
      <w:pPr>
        <w:widowControl w:val="0"/>
        <w:numPr>
          <w:ilvl w:val="1"/>
          <w:numId w:val="3"/>
        </w:numPr>
        <w:overflowPunct w:val="0"/>
        <w:rPr>
          <w:rFonts w:ascii="宋体" w:hAnsi="宋体" w:cs="宋体"/>
          <w:color w:val="auto"/>
          <w:szCs w:val="21"/>
        </w:rPr>
      </w:pPr>
      <w:r>
        <w:rPr>
          <w:rFonts w:hint="eastAsia" w:ascii="宋体" w:hAnsi="宋体" w:cs="宋体"/>
          <w:color w:val="auto"/>
          <w:szCs w:val="21"/>
        </w:rPr>
        <w:t>联合体投标文件的【正本】及【副本】的封面及骑缝均须加盖所有联合体组成成员的公章。（文件每页盖章等同于盖骑缝章）</w:t>
      </w:r>
    </w:p>
    <w:p w14:paraId="099B77E1">
      <w:pPr>
        <w:widowControl w:val="0"/>
        <w:numPr>
          <w:ilvl w:val="1"/>
          <w:numId w:val="3"/>
        </w:numPr>
        <w:overflowPunct w:val="0"/>
        <w:rPr>
          <w:rFonts w:ascii="宋体" w:hAnsi="宋体" w:cs="宋体"/>
          <w:color w:val="auto"/>
          <w:szCs w:val="21"/>
        </w:rPr>
      </w:pPr>
      <w:r>
        <w:rPr>
          <w:rFonts w:hint="eastAsia" w:ascii="宋体" w:hAnsi="宋体" w:cs="宋体"/>
          <w:b/>
          <w:bCs/>
          <w:color w:val="auto"/>
          <w:szCs w:val="21"/>
        </w:rPr>
        <w:t>如果同时对几个包组进行投标的，投标文件可只制作一套，但必须标记好各包的对应内容。</w:t>
      </w:r>
    </w:p>
    <w:p w14:paraId="2C52B341">
      <w:pPr>
        <w:widowControl w:val="0"/>
        <w:numPr>
          <w:ilvl w:val="1"/>
          <w:numId w:val="3"/>
        </w:numPr>
        <w:overflowPunct w:val="0"/>
        <w:rPr>
          <w:rFonts w:ascii="宋体" w:hAnsi="宋体" w:cs="宋体"/>
          <w:color w:val="auto"/>
          <w:szCs w:val="21"/>
        </w:rPr>
      </w:pPr>
      <w:r>
        <w:rPr>
          <w:rFonts w:hint="eastAsia" w:ascii="宋体" w:hAnsi="宋体" w:cs="宋体"/>
          <w:color w:val="auto"/>
          <w:szCs w:val="21"/>
        </w:rPr>
        <w:t>电子文件内容包括：由投标人自行制作的与正本文件一致的所有文件。电子文件由光盘或U盘储存，并注明投标人名称及项目名称、采购项目编号，随投标文件一同密封提交。</w:t>
      </w:r>
    </w:p>
    <w:p w14:paraId="7BB38725">
      <w:pPr>
        <w:widowControl w:val="0"/>
        <w:numPr>
          <w:ilvl w:val="1"/>
          <w:numId w:val="3"/>
        </w:numPr>
        <w:overflowPunct w:val="0"/>
        <w:rPr>
          <w:rFonts w:ascii="宋体" w:hAnsi="宋体" w:cs="宋体"/>
          <w:color w:val="auto"/>
          <w:szCs w:val="21"/>
        </w:rPr>
      </w:pPr>
      <w:r>
        <w:rPr>
          <w:rFonts w:hint="eastAsia" w:ascii="宋体" w:hAnsi="宋体" w:cs="宋体"/>
          <w:color w:val="auto"/>
          <w:szCs w:val="21"/>
        </w:rPr>
        <w:t>除投标人对错误处修改外，全套投标文件应无涂改或行间插字和增删。如有修改，修改处须由法定代表人或其正式授权代表在旁边签字及盖章。</w:t>
      </w:r>
    </w:p>
    <w:p w14:paraId="3154A209">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投标人应将投标文件进行非透明的封装，以防止投标文件内容的泄露。采购代理机构将拒绝接收采用透明包装进行密封的投标文件。</w:t>
      </w:r>
    </w:p>
    <w:p w14:paraId="16D8F609">
      <w:pPr>
        <w:widowControl w:val="0"/>
        <w:numPr>
          <w:ilvl w:val="1"/>
          <w:numId w:val="3"/>
        </w:numPr>
        <w:overflowPunct w:val="0"/>
        <w:rPr>
          <w:rFonts w:ascii="宋体" w:hAnsi="宋体" w:cs="宋体"/>
          <w:color w:val="auto"/>
          <w:szCs w:val="21"/>
        </w:rPr>
      </w:pPr>
      <w:r>
        <w:rPr>
          <w:rFonts w:hint="eastAsia" w:ascii="宋体" w:hAnsi="宋体" w:cs="宋体"/>
          <w:color w:val="auto"/>
          <w:szCs w:val="21"/>
        </w:rPr>
        <w:t>密封破损导致投标文件内容直接或间接泄露的投标文件，采购代理机构将拒绝接收。</w:t>
      </w:r>
    </w:p>
    <w:p w14:paraId="1C6364AE">
      <w:pPr>
        <w:widowControl w:val="0"/>
        <w:numPr>
          <w:ilvl w:val="1"/>
          <w:numId w:val="3"/>
        </w:numPr>
        <w:overflowPunct w:val="0"/>
        <w:rPr>
          <w:rFonts w:ascii="宋体" w:hAnsi="宋体" w:cs="宋体"/>
          <w:color w:val="auto"/>
          <w:szCs w:val="21"/>
        </w:rPr>
      </w:pPr>
      <w:r>
        <w:rPr>
          <w:rFonts w:hint="eastAsia" w:ascii="宋体" w:hAnsi="宋体" w:cs="宋体"/>
          <w:color w:val="auto"/>
          <w:szCs w:val="21"/>
        </w:rPr>
        <w:t>为方便开标唱标，投标人应将开标一览表和授权委托书单独密封提交，并在信封上标明“唱标信封”字样。唱标信封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唱标信封”份数及签章等要求与投标文件正本相同（1份）。</w:t>
      </w:r>
    </w:p>
    <w:p w14:paraId="2C1A1D89">
      <w:pPr>
        <w:widowControl w:val="0"/>
        <w:numPr>
          <w:ilvl w:val="1"/>
          <w:numId w:val="3"/>
        </w:numPr>
        <w:overflowPunct w:val="0"/>
        <w:rPr>
          <w:rFonts w:ascii="宋体" w:hAnsi="宋体" w:cs="宋体"/>
          <w:b/>
          <w:bCs/>
          <w:color w:val="auto"/>
          <w:szCs w:val="21"/>
        </w:rPr>
      </w:pPr>
      <w:r>
        <w:rPr>
          <w:rFonts w:hint="eastAsia" w:ascii="宋体" w:hAnsi="宋体" w:cs="宋体"/>
          <w:b/>
          <w:bCs/>
          <w:color w:val="auto"/>
          <w:szCs w:val="21"/>
        </w:rPr>
        <w:t>未单独提交唱标信封的投标人投标文件不进行唱标，投标文件作无效处理。</w:t>
      </w:r>
    </w:p>
    <w:p w14:paraId="00EBDEB3">
      <w:pPr>
        <w:widowControl w:val="0"/>
        <w:numPr>
          <w:ilvl w:val="1"/>
          <w:numId w:val="3"/>
        </w:numPr>
        <w:overflowPunct w:val="0"/>
        <w:outlineLvl w:val="3"/>
        <w:rPr>
          <w:rFonts w:ascii="宋体" w:hAnsi="宋体" w:cs="宋体"/>
          <w:color w:val="auto"/>
          <w:szCs w:val="21"/>
        </w:rPr>
      </w:pPr>
      <w:bookmarkStart w:id="191" w:name="_Toc22236"/>
      <w:r>
        <w:rPr>
          <w:rFonts w:hint="eastAsia" w:ascii="宋体" w:hAnsi="宋体" w:cs="宋体"/>
          <w:color w:val="auto"/>
          <w:szCs w:val="21"/>
        </w:rPr>
        <w:t>所有的信封均应注明：</w:t>
      </w:r>
      <w:bookmarkEnd w:id="191"/>
      <w:r>
        <w:rPr>
          <w:rFonts w:hint="eastAsia" w:ascii="宋体" w:hAnsi="宋体" w:cs="宋体"/>
          <w:color w:val="auto"/>
          <w:szCs w:val="21"/>
        </w:rPr>
        <w:t xml:space="preserve"> </w:t>
      </w:r>
    </w:p>
    <w:p w14:paraId="73CB28E7">
      <w:pPr>
        <w:widowControl w:val="0"/>
        <w:numPr>
          <w:ilvl w:val="0"/>
          <w:numId w:val="6"/>
        </w:numPr>
        <w:adjustRightInd/>
        <w:snapToGrid/>
        <w:spacing w:line="240" w:lineRule="auto"/>
        <w:ind w:left="567"/>
        <w:jc w:val="both"/>
        <w:rPr>
          <w:rFonts w:ascii="宋体" w:hAnsi="宋体" w:cs="宋体"/>
          <w:color w:val="auto"/>
          <w:szCs w:val="21"/>
        </w:rPr>
      </w:pPr>
      <w:r>
        <w:rPr>
          <w:rFonts w:hint="eastAsia" w:ascii="宋体" w:hAnsi="宋体" w:cs="宋体"/>
          <w:color w:val="auto"/>
          <w:szCs w:val="21"/>
        </w:rPr>
        <w:t xml:space="preserve">收件人： </w:t>
      </w:r>
    </w:p>
    <w:p w14:paraId="53ED28BE">
      <w:pPr>
        <w:widowControl w:val="0"/>
        <w:numPr>
          <w:ilvl w:val="0"/>
          <w:numId w:val="6"/>
        </w:numPr>
        <w:adjustRightInd/>
        <w:snapToGrid/>
        <w:spacing w:line="240" w:lineRule="auto"/>
        <w:ind w:left="567"/>
        <w:jc w:val="both"/>
        <w:rPr>
          <w:rFonts w:ascii="宋体" w:hAnsi="宋体" w:cs="宋体"/>
          <w:color w:val="auto"/>
          <w:szCs w:val="21"/>
        </w:rPr>
      </w:pPr>
      <w:r>
        <w:rPr>
          <w:rFonts w:hint="eastAsia" w:ascii="宋体" w:hAnsi="宋体" w:cs="宋体"/>
          <w:color w:val="auto"/>
          <w:szCs w:val="21"/>
        </w:rPr>
        <w:t>投标单位名称：</w:t>
      </w:r>
    </w:p>
    <w:p w14:paraId="4C40EBF2">
      <w:pPr>
        <w:widowControl w:val="0"/>
        <w:numPr>
          <w:ilvl w:val="0"/>
          <w:numId w:val="6"/>
        </w:numPr>
        <w:adjustRightInd/>
        <w:snapToGrid/>
        <w:spacing w:line="240" w:lineRule="auto"/>
        <w:ind w:left="567"/>
        <w:jc w:val="both"/>
        <w:rPr>
          <w:rFonts w:ascii="宋体" w:hAnsi="宋体" w:cs="宋体"/>
          <w:color w:val="auto"/>
          <w:szCs w:val="21"/>
        </w:rPr>
      </w:pPr>
      <w:r>
        <w:rPr>
          <w:rFonts w:hint="eastAsia" w:ascii="宋体" w:hAnsi="宋体" w:cs="宋体"/>
          <w:color w:val="auto"/>
          <w:szCs w:val="21"/>
        </w:rPr>
        <w:t>项目名称：</w:t>
      </w:r>
    </w:p>
    <w:p w14:paraId="71A88478">
      <w:pPr>
        <w:widowControl w:val="0"/>
        <w:numPr>
          <w:ilvl w:val="0"/>
          <w:numId w:val="6"/>
        </w:numPr>
        <w:adjustRightInd/>
        <w:snapToGrid/>
        <w:spacing w:line="240" w:lineRule="auto"/>
        <w:ind w:left="567"/>
        <w:jc w:val="both"/>
        <w:rPr>
          <w:rFonts w:ascii="宋体" w:hAnsi="宋体" w:cs="宋体"/>
          <w:color w:val="auto"/>
          <w:szCs w:val="21"/>
        </w:rPr>
      </w:pPr>
      <w:r>
        <w:rPr>
          <w:rFonts w:hint="eastAsia" w:ascii="宋体" w:hAnsi="宋体" w:cs="宋体"/>
          <w:color w:val="auto"/>
          <w:szCs w:val="21"/>
        </w:rPr>
        <w:t>项目采购项目编号：</w:t>
      </w:r>
      <w:r>
        <w:rPr>
          <w:rFonts w:hint="eastAsia" w:ascii="宋体" w:hAnsi="宋体" w:cs="宋体"/>
          <w:color w:val="auto"/>
          <w:szCs w:val="21"/>
        </w:rPr>
        <w:br w:type="textWrapping"/>
      </w:r>
      <w:r>
        <w:rPr>
          <w:rFonts w:hint="eastAsia" w:ascii="宋体" w:hAnsi="宋体" w:cs="宋体"/>
          <w:color w:val="auto"/>
          <w:szCs w:val="21"/>
        </w:rPr>
        <w:t>5）包组号（如有）：</w:t>
      </w:r>
      <w:r>
        <w:rPr>
          <w:rFonts w:hint="eastAsia" w:ascii="宋体" w:hAnsi="宋体" w:cs="宋体"/>
          <w:color w:val="auto"/>
          <w:szCs w:val="21"/>
          <w:u w:val="thick"/>
        </w:rPr>
        <w:t xml:space="preserve">    </w:t>
      </w:r>
      <w:r>
        <w:rPr>
          <w:rFonts w:hint="eastAsia" w:ascii="宋体" w:hAnsi="宋体" w:cs="宋体"/>
          <w:color w:val="auto"/>
          <w:szCs w:val="21"/>
          <w:u w:val="single"/>
        </w:rPr>
        <w:t xml:space="preserve"> </w:t>
      </w:r>
    </w:p>
    <w:p w14:paraId="68EEDC76">
      <w:pPr>
        <w:widowControl w:val="0"/>
        <w:numPr>
          <w:ilvl w:val="1"/>
          <w:numId w:val="3"/>
        </w:numPr>
        <w:overflowPunct w:val="0"/>
        <w:rPr>
          <w:rFonts w:ascii="宋体" w:hAnsi="宋体" w:cs="宋体"/>
          <w:color w:val="auto"/>
          <w:szCs w:val="21"/>
        </w:rPr>
      </w:pPr>
      <w:r>
        <w:rPr>
          <w:rFonts w:hint="eastAsia" w:ascii="宋体" w:hAnsi="宋体" w:cs="宋体"/>
          <w:color w:val="auto"/>
          <w:szCs w:val="21"/>
        </w:rPr>
        <w:t>密封信封上的项目编号错误或项目名称出现严重歧义的（包括采购内容不符），采购代理机构将拒绝接收。</w:t>
      </w:r>
    </w:p>
    <w:p w14:paraId="2E8C9839">
      <w:pPr>
        <w:widowControl w:val="0"/>
        <w:numPr>
          <w:ilvl w:val="1"/>
          <w:numId w:val="3"/>
        </w:numPr>
        <w:overflowPunct w:val="0"/>
        <w:rPr>
          <w:rFonts w:ascii="宋体" w:hAnsi="宋体" w:cs="宋体"/>
          <w:color w:val="auto"/>
          <w:szCs w:val="21"/>
        </w:rPr>
      </w:pPr>
      <w:r>
        <w:rPr>
          <w:rFonts w:hint="eastAsia" w:ascii="宋体" w:hAnsi="宋体" w:cs="宋体"/>
          <w:color w:val="auto"/>
          <w:szCs w:val="21"/>
        </w:rPr>
        <w:t>采购代理机构对所有投标文件的误投或提前启封概不负责。</w:t>
      </w:r>
    </w:p>
    <w:p w14:paraId="62B89820">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投标人同时参加几个包投标时必须按采购文件要求按包号分别制作投标文件，分别密封递交。</w:t>
      </w:r>
    </w:p>
    <w:p w14:paraId="5EB0E029">
      <w:pPr>
        <w:widowControl w:val="0"/>
        <w:numPr>
          <w:ilvl w:val="1"/>
          <w:numId w:val="3"/>
        </w:numPr>
        <w:overflowPunct w:val="0"/>
        <w:outlineLvl w:val="3"/>
        <w:rPr>
          <w:rFonts w:ascii="宋体" w:hAnsi="宋体" w:cs="宋体"/>
          <w:color w:val="auto"/>
          <w:szCs w:val="21"/>
        </w:rPr>
      </w:pPr>
      <w:bookmarkStart w:id="192" w:name="_Toc30599"/>
      <w:r>
        <w:rPr>
          <w:rFonts w:hint="eastAsia" w:ascii="宋体" w:hAnsi="宋体" w:cs="宋体"/>
          <w:color w:val="auto"/>
          <w:szCs w:val="21"/>
        </w:rPr>
        <w:t>传真、电传的投标文件将被拒绝。</w:t>
      </w:r>
      <w:bookmarkEnd w:id="192"/>
    </w:p>
    <w:p w14:paraId="42946B3F">
      <w:pPr>
        <w:widowControl w:val="0"/>
        <w:numPr>
          <w:ilvl w:val="1"/>
          <w:numId w:val="3"/>
        </w:numPr>
        <w:overflowPunct w:val="0"/>
        <w:rPr>
          <w:rFonts w:ascii="宋体" w:hAnsi="宋体" w:cs="宋体"/>
          <w:color w:val="auto"/>
          <w:szCs w:val="21"/>
        </w:rPr>
      </w:pPr>
      <w:r>
        <w:rPr>
          <w:rFonts w:hint="eastAsia" w:ascii="宋体" w:hAnsi="宋体" w:cs="宋体"/>
          <w:color w:val="auto"/>
          <w:szCs w:val="21"/>
        </w:rPr>
        <w:t>递交的投标文件中所提供的通讯方式应保持联络畅通，因联系不上而导致的所有后果由投标人自行承担。</w:t>
      </w:r>
    </w:p>
    <w:p w14:paraId="52E32E5F">
      <w:pPr>
        <w:rPr>
          <w:rFonts w:ascii="宋体" w:hAnsi="宋体" w:cs="宋体"/>
          <w:color w:val="auto"/>
        </w:rPr>
      </w:pPr>
    </w:p>
    <w:p w14:paraId="7076CE39">
      <w:pPr>
        <w:pStyle w:val="5"/>
        <w:widowControl w:val="0"/>
        <w:numPr>
          <w:ilvl w:val="0"/>
          <w:numId w:val="3"/>
        </w:numPr>
        <w:overflowPunct w:val="0"/>
        <w:rPr>
          <w:rFonts w:ascii="宋体" w:hAnsi="宋体" w:cs="宋体"/>
          <w:color w:val="auto"/>
          <w:sz w:val="21"/>
          <w:szCs w:val="21"/>
        </w:rPr>
      </w:pPr>
      <w:bookmarkStart w:id="193" w:name="_Toc20593"/>
      <w:bookmarkStart w:id="194" w:name="_Toc15770"/>
      <w:bookmarkStart w:id="195" w:name="_Toc6737"/>
      <w:bookmarkStart w:id="196" w:name="_Toc17825"/>
      <w:r>
        <w:rPr>
          <w:rFonts w:hint="eastAsia" w:ascii="宋体" w:hAnsi="宋体" w:cs="宋体"/>
          <w:color w:val="auto"/>
          <w:sz w:val="21"/>
          <w:szCs w:val="21"/>
        </w:rPr>
        <w:t>迟交的投标文件</w:t>
      </w:r>
      <w:bookmarkEnd w:id="193"/>
      <w:bookmarkEnd w:id="194"/>
      <w:bookmarkEnd w:id="195"/>
      <w:bookmarkEnd w:id="196"/>
    </w:p>
    <w:p w14:paraId="18D24723">
      <w:pPr>
        <w:pStyle w:val="47"/>
        <w:widowControl w:val="0"/>
        <w:numPr>
          <w:ilvl w:val="0"/>
          <w:numId w:val="4"/>
        </w:numPr>
        <w:adjustRightInd/>
        <w:snapToGrid/>
        <w:ind w:firstLineChars="0"/>
        <w:jc w:val="both"/>
        <w:rPr>
          <w:rFonts w:ascii="宋体" w:hAnsi="宋体" w:cs="宋体"/>
          <w:vanish/>
          <w:color w:val="auto"/>
          <w:szCs w:val="21"/>
        </w:rPr>
      </w:pPr>
    </w:p>
    <w:p w14:paraId="55FFC8E1">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投标人在投标截止时间之后提交的投标文件，采购代理机构将拒绝接收。</w:t>
      </w:r>
    </w:p>
    <w:p w14:paraId="50CA3E4C">
      <w:pPr>
        <w:widowControl w:val="0"/>
        <w:numPr>
          <w:ilvl w:val="1"/>
          <w:numId w:val="3"/>
        </w:numPr>
        <w:overflowPunct w:val="0"/>
        <w:outlineLvl w:val="3"/>
        <w:rPr>
          <w:rFonts w:ascii="宋体" w:hAnsi="宋体" w:cs="宋体"/>
          <w:color w:val="auto"/>
          <w:szCs w:val="21"/>
        </w:rPr>
      </w:pPr>
      <w:bookmarkStart w:id="197" w:name="_Toc3557"/>
      <w:r>
        <w:rPr>
          <w:rFonts w:hint="eastAsia" w:ascii="宋体" w:hAnsi="宋体" w:cs="宋体"/>
          <w:color w:val="auto"/>
          <w:szCs w:val="21"/>
        </w:rPr>
        <w:t>有违反其他法律规定情形的，采购代理机构将拒绝接收。</w:t>
      </w:r>
      <w:bookmarkEnd w:id="197"/>
    </w:p>
    <w:p w14:paraId="79C4CC49">
      <w:pPr>
        <w:rPr>
          <w:rFonts w:ascii="宋体" w:hAnsi="宋体" w:cs="宋体"/>
          <w:color w:val="auto"/>
        </w:rPr>
      </w:pPr>
    </w:p>
    <w:p w14:paraId="0DDE1531">
      <w:pPr>
        <w:pStyle w:val="5"/>
        <w:widowControl w:val="0"/>
        <w:numPr>
          <w:ilvl w:val="0"/>
          <w:numId w:val="3"/>
        </w:numPr>
        <w:overflowPunct w:val="0"/>
        <w:rPr>
          <w:rFonts w:ascii="宋体" w:hAnsi="宋体" w:cs="宋体"/>
          <w:color w:val="auto"/>
          <w:sz w:val="21"/>
          <w:szCs w:val="21"/>
        </w:rPr>
      </w:pPr>
      <w:bookmarkStart w:id="198" w:name="_Toc21022"/>
      <w:bookmarkStart w:id="199" w:name="_Toc8831"/>
      <w:bookmarkStart w:id="200" w:name="_Toc1528"/>
      <w:bookmarkStart w:id="201" w:name="_Toc2043"/>
      <w:r>
        <w:rPr>
          <w:rFonts w:hint="eastAsia" w:ascii="宋体" w:hAnsi="宋体" w:cs="宋体"/>
          <w:color w:val="auto"/>
          <w:sz w:val="21"/>
          <w:szCs w:val="21"/>
        </w:rPr>
        <w:t>投标样品（如需提交）</w:t>
      </w:r>
      <w:bookmarkEnd w:id="198"/>
      <w:bookmarkEnd w:id="199"/>
      <w:bookmarkEnd w:id="200"/>
      <w:bookmarkEnd w:id="201"/>
    </w:p>
    <w:p w14:paraId="1BDFB845">
      <w:pPr>
        <w:pStyle w:val="47"/>
        <w:widowControl w:val="0"/>
        <w:numPr>
          <w:ilvl w:val="0"/>
          <w:numId w:val="4"/>
        </w:numPr>
        <w:adjustRightInd/>
        <w:snapToGrid/>
        <w:ind w:firstLineChars="0"/>
        <w:jc w:val="both"/>
        <w:rPr>
          <w:rFonts w:ascii="宋体" w:hAnsi="宋体" w:cs="宋体"/>
          <w:vanish/>
          <w:color w:val="auto"/>
          <w:szCs w:val="21"/>
        </w:rPr>
      </w:pPr>
    </w:p>
    <w:p w14:paraId="70ACDCC5">
      <w:pPr>
        <w:widowControl w:val="0"/>
        <w:numPr>
          <w:ilvl w:val="1"/>
          <w:numId w:val="3"/>
        </w:numPr>
        <w:overflowPunct w:val="0"/>
        <w:rPr>
          <w:rFonts w:ascii="宋体" w:hAnsi="宋体" w:cs="宋体"/>
          <w:color w:val="auto"/>
          <w:szCs w:val="21"/>
        </w:rPr>
      </w:pPr>
      <w:r>
        <w:rPr>
          <w:rFonts w:hint="eastAsia" w:ascii="宋体" w:hAnsi="宋体" w:cs="宋体"/>
          <w:color w:val="auto"/>
          <w:szCs w:val="21"/>
        </w:rPr>
        <w:t>如有必要，采购代理机构可以要求投标人提供本服务项目涉及的部分设备或产品样品，投标人在投标时应提交《样品清单》。</w:t>
      </w:r>
    </w:p>
    <w:p w14:paraId="329E6A21">
      <w:pPr>
        <w:widowControl w:val="0"/>
        <w:numPr>
          <w:ilvl w:val="1"/>
          <w:numId w:val="3"/>
        </w:numPr>
        <w:overflowPunct w:val="0"/>
        <w:rPr>
          <w:rFonts w:ascii="宋体" w:hAnsi="宋体" w:cs="宋体"/>
          <w:color w:val="auto"/>
          <w:szCs w:val="21"/>
        </w:rPr>
      </w:pPr>
      <w:r>
        <w:rPr>
          <w:rFonts w:hint="eastAsia" w:ascii="宋体" w:hAnsi="宋体" w:cs="宋体"/>
          <w:color w:val="auto"/>
          <w:szCs w:val="21"/>
        </w:rPr>
        <w:t>为方便评标，投标人在提供样品时，应在所提供的样品表面显著位置标注投标人的名称、包号、样品名称、采购文件规定的服务或货物编号。</w:t>
      </w:r>
    </w:p>
    <w:p w14:paraId="025A3182">
      <w:pPr>
        <w:widowControl w:val="0"/>
        <w:numPr>
          <w:ilvl w:val="1"/>
          <w:numId w:val="3"/>
        </w:numPr>
        <w:overflowPunct w:val="0"/>
        <w:rPr>
          <w:rFonts w:ascii="宋体" w:hAnsi="宋体" w:cs="宋体"/>
          <w:color w:val="auto"/>
          <w:szCs w:val="21"/>
        </w:rPr>
      </w:pPr>
      <w:r>
        <w:rPr>
          <w:rFonts w:hint="eastAsia" w:ascii="宋体" w:hAnsi="宋体" w:cs="宋体"/>
          <w:color w:val="auto"/>
          <w:szCs w:val="21"/>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592A0092">
      <w:pPr>
        <w:rPr>
          <w:rFonts w:ascii="宋体" w:hAnsi="宋体" w:cs="宋体"/>
          <w:color w:val="auto"/>
        </w:rPr>
      </w:pPr>
    </w:p>
    <w:p w14:paraId="3B64D1A9">
      <w:pPr>
        <w:pStyle w:val="5"/>
        <w:widowControl w:val="0"/>
        <w:numPr>
          <w:ilvl w:val="0"/>
          <w:numId w:val="3"/>
        </w:numPr>
        <w:overflowPunct w:val="0"/>
        <w:rPr>
          <w:rFonts w:ascii="宋体" w:hAnsi="宋体" w:cs="宋体"/>
          <w:color w:val="auto"/>
          <w:sz w:val="21"/>
          <w:szCs w:val="21"/>
        </w:rPr>
      </w:pPr>
      <w:bookmarkStart w:id="202" w:name="_Toc382049112"/>
      <w:bookmarkStart w:id="203" w:name="_Toc20515"/>
      <w:bookmarkStart w:id="204" w:name="_Toc27065"/>
      <w:bookmarkStart w:id="205" w:name="_Toc4491"/>
      <w:bookmarkStart w:id="206" w:name="_Toc9777"/>
      <w:bookmarkStart w:id="207" w:name="_Toc28559"/>
      <w:bookmarkStart w:id="208" w:name="_Toc303084265"/>
      <w:r>
        <w:rPr>
          <w:rFonts w:hint="eastAsia" w:ascii="宋体" w:hAnsi="宋体" w:cs="宋体"/>
          <w:color w:val="auto"/>
          <w:sz w:val="21"/>
          <w:szCs w:val="21"/>
        </w:rPr>
        <w:t>投标截止期</w:t>
      </w:r>
      <w:bookmarkEnd w:id="202"/>
      <w:bookmarkEnd w:id="203"/>
      <w:bookmarkEnd w:id="204"/>
      <w:bookmarkEnd w:id="205"/>
      <w:bookmarkEnd w:id="206"/>
      <w:bookmarkEnd w:id="207"/>
      <w:bookmarkEnd w:id="208"/>
    </w:p>
    <w:p w14:paraId="25CC0B1A">
      <w:pPr>
        <w:pStyle w:val="47"/>
        <w:widowControl w:val="0"/>
        <w:numPr>
          <w:ilvl w:val="0"/>
          <w:numId w:val="4"/>
        </w:numPr>
        <w:adjustRightInd/>
        <w:snapToGrid/>
        <w:ind w:firstLineChars="0"/>
        <w:jc w:val="both"/>
        <w:rPr>
          <w:rFonts w:ascii="宋体" w:hAnsi="宋体" w:cs="宋体"/>
          <w:vanish/>
          <w:color w:val="auto"/>
          <w:szCs w:val="21"/>
        </w:rPr>
      </w:pPr>
    </w:p>
    <w:p w14:paraId="1FD29B98">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投标人应在采购文件规定的截止日期和时间内，将投标文件送达到指定地点。</w:t>
      </w:r>
    </w:p>
    <w:p w14:paraId="6DA7E411">
      <w:pPr>
        <w:widowControl w:val="0"/>
        <w:numPr>
          <w:ilvl w:val="1"/>
          <w:numId w:val="3"/>
        </w:numPr>
        <w:overflowPunct w:val="0"/>
        <w:rPr>
          <w:rFonts w:ascii="宋体" w:hAnsi="宋体" w:cs="宋体"/>
          <w:color w:val="auto"/>
          <w:szCs w:val="21"/>
        </w:rPr>
      </w:pPr>
      <w:r>
        <w:rPr>
          <w:rFonts w:hint="eastAsia" w:ascii="宋体" w:hAnsi="宋体" w:cs="宋体"/>
          <w:color w:val="auto"/>
          <w:szCs w:val="21"/>
        </w:rPr>
        <w:t>采购代理机构可按本须知规定以澄清或修改通知的方式，酌情延长递交投标文件的截止时间。在此情况下，投标人的所有权利和义务以及投标人受制约的截止时间，均以延长后新的投标截止时间为准。</w:t>
      </w:r>
    </w:p>
    <w:p w14:paraId="5CE555D0">
      <w:pPr>
        <w:rPr>
          <w:rFonts w:ascii="宋体" w:hAnsi="宋体" w:cs="宋体"/>
          <w:color w:val="auto"/>
        </w:rPr>
      </w:pPr>
    </w:p>
    <w:p w14:paraId="6519ED4B">
      <w:pPr>
        <w:pStyle w:val="5"/>
        <w:widowControl w:val="0"/>
        <w:numPr>
          <w:ilvl w:val="0"/>
          <w:numId w:val="3"/>
        </w:numPr>
        <w:overflowPunct w:val="0"/>
        <w:rPr>
          <w:rFonts w:ascii="宋体" w:hAnsi="宋体" w:cs="宋体"/>
          <w:color w:val="auto"/>
          <w:sz w:val="21"/>
          <w:szCs w:val="21"/>
        </w:rPr>
      </w:pPr>
      <w:bookmarkStart w:id="209" w:name="_Toc6038"/>
      <w:bookmarkStart w:id="210" w:name="_Toc29878"/>
      <w:bookmarkStart w:id="211" w:name="_Toc32588"/>
      <w:bookmarkStart w:id="212" w:name="_Toc8362"/>
      <w:r>
        <w:rPr>
          <w:rFonts w:hint="eastAsia" w:ascii="宋体" w:hAnsi="宋体" w:cs="宋体"/>
          <w:color w:val="auto"/>
          <w:sz w:val="21"/>
          <w:szCs w:val="21"/>
        </w:rPr>
        <w:t>投标文件的补充、修改与撤回</w:t>
      </w:r>
      <w:bookmarkEnd w:id="209"/>
      <w:bookmarkEnd w:id="210"/>
      <w:bookmarkEnd w:id="211"/>
      <w:bookmarkEnd w:id="212"/>
    </w:p>
    <w:p w14:paraId="2EB14331">
      <w:pPr>
        <w:pStyle w:val="47"/>
        <w:widowControl w:val="0"/>
        <w:numPr>
          <w:ilvl w:val="0"/>
          <w:numId w:val="4"/>
        </w:numPr>
        <w:adjustRightInd/>
        <w:snapToGrid/>
        <w:ind w:firstLineChars="0"/>
        <w:jc w:val="both"/>
        <w:rPr>
          <w:rFonts w:ascii="宋体" w:hAnsi="宋体" w:cs="宋体"/>
          <w:vanish/>
          <w:color w:val="auto"/>
          <w:szCs w:val="21"/>
        </w:rPr>
      </w:pPr>
    </w:p>
    <w:p w14:paraId="616B8CAF">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76010643">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投标人对投标文件的补充、修改的内容应当按采购文件要求的签署、盖章、密封后，作为投标文件的组成部分。并按照采购文件规定密封和标记的要求提交，并在投标文件密封袋上标明“补充、修改”字样。</w:t>
      </w:r>
    </w:p>
    <w:p w14:paraId="205A3FBD">
      <w:pPr>
        <w:widowControl w:val="0"/>
        <w:numPr>
          <w:ilvl w:val="1"/>
          <w:numId w:val="3"/>
        </w:numPr>
        <w:overflowPunct w:val="0"/>
        <w:outlineLvl w:val="3"/>
        <w:rPr>
          <w:rFonts w:ascii="宋体" w:hAnsi="宋体" w:cs="宋体"/>
          <w:color w:val="auto"/>
          <w:szCs w:val="21"/>
        </w:rPr>
      </w:pPr>
      <w:bookmarkStart w:id="213" w:name="_Toc28427"/>
      <w:r>
        <w:rPr>
          <w:rFonts w:hint="eastAsia" w:ascii="宋体" w:hAnsi="宋体" w:cs="宋体"/>
          <w:color w:val="auto"/>
          <w:szCs w:val="21"/>
        </w:rPr>
        <w:t>投标文件一经递交不予退还。</w:t>
      </w:r>
      <w:bookmarkEnd w:id="213"/>
    </w:p>
    <w:p w14:paraId="414BF1D4">
      <w:pPr>
        <w:widowControl w:val="0"/>
        <w:numPr>
          <w:ilvl w:val="1"/>
          <w:numId w:val="3"/>
        </w:numPr>
        <w:overflowPunct w:val="0"/>
        <w:rPr>
          <w:rFonts w:ascii="宋体" w:hAnsi="宋体" w:cs="宋体"/>
          <w:color w:val="auto"/>
          <w:szCs w:val="21"/>
        </w:rPr>
      </w:pPr>
      <w:r>
        <w:rPr>
          <w:rFonts w:hint="eastAsia" w:ascii="宋体" w:hAnsi="宋体" w:cs="宋体"/>
          <w:color w:val="auto"/>
          <w:szCs w:val="21"/>
        </w:rPr>
        <w:t>在提交投标文件截止时间至投标有效期满之前，投标人不得撤回其投标，否则其投标保证金将不予退还。</w:t>
      </w:r>
    </w:p>
    <w:p w14:paraId="19892663">
      <w:pPr>
        <w:pStyle w:val="11"/>
        <w:rPr>
          <w:color w:val="auto"/>
        </w:rPr>
      </w:pPr>
    </w:p>
    <w:p w14:paraId="3D926BAC">
      <w:pPr>
        <w:pStyle w:val="4"/>
        <w:numPr>
          <w:ilvl w:val="0"/>
          <w:numId w:val="2"/>
        </w:numPr>
        <w:spacing w:before="0" w:after="0" w:line="360" w:lineRule="auto"/>
        <w:jc w:val="center"/>
        <w:rPr>
          <w:rFonts w:ascii="宋体" w:hAnsi="宋体" w:cs="宋体"/>
          <w:color w:val="auto"/>
        </w:rPr>
      </w:pPr>
      <w:bookmarkStart w:id="214" w:name="_Toc17786"/>
      <w:bookmarkStart w:id="215" w:name="_Toc15373"/>
      <w:bookmarkStart w:id="216" w:name="_Toc11932"/>
      <w:bookmarkStart w:id="217" w:name="_Toc10892"/>
      <w:r>
        <w:rPr>
          <w:rFonts w:hint="eastAsia" w:ascii="宋体" w:hAnsi="宋体" w:cs="宋体"/>
          <w:color w:val="auto"/>
        </w:rPr>
        <w:t>开标与评标</w:t>
      </w:r>
      <w:bookmarkEnd w:id="214"/>
      <w:bookmarkEnd w:id="215"/>
      <w:bookmarkEnd w:id="216"/>
      <w:bookmarkEnd w:id="217"/>
    </w:p>
    <w:p w14:paraId="353978CE">
      <w:pPr>
        <w:pStyle w:val="5"/>
        <w:widowControl w:val="0"/>
        <w:numPr>
          <w:ilvl w:val="0"/>
          <w:numId w:val="3"/>
        </w:numPr>
        <w:overflowPunct w:val="0"/>
        <w:rPr>
          <w:rFonts w:ascii="宋体" w:hAnsi="宋体" w:cs="宋体"/>
          <w:color w:val="auto"/>
          <w:sz w:val="21"/>
          <w:szCs w:val="21"/>
        </w:rPr>
      </w:pPr>
      <w:bookmarkStart w:id="218" w:name="_Toc1138"/>
      <w:bookmarkStart w:id="219" w:name="_Toc26995"/>
      <w:bookmarkStart w:id="220" w:name="_Toc12100"/>
      <w:bookmarkStart w:id="221" w:name="_Toc26228"/>
      <w:r>
        <w:rPr>
          <w:rFonts w:hint="eastAsia" w:ascii="宋体" w:hAnsi="宋体" w:cs="宋体"/>
          <w:color w:val="auto"/>
          <w:sz w:val="21"/>
          <w:szCs w:val="21"/>
        </w:rPr>
        <w:t>开标</w:t>
      </w:r>
      <w:bookmarkEnd w:id="218"/>
      <w:bookmarkEnd w:id="219"/>
      <w:bookmarkEnd w:id="220"/>
      <w:bookmarkEnd w:id="221"/>
    </w:p>
    <w:p w14:paraId="78DC5013">
      <w:pPr>
        <w:pStyle w:val="47"/>
        <w:widowControl w:val="0"/>
        <w:numPr>
          <w:ilvl w:val="0"/>
          <w:numId w:val="4"/>
        </w:numPr>
        <w:adjustRightInd/>
        <w:snapToGrid/>
        <w:ind w:firstLineChars="0"/>
        <w:jc w:val="both"/>
        <w:rPr>
          <w:rFonts w:ascii="宋体" w:hAnsi="宋体" w:cs="宋体"/>
          <w:vanish/>
          <w:color w:val="auto"/>
          <w:szCs w:val="21"/>
        </w:rPr>
      </w:pPr>
    </w:p>
    <w:p w14:paraId="36F8CF8E">
      <w:pPr>
        <w:widowControl w:val="0"/>
        <w:numPr>
          <w:ilvl w:val="1"/>
          <w:numId w:val="3"/>
        </w:numPr>
        <w:overflowPunct w:val="0"/>
        <w:rPr>
          <w:rFonts w:ascii="宋体" w:hAnsi="宋体" w:cs="宋体"/>
          <w:color w:val="auto"/>
          <w:szCs w:val="21"/>
        </w:rPr>
      </w:pPr>
      <w:r>
        <w:rPr>
          <w:rFonts w:hint="eastAsia" w:ascii="宋体" w:hAnsi="宋体" w:cs="宋体"/>
          <w:color w:val="auto"/>
          <w:szCs w:val="21"/>
        </w:rPr>
        <w:t>采购代理机构按本采购文件所规定的时间和地点公开开标，并邀请所有投标人代表参加。</w:t>
      </w:r>
    </w:p>
    <w:p w14:paraId="023F4EBC">
      <w:pPr>
        <w:widowControl w:val="0"/>
        <w:numPr>
          <w:ilvl w:val="1"/>
          <w:numId w:val="3"/>
        </w:numPr>
        <w:overflowPunct w:val="0"/>
        <w:outlineLvl w:val="3"/>
        <w:rPr>
          <w:rFonts w:ascii="宋体" w:hAnsi="宋体" w:cs="宋体"/>
          <w:color w:val="auto"/>
          <w:szCs w:val="21"/>
        </w:rPr>
      </w:pPr>
      <w:bookmarkStart w:id="222" w:name="_Toc12982"/>
      <w:r>
        <w:rPr>
          <w:rFonts w:hint="eastAsia" w:ascii="宋体" w:hAnsi="宋体" w:cs="宋体"/>
          <w:color w:val="auto"/>
          <w:szCs w:val="21"/>
        </w:rPr>
        <w:t>开标程序：</w:t>
      </w:r>
      <w:bookmarkEnd w:id="222"/>
    </w:p>
    <w:p w14:paraId="51BC3519">
      <w:pPr>
        <w:widowControl w:val="0"/>
        <w:numPr>
          <w:ilvl w:val="1"/>
          <w:numId w:val="3"/>
        </w:numPr>
        <w:overflowPunct w:val="0"/>
        <w:rPr>
          <w:rFonts w:ascii="宋体" w:hAnsi="宋体" w:cs="宋体"/>
          <w:color w:val="auto"/>
          <w:szCs w:val="21"/>
        </w:rPr>
      </w:pPr>
      <w:r>
        <w:rPr>
          <w:rFonts w:hint="eastAsia" w:ascii="宋体" w:hAnsi="宋体" w:cs="宋体"/>
          <w:color w:val="auto"/>
          <w:szCs w:val="21"/>
        </w:rPr>
        <w:t>开标会由采购代理机构主持，投标人的法定代表人或其授权代表携带有效身份证明准时参加开标会并签名报到。</w:t>
      </w:r>
    </w:p>
    <w:p w14:paraId="3C4DDFC5">
      <w:pPr>
        <w:widowControl w:val="0"/>
        <w:numPr>
          <w:ilvl w:val="1"/>
          <w:numId w:val="3"/>
        </w:numPr>
        <w:overflowPunct w:val="0"/>
        <w:rPr>
          <w:rFonts w:ascii="宋体" w:hAnsi="宋体" w:cs="宋体"/>
          <w:color w:val="auto"/>
          <w:szCs w:val="21"/>
        </w:rPr>
      </w:pPr>
      <w:r>
        <w:rPr>
          <w:rFonts w:hint="eastAsia" w:ascii="宋体" w:hAnsi="宋体" w:cs="宋体"/>
          <w:color w:val="auto"/>
          <w:szCs w:val="21"/>
        </w:rPr>
        <w:t>开标时，由投标人或者其推选的代表检查投标文件的密封情况；经确认无误后，由采购人或者采购代理机构工作人员当众拆封，宣布投标人名称、投标价格和采购文件规定的需要宣布的其他内容；</w:t>
      </w:r>
    </w:p>
    <w:p w14:paraId="128E5153">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78D29EF0">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投标人未参加开标的，视同认可开标结果。</w:t>
      </w:r>
    </w:p>
    <w:p w14:paraId="43284976">
      <w:pPr>
        <w:widowControl w:val="0"/>
        <w:numPr>
          <w:ilvl w:val="1"/>
          <w:numId w:val="3"/>
        </w:numPr>
        <w:overflowPunct w:val="0"/>
        <w:rPr>
          <w:rFonts w:ascii="宋体" w:hAnsi="宋体" w:cs="宋体"/>
          <w:color w:val="auto"/>
          <w:szCs w:val="21"/>
        </w:rPr>
      </w:pPr>
      <w:r>
        <w:rPr>
          <w:rFonts w:hint="eastAsia" w:ascii="宋体" w:hAnsi="宋体" w:cs="宋体"/>
          <w:color w:val="auto"/>
          <w:szCs w:val="21"/>
        </w:rPr>
        <w:t>合格投标人不足3家的，不得开标；</w:t>
      </w:r>
    </w:p>
    <w:p w14:paraId="7B96F979">
      <w:pPr>
        <w:widowControl w:val="0"/>
        <w:numPr>
          <w:ilvl w:val="1"/>
          <w:numId w:val="3"/>
        </w:numPr>
        <w:overflowPunct w:val="0"/>
        <w:rPr>
          <w:rFonts w:ascii="宋体" w:hAnsi="宋体" w:cs="宋体"/>
          <w:color w:val="auto"/>
          <w:szCs w:val="21"/>
        </w:rPr>
      </w:pPr>
      <w:r>
        <w:rPr>
          <w:rFonts w:hint="eastAsia" w:ascii="宋体" w:hAnsi="宋体" w:cs="宋体"/>
          <w:color w:val="auto"/>
          <w:szCs w:val="21"/>
        </w:rPr>
        <w:t>开标过程应当由采购人或者采购代理机构负责记录，由参加开标的各投标人代表和相关工作人员签字确认。</w:t>
      </w:r>
    </w:p>
    <w:p w14:paraId="69ED8D57">
      <w:pPr>
        <w:widowControl w:val="0"/>
        <w:adjustRightInd/>
        <w:snapToGrid/>
        <w:ind w:left="567"/>
        <w:jc w:val="both"/>
        <w:rPr>
          <w:rFonts w:ascii="宋体" w:hAnsi="宋体" w:cs="宋体"/>
          <w:color w:val="auto"/>
        </w:rPr>
      </w:pPr>
    </w:p>
    <w:p w14:paraId="59544282">
      <w:pPr>
        <w:pStyle w:val="5"/>
        <w:widowControl w:val="0"/>
        <w:numPr>
          <w:ilvl w:val="0"/>
          <w:numId w:val="3"/>
        </w:numPr>
        <w:overflowPunct w:val="0"/>
        <w:rPr>
          <w:rFonts w:ascii="宋体" w:hAnsi="宋体" w:cs="宋体"/>
          <w:color w:val="auto"/>
          <w:sz w:val="21"/>
          <w:szCs w:val="21"/>
        </w:rPr>
      </w:pPr>
      <w:bookmarkStart w:id="223" w:name="_Toc27521"/>
      <w:bookmarkStart w:id="224" w:name="_Toc9586"/>
      <w:bookmarkStart w:id="225" w:name="_Toc4224"/>
      <w:bookmarkStart w:id="226" w:name="_Toc21137"/>
      <w:r>
        <w:rPr>
          <w:rFonts w:hint="eastAsia" w:ascii="宋体" w:hAnsi="宋体" w:cs="宋体"/>
          <w:color w:val="auto"/>
          <w:sz w:val="21"/>
          <w:szCs w:val="21"/>
        </w:rPr>
        <w:t>评标委员会及评标方法</w:t>
      </w:r>
      <w:bookmarkEnd w:id="223"/>
      <w:bookmarkEnd w:id="224"/>
      <w:bookmarkEnd w:id="225"/>
      <w:bookmarkEnd w:id="226"/>
    </w:p>
    <w:p w14:paraId="10885164">
      <w:pPr>
        <w:pStyle w:val="47"/>
        <w:widowControl w:val="0"/>
        <w:numPr>
          <w:ilvl w:val="0"/>
          <w:numId w:val="4"/>
        </w:numPr>
        <w:adjustRightInd/>
        <w:snapToGrid/>
        <w:ind w:firstLineChars="0"/>
        <w:jc w:val="both"/>
        <w:rPr>
          <w:rFonts w:ascii="宋体" w:hAnsi="宋体" w:cs="宋体"/>
          <w:vanish/>
          <w:color w:val="auto"/>
          <w:szCs w:val="21"/>
        </w:rPr>
      </w:pPr>
    </w:p>
    <w:p w14:paraId="58A72CD6">
      <w:pPr>
        <w:widowControl w:val="0"/>
        <w:numPr>
          <w:ilvl w:val="1"/>
          <w:numId w:val="3"/>
        </w:numPr>
        <w:overflowPunct w:val="0"/>
        <w:rPr>
          <w:rFonts w:ascii="宋体" w:hAnsi="宋体" w:cs="宋体"/>
          <w:color w:val="auto"/>
          <w:szCs w:val="21"/>
        </w:rPr>
      </w:pPr>
      <w:r>
        <w:rPr>
          <w:rFonts w:hint="eastAsia" w:ascii="宋体" w:hAnsi="宋体" w:cs="宋体"/>
          <w:color w:val="auto"/>
          <w:szCs w:val="21"/>
        </w:rPr>
        <w:t>依法组成评标委员会，评标委员会由采购人和有关技术、经济等方面的专家组成，成员人数为五人或五人以上单数，其中技术、经济等方面的专家不少于成员总数的三分之二，并负责评标工作。</w:t>
      </w:r>
    </w:p>
    <w:p w14:paraId="207000D6">
      <w:pPr>
        <w:widowControl w:val="0"/>
        <w:numPr>
          <w:ilvl w:val="1"/>
          <w:numId w:val="3"/>
        </w:numPr>
        <w:overflowPunct w:val="0"/>
        <w:outlineLvl w:val="3"/>
        <w:rPr>
          <w:rFonts w:ascii="宋体" w:hAnsi="宋体" w:cs="宋体"/>
          <w:color w:val="auto"/>
          <w:szCs w:val="21"/>
        </w:rPr>
      </w:pPr>
      <w:bookmarkStart w:id="227" w:name="_Toc141"/>
      <w:r>
        <w:rPr>
          <w:rFonts w:hint="eastAsia" w:ascii="宋体" w:hAnsi="宋体" w:cs="宋体"/>
          <w:color w:val="auto"/>
          <w:szCs w:val="21"/>
        </w:rPr>
        <w:t>评审方法：本次采购的评审方法采用综合评分法。</w:t>
      </w:r>
      <w:bookmarkEnd w:id="227"/>
    </w:p>
    <w:p w14:paraId="03DCC539">
      <w:pPr>
        <w:widowControl w:val="0"/>
        <w:numPr>
          <w:ilvl w:val="1"/>
          <w:numId w:val="3"/>
        </w:numPr>
        <w:overflowPunct w:val="0"/>
        <w:rPr>
          <w:rFonts w:ascii="宋体" w:hAnsi="宋体" w:cs="宋体"/>
          <w:color w:val="auto"/>
          <w:szCs w:val="21"/>
        </w:rPr>
      </w:pPr>
      <w:r>
        <w:rPr>
          <w:rFonts w:hint="eastAsia" w:ascii="宋体" w:hAnsi="宋体" w:cs="宋体"/>
          <w:color w:val="auto"/>
          <w:szCs w:val="21"/>
        </w:rPr>
        <w:t>定标原则：在最大限度满足采购文件实质性要求前提下，按照采购文件规定的各项评价因素进行量化打分，以评标总得分最高的投标人作为中标候选人或中标人。</w:t>
      </w:r>
    </w:p>
    <w:p w14:paraId="4786C704">
      <w:pPr>
        <w:widowControl w:val="0"/>
        <w:numPr>
          <w:ilvl w:val="1"/>
          <w:numId w:val="3"/>
        </w:numPr>
        <w:overflowPunct w:val="0"/>
        <w:rPr>
          <w:rFonts w:ascii="宋体" w:hAnsi="宋体" w:cs="宋体"/>
          <w:color w:val="auto"/>
          <w:szCs w:val="21"/>
        </w:rPr>
      </w:pPr>
      <w:r>
        <w:rPr>
          <w:rFonts w:hint="eastAsia" w:ascii="宋体" w:hAnsi="宋体" w:cs="宋体"/>
          <w:color w:val="auto"/>
          <w:szCs w:val="21"/>
        </w:rPr>
        <w:t>评标委员会对投标文件的评审内容，分为商务评议、技术评议和价格评议。评审流程包括符合性检查、澄清问题、比较与评价、推荐中标候选人或确定中标人、编写评标报告等步骤。</w:t>
      </w:r>
    </w:p>
    <w:p w14:paraId="188DBDD8">
      <w:pPr>
        <w:widowControl w:val="0"/>
        <w:numPr>
          <w:ilvl w:val="1"/>
          <w:numId w:val="3"/>
        </w:numPr>
        <w:overflowPunct w:val="0"/>
        <w:rPr>
          <w:rFonts w:ascii="宋体" w:hAnsi="宋体" w:cs="宋体"/>
          <w:color w:val="auto"/>
          <w:szCs w:val="21"/>
        </w:rPr>
      </w:pPr>
      <w:r>
        <w:rPr>
          <w:rFonts w:hint="eastAsia" w:ascii="宋体" w:hAnsi="宋体" w:cs="宋体"/>
          <w:color w:val="auto"/>
          <w:szCs w:val="21"/>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10B8D5B2">
      <w:pPr>
        <w:widowControl w:val="0"/>
        <w:numPr>
          <w:ilvl w:val="1"/>
          <w:numId w:val="3"/>
        </w:numPr>
        <w:overflowPunct w:val="0"/>
        <w:rPr>
          <w:rFonts w:ascii="宋体" w:hAnsi="宋体" w:cs="宋体"/>
          <w:color w:val="auto"/>
          <w:szCs w:val="21"/>
        </w:rPr>
      </w:pPr>
      <w:r>
        <w:rPr>
          <w:rFonts w:hint="eastAsia" w:ascii="宋体" w:hAnsi="宋体" w:cs="宋体"/>
          <w:color w:val="auto"/>
          <w:szCs w:val="21"/>
        </w:rPr>
        <w:t>评标委员会和采购人在评审过程中有权核对投标文件中相关材料的原件，投标人在接到通知后应在评标委员会规定的时间内提交原件核查。</w:t>
      </w:r>
    </w:p>
    <w:p w14:paraId="1DEAD96B">
      <w:pPr>
        <w:rPr>
          <w:rFonts w:ascii="宋体" w:hAnsi="宋体" w:cs="宋体"/>
          <w:color w:val="auto"/>
        </w:rPr>
      </w:pPr>
    </w:p>
    <w:p w14:paraId="55A3A9D9">
      <w:pPr>
        <w:pStyle w:val="5"/>
        <w:widowControl w:val="0"/>
        <w:numPr>
          <w:ilvl w:val="0"/>
          <w:numId w:val="3"/>
        </w:numPr>
        <w:overflowPunct w:val="0"/>
        <w:rPr>
          <w:rFonts w:ascii="宋体" w:hAnsi="宋体" w:cs="宋体"/>
          <w:color w:val="auto"/>
          <w:sz w:val="21"/>
          <w:szCs w:val="21"/>
        </w:rPr>
      </w:pPr>
      <w:bookmarkStart w:id="228" w:name="_Toc11938"/>
      <w:bookmarkStart w:id="229" w:name="_Toc29746"/>
      <w:bookmarkStart w:id="230" w:name="_Toc2712"/>
      <w:bookmarkStart w:id="231" w:name="_Toc27610"/>
      <w:r>
        <w:rPr>
          <w:rFonts w:hint="eastAsia" w:ascii="宋体" w:hAnsi="宋体" w:cs="宋体"/>
          <w:color w:val="auto"/>
          <w:sz w:val="21"/>
          <w:szCs w:val="21"/>
        </w:rPr>
        <w:t>评审原则及评标过程的保密</w:t>
      </w:r>
      <w:bookmarkEnd w:id="228"/>
      <w:bookmarkEnd w:id="229"/>
      <w:bookmarkEnd w:id="230"/>
      <w:bookmarkEnd w:id="231"/>
    </w:p>
    <w:p w14:paraId="02B7CAB8">
      <w:pPr>
        <w:pStyle w:val="47"/>
        <w:widowControl w:val="0"/>
        <w:numPr>
          <w:ilvl w:val="0"/>
          <w:numId w:val="4"/>
        </w:numPr>
        <w:adjustRightInd/>
        <w:snapToGrid/>
        <w:ind w:firstLineChars="0"/>
        <w:jc w:val="both"/>
        <w:rPr>
          <w:rFonts w:ascii="宋体" w:hAnsi="宋体" w:cs="宋体"/>
          <w:vanish/>
          <w:color w:val="auto"/>
          <w:szCs w:val="21"/>
        </w:rPr>
      </w:pPr>
    </w:p>
    <w:p w14:paraId="5FE8A2FF">
      <w:pPr>
        <w:widowControl w:val="0"/>
        <w:numPr>
          <w:ilvl w:val="1"/>
          <w:numId w:val="3"/>
        </w:numPr>
        <w:overflowPunct w:val="0"/>
        <w:rPr>
          <w:rFonts w:ascii="宋体" w:hAnsi="宋体" w:cs="宋体"/>
          <w:color w:val="auto"/>
          <w:szCs w:val="21"/>
        </w:rPr>
      </w:pPr>
      <w:r>
        <w:rPr>
          <w:rFonts w:hint="eastAsia" w:ascii="宋体" w:hAnsi="宋体" w:cs="宋体"/>
          <w:color w:val="auto"/>
          <w:szCs w:val="21"/>
        </w:rPr>
        <w:t>评审的基本原则：评标委员会将依据采购文件的规定，遵循“公开、公平、公正、择优、信用”的原则进行评审工作。</w:t>
      </w:r>
    </w:p>
    <w:p w14:paraId="7AC20CA4">
      <w:pPr>
        <w:widowControl w:val="0"/>
        <w:numPr>
          <w:ilvl w:val="1"/>
          <w:numId w:val="3"/>
        </w:numPr>
        <w:overflowPunct w:val="0"/>
        <w:rPr>
          <w:rFonts w:ascii="宋体" w:hAnsi="宋体" w:cs="宋体"/>
          <w:color w:val="auto"/>
          <w:szCs w:val="21"/>
        </w:rPr>
      </w:pPr>
      <w:r>
        <w:rPr>
          <w:rFonts w:hint="eastAsia" w:ascii="宋体" w:hAnsi="宋体" w:cs="宋体"/>
          <w:color w:val="auto"/>
          <w:szCs w:val="21"/>
        </w:rPr>
        <w:t>从公开开标到签订合同，凡与审查、澄清、评审和投标有关的资料以及定标意见相关的事项，均不得向投标人及与评标无关的其他人透露。</w:t>
      </w:r>
    </w:p>
    <w:p w14:paraId="016BF807">
      <w:pPr>
        <w:widowControl w:val="0"/>
        <w:numPr>
          <w:ilvl w:val="1"/>
          <w:numId w:val="3"/>
        </w:numPr>
        <w:overflowPunct w:val="0"/>
        <w:outlineLvl w:val="3"/>
        <w:rPr>
          <w:rFonts w:ascii="宋体" w:hAnsi="宋体" w:cs="宋体"/>
          <w:color w:val="auto"/>
          <w:szCs w:val="21"/>
        </w:rPr>
      </w:pPr>
      <w:bookmarkStart w:id="232" w:name="_Toc15000"/>
      <w:r>
        <w:rPr>
          <w:rFonts w:hint="eastAsia" w:ascii="宋体" w:hAnsi="宋体" w:cs="宋体"/>
          <w:color w:val="auto"/>
          <w:szCs w:val="21"/>
        </w:rPr>
        <w:t>任何单位和个人不得非法干预、影响评标的过程和结果。</w:t>
      </w:r>
      <w:bookmarkEnd w:id="232"/>
    </w:p>
    <w:p w14:paraId="2616CF2E">
      <w:pPr>
        <w:rPr>
          <w:rFonts w:ascii="宋体" w:hAnsi="宋体" w:cs="宋体"/>
          <w:color w:val="auto"/>
        </w:rPr>
      </w:pPr>
    </w:p>
    <w:p w14:paraId="5416D8C0">
      <w:pPr>
        <w:pStyle w:val="5"/>
        <w:widowControl w:val="0"/>
        <w:numPr>
          <w:ilvl w:val="0"/>
          <w:numId w:val="3"/>
        </w:numPr>
        <w:overflowPunct w:val="0"/>
        <w:rPr>
          <w:rFonts w:ascii="宋体" w:hAnsi="宋体" w:cs="宋体"/>
          <w:color w:val="auto"/>
          <w:sz w:val="21"/>
          <w:szCs w:val="21"/>
        </w:rPr>
      </w:pPr>
      <w:bookmarkStart w:id="233" w:name="_Toc9714"/>
      <w:bookmarkStart w:id="234" w:name="_Toc19733"/>
      <w:bookmarkStart w:id="235" w:name="_Toc27171"/>
      <w:bookmarkStart w:id="236" w:name="_Toc4948"/>
      <w:bookmarkStart w:id="237" w:name="_Toc7361"/>
      <w:r>
        <w:rPr>
          <w:rFonts w:hint="eastAsia" w:ascii="宋体" w:hAnsi="宋体" w:cs="宋体"/>
          <w:color w:val="auto"/>
          <w:sz w:val="21"/>
          <w:szCs w:val="21"/>
        </w:rPr>
        <w:t>评标程序</w:t>
      </w:r>
      <w:bookmarkEnd w:id="233"/>
      <w:bookmarkEnd w:id="234"/>
      <w:bookmarkEnd w:id="235"/>
      <w:bookmarkEnd w:id="236"/>
    </w:p>
    <w:p w14:paraId="0B861635">
      <w:pPr>
        <w:widowControl w:val="0"/>
        <w:numPr>
          <w:ilvl w:val="1"/>
          <w:numId w:val="3"/>
        </w:numPr>
        <w:overflowPunct w:val="0"/>
        <w:outlineLvl w:val="3"/>
        <w:rPr>
          <w:rFonts w:ascii="宋体" w:hAnsi="宋体" w:cs="宋体"/>
          <w:b/>
          <w:bCs/>
          <w:color w:val="auto"/>
          <w:szCs w:val="21"/>
        </w:rPr>
      </w:pPr>
      <w:bookmarkStart w:id="238" w:name="_Toc24337"/>
      <w:r>
        <w:rPr>
          <w:rFonts w:hint="eastAsia" w:ascii="宋体" w:hAnsi="宋体" w:cs="宋体"/>
          <w:b/>
          <w:bCs/>
          <w:color w:val="auto"/>
          <w:szCs w:val="21"/>
        </w:rPr>
        <w:t>资格性、符合性审查</w:t>
      </w:r>
      <w:bookmarkEnd w:id="238"/>
    </w:p>
    <w:p w14:paraId="320E9FF5">
      <w:pPr>
        <w:widowControl w:val="0"/>
        <w:overflowPunct w:val="0"/>
        <w:ind w:firstLine="420" w:firstLineChars="200"/>
        <w:rPr>
          <w:rFonts w:ascii="宋体" w:hAnsi="宋体" w:cs="宋体"/>
          <w:color w:val="auto"/>
          <w:szCs w:val="21"/>
        </w:rPr>
      </w:pPr>
      <w:r>
        <w:rPr>
          <w:rFonts w:hint="eastAsia" w:ascii="宋体" w:hAnsi="宋体" w:cs="宋体"/>
          <w:color w:val="auto"/>
          <w:szCs w:val="21"/>
        </w:rPr>
        <w:t>公开采购项目开标结束后，评标委员会根据《资格性、符合性审查表》将依法对投标人进行资格性、符合性审查。投标人必须严格按照《资格性、符合性审查表》的评审内容的要求如实提供证明材料并应加盖投标人公章，对缺漏或不符合项将直接导致无效投标。合格投标人不足3家的，不得评标。未通过资格性、符合性审查的投标人不进入</w:t>
      </w:r>
      <w:r>
        <w:rPr>
          <w:rFonts w:hint="eastAsia" w:hAnsi="宋体" w:cs="宋体"/>
          <w:color w:val="auto"/>
          <w:szCs w:val="21"/>
        </w:rPr>
        <w:t>评标阶段</w:t>
      </w:r>
      <w:r>
        <w:rPr>
          <w:rFonts w:hint="eastAsia" w:ascii="宋体" w:hAnsi="宋体" w:cs="宋体"/>
          <w:color w:val="auto"/>
          <w:szCs w:val="21"/>
        </w:rPr>
        <w:t>的评审。</w:t>
      </w:r>
    </w:p>
    <w:p w14:paraId="761B5663">
      <w:pPr>
        <w:jc w:val="center"/>
        <w:outlineLvl w:val="4"/>
        <w:rPr>
          <w:b/>
          <w:bCs/>
          <w:color w:val="auto"/>
        </w:rPr>
      </w:pPr>
      <w:r>
        <w:rPr>
          <w:b/>
          <w:bCs/>
          <w:color w:val="auto"/>
        </w:rPr>
        <w:t>《资格性</w:t>
      </w:r>
      <w:r>
        <w:rPr>
          <w:rFonts w:hint="eastAsia"/>
          <w:b/>
          <w:bCs/>
          <w:color w:val="auto"/>
        </w:rPr>
        <w:t>、符合性</w:t>
      </w:r>
      <w:r>
        <w:rPr>
          <w:b/>
          <w:bCs/>
          <w:color w:val="auto"/>
        </w:rPr>
        <w:t>审查表》</w:t>
      </w:r>
    </w:p>
    <w:tbl>
      <w:tblPr>
        <w:tblStyle w:val="32"/>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8225"/>
      </w:tblGrid>
      <w:tr w14:paraId="2961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11CE12BF">
            <w:pPr>
              <w:jc w:val="center"/>
              <w:rPr>
                <w:rFonts w:ascii="宋体" w:hAnsi="宋体" w:cs="宋体"/>
                <w:b/>
                <w:color w:val="auto"/>
                <w:szCs w:val="21"/>
              </w:rPr>
            </w:pPr>
            <w:r>
              <w:rPr>
                <w:rFonts w:hint="eastAsia" w:ascii="宋体" w:hAnsi="宋体" w:cs="宋体"/>
                <w:b/>
                <w:color w:val="auto"/>
                <w:szCs w:val="21"/>
              </w:rPr>
              <w:t>序号</w:t>
            </w: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29B1E9C0">
            <w:pPr>
              <w:jc w:val="center"/>
              <w:rPr>
                <w:rFonts w:ascii="宋体" w:hAnsi="宋体" w:cs="宋体"/>
                <w:b/>
                <w:color w:val="auto"/>
                <w:szCs w:val="21"/>
              </w:rPr>
            </w:pPr>
            <w:r>
              <w:rPr>
                <w:rFonts w:hint="eastAsia" w:ascii="宋体" w:hAnsi="宋体" w:cs="宋体"/>
                <w:b/>
                <w:color w:val="auto"/>
                <w:szCs w:val="21"/>
              </w:rPr>
              <w:t>评 审 内 容</w:t>
            </w:r>
          </w:p>
        </w:tc>
      </w:tr>
      <w:tr w14:paraId="7097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734" w:type="dxa"/>
            <w:vMerge w:val="restart"/>
            <w:tcBorders>
              <w:top w:val="single" w:color="auto" w:sz="4" w:space="0"/>
              <w:left w:val="single" w:color="auto" w:sz="4" w:space="0"/>
              <w:right w:val="single" w:color="auto" w:sz="4" w:space="0"/>
              <w:tl2br w:val="nil"/>
              <w:tr2bl w:val="nil"/>
            </w:tcBorders>
            <w:vAlign w:val="center"/>
          </w:tcPr>
          <w:p w14:paraId="13BC4497">
            <w:pPr>
              <w:numPr>
                <w:ilvl w:val="0"/>
                <w:numId w:val="7"/>
              </w:numPr>
              <w:tabs>
                <w:tab w:val="left" w:pos="176"/>
                <w:tab w:val="left" w:pos="612"/>
              </w:tabs>
              <w:jc w:val="center"/>
              <w:rPr>
                <w:rFonts w:ascii="宋体" w:hAnsi="宋体" w:cs="宋体"/>
                <w:color w:val="auto"/>
                <w:szCs w:val="21"/>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38A016CB">
            <w:pPr>
              <w:tabs>
                <w:tab w:val="left" w:pos="612"/>
              </w:tabs>
              <w:rPr>
                <w:rFonts w:ascii="宋体" w:hAnsi="宋体" w:cs="宋体"/>
                <w:color w:val="auto"/>
                <w:szCs w:val="21"/>
              </w:rPr>
            </w:pPr>
            <w:r>
              <w:rPr>
                <w:rFonts w:hint="eastAsia" w:ascii="宋体" w:hAnsi="宋体" w:cs="宋体"/>
                <w:color w:val="auto"/>
                <w:szCs w:val="21"/>
              </w:rPr>
              <w:t>（1）投标人须为在中华人民共和国境内登记注册的具有独立承担民事责任能力的法人或其他组织【提供《营业执照》复印件（加盖公章）或《事业单位法人证书》复印件（加盖公章）或其他主体证书复印件（加盖公章）】；</w:t>
            </w:r>
          </w:p>
        </w:tc>
      </w:tr>
      <w:tr w14:paraId="6ABD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34" w:type="dxa"/>
            <w:vMerge w:val="continue"/>
            <w:tcBorders>
              <w:left w:val="single" w:color="auto" w:sz="4" w:space="0"/>
              <w:right w:val="single" w:color="auto" w:sz="4" w:space="0"/>
              <w:tl2br w:val="nil"/>
              <w:tr2bl w:val="nil"/>
            </w:tcBorders>
            <w:vAlign w:val="center"/>
          </w:tcPr>
          <w:p w14:paraId="7522AD82">
            <w:pPr>
              <w:tabs>
                <w:tab w:val="left" w:pos="176"/>
                <w:tab w:val="left" w:pos="420"/>
                <w:tab w:val="left" w:pos="612"/>
              </w:tabs>
              <w:jc w:val="center"/>
              <w:rPr>
                <w:rFonts w:ascii="宋体" w:hAnsi="宋体" w:cs="宋体"/>
                <w:color w:val="auto"/>
                <w:szCs w:val="21"/>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4E67448B">
            <w:pPr>
              <w:tabs>
                <w:tab w:val="left" w:pos="612"/>
              </w:tabs>
              <w:rPr>
                <w:rFonts w:ascii="宋体" w:hAnsi="宋体" w:cs="宋体"/>
                <w:color w:val="auto"/>
                <w:szCs w:val="21"/>
              </w:rPr>
            </w:pPr>
            <w:r>
              <w:rPr>
                <w:rFonts w:hint="eastAsia" w:ascii="宋体" w:hAnsi="宋体" w:cs="宋体"/>
                <w:color w:val="auto"/>
                <w:szCs w:val="21"/>
              </w:rPr>
              <w:t>（2）参加采购活动前三年内，在经营活动中没有重大违法记录（须提供书面声明）；</w:t>
            </w:r>
          </w:p>
        </w:tc>
      </w:tr>
      <w:tr w14:paraId="5082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34" w:type="dxa"/>
            <w:vMerge w:val="continue"/>
            <w:tcBorders>
              <w:left w:val="single" w:color="auto" w:sz="4" w:space="0"/>
              <w:right w:val="single" w:color="auto" w:sz="4" w:space="0"/>
              <w:tl2br w:val="nil"/>
              <w:tr2bl w:val="nil"/>
            </w:tcBorders>
            <w:vAlign w:val="center"/>
          </w:tcPr>
          <w:p w14:paraId="00103C4C">
            <w:pPr>
              <w:tabs>
                <w:tab w:val="left" w:pos="176"/>
                <w:tab w:val="left" w:pos="420"/>
                <w:tab w:val="left" w:pos="612"/>
              </w:tabs>
              <w:jc w:val="center"/>
              <w:rPr>
                <w:rFonts w:ascii="宋体" w:hAnsi="宋体" w:cs="宋体"/>
                <w:color w:val="auto"/>
                <w:szCs w:val="21"/>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09E5D0A8">
            <w:pPr>
              <w:tabs>
                <w:tab w:val="left" w:pos="612"/>
              </w:tabs>
              <w:rPr>
                <w:rFonts w:ascii="宋体" w:hAnsi="宋体" w:cs="宋体"/>
                <w:color w:val="auto"/>
                <w:szCs w:val="21"/>
              </w:rPr>
            </w:pPr>
            <w:r>
              <w:rPr>
                <w:rFonts w:hint="eastAsia" w:ascii="宋体" w:hAnsi="宋体" w:cs="宋体"/>
                <w:color w:val="auto"/>
                <w:szCs w:val="21"/>
              </w:rPr>
              <w:t>（3）投标人的单位负责人为同一人或者存在直接控股、管理关系的不同投标人，不得参加同一合同项下的采购活动；</w:t>
            </w:r>
          </w:p>
        </w:tc>
      </w:tr>
      <w:tr w14:paraId="5431C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734" w:type="dxa"/>
            <w:vMerge w:val="continue"/>
            <w:tcBorders>
              <w:left w:val="single" w:color="auto" w:sz="4" w:space="0"/>
              <w:right w:val="single" w:color="auto" w:sz="4" w:space="0"/>
              <w:tl2br w:val="nil"/>
              <w:tr2bl w:val="nil"/>
            </w:tcBorders>
            <w:vAlign w:val="center"/>
          </w:tcPr>
          <w:p w14:paraId="37BB63B3">
            <w:pPr>
              <w:tabs>
                <w:tab w:val="left" w:pos="176"/>
                <w:tab w:val="left" w:pos="420"/>
                <w:tab w:val="left" w:pos="612"/>
              </w:tabs>
              <w:jc w:val="center"/>
              <w:rPr>
                <w:rFonts w:ascii="宋体" w:hAnsi="宋体" w:cs="宋体"/>
                <w:color w:val="auto"/>
                <w:szCs w:val="21"/>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2AECA990">
            <w:pPr>
              <w:tabs>
                <w:tab w:val="left" w:pos="612"/>
              </w:tabs>
              <w:rPr>
                <w:rFonts w:ascii="宋体" w:hAnsi="宋体" w:cs="宋体"/>
                <w:color w:val="auto"/>
                <w:szCs w:val="21"/>
              </w:rPr>
            </w:pPr>
            <w:r>
              <w:rPr>
                <w:rFonts w:hint="eastAsia" w:ascii="宋体" w:hAnsi="宋体" w:cs="宋体"/>
                <w:color w:val="auto"/>
                <w:szCs w:val="21"/>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tc>
      </w:tr>
      <w:tr w14:paraId="13F4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34" w:type="dxa"/>
            <w:vMerge w:val="continue"/>
            <w:tcBorders>
              <w:left w:val="single" w:color="auto" w:sz="4" w:space="0"/>
              <w:right w:val="single" w:color="auto" w:sz="4" w:space="0"/>
              <w:tl2br w:val="nil"/>
              <w:tr2bl w:val="nil"/>
            </w:tcBorders>
            <w:vAlign w:val="center"/>
          </w:tcPr>
          <w:p w14:paraId="14258BDF">
            <w:pPr>
              <w:tabs>
                <w:tab w:val="left" w:pos="176"/>
                <w:tab w:val="left" w:pos="420"/>
                <w:tab w:val="left" w:pos="612"/>
              </w:tabs>
              <w:jc w:val="center"/>
              <w:rPr>
                <w:rFonts w:ascii="宋体" w:hAnsi="宋体" w:cs="宋体"/>
                <w:color w:val="auto"/>
                <w:szCs w:val="21"/>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7F73AE58">
            <w:pPr>
              <w:tabs>
                <w:tab w:val="left" w:pos="612"/>
              </w:tabs>
              <w:rPr>
                <w:rFonts w:ascii="宋体" w:hAnsi="宋体" w:cs="宋体"/>
                <w:color w:val="auto"/>
                <w:szCs w:val="21"/>
              </w:rPr>
            </w:pPr>
            <w:r>
              <w:rPr>
                <w:rFonts w:hint="eastAsia" w:ascii="宋体" w:hAnsi="宋体" w:cs="宋体"/>
                <w:color w:val="auto"/>
                <w:szCs w:val="21"/>
              </w:rPr>
              <w:t>（5）符合投标人资格要求中其他要求（如有）。（提供《附件10.相关资质证明文件》中对应证明文件。）</w:t>
            </w:r>
          </w:p>
        </w:tc>
      </w:tr>
      <w:tr w14:paraId="19D8E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20068E7F">
            <w:pPr>
              <w:numPr>
                <w:ilvl w:val="0"/>
                <w:numId w:val="7"/>
              </w:numPr>
              <w:tabs>
                <w:tab w:val="left" w:pos="176"/>
                <w:tab w:val="left" w:pos="612"/>
              </w:tabs>
              <w:jc w:val="center"/>
              <w:rPr>
                <w:rFonts w:ascii="宋体" w:hAnsi="宋体" w:cs="宋体"/>
                <w:color w:val="auto"/>
                <w:szCs w:val="21"/>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36955489">
            <w:pPr>
              <w:textAlignment w:val="center"/>
              <w:rPr>
                <w:rFonts w:ascii="宋体" w:hAnsi="宋体" w:cs="宋体"/>
                <w:color w:val="auto"/>
                <w:szCs w:val="21"/>
                <w:lang w:bidi="ar"/>
              </w:rPr>
            </w:pPr>
            <w:r>
              <w:rPr>
                <w:rFonts w:hint="eastAsia" w:ascii="宋体" w:hAnsi="宋体" w:cs="宋体"/>
                <w:color w:val="auto"/>
                <w:szCs w:val="21"/>
                <w:lang w:bidi="ar"/>
              </w:rPr>
              <w:t>投标人按照采购文件要求提交投标保证金；</w:t>
            </w:r>
          </w:p>
        </w:tc>
      </w:tr>
      <w:tr w14:paraId="00B2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302FABE1">
            <w:pPr>
              <w:numPr>
                <w:ilvl w:val="0"/>
                <w:numId w:val="7"/>
              </w:numPr>
              <w:tabs>
                <w:tab w:val="left" w:pos="176"/>
                <w:tab w:val="left" w:pos="612"/>
              </w:tabs>
              <w:jc w:val="center"/>
              <w:rPr>
                <w:rFonts w:ascii="宋体" w:hAnsi="宋体" w:cs="宋体"/>
                <w:color w:val="auto"/>
                <w:szCs w:val="21"/>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2FE1B393">
            <w:pPr>
              <w:textAlignment w:val="center"/>
              <w:rPr>
                <w:rFonts w:ascii="宋体" w:hAnsi="宋体" w:cs="宋体"/>
                <w:color w:val="auto"/>
                <w:szCs w:val="21"/>
              </w:rPr>
            </w:pPr>
            <w:r>
              <w:rPr>
                <w:rFonts w:hint="eastAsia" w:ascii="宋体" w:hAnsi="宋体" w:cs="宋体"/>
                <w:color w:val="auto"/>
                <w:szCs w:val="21"/>
                <w:lang w:bidi="ar"/>
              </w:rPr>
              <w:t>投标文件按照采购文件要求签署盖章；</w:t>
            </w:r>
          </w:p>
        </w:tc>
      </w:tr>
      <w:tr w14:paraId="4B42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6AD200B4">
            <w:pPr>
              <w:numPr>
                <w:ilvl w:val="0"/>
                <w:numId w:val="7"/>
              </w:numPr>
              <w:tabs>
                <w:tab w:val="left" w:pos="176"/>
                <w:tab w:val="left" w:pos="612"/>
              </w:tabs>
              <w:jc w:val="center"/>
              <w:rPr>
                <w:rFonts w:ascii="宋体" w:hAnsi="宋体" w:cs="宋体"/>
                <w:color w:val="auto"/>
                <w:szCs w:val="21"/>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1571D69B">
            <w:pPr>
              <w:textAlignment w:val="center"/>
              <w:rPr>
                <w:rFonts w:ascii="宋体" w:hAnsi="宋体" w:cs="宋体"/>
                <w:color w:val="auto"/>
                <w:szCs w:val="21"/>
              </w:rPr>
            </w:pPr>
            <w:r>
              <w:rPr>
                <w:rFonts w:hint="eastAsia" w:ascii="宋体" w:hAnsi="宋体" w:cs="宋体"/>
                <w:color w:val="auto"/>
                <w:szCs w:val="21"/>
                <w:lang w:bidi="ar"/>
              </w:rPr>
              <w:t>投标单价未超出单价限价（投标报价按要求进行报价）；</w:t>
            </w:r>
          </w:p>
        </w:tc>
      </w:tr>
      <w:tr w14:paraId="214C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59463E5C">
            <w:pPr>
              <w:tabs>
                <w:tab w:val="left" w:pos="176"/>
                <w:tab w:val="left" w:pos="612"/>
              </w:tabs>
              <w:ind w:firstLine="210" w:firstLineChars="100"/>
              <w:jc w:val="both"/>
              <w:rPr>
                <w:rFonts w:ascii="宋体" w:hAnsi="宋体" w:cs="宋体"/>
                <w:color w:val="auto"/>
                <w:szCs w:val="21"/>
              </w:rPr>
            </w:pPr>
            <w:r>
              <w:rPr>
                <w:rFonts w:hint="eastAsia" w:ascii="宋体" w:hAnsi="宋体" w:cs="宋体"/>
                <w:color w:val="auto"/>
                <w:szCs w:val="21"/>
              </w:rPr>
              <w:t>5</w:t>
            </w: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76D34009">
            <w:pPr>
              <w:textAlignment w:val="center"/>
              <w:rPr>
                <w:rFonts w:ascii="宋体" w:hAnsi="宋体" w:cs="宋体"/>
                <w:color w:val="auto"/>
                <w:szCs w:val="21"/>
                <w:lang w:bidi="ar"/>
              </w:rPr>
            </w:pPr>
            <w:r>
              <w:rPr>
                <w:rFonts w:hint="eastAsia" w:ascii="宋体" w:hAnsi="宋体" w:cs="宋体"/>
                <w:color w:val="auto"/>
                <w:szCs w:val="21"/>
                <w:lang w:bidi="ar"/>
              </w:rPr>
              <w:t>投标文件未含有采购人不能接受的附加条件；</w:t>
            </w:r>
          </w:p>
        </w:tc>
      </w:tr>
      <w:tr w14:paraId="65BF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12B12865">
            <w:pPr>
              <w:tabs>
                <w:tab w:val="left" w:pos="176"/>
                <w:tab w:val="left" w:pos="612"/>
              </w:tabs>
              <w:ind w:firstLine="210" w:firstLineChars="100"/>
              <w:jc w:val="both"/>
              <w:rPr>
                <w:rFonts w:ascii="宋体" w:hAnsi="宋体" w:cs="宋体"/>
                <w:color w:val="auto"/>
                <w:szCs w:val="21"/>
              </w:rPr>
            </w:pPr>
            <w:r>
              <w:rPr>
                <w:rFonts w:hint="eastAsia" w:ascii="宋体" w:hAnsi="宋体" w:cs="宋体"/>
                <w:color w:val="auto"/>
                <w:szCs w:val="21"/>
              </w:rPr>
              <w:t>6</w:t>
            </w: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31675F4B">
            <w:pPr>
              <w:textAlignment w:val="center"/>
              <w:rPr>
                <w:rFonts w:ascii="宋体" w:hAnsi="宋体" w:cs="宋体"/>
                <w:color w:val="auto"/>
                <w:szCs w:val="21"/>
              </w:rPr>
            </w:pPr>
            <w:r>
              <w:rPr>
                <w:rFonts w:hint="eastAsia" w:ascii="宋体" w:hAnsi="宋体" w:cs="宋体"/>
                <w:color w:val="auto"/>
                <w:szCs w:val="21"/>
                <w:lang w:bidi="ar"/>
              </w:rPr>
              <w:t>无负偏离标注“★”符号的条款。</w:t>
            </w:r>
          </w:p>
        </w:tc>
      </w:tr>
      <w:tr w14:paraId="52E8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7FB86FFE">
            <w:pPr>
              <w:tabs>
                <w:tab w:val="left" w:pos="176"/>
                <w:tab w:val="left" w:pos="612"/>
              </w:tabs>
              <w:ind w:firstLine="210" w:firstLineChars="100"/>
              <w:jc w:val="both"/>
              <w:rPr>
                <w:rFonts w:ascii="宋体" w:hAnsi="宋体" w:cs="宋体"/>
                <w:color w:val="auto"/>
                <w:szCs w:val="21"/>
              </w:rPr>
            </w:pPr>
            <w:r>
              <w:rPr>
                <w:rFonts w:hint="eastAsia" w:ascii="宋体" w:hAnsi="宋体" w:cs="宋体"/>
                <w:color w:val="auto"/>
                <w:szCs w:val="21"/>
              </w:rPr>
              <w:t>7</w:t>
            </w: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61AD5D7B">
            <w:pPr>
              <w:textAlignment w:val="center"/>
              <w:rPr>
                <w:rFonts w:ascii="宋体" w:hAnsi="宋体" w:cs="宋体"/>
                <w:color w:val="auto"/>
                <w:szCs w:val="21"/>
                <w:lang w:bidi="ar"/>
              </w:rPr>
            </w:pPr>
            <w:r>
              <w:rPr>
                <w:rFonts w:hint="eastAsia" w:ascii="宋体" w:hAnsi="宋体" w:cs="宋体"/>
                <w:color w:val="auto"/>
                <w:szCs w:val="21"/>
              </w:rPr>
              <w:t>未出现</w:t>
            </w:r>
            <w:r>
              <w:rPr>
                <w:rFonts w:hint="eastAsia" w:ascii="宋体" w:hAnsi="宋体" w:cs="宋体"/>
                <w:color w:val="auto"/>
                <w:szCs w:val="21"/>
                <w:lang w:bidi="ar"/>
              </w:rPr>
              <w:t>法律、法规和采购文件规定的其他无效情形。</w:t>
            </w:r>
          </w:p>
        </w:tc>
      </w:tr>
      <w:bookmarkEnd w:id="237"/>
    </w:tbl>
    <w:p w14:paraId="2D708248">
      <w:pPr>
        <w:widowControl w:val="0"/>
        <w:overflowPunct w:val="0"/>
        <w:ind w:firstLine="420" w:firstLineChars="200"/>
        <w:rPr>
          <w:rFonts w:ascii="宋体" w:hAnsi="宋体"/>
          <w:color w:val="auto"/>
          <w:szCs w:val="21"/>
        </w:rPr>
      </w:pPr>
      <w:r>
        <w:rPr>
          <w:rFonts w:hint="eastAsia" w:ascii="宋体" w:hAnsi="宋体"/>
          <w:color w:val="auto"/>
          <w:szCs w:val="21"/>
        </w:rPr>
        <w:t>以上资格性、符合性审查中带有不合格分项的投标文件，将作无效标处理。经评标委员会确认的无效投标文件，采购人和采购代理机构将予以拒绝，并且不允许通过修正或撤消其不符合要求的差异，使之成为具有符合性的投标文件。经评标委员会资格性、符合性审查确认具有有效投标文件的投标人不足三家时将重新组织采购。</w:t>
      </w:r>
    </w:p>
    <w:p w14:paraId="5042D6A7">
      <w:pPr>
        <w:widowControl w:val="0"/>
        <w:numPr>
          <w:ilvl w:val="1"/>
          <w:numId w:val="3"/>
        </w:numPr>
        <w:overflowPunct w:val="0"/>
        <w:rPr>
          <w:rFonts w:ascii="宋体" w:hAnsi="宋体" w:cs="宋体"/>
          <w:b/>
          <w:bCs/>
          <w:color w:val="auto"/>
          <w:szCs w:val="21"/>
        </w:rPr>
      </w:pPr>
      <w:r>
        <w:rPr>
          <w:rFonts w:hint="eastAsia" w:ascii="宋体" w:hAnsi="宋体" w:cs="宋体"/>
          <w:b/>
          <w:bCs/>
          <w:color w:val="auto"/>
          <w:szCs w:val="21"/>
        </w:rPr>
        <w:t>投标文件报价出现前后不一致的，评标委员会按照下列规定修正：</w:t>
      </w:r>
    </w:p>
    <w:p w14:paraId="2F319DFC">
      <w:pPr>
        <w:widowControl w:val="0"/>
        <w:numPr>
          <w:ilvl w:val="0"/>
          <w:numId w:val="8"/>
        </w:numPr>
        <w:overflowPunct w:val="0"/>
        <w:rPr>
          <w:rFonts w:ascii="宋体" w:hAnsi="宋体" w:cs="宋体"/>
          <w:color w:val="auto"/>
          <w:szCs w:val="21"/>
        </w:rPr>
      </w:pPr>
      <w:r>
        <w:rPr>
          <w:rFonts w:hint="eastAsia" w:ascii="宋体" w:hAnsi="宋体" w:cs="宋体"/>
          <w:color w:val="auto"/>
          <w:szCs w:val="21"/>
        </w:rPr>
        <w:t>投标文件中开标一览表（报价表）内容与投标文件中相应内容不一致的，以开标一览表（报价表）为准；</w:t>
      </w:r>
    </w:p>
    <w:p w14:paraId="1D8693CE">
      <w:pPr>
        <w:widowControl w:val="0"/>
        <w:numPr>
          <w:ilvl w:val="0"/>
          <w:numId w:val="8"/>
        </w:numPr>
        <w:overflowPunct w:val="0"/>
        <w:outlineLvl w:val="4"/>
        <w:rPr>
          <w:rFonts w:ascii="宋体" w:hAnsi="宋体" w:cs="宋体"/>
          <w:color w:val="auto"/>
          <w:szCs w:val="21"/>
        </w:rPr>
      </w:pPr>
      <w:r>
        <w:rPr>
          <w:rFonts w:hint="eastAsia" w:ascii="宋体" w:hAnsi="宋体" w:cs="宋体"/>
          <w:color w:val="auto"/>
          <w:szCs w:val="21"/>
        </w:rPr>
        <w:t>大写金额和小写金额不一致的，以大写金额为准；</w:t>
      </w:r>
    </w:p>
    <w:p w14:paraId="4EE115B5">
      <w:pPr>
        <w:widowControl w:val="0"/>
        <w:numPr>
          <w:ilvl w:val="0"/>
          <w:numId w:val="8"/>
        </w:numPr>
        <w:overflowPunct w:val="0"/>
        <w:rPr>
          <w:rFonts w:ascii="宋体" w:hAnsi="宋体" w:cs="宋体"/>
          <w:color w:val="auto"/>
          <w:szCs w:val="21"/>
        </w:rPr>
      </w:pPr>
      <w:r>
        <w:rPr>
          <w:rFonts w:hint="eastAsia" w:ascii="宋体" w:hAnsi="宋体" w:cs="宋体"/>
          <w:color w:val="auto"/>
          <w:szCs w:val="21"/>
        </w:rPr>
        <w:t>单价金额小数点或者百分比有明显错位的，以开标一览表的总价为准，并修改单价；</w:t>
      </w:r>
    </w:p>
    <w:p w14:paraId="2C0AB2B9">
      <w:pPr>
        <w:widowControl w:val="0"/>
        <w:numPr>
          <w:ilvl w:val="0"/>
          <w:numId w:val="8"/>
        </w:numPr>
        <w:overflowPunct w:val="0"/>
        <w:rPr>
          <w:rFonts w:ascii="宋体" w:hAnsi="宋体" w:cs="宋体"/>
          <w:color w:val="auto"/>
          <w:szCs w:val="21"/>
        </w:rPr>
      </w:pPr>
      <w:r>
        <w:rPr>
          <w:rFonts w:hint="eastAsia" w:ascii="宋体" w:hAnsi="宋体" w:cs="宋体"/>
          <w:color w:val="auto"/>
          <w:szCs w:val="21"/>
        </w:rPr>
        <w:t>总价金额与按单价汇总金额不一致的，以单价金额计算结果为准。</w:t>
      </w:r>
    </w:p>
    <w:p w14:paraId="31772140">
      <w:pPr>
        <w:widowControl w:val="0"/>
        <w:numPr>
          <w:ilvl w:val="0"/>
          <w:numId w:val="8"/>
        </w:numPr>
        <w:overflowPunct w:val="0"/>
        <w:rPr>
          <w:rFonts w:ascii="宋体" w:hAnsi="宋体" w:cs="宋体"/>
          <w:color w:val="auto"/>
          <w:szCs w:val="21"/>
        </w:rPr>
      </w:pPr>
      <w:r>
        <w:rPr>
          <w:rFonts w:hint="eastAsia" w:ascii="宋体" w:hAnsi="宋体" w:cs="宋体"/>
          <w:color w:val="auto"/>
          <w:szCs w:val="21"/>
        </w:rPr>
        <w:t>同时出现两种以上不一致的，按照前款规定的顺序修正。修正后的报价按照经投标人确认后产生约束力，投标人不确认的，其投标无效。</w:t>
      </w:r>
    </w:p>
    <w:p w14:paraId="42435703">
      <w:pPr>
        <w:widowControl w:val="0"/>
        <w:overflowPunct w:val="0"/>
        <w:ind w:left="630" w:hanging="630" w:hangingChars="300"/>
        <w:rPr>
          <w:rFonts w:ascii="宋体" w:hAnsi="宋体" w:cs="宋体"/>
          <w:color w:val="auto"/>
          <w:szCs w:val="21"/>
        </w:rPr>
      </w:pPr>
      <w:r>
        <w:rPr>
          <w:rFonts w:hint="eastAsia" w:ascii="宋体" w:hAnsi="宋体" w:cs="宋体"/>
          <w:color w:val="auto"/>
          <w:szCs w:val="21"/>
        </w:rPr>
        <w:t>26.3  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14:paraId="2C6DE1DC">
      <w:pPr>
        <w:widowControl w:val="0"/>
        <w:overflowPunct w:val="0"/>
        <w:ind w:left="630" w:hanging="630" w:hangingChars="300"/>
        <w:rPr>
          <w:rFonts w:ascii="宋体" w:hAnsi="宋体" w:cs="宋体"/>
          <w:color w:val="auto"/>
          <w:szCs w:val="21"/>
        </w:rPr>
      </w:pPr>
      <w:r>
        <w:rPr>
          <w:rFonts w:hint="eastAsia" w:ascii="宋体" w:hAnsi="宋体" w:cs="宋体"/>
          <w:color w:val="auto"/>
          <w:szCs w:val="21"/>
        </w:rPr>
        <w:t>26.4  对于投标文件中不构成实质性偏差的不正规、不一致或不规则，评标委员会可以接受，但这种接受不能损害或影响任何投标人的相对排序。</w:t>
      </w:r>
    </w:p>
    <w:p w14:paraId="0E7E919D">
      <w:pPr>
        <w:widowControl w:val="0"/>
        <w:overflowPunct w:val="0"/>
        <w:ind w:left="630" w:hanging="630" w:hangingChars="300"/>
        <w:rPr>
          <w:rFonts w:ascii="宋体" w:hAnsi="宋体" w:cs="宋体"/>
          <w:color w:val="auto"/>
          <w:szCs w:val="21"/>
        </w:rPr>
      </w:pPr>
      <w:r>
        <w:rPr>
          <w:rFonts w:hint="eastAsia" w:ascii="宋体" w:hAnsi="宋体" w:cs="宋体"/>
          <w:color w:val="auto"/>
          <w:szCs w:val="21"/>
        </w:rPr>
        <w:t>26.5  在详细评标之前，评标委员会要审查每份投标文件是否实质上响应了采购文件的要求。实质上响应的投标应该是与采购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28A4DB99">
      <w:pPr>
        <w:pStyle w:val="11"/>
        <w:rPr>
          <w:color w:val="auto"/>
        </w:rPr>
      </w:pPr>
    </w:p>
    <w:p w14:paraId="578952D3">
      <w:pPr>
        <w:pStyle w:val="5"/>
        <w:widowControl w:val="0"/>
        <w:numPr>
          <w:ilvl w:val="0"/>
          <w:numId w:val="3"/>
        </w:numPr>
        <w:overflowPunct w:val="0"/>
        <w:rPr>
          <w:rFonts w:ascii="宋体" w:hAnsi="宋体" w:cs="宋体"/>
          <w:color w:val="auto"/>
          <w:sz w:val="21"/>
          <w:szCs w:val="21"/>
        </w:rPr>
      </w:pPr>
      <w:bookmarkStart w:id="239" w:name="_Toc6703"/>
      <w:bookmarkStart w:id="240" w:name="_Toc28423"/>
      <w:bookmarkStart w:id="241" w:name="_Toc31237"/>
      <w:bookmarkStart w:id="242" w:name="_Toc23081"/>
      <w:r>
        <w:rPr>
          <w:rFonts w:hint="eastAsia" w:ascii="宋体" w:hAnsi="宋体" w:cs="宋体"/>
          <w:color w:val="auto"/>
          <w:sz w:val="21"/>
          <w:szCs w:val="21"/>
        </w:rPr>
        <w:t>商务、技术、价格评审（具体评审项目详见投标资料表）</w:t>
      </w:r>
      <w:bookmarkEnd w:id="239"/>
      <w:bookmarkEnd w:id="240"/>
      <w:bookmarkEnd w:id="241"/>
      <w:bookmarkEnd w:id="242"/>
    </w:p>
    <w:p w14:paraId="4A3B451D">
      <w:pPr>
        <w:pStyle w:val="47"/>
        <w:widowControl w:val="0"/>
        <w:numPr>
          <w:ilvl w:val="0"/>
          <w:numId w:val="4"/>
        </w:numPr>
        <w:tabs>
          <w:tab w:val="left" w:pos="907"/>
        </w:tabs>
        <w:adjustRightInd/>
        <w:snapToGrid/>
        <w:ind w:firstLineChars="0"/>
        <w:jc w:val="both"/>
        <w:rPr>
          <w:rFonts w:ascii="宋体" w:hAnsi="宋体" w:cs="宋体"/>
          <w:vanish/>
          <w:color w:val="auto"/>
          <w:szCs w:val="21"/>
        </w:rPr>
      </w:pPr>
    </w:p>
    <w:p w14:paraId="5ED748EB">
      <w:pPr>
        <w:widowControl w:val="0"/>
        <w:numPr>
          <w:ilvl w:val="1"/>
          <w:numId w:val="3"/>
        </w:numPr>
        <w:overflowPunct w:val="0"/>
        <w:rPr>
          <w:rFonts w:ascii="宋体" w:hAnsi="宋体" w:cs="宋体"/>
          <w:color w:val="auto"/>
          <w:szCs w:val="21"/>
        </w:rPr>
      </w:pPr>
      <w:r>
        <w:rPr>
          <w:rFonts w:hint="eastAsia" w:ascii="宋体" w:hAnsi="宋体" w:cs="宋体"/>
          <w:color w:val="auto"/>
          <w:szCs w:val="21"/>
        </w:rPr>
        <w:t xml:space="preserve">对通过资格性、符合性审查的有效供应商方有资格进入综合评审。采购文件中要求投标人提供的相关资质证书证明材料因国家政策变动导致新旧证书名称不一致，旧证书未取消且新旧证书具有同等效力的，投标人提供新证书与提供在有效期内的旧证书给予同等认可。 </w:t>
      </w:r>
    </w:p>
    <w:p w14:paraId="041541FB">
      <w:pPr>
        <w:widowControl w:val="0"/>
        <w:numPr>
          <w:ilvl w:val="1"/>
          <w:numId w:val="3"/>
        </w:numPr>
        <w:overflowPunct w:val="0"/>
        <w:rPr>
          <w:rFonts w:ascii="宋体" w:hAnsi="宋体" w:cs="宋体"/>
          <w:color w:val="auto"/>
          <w:szCs w:val="21"/>
        </w:rPr>
      </w:pPr>
      <w:r>
        <w:rPr>
          <w:rFonts w:hint="eastAsia" w:ascii="宋体" w:hAnsi="宋体" w:cs="宋体"/>
          <w:color w:val="auto"/>
          <w:szCs w:val="21"/>
        </w:rPr>
        <w:t>评标委员会对通过资格性、符合性审查的投标文件进行详细评审。评标委员会对每一投标文件进行详细的商务评审、技术评审。按照评审程序的规定和依据评分标准，各位评委就每个投标人的技术、商务状况及其对采购文件要求的响应情况进行评议和比较，评出其技术评分和商务评分。根据采购文件规定评出得分，将价格得分、商务得分、技术得分相加得出最终评标得分。</w:t>
      </w:r>
    </w:p>
    <w:p w14:paraId="3E90EF29">
      <w:pPr>
        <w:widowControl w:val="0"/>
        <w:numPr>
          <w:ilvl w:val="1"/>
          <w:numId w:val="3"/>
        </w:numPr>
        <w:overflowPunct w:val="0"/>
        <w:rPr>
          <w:rFonts w:ascii="宋体" w:hAnsi="宋体" w:cs="宋体"/>
          <w:color w:val="auto"/>
          <w:szCs w:val="21"/>
        </w:rPr>
      </w:pPr>
      <w:r>
        <w:rPr>
          <w:rFonts w:hint="eastAsia" w:ascii="宋体" w:hAnsi="宋体" w:cs="宋体"/>
          <w:color w:val="auto"/>
          <w:szCs w:val="21"/>
        </w:rPr>
        <w:t>采用综合评分法的，评标结果按评审后得分由高到低顺序排列。综合得分相同的，按价格评分由高到低顺序排列。综合</w:t>
      </w:r>
      <w:r>
        <w:rPr>
          <w:rFonts w:hint="eastAsia" w:ascii="宋体" w:hAnsi="宋体"/>
          <w:color w:val="auto"/>
          <w:szCs w:val="21"/>
        </w:rPr>
        <w:t>得分相同且价格评分相同的，按商务评分由高到低顺序排列，得分高的排前，得分低的排后；按上述环节依然存在同分情形而不能确认排名顺序时，由评标委员会进行投票，得票多的排名在先。当第一轮投票结果为投标人得票数相同时，再次进行投票，如此类推，直到能确定排序次序为止</w:t>
      </w:r>
      <w:r>
        <w:rPr>
          <w:rFonts w:hint="eastAsia" w:ascii="宋体" w:hAnsi="宋体" w:cs="宋体"/>
          <w:color w:val="auto"/>
          <w:szCs w:val="21"/>
        </w:rPr>
        <w:t>。</w:t>
      </w:r>
    </w:p>
    <w:p w14:paraId="5933BB7B">
      <w:pPr>
        <w:widowControl w:val="0"/>
        <w:tabs>
          <w:tab w:val="left" w:pos="907"/>
        </w:tabs>
        <w:adjustRightInd/>
        <w:snapToGrid/>
        <w:ind w:left="567"/>
        <w:jc w:val="both"/>
        <w:rPr>
          <w:rFonts w:ascii="宋体" w:hAnsi="宋体" w:cs="宋体"/>
          <w:color w:val="auto"/>
          <w:szCs w:val="21"/>
        </w:rPr>
      </w:pPr>
    </w:p>
    <w:p w14:paraId="30AC3161">
      <w:pPr>
        <w:pStyle w:val="5"/>
        <w:widowControl w:val="0"/>
        <w:numPr>
          <w:ilvl w:val="0"/>
          <w:numId w:val="3"/>
        </w:numPr>
        <w:overflowPunct w:val="0"/>
        <w:rPr>
          <w:rFonts w:ascii="宋体" w:hAnsi="宋体" w:cs="宋体"/>
          <w:color w:val="auto"/>
          <w:sz w:val="21"/>
          <w:szCs w:val="21"/>
        </w:rPr>
      </w:pPr>
      <w:bookmarkStart w:id="243" w:name="_Toc316375620"/>
      <w:bookmarkStart w:id="244" w:name="_Toc382049120"/>
      <w:bookmarkStart w:id="245" w:name="_Toc20328"/>
      <w:bookmarkStart w:id="246" w:name="_Toc6685"/>
      <w:bookmarkStart w:id="247" w:name="_Toc18067"/>
      <w:bookmarkStart w:id="248" w:name="_Toc1497"/>
      <w:bookmarkStart w:id="249" w:name="_Toc14744"/>
      <w:r>
        <w:rPr>
          <w:rFonts w:hint="eastAsia" w:ascii="宋体" w:hAnsi="宋体" w:cs="宋体"/>
          <w:color w:val="auto"/>
          <w:sz w:val="21"/>
          <w:szCs w:val="21"/>
        </w:rPr>
        <w:t>纪律和保密</w:t>
      </w:r>
      <w:bookmarkEnd w:id="243"/>
      <w:r>
        <w:rPr>
          <w:rFonts w:hint="eastAsia" w:ascii="宋体" w:hAnsi="宋体" w:cs="宋体"/>
          <w:color w:val="auto"/>
          <w:sz w:val="21"/>
          <w:szCs w:val="21"/>
        </w:rPr>
        <w:t>事项</w:t>
      </w:r>
      <w:bookmarkEnd w:id="244"/>
      <w:bookmarkEnd w:id="245"/>
      <w:bookmarkEnd w:id="246"/>
      <w:bookmarkEnd w:id="247"/>
      <w:bookmarkEnd w:id="248"/>
      <w:bookmarkEnd w:id="249"/>
    </w:p>
    <w:p w14:paraId="58EF2BF4">
      <w:pPr>
        <w:pStyle w:val="47"/>
        <w:widowControl w:val="0"/>
        <w:numPr>
          <w:ilvl w:val="0"/>
          <w:numId w:val="4"/>
        </w:numPr>
        <w:tabs>
          <w:tab w:val="left" w:pos="907"/>
        </w:tabs>
        <w:adjustRightInd/>
        <w:snapToGrid/>
        <w:ind w:firstLineChars="0"/>
        <w:jc w:val="both"/>
        <w:rPr>
          <w:rFonts w:ascii="宋体" w:hAnsi="宋体" w:cs="宋体"/>
          <w:vanish/>
          <w:color w:val="auto"/>
          <w:szCs w:val="21"/>
        </w:rPr>
      </w:pPr>
    </w:p>
    <w:p w14:paraId="6A76280C">
      <w:pPr>
        <w:widowControl w:val="0"/>
        <w:numPr>
          <w:ilvl w:val="1"/>
          <w:numId w:val="3"/>
        </w:numPr>
        <w:overflowPunct w:val="0"/>
        <w:rPr>
          <w:rFonts w:ascii="宋体" w:hAnsi="宋体" w:cs="宋体"/>
          <w:color w:val="auto"/>
          <w:szCs w:val="21"/>
        </w:rPr>
      </w:pPr>
      <w:r>
        <w:rPr>
          <w:rFonts w:hint="eastAsia" w:ascii="宋体" w:hAnsi="宋体" w:cs="宋体"/>
          <w:color w:val="auto"/>
          <w:szCs w:val="21"/>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51EB5097">
      <w:pPr>
        <w:widowControl w:val="0"/>
        <w:numPr>
          <w:ilvl w:val="1"/>
          <w:numId w:val="3"/>
        </w:numPr>
        <w:overflowPunct w:val="0"/>
        <w:rPr>
          <w:rFonts w:ascii="宋体" w:hAnsi="宋体" w:cs="宋体"/>
          <w:color w:val="auto"/>
          <w:szCs w:val="21"/>
        </w:rPr>
      </w:pPr>
      <w:r>
        <w:rPr>
          <w:rFonts w:hint="eastAsia" w:ascii="宋体" w:hAnsi="宋体" w:cs="宋体"/>
          <w:color w:val="auto"/>
          <w:szCs w:val="21"/>
        </w:rPr>
        <w:t>投标人不得串通作弊，以不正当的手段妨碍、排挤其他投标人，扰乱采购市场，破坏公平竞争原则。否则将按相关法律规定严肃处理。</w:t>
      </w:r>
    </w:p>
    <w:p w14:paraId="4B7F90D7">
      <w:pPr>
        <w:widowControl w:val="0"/>
        <w:numPr>
          <w:ilvl w:val="1"/>
          <w:numId w:val="3"/>
        </w:numPr>
        <w:overflowPunct w:val="0"/>
        <w:rPr>
          <w:rFonts w:ascii="宋体" w:hAnsi="宋体" w:cs="宋体"/>
          <w:color w:val="auto"/>
          <w:szCs w:val="21"/>
        </w:rPr>
      </w:pPr>
      <w:r>
        <w:rPr>
          <w:rFonts w:hint="eastAsia" w:ascii="宋体" w:hAnsi="宋体" w:cs="宋体"/>
          <w:color w:val="auto"/>
          <w:szCs w:val="21"/>
        </w:rPr>
        <w:t>获得本采购文件的投标人，应对文件进行保密，不得用作本次投标以外的任何用途。开标后，投标人应归还采购文件中要求保密的文件和资料。</w:t>
      </w:r>
    </w:p>
    <w:p w14:paraId="77E455BA">
      <w:pPr>
        <w:rPr>
          <w:rFonts w:ascii="宋体" w:hAnsi="宋体" w:cs="宋体"/>
          <w:color w:val="auto"/>
        </w:rPr>
      </w:pPr>
    </w:p>
    <w:p w14:paraId="0DB9C7AB">
      <w:pPr>
        <w:pStyle w:val="4"/>
        <w:numPr>
          <w:ilvl w:val="0"/>
          <w:numId w:val="2"/>
        </w:numPr>
        <w:spacing w:before="0" w:after="0" w:line="360" w:lineRule="auto"/>
        <w:jc w:val="center"/>
        <w:rPr>
          <w:rFonts w:ascii="宋体" w:hAnsi="宋体" w:cs="宋体"/>
          <w:color w:val="auto"/>
        </w:rPr>
      </w:pPr>
      <w:bookmarkStart w:id="250" w:name="_Toc9582"/>
      <w:bookmarkStart w:id="251" w:name="_Toc28314"/>
      <w:bookmarkStart w:id="252" w:name="_Toc30673"/>
      <w:bookmarkStart w:id="253" w:name="_Toc8230"/>
      <w:r>
        <w:rPr>
          <w:rFonts w:hint="eastAsia" w:ascii="宋体" w:hAnsi="宋体" w:cs="宋体"/>
          <w:color w:val="auto"/>
        </w:rPr>
        <w:t>授予合同</w:t>
      </w:r>
      <w:bookmarkEnd w:id="250"/>
      <w:bookmarkEnd w:id="251"/>
      <w:bookmarkEnd w:id="252"/>
      <w:bookmarkEnd w:id="253"/>
    </w:p>
    <w:p w14:paraId="2B2DB1C8">
      <w:pPr>
        <w:pStyle w:val="5"/>
        <w:widowControl w:val="0"/>
        <w:numPr>
          <w:ilvl w:val="0"/>
          <w:numId w:val="3"/>
        </w:numPr>
        <w:overflowPunct w:val="0"/>
        <w:rPr>
          <w:rFonts w:ascii="宋体" w:hAnsi="宋体" w:cs="宋体"/>
          <w:color w:val="auto"/>
          <w:sz w:val="21"/>
          <w:szCs w:val="21"/>
        </w:rPr>
      </w:pPr>
      <w:bookmarkStart w:id="254" w:name="_Toc11245"/>
      <w:bookmarkStart w:id="255" w:name="_Toc21340"/>
      <w:bookmarkStart w:id="256" w:name="_Toc508284011"/>
      <w:bookmarkStart w:id="257" w:name="_Toc23476"/>
      <w:bookmarkStart w:id="258" w:name="_Toc13622"/>
      <w:r>
        <w:rPr>
          <w:rFonts w:hint="eastAsia" w:ascii="宋体" w:hAnsi="宋体" w:cs="宋体"/>
          <w:color w:val="auto"/>
          <w:sz w:val="21"/>
          <w:szCs w:val="21"/>
        </w:rPr>
        <w:t>合同授予标准</w:t>
      </w:r>
      <w:bookmarkEnd w:id="254"/>
      <w:bookmarkEnd w:id="255"/>
      <w:bookmarkEnd w:id="256"/>
      <w:bookmarkEnd w:id="257"/>
      <w:bookmarkEnd w:id="258"/>
    </w:p>
    <w:p w14:paraId="130A0426">
      <w:pPr>
        <w:pStyle w:val="47"/>
        <w:widowControl w:val="0"/>
        <w:numPr>
          <w:ilvl w:val="0"/>
          <w:numId w:val="4"/>
        </w:numPr>
        <w:tabs>
          <w:tab w:val="left" w:pos="907"/>
        </w:tabs>
        <w:adjustRightInd/>
        <w:snapToGrid/>
        <w:ind w:firstLineChars="0"/>
        <w:jc w:val="both"/>
        <w:rPr>
          <w:rFonts w:ascii="宋体" w:hAnsi="宋体" w:cs="宋体"/>
          <w:vanish/>
          <w:color w:val="auto"/>
          <w:szCs w:val="21"/>
        </w:rPr>
      </w:pPr>
    </w:p>
    <w:p w14:paraId="024DEC04">
      <w:pPr>
        <w:widowControl w:val="0"/>
        <w:numPr>
          <w:ilvl w:val="1"/>
          <w:numId w:val="3"/>
        </w:numPr>
        <w:overflowPunct w:val="0"/>
        <w:rPr>
          <w:rFonts w:ascii="宋体" w:hAnsi="宋体" w:cs="宋体"/>
          <w:color w:val="auto"/>
          <w:szCs w:val="21"/>
        </w:rPr>
      </w:pPr>
      <w:r>
        <w:rPr>
          <w:rFonts w:hint="eastAsia" w:ascii="宋体" w:hAnsi="宋体" w:cs="宋体"/>
          <w:color w:val="auto"/>
          <w:szCs w:val="21"/>
        </w:rPr>
        <w:t>根据评标委员会的评审结果，采购人按照评审报告推荐的中标候选人中按顺序依法确定中标人。</w:t>
      </w:r>
    </w:p>
    <w:p w14:paraId="02641080">
      <w:pPr>
        <w:rPr>
          <w:rFonts w:ascii="宋体" w:hAnsi="宋体" w:cs="宋体"/>
          <w:color w:val="auto"/>
        </w:rPr>
      </w:pPr>
    </w:p>
    <w:p w14:paraId="53D9B713">
      <w:pPr>
        <w:pStyle w:val="5"/>
        <w:widowControl w:val="0"/>
        <w:numPr>
          <w:ilvl w:val="0"/>
          <w:numId w:val="3"/>
        </w:numPr>
        <w:overflowPunct w:val="0"/>
        <w:rPr>
          <w:rFonts w:ascii="宋体" w:hAnsi="宋体" w:cs="宋体"/>
          <w:color w:val="auto"/>
          <w:sz w:val="21"/>
          <w:szCs w:val="21"/>
        </w:rPr>
      </w:pPr>
      <w:bookmarkStart w:id="259" w:name="_Toc30456"/>
      <w:bookmarkStart w:id="260" w:name="_Toc20805"/>
      <w:bookmarkStart w:id="261" w:name="_Toc16654"/>
      <w:bookmarkStart w:id="262" w:name="_Toc508284013"/>
      <w:bookmarkStart w:id="263" w:name="_Toc14051"/>
      <w:r>
        <w:rPr>
          <w:rFonts w:hint="eastAsia" w:ascii="宋体" w:hAnsi="宋体" w:cs="宋体"/>
          <w:color w:val="auto"/>
          <w:sz w:val="21"/>
          <w:szCs w:val="21"/>
        </w:rPr>
        <w:t>发布中标结果</w:t>
      </w:r>
      <w:bookmarkEnd w:id="259"/>
      <w:bookmarkEnd w:id="260"/>
      <w:bookmarkEnd w:id="261"/>
      <w:bookmarkEnd w:id="262"/>
      <w:bookmarkEnd w:id="263"/>
    </w:p>
    <w:p w14:paraId="625123B2">
      <w:pPr>
        <w:pStyle w:val="47"/>
        <w:widowControl w:val="0"/>
        <w:numPr>
          <w:ilvl w:val="0"/>
          <w:numId w:val="4"/>
        </w:numPr>
        <w:tabs>
          <w:tab w:val="left" w:pos="907"/>
        </w:tabs>
        <w:adjustRightInd/>
        <w:snapToGrid/>
        <w:ind w:firstLineChars="0"/>
        <w:jc w:val="both"/>
        <w:rPr>
          <w:rFonts w:ascii="宋体" w:hAnsi="宋体" w:cs="宋体"/>
          <w:vanish/>
          <w:color w:val="auto"/>
          <w:szCs w:val="21"/>
        </w:rPr>
      </w:pPr>
    </w:p>
    <w:p w14:paraId="5DD34704">
      <w:pPr>
        <w:widowControl w:val="0"/>
        <w:numPr>
          <w:ilvl w:val="1"/>
          <w:numId w:val="3"/>
        </w:numPr>
        <w:overflowPunct w:val="0"/>
        <w:rPr>
          <w:rFonts w:ascii="宋体" w:hAnsi="宋体" w:cs="宋体"/>
          <w:color w:val="auto"/>
          <w:szCs w:val="21"/>
        </w:rPr>
      </w:pPr>
      <w:r>
        <w:rPr>
          <w:rFonts w:hint="eastAsia" w:ascii="宋体" w:hAnsi="宋体" w:cs="宋体"/>
          <w:color w:val="auto"/>
          <w:szCs w:val="21"/>
        </w:rPr>
        <w:t>评标委员会提出评标书面报告和推荐中标意见报采购人确认后，采购代理机构将在指定的信息发布媒体上发布公告。</w:t>
      </w:r>
    </w:p>
    <w:p w14:paraId="0D585F1D">
      <w:pPr>
        <w:widowControl w:val="0"/>
        <w:numPr>
          <w:ilvl w:val="1"/>
          <w:numId w:val="3"/>
        </w:numPr>
        <w:overflowPunct w:val="0"/>
        <w:outlineLvl w:val="3"/>
        <w:rPr>
          <w:rFonts w:ascii="宋体" w:hAnsi="宋体" w:cs="宋体"/>
          <w:color w:val="auto"/>
          <w:szCs w:val="21"/>
        </w:rPr>
      </w:pPr>
      <w:bookmarkStart w:id="264" w:name="_Toc13477"/>
      <w:r>
        <w:rPr>
          <w:rFonts w:hint="eastAsia" w:ascii="宋体" w:hAnsi="宋体" w:cs="宋体"/>
          <w:color w:val="auto"/>
          <w:szCs w:val="21"/>
        </w:rPr>
        <w:t>中标公告期限为3个日历日。</w:t>
      </w:r>
      <w:bookmarkEnd w:id="264"/>
    </w:p>
    <w:p w14:paraId="12459C47">
      <w:pPr>
        <w:widowControl w:val="0"/>
        <w:numPr>
          <w:ilvl w:val="1"/>
          <w:numId w:val="3"/>
        </w:numPr>
        <w:overflowPunct w:val="0"/>
        <w:rPr>
          <w:rFonts w:ascii="宋体" w:hAnsi="宋体" w:cs="宋体"/>
          <w:color w:val="auto"/>
          <w:szCs w:val="21"/>
        </w:rPr>
      </w:pPr>
      <w:r>
        <w:rPr>
          <w:rFonts w:hint="eastAsia" w:ascii="宋体" w:hAnsi="宋体" w:cs="宋体"/>
          <w:color w:val="auto"/>
          <w:szCs w:val="21"/>
        </w:rPr>
        <w:t>《中标通知书》是合同的一个组成部分，《中标通知书》对采购人和中标人均具有同等法律效力。</w:t>
      </w:r>
    </w:p>
    <w:p w14:paraId="138900E0">
      <w:pPr>
        <w:widowControl w:val="0"/>
        <w:tabs>
          <w:tab w:val="left" w:pos="907"/>
        </w:tabs>
        <w:adjustRightInd/>
        <w:snapToGrid/>
        <w:jc w:val="both"/>
        <w:rPr>
          <w:rFonts w:ascii="宋体" w:hAnsi="宋体" w:cs="宋体"/>
          <w:color w:val="auto"/>
          <w:szCs w:val="21"/>
        </w:rPr>
      </w:pPr>
    </w:p>
    <w:p w14:paraId="09F343E1">
      <w:pPr>
        <w:pStyle w:val="5"/>
        <w:widowControl w:val="0"/>
        <w:numPr>
          <w:ilvl w:val="0"/>
          <w:numId w:val="3"/>
        </w:numPr>
        <w:overflowPunct w:val="0"/>
        <w:rPr>
          <w:rFonts w:ascii="宋体" w:hAnsi="宋体" w:cs="宋体"/>
          <w:color w:val="auto"/>
          <w:sz w:val="21"/>
          <w:szCs w:val="21"/>
        </w:rPr>
      </w:pPr>
      <w:bookmarkStart w:id="265" w:name="_Toc26707"/>
      <w:bookmarkStart w:id="266" w:name="_Toc13136"/>
      <w:bookmarkStart w:id="267" w:name="_Toc3643"/>
      <w:bookmarkStart w:id="268" w:name="_Toc28200"/>
      <w:r>
        <w:rPr>
          <w:rFonts w:hint="eastAsia" w:ascii="宋体" w:hAnsi="宋体" w:cs="宋体"/>
          <w:color w:val="auto"/>
          <w:sz w:val="21"/>
          <w:szCs w:val="21"/>
        </w:rPr>
        <w:t>资格后审</w:t>
      </w:r>
      <w:bookmarkEnd w:id="265"/>
      <w:bookmarkEnd w:id="266"/>
      <w:bookmarkEnd w:id="267"/>
      <w:bookmarkEnd w:id="268"/>
    </w:p>
    <w:p w14:paraId="547FD28C">
      <w:pPr>
        <w:pStyle w:val="47"/>
        <w:widowControl w:val="0"/>
        <w:numPr>
          <w:ilvl w:val="0"/>
          <w:numId w:val="4"/>
        </w:numPr>
        <w:tabs>
          <w:tab w:val="left" w:pos="567"/>
          <w:tab w:val="left" w:pos="907"/>
        </w:tabs>
        <w:adjustRightInd/>
        <w:snapToGrid/>
        <w:ind w:firstLineChars="0"/>
        <w:jc w:val="both"/>
        <w:rPr>
          <w:rFonts w:ascii="宋体" w:hAnsi="宋体" w:cs="宋体"/>
          <w:vanish/>
          <w:color w:val="auto"/>
          <w:szCs w:val="21"/>
        </w:rPr>
      </w:pPr>
    </w:p>
    <w:p w14:paraId="46BD2D76">
      <w:pPr>
        <w:widowControl w:val="0"/>
        <w:numPr>
          <w:ilvl w:val="1"/>
          <w:numId w:val="3"/>
        </w:numPr>
        <w:overflowPunct w:val="0"/>
        <w:rPr>
          <w:rFonts w:ascii="宋体" w:hAnsi="宋体" w:cs="宋体"/>
          <w:color w:val="auto"/>
          <w:szCs w:val="21"/>
        </w:rPr>
      </w:pPr>
      <w:r>
        <w:rPr>
          <w:rFonts w:hint="eastAsia" w:ascii="宋体" w:hAnsi="宋体" w:cs="宋体"/>
          <w:color w:val="auto"/>
          <w:szCs w:val="21"/>
        </w:rPr>
        <w:t>采购人将</w:t>
      </w:r>
      <w:r>
        <w:rPr>
          <w:rFonts w:hint="eastAsia" w:ascii="宋体" w:hAnsi="宋体" w:cs="宋体"/>
          <w:b/>
          <w:bCs/>
          <w:color w:val="auto"/>
          <w:szCs w:val="21"/>
        </w:rPr>
        <w:t>有权</w:t>
      </w:r>
      <w:r>
        <w:rPr>
          <w:rFonts w:hint="eastAsia" w:ascii="宋体" w:hAnsi="宋体" w:cs="宋体"/>
          <w:color w:val="auto"/>
          <w:szCs w:val="21"/>
        </w:rPr>
        <w:t>根据本文件中的要求，对评委会推荐的中标候选人进行资格后审。</w:t>
      </w:r>
    </w:p>
    <w:p w14:paraId="6285D138">
      <w:pPr>
        <w:widowControl w:val="0"/>
        <w:numPr>
          <w:ilvl w:val="1"/>
          <w:numId w:val="3"/>
        </w:numPr>
        <w:overflowPunct w:val="0"/>
        <w:rPr>
          <w:rFonts w:ascii="宋体" w:hAnsi="宋体" w:cs="宋体"/>
          <w:color w:val="auto"/>
          <w:szCs w:val="21"/>
        </w:rPr>
      </w:pPr>
      <w:r>
        <w:rPr>
          <w:rFonts w:hint="eastAsia" w:ascii="宋体" w:hAnsi="宋体" w:cs="宋体"/>
          <w:color w:val="auto"/>
          <w:szCs w:val="21"/>
        </w:rPr>
        <w:t>中标候选人须无条件配合资格后审，否则采购人有权取消其中标资格，且投标保证金可不予退还。</w:t>
      </w:r>
    </w:p>
    <w:p w14:paraId="42B84AE1">
      <w:pPr>
        <w:widowControl w:val="0"/>
        <w:numPr>
          <w:ilvl w:val="1"/>
          <w:numId w:val="3"/>
        </w:numPr>
        <w:overflowPunct w:val="0"/>
        <w:rPr>
          <w:rFonts w:ascii="宋体" w:hAnsi="宋体" w:cs="宋体"/>
          <w:color w:val="auto"/>
          <w:szCs w:val="21"/>
        </w:rPr>
      </w:pPr>
      <w:r>
        <w:rPr>
          <w:rFonts w:hint="eastAsia" w:ascii="宋体" w:hAnsi="宋体" w:cs="宋体"/>
          <w:color w:val="auto"/>
          <w:szCs w:val="21"/>
        </w:rPr>
        <w:t>资格后审须提供包括但不限于营业执照、税务登记证和在投标文件中提供的资质证明文件、业绩等重要证明文件的原件进行核对，综合考察中标人的履约能力。如采购人要求还须提供业绩证明的其他材料,中标候选人须配合提供。如授权其分支机构进行项目实施或提供售后服务的，亦应提供其与分支机构关系的法律证明材料。</w:t>
      </w:r>
    </w:p>
    <w:p w14:paraId="331D650B">
      <w:pPr>
        <w:widowControl w:val="0"/>
        <w:numPr>
          <w:ilvl w:val="1"/>
          <w:numId w:val="3"/>
        </w:numPr>
        <w:overflowPunct w:val="0"/>
        <w:rPr>
          <w:rFonts w:ascii="宋体" w:hAnsi="宋体" w:cs="宋体"/>
          <w:color w:val="auto"/>
          <w:szCs w:val="21"/>
        </w:rPr>
      </w:pPr>
      <w:r>
        <w:rPr>
          <w:rFonts w:hint="eastAsia" w:ascii="宋体" w:hAnsi="宋体" w:cs="宋体"/>
          <w:color w:val="auto"/>
          <w:szCs w:val="21"/>
        </w:rPr>
        <w:t>如发现中标候选人以他人名义投标或者以其他方式弄虚作假，骗取中标的，采购人有权取消其中标资格，且投标保证金可不予退还；给采购人造成损失的，应依法承担赔偿责任。</w:t>
      </w:r>
    </w:p>
    <w:p w14:paraId="09BA1F88">
      <w:pPr>
        <w:widowControl w:val="0"/>
        <w:numPr>
          <w:ilvl w:val="1"/>
          <w:numId w:val="3"/>
        </w:numPr>
        <w:overflowPunct w:val="0"/>
        <w:rPr>
          <w:rFonts w:ascii="宋体" w:hAnsi="宋体" w:cs="宋体"/>
          <w:color w:val="auto"/>
          <w:szCs w:val="21"/>
        </w:rPr>
      </w:pPr>
      <w:r>
        <w:rPr>
          <w:rFonts w:hint="eastAsia" w:ascii="宋体" w:hAnsi="宋体" w:cs="宋体"/>
          <w:color w:val="auto"/>
          <w:szCs w:val="21"/>
        </w:rPr>
        <w:t>采购人有权审查中标候选人是否具备履行合同的能力，包括但不限于对其规模、人员、场地、生产能力、供货能力等方面的核实或现场考察。如果审查通过，采购人将把合同授予该中标人；如果审查没有通过，采购人有权取消其中标资格，且投标保证金可不予退还，并依次审查下一名中标候选人是否具备履行合同的能力或重新采购。</w:t>
      </w:r>
    </w:p>
    <w:p w14:paraId="4458514A">
      <w:pPr>
        <w:rPr>
          <w:rFonts w:ascii="宋体" w:hAnsi="宋体" w:cs="宋体"/>
          <w:color w:val="auto"/>
        </w:rPr>
      </w:pPr>
    </w:p>
    <w:p w14:paraId="0B335628">
      <w:pPr>
        <w:pStyle w:val="5"/>
        <w:widowControl w:val="0"/>
        <w:numPr>
          <w:ilvl w:val="0"/>
          <w:numId w:val="3"/>
        </w:numPr>
        <w:overflowPunct w:val="0"/>
        <w:rPr>
          <w:rFonts w:ascii="宋体" w:hAnsi="宋体" w:cs="宋体"/>
          <w:color w:val="auto"/>
          <w:sz w:val="21"/>
          <w:szCs w:val="21"/>
        </w:rPr>
      </w:pPr>
      <w:bookmarkStart w:id="269" w:name="_Toc4747"/>
      <w:bookmarkStart w:id="270" w:name="_Toc27788"/>
      <w:bookmarkStart w:id="271" w:name="_Toc8123"/>
      <w:bookmarkStart w:id="272" w:name="_Toc18054"/>
      <w:r>
        <w:rPr>
          <w:rFonts w:hint="eastAsia" w:ascii="宋体" w:hAnsi="宋体" w:cs="宋体"/>
          <w:color w:val="auto"/>
          <w:sz w:val="21"/>
          <w:szCs w:val="21"/>
        </w:rPr>
        <w:t>合同的签订与履行</w:t>
      </w:r>
      <w:bookmarkEnd w:id="269"/>
      <w:bookmarkEnd w:id="270"/>
      <w:bookmarkEnd w:id="271"/>
      <w:bookmarkEnd w:id="272"/>
    </w:p>
    <w:p w14:paraId="4B7D00F1">
      <w:pPr>
        <w:pStyle w:val="47"/>
        <w:widowControl w:val="0"/>
        <w:numPr>
          <w:ilvl w:val="0"/>
          <w:numId w:val="4"/>
        </w:numPr>
        <w:tabs>
          <w:tab w:val="left" w:pos="907"/>
        </w:tabs>
        <w:adjustRightInd/>
        <w:snapToGrid/>
        <w:ind w:firstLineChars="0"/>
        <w:jc w:val="both"/>
        <w:rPr>
          <w:rFonts w:ascii="宋体" w:hAnsi="宋体" w:cs="宋体"/>
          <w:vanish/>
          <w:color w:val="auto"/>
          <w:szCs w:val="21"/>
        </w:rPr>
      </w:pPr>
    </w:p>
    <w:p w14:paraId="1599F12C">
      <w:pPr>
        <w:widowControl w:val="0"/>
        <w:numPr>
          <w:ilvl w:val="1"/>
          <w:numId w:val="3"/>
        </w:numPr>
        <w:overflowPunct w:val="0"/>
        <w:rPr>
          <w:rFonts w:ascii="宋体" w:hAnsi="宋体" w:cs="宋体"/>
          <w:color w:val="auto"/>
          <w:szCs w:val="21"/>
        </w:rPr>
      </w:pPr>
      <w:r>
        <w:rPr>
          <w:rFonts w:hint="eastAsia" w:ascii="宋体" w:hAnsi="宋体" w:cs="宋体"/>
          <w:color w:val="auto"/>
          <w:szCs w:val="21"/>
        </w:rPr>
        <w:t>中标人应当自采购人发出中标通知书之日起30日内，按照采购文件和中标人投标文件的规定，与采购人签订书面合同，否则采购人有权取消其中标资格。所签订的合同不得对采购文件确定的事项和中标人投标文件作实质性修改。在合同签订时，应注意合同中约定的工期开始时间不得早于合同签订时间。</w:t>
      </w:r>
    </w:p>
    <w:p w14:paraId="4DC5F3BC">
      <w:pPr>
        <w:widowControl w:val="0"/>
        <w:numPr>
          <w:ilvl w:val="1"/>
          <w:numId w:val="3"/>
        </w:numPr>
        <w:overflowPunct w:val="0"/>
        <w:outlineLvl w:val="3"/>
        <w:rPr>
          <w:rFonts w:ascii="宋体" w:hAnsi="宋体" w:cs="宋体"/>
          <w:color w:val="auto"/>
          <w:szCs w:val="21"/>
        </w:rPr>
      </w:pPr>
      <w:bookmarkStart w:id="273" w:name="_Toc7664"/>
      <w:r>
        <w:rPr>
          <w:rFonts w:hint="eastAsia" w:ascii="宋体" w:hAnsi="宋体" w:cs="宋体"/>
          <w:color w:val="auto"/>
          <w:szCs w:val="21"/>
        </w:rPr>
        <w:t>采购人与中标人应当根据合同的约定依法履行合同义务。</w:t>
      </w:r>
      <w:bookmarkEnd w:id="273"/>
    </w:p>
    <w:p w14:paraId="3E244977">
      <w:pPr>
        <w:widowControl w:val="0"/>
        <w:numPr>
          <w:ilvl w:val="1"/>
          <w:numId w:val="3"/>
        </w:numPr>
        <w:overflowPunct w:val="0"/>
        <w:rPr>
          <w:rFonts w:ascii="宋体" w:hAnsi="宋体" w:cs="宋体"/>
          <w:color w:val="auto"/>
          <w:szCs w:val="21"/>
        </w:rPr>
      </w:pPr>
      <w:r>
        <w:rPr>
          <w:rFonts w:hint="eastAsia" w:ascii="宋体" w:hAnsi="宋体" w:cs="宋体"/>
          <w:color w:val="auto"/>
          <w:szCs w:val="21"/>
        </w:rPr>
        <w:t>采购合同的履行、违约责任和解决争议的方法等适用《中华人民共和国民法典》。</w:t>
      </w:r>
    </w:p>
    <w:p w14:paraId="11232FBA">
      <w:pPr>
        <w:widowControl w:val="0"/>
        <w:numPr>
          <w:ilvl w:val="1"/>
          <w:numId w:val="3"/>
        </w:numPr>
        <w:overflowPunct w:val="0"/>
        <w:rPr>
          <w:rFonts w:ascii="宋体" w:hAnsi="宋体" w:cs="宋体"/>
          <w:color w:val="auto"/>
          <w:szCs w:val="21"/>
        </w:rPr>
      </w:pPr>
      <w:r>
        <w:rPr>
          <w:rFonts w:hint="eastAsia" w:ascii="宋体" w:hAnsi="宋体" w:cs="宋体"/>
          <w:color w:val="auto"/>
          <w:szCs w:val="21"/>
        </w:rPr>
        <w:t>中标人在评审结束当天至合同履行结束，若因不可抗力的因素（如国家出台新法律法规等）造成投标人资质的变动，投标人应以纸质版形式通知采购人。若资质变动导致中标人不再具备履行合同资质要求，采购人有权中止合同。</w:t>
      </w:r>
    </w:p>
    <w:p w14:paraId="0DEAAFB7">
      <w:pPr>
        <w:widowControl w:val="0"/>
        <w:tabs>
          <w:tab w:val="left" w:pos="907"/>
        </w:tabs>
        <w:adjustRightInd/>
        <w:snapToGrid/>
        <w:jc w:val="both"/>
        <w:rPr>
          <w:rFonts w:ascii="宋体" w:hAnsi="宋体" w:cs="宋体"/>
          <w:color w:val="auto"/>
        </w:rPr>
      </w:pPr>
    </w:p>
    <w:p w14:paraId="7F63BB58">
      <w:pPr>
        <w:pStyle w:val="5"/>
        <w:widowControl w:val="0"/>
        <w:numPr>
          <w:ilvl w:val="0"/>
          <w:numId w:val="3"/>
        </w:numPr>
        <w:overflowPunct w:val="0"/>
        <w:rPr>
          <w:rFonts w:ascii="宋体" w:hAnsi="宋体" w:cs="宋体"/>
          <w:color w:val="auto"/>
          <w:sz w:val="21"/>
          <w:szCs w:val="21"/>
        </w:rPr>
      </w:pPr>
      <w:bookmarkStart w:id="274" w:name="_Toc303084277"/>
      <w:bookmarkStart w:id="275" w:name="_Toc29009"/>
      <w:bookmarkStart w:id="276" w:name="_Toc382049124"/>
      <w:bookmarkStart w:id="277" w:name="_Toc29307"/>
      <w:bookmarkStart w:id="278" w:name="_Toc19986"/>
      <w:bookmarkStart w:id="279" w:name="_Toc26760"/>
      <w:bookmarkStart w:id="280" w:name="_Toc25085"/>
      <w:r>
        <w:rPr>
          <w:rFonts w:hint="eastAsia" w:ascii="宋体" w:hAnsi="宋体" w:cs="宋体"/>
          <w:color w:val="auto"/>
          <w:sz w:val="21"/>
          <w:szCs w:val="21"/>
        </w:rPr>
        <w:t>履约</w:t>
      </w:r>
      <w:bookmarkEnd w:id="274"/>
      <w:bookmarkEnd w:id="275"/>
      <w:bookmarkEnd w:id="276"/>
      <w:r>
        <w:rPr>
          <w:rFonts w:hint="eastAsia" w:ascii="宋体" w:hAnsi="宋体" w:cs="宋体"/>
          <w:color w:val="auto"/>
          <w:sz w:val="21"/>
          <w:szCs w:val="21"/>
        </w:rPr>
        <w:t>担保</w:t>
      </w:r>
      <w:bookmarkEnd w:id="277"/>
      <w:bookmarkEnd w:id="278"/>
      <w:bookmarkEnd w:id="279"/>
      <w:bookmarkEnd w:id="280"/>
    </w:p>
    <w:p w14:paraId="30172431">
      <w:pPr>
        <w:pStyle w:val="47"/>
        <w:widowControl w:val="0"/>
        <w:numPr>
          <w:ilvl w:val="0"/>
          <w:numId w:val="4"/>
        </w:numPr>
        <w:tabs>
          <w:tab w:val="left" w:pos="907"/>
        </w:tabs>
        <w:adjustRightInd/>
        <w:snapToGrid/>
        <w:ind w:firstLineChars="0"/>
        <w:jc w:val="both"/>
        <w:rPr>
          <w:rFonts w:ascii="宋体" w:hAnsi="宋体" w:cs="宋体"/>
          <w:vanish/>
          <w:color w:val="auto"/>
          <w:szCs w:val="21"/>
        </w:rPr>
      </w:pPr>
    </w:p>
    <w:p w14:paraId="02D44425">
      <w:pPr>
        <w:widowControl w:val="0"/>
        <w:numPr>
          <w:ilvl w:val="1"/>
          <w:numId w:val="3"/>
        </w:numPr>
        <w:overflowPunct w:val="0"/>
        <w:rPr>
          <w:rFonts w:ascii="宋体" w:hAnsi="宋体" w:cs="宋体"/>
          <w:color w:val="auto"/>
          <w:szCs w:val="21"/>
        </w:rPr>
      </w:pPr>
      <w:r>
        <w:rPr>
          <w:rFonts w:hint="eastAsia" w:ascii="宋体" w:hAnsi="宋体" w:cs="宋体"/>
          <w:color w:val="auto"/>
          <w:szCs w:val="21"/>
        </w:rPr>
        <w:t>中标人在采购（合同签署）时提交履约担保，履约担保金额不超过中标合同金额的10%，如果中标人提交的履约保函的有效期先于合同要求的履约保函有效期到达，中标人应在原提交的履约保函有效期满前15天，无条件办理保函延期手续。否则，视中标人违约，采购人可在保函到期前将保函金额转为现金存入履约保证金账户。</w:t>
      </w:r>
    </w:p>
    <w:p w14:paraId="2446F8D7">
      <w:pPr>
        <w:widowControl w:val="0"/>
        <w:numPr>
          <w:ilvl w:val="1"/>
          <w:numId w:val="3"/>
        </w:numPr>
        <w:overflowPunct w:val="0"/>
        <w:rPr>
          <w:rFonts w:ascii="宋体" w:hAnsi="宋体" w:cs="宋体"/>
          <w:color w:val="auto"/>
          <w:szCs w:val="21"/>
        </w:rPr>
      </w:pPr>
      <w:r>
        <w:rPr>
          <w:rFonts w:hint="eastAsia" w:ascii="宋体" w:hAnsi="宋体" w:cs="宋体"/>
          <w:color w:val="auto"/>
          <w:szCs w:val="21"/>
        </w:rPr>
        <w:t>履约担保期限从合同签订之日起至项目服务期结束验收合格并结算完毕后，经双方签字7天内保持有效。</w:t>
      </w:r>
    </w:p>
    <w:p w14:paraId="51C508D4">
      <w:pPr>
        <w:widowControl w:val="0"/>
        <w:numPr>
          <w:ilvl w:val="1"/>
          <w:numId w:val="3"/>
        </w:numPr>
        <w:overflowPunct w:val="0"/>
        <w:outlineLvl w:val="3"/>
        <w:rPr>
          <w:rFonts w:ascii="宋体" w:hAnsi="宋体" w:cs="宋体"/>
          <w:color w:val="auto"/>
          <w:szCs w:val="21"/>
        </w:rPr>
      </w:pPr>
      <w:bookmarkStart w:id="281" w:name="_Toc24877"/>
      <w:r>
        <w:rPr>
          <w:rFonts w:hint="eastAsia" w:ascii="宋体" w:hAnsi="宋体" w:cs="宋体"/>
          <w:color w:val="auto"/>
          <w:szCs w:val="21"/>
        </w:rPr>
        <w:t>履约担保可以采用下列任何一种形式：</w:t>
      </w:r>
      <w:bookmarkEnd w:id="281"/>
    </w:p>
    <w:p w14:paraId="0EF08AC1">
      <w:pPr>
        <w:widowControl w:val="0"/>
        <w:numPr>
          <w:ilvl w:val="1"/>
          <w:numId w:val="3"/>
        </w:numPr>
        <w:overflowPunct w:val="0"/>
        <w:rPr>
          <w:rFonts w:ascii="宋体" w:hAnsi="宋体" w:cs="宋体"/>
          <w:color w:val="auto"/>
          <w:szCs w:val="21"/>
        </w:rPr>
      </w:pPr>
      <w:r>
        <w:rPr>
          <w:rFonts w:hint="eastAsia" w:ascii="宋体" w:hAnsi="宋体" w:cs="宋体"/>
          <w:color w:val="auto"/>
          <w:szCs w:val="21"/>
        </w:rPr>
        <w:t>（1）履约保函。如果中标人的履约担保是以银行保函形式提供的，则该银行保函应：</w:t>
      </w:r>
    </w:p>
    <w:p w14:paraId="3D07CA82">
      <w:pPr>
        <w:widowControl w:val="0"/>
        <w:numPr>
          <w:ilvl w:val="1"/>
          <w:numId w:val="3"/>
        </w:numPr>
        <w:overflowPunct w:val="0"/>
        <w:rPr>
          <w:rFonts w:ascii="宋体" w:hAnsi="宋体" w:cs="宋体"/>
          <w:color w:val="auto"/>
          <w:szCs w:val="21"/>
        </w:rPr>
      </w:pPr>
      <w:r>
        <w:rPr>
          <w:rFonts w:hint="eastAsia" w:ascii="宋体" w:hAnsi="宋体" w:cs="宋体"/>
          <w:color w:val="auto"/>
          <w:szCs w:val="21"/>
        </w:rPr>
        <w:t>①保函应由银行支行或以上银行机构开具，非东莞市行政区内的银行开具的保函要由银行所在地公证部门出具的公证书。</w:t>
      </w:r>
    </w:p>
    <w:p w14:paraId="6EF0A023">
      <w:pPr>
        <w:widowControl w:val="0"/>
        <w:numPr>
          <w:ilvl w:val="1"/>
          <w:numId w:val="3"/>
        </w:numPr>
        <w:overflowPunct w:val="0"/>
        <w:rPr>
          <w:rFonts w:ascii="宋体" w:hAnsi="宋体" w:cs="宋体"/>
          <w:color w:val="auto"/>
          <w:szCs w:val="21"/>
        </w:rPr>
      </w:pPr>
      <w:r>
        <w:rPr>
          <w:rFonts w:hint="eastAsia" w:ascii="宋体" w:hAnsi="宋体" w:cs="宋体"/>
          <w:color w:val="auto"/>
          <w:szCs w:val="21"/>
        </w:rPr>
        <w:t>②保函的格式参考投标文件附件中提供的无条件不可撤销履约保函格式，保函担保期内若项目未能按期竣工，保函必须延期，办理延期手续时在银行方面所产生费用由中标人负责。</w:t>
      </w:r>
    </w:p>
    <w:p w14:paraId="203C406C">
      <w:pPr>
        <w:widowControl w:val="0"/>
        <w:numPr>
          <w:ilvl w:val="1"/>
          <w:numId w:val="3"/>
        </w:numPr>
        <w:overflowPunct w:val="0"/>
        <w:rPr>
          <w:rFonts w:ascii="宋体" w:hAnsi="宋体" w:cs="宋体"/>
          <w:color w:val="auto"/>
          <w:szCs w:val="21"/>
        </w:rPr>
      </w:pPr>
      <w:r>
        <w:rPr>
          <w:rFonts w:hint="eastAsia" w:ascii="宋体" w:hAnsi="宋体" w:cs="宋体"/>
          <w:color w:val="auto"/>
          <w:szCs w:val="21"/>
        </w:rPr>
        <w:t>③履约保函必须打印，手写、涂改无效。</w:t>
      </w:r>
    </w:p>
    <w:p w14:paraId="428043AE">
      <w:pPr>
        <w:widowControl w:val="0"/>
        <w:numPr>
          <w:ilvl w:val="1"/>
          <w:numId w:val="3"/>
        </w:numPr>
        <w:overflowPunct w:val="0"/>
        <w:rPr>
          <w:rFonts w:ascii="宋体" w:hAnsi="宋体" w:cs="宋体"/>
          <w:color w:val="auto"/>
          <w:szCs w:val="21"/>
        </w:rPr>
      </w:pPr>
      <w:r>
        <w:rPr>
          <w:rFonts w:hint="eastAsia" w:ascii="宋体" w:hAnsi="宋体" w:cs="宋体"/>
          <w:color w:val="auto"/>
          <w:szCs w:val="21"/>
        </w:rPr>
        <w:t>（2）履约保证金。可采用电汇、银行汇票等银行转账方式提交，但不可以采用现金方式提交。履约保证金金额为中标价的10%。中标人人必须保证履约保证金以中标人的名称在（合同约定的日期）前提交至采购人指定账户。</w:t>
      </w:r>
    </w:p>
    <w:p w14:paraId="4DB138E3">
      <w:pPr>
        <w:widowControl w:val="0"/>
        <w:numPr>
          <w:ilvl w:val="1"/>
          <w:numId w:val="3"/>
        </w:numPr>
        <w:overflowPunct w:val="0"/>
        <w:rPr>
          <w:rFonts w:ascii="宋体" w:hAnsi="宋体" w:cs="宋体"/>
          <w:color w:val="auto"/>
          <w:szCs w:val="21"/>
        </w:rPr>
      </w:pPr>
      <w:r>
        <w:rPr>
          <w:rFonts w:hint="eastAsia" w:ascii="宋体" w:hAnsi="宋体" w:cs="宋体"/>
          <w:color w:val="auto"/>
          <w:szCs w:val="21"/>
        </w:rPr>
        <w:t>若中标人不能按本采购文件（33.1至33.3）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22E02BAB">
      <w:pPr>
        <w:widowControl w:val="0"/>
        <w:numPr>
          <w:ilvl w:val="1"/>
          <w:numId w:val="3"/>
        </w:numPr>
        <w:overflowPunct w:val="0"/>
        <w:rPr>
          <w:rFonts w:ascii="宋体" w:hAnsi="宋体" w:cs="宋体"/>
          <w:color w:val="auto"/>
          <w:szCs w:val="21"/>
        </w:rPr>
      </w:pPr>
      <w:r>
        <w:rPr>
          <w:rFonts w:hint="eastAsia" w:ascii="宋体" w:hAnsi="宋体" w:cs="宋体"/>
          <w:color w:val="auto"/>
          <w:szCs w:val="21"/>
        </w:rPr>
        <w:t>为取得履约担保所需的费用，由中标人承担；若工期延误，履约担保时间延长，延长费用由中标人承担。</w:t>
      </w:r>
    </w:p>
    <w:p w14:paraId="0CF7F260">
      <w:pPr>
        <w:widowControl w:val="0"/>
        <w:numPr>
          <w:ilvl w:val="1"/>
          <w:numId w:val="3"/>
        </w:numPr>
        <w:overflowPunct w:val="0"/>
        <w:rPr>
          <w:rFonts w:ascii="宋体" w:hAnsi="宋体" w:cs="宋体"/>
          <w:color w:val="auto"/>
          <w:szCs w:val="21"/>
        </w:rPr>
      </w:pPr>
      <w:r>
        <w:rPr>
          <w:rFonts w:hint="eastAsia" w:ascii="宋体" w:hAnsi="宋体" w:cs="宋体"/>
          <w:color w:val="auto"/>
          <w:szCs w:val="21"/>
        </w:rPr>
        <w:t>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1F1A09A5">
      <w:pPr>
        <w:widowControl w:val="0"/>
        <w:numPr>
          <w:ilvl w:val="1"/>
          <w:numId w:val="3"/>
        </w:numPr>
        <w:overflowPunct w:val="0"/>
        <w:rPr>
          <w:rFonts w:ascii="宋体" w:hAnsi="宋体" w:cs="宋体"/>
          <w:color w:val="auto"/>
          <w:szCs w:val="21"/>
        </w:rPr>
      </w:pPr>
      <w:r>
        <w:rPr>
          <w:rFonts w:hint="eastAsia" w:ascii="宋体" w:hAnsi="宋体" w:cs="宋体"/>
          <w:color w:val="auto"/>
          <w:szCs w:val="21"/>
        </w:rPr>
        <w:t>下列任何情况发生时，采购人有权行使享有的担保权利：</w:t>
      </w:r>
    </w:p>
    <w:p w14:paraId="44F0BE55">
      <w:pPr>
        <w:widowControl w:val="0"/>
        <w:tabs>
          <w:tab w:val="left" w:pos="907"/>
        </w:tabs>
        <w:adjustRightInd/>
        <w:snapToGrid/>
        <w:spacing w:line="240" w:lineRule="auto"/>
        <w:ind w:left="567"/>
        <w:jc w:val="both"/>
        <w:rPr>
          <w:rFonts w:ascii="宋体" w:hAnsi="宋体" w:cs="宋体"/>
          <w:color w:val="auto"/>
          <w:szCs w:val="21"/>
        </w:rPr>
      </w:pPr>
      <w:r>
        <w:rPr>
          <w:rFonts w:hint="eastAsia" w:ascii="宋体" w:hAnsi="宋体" w:cs="宋体"/>
          <w:color w:val="auto"/>
          <w:szCs w:val="21"/>
        </w:rPr>
        <w:t>（1）中标人将本项目转让给他人，或者在投标文件中未说明，且未经采购人同意，将中标项目分包给他人的；</w:t>
      </w:r>
    </w:p>
    <w:p w14:paraId="62C28FFA">
      <w:pPr>
        <w:widowControl w:val="0"/>
        <w:tabs>
          <w:tab w:val="left" w:pos="907"/>
        </w:tabs>
        <w:adjustRightInd/>
        <w:snapToGrid/>
        <w:spacing w:line="240" w:lineRule="auto"/>
        <w:ind w:left="567"/>
        <w:jc w:val="both"/>
        <w:rPr>
          <w:rFonts w:ascii="宋体" w:hAnsi="宋体" w:cs="宋体"/>
          <w:color w:val="auto"/>
          <w:szCs w:val="21"/>
        </w:rPr>
      </w:pPr>
      <w:r>
        <w:rPr>
          <w:rFonts w:hint="eastAsia" w:ascii="宋体" w:hAnsi="宋体" w:cs="宋体"/>
          <w:color w:val="auto"/>
          <w:szCs w:val="21"/>
        </w:rPr>
        <w:t>（2）中标人在履行采购合同期间，违反有关法律法规的规定及合同约定的条款，损害了采购人的利益。</w:t>
      </w:r>
    </w:p>
    <w:p w14:paraId="5D1A6680">
      <w:pPr>
        <w:widowControl w:val="0"/>
        <w:numPr>
          <w:ilvl w:val="1"/>
          <w:numId w:val="3"/>
        </w:numPr>
        <w:overflowPunct w:val="0"/>
        <w:rPr>
          <w:rFonts w:ascii="宋体" w:hAnsi="宋体" w:cs="宋体"/>
          <w:color w:val="auto"/>
          <w:szCs w:val="21"/>
        </w:rPr>
      </w:pPr>
      <w:r>
        <w:rPr>
          <w:rFonts w:hint="eastAsia" w:ascii="宋体" w:hAnsi="宋体" w:cs="宋体"/>
          <w:color w:val="auto"/>
          <w:szCs w:val="21"/>
        </w:rPr>
        <w:t>在整个项目验收合格后，中标人向采购人提交退回履约担保的申请，采购人办理履约担保退还手续。</w:t>
      </w:r>
    </w:p>
    <w:p w14:paraId="58DB1FEE">
      <w:pPr>
        <w:widowControl w:val="0"/>
        <w:tabs>
          <w:tab w:val="left" w:pos="907"/>
        </w:tabs>
        <w:adjustRightInd/>
        <w:snapToGrid/>
        <w:jc w:val="both"/>
        <w:rPr>
          <w:rFonts w:ascii="宋体" w:hAnsi="宋体" w:cs="宋体"/>
          <w:color w:val="auto"/>
        </w:rPr>
      </w:pPr>
    </w:p>
    <w:p w14:paraId="6964C8B9">
      <w:pPr>
        <w:pStyle w:val="5"/>
        <w:widowControl w:val="0"/>
        <w:numPr>
          <w:ilvl w:val="0"/>
          <w:numId w:val="3"/>
        </w:numPr>
        <w:overflowPunct w:val="0"/>
        <w:rPr>
          <w:rFonts w:ascii="宋体" w:hAnsi="宋体" w:cs="宋体"/>
          <w:color w:val="auto"/>
          <w:sz w:val="21"/>
          <w:szCs w:val="21"/>
        </w:rPr>
      </w:pPr>
      <w:bookmarkStart w:id="282" w:name="_Toc22569"/>
      <w:bookmarkStart w:id="283" w:name="_Toc19747"/>
      <w:bookmarkStart w:id="284" w:name="_Toc28873"/>
      <w:bookmarkStart w:id="285" w:name="_Toc27281"/>
      <w:r>
        <w:rPr>
          <w:rFonts w:hint="eastAsia" w:ascii="宋体" w:hAnsi="宋体" w:cs="宋体"/>
          <w:color w:val="auto"/>
          <w:sz w:val="21"/>
          <w:szCs w:val="21"/>
        </w:rPr>
        <w:t>预付款保函（适用于预付款支付）</w:t>
      </w:r>
      <w:bookmarkEnd w:id="282"/>
      <w:bookmarkEnd w:id="283"/>
      <w:bookmarkEnd w:id="284"/>
      <w:bookmarkEnd w:id="285"/>
    </w:p>
    <w:p w14:paraId="5A754430">
      <w:pPr>
        <w:pStyle w:val="47"/>
        <w:widowControl w:val="0"/>
        <w:numPr>
          <w:ilvl w:val="0"/>
          <w:numId w:val="4"/>
        </w:numPr>
        <w:tabs>
          <w:tab w:val="left" w:pos="567"/>
          <w:tab w:val="left" w:pos="907"/>
        </w:tabs>
        <w:adjustRightInd/>
        <w:snapToGrid/>
        <w:ind w:firstLineChars="0"/>
        <w:jc w:val="both"/>
        <w:rPr>
          <w:rFonts w:ascii="宋体" w:hAnsi="宋体" w:cs="宋体"/>
          <w:vanish/>
          <w:color w:val="auto"/>
          <w:szCs w:val="21"/>
        </w:rPr>
      </w:pPr>
    </w:p>
    <w:p w14:paraId="5FC5BD40">
      <w:pPr>
        <w:widowControl w:val="0"/>
        <w:numPr>
          <w:ilvl w:val="1"/>
          <w:numId w:val="3"/>
        </w:numPr>
        <w:overflowPunct w:val="0"/>
        <w:rPr>
          <w:rFonts w:ascii="宋体" w:hAnsi="宋体" w:cs="宋体"/>
          <w:color w:val="auto"/>
          <w:szCs w:val="21"/>
        </w:rPr>
      </w:pPr>
      <w:r>
        <w:rPr>
          <w:rFonts w:hint="eastAsia" w:ascii="宋体" w:hAnsi="宋体" w:cs="宋体"/>
          <w:color w:val="auto"/>
          <w:szCs w:val="21"/>
        </w:rPr>
        <w:t>在签订合同时，中标人应按本须知规定向采购人提交一份合同预付款等额有效的预付款保函。预付款保函有效期从保函开立之日起至采购人向中标人抵扣完所有预付款之日止。如果中标人提交的预付款保函的有效期先于采购文件要求的预付款保函有效期到达，中标人应在原提交的预付款保函有效期前15日内，无条件办理预付款保函延期手续。否则视为中标人违约，采购人可在预付款保函到期前将未抵扣的预付款转为现金存入采购人账户</w:t>
      </w:r>
    </w:p>
    <w:p w14:paraId="3FFA3BF5">
      <w:pPr>
        <w:widowControl w:val="0"/>
        <w:numPr>
          <w:ilvl w:val="1"/>
          <w:numId w:val="3"/>
        </w:numPr>
        <w:overflowPunct w:val="0"/>
        <w:outlineLvl w:val="3"/>
        <w:rPr>
          <w:rFonts w:ascii="宋体" w:hAnsi="宋体" w:cs="宋体"/>
          <w:color w:val="auto"/>
          <w:szCs w:val="21"/>
        </w:rPr>
      </w:pPr>
      <w:bookmarkStart w:id="286" w:name="_Toc10751"/>
      <w:r>
        <w:rPr>
          <w:rFonts w:hint="eastAsia" w:ascii="宋体" w:hAnsi="宋体" w:cs="宋体"/>
          <w:color w:val="auto"/>
          <w:szCs w:val="21"/>
        </w:rPr>
        <w:t>预付款保函应：</w:t>
      </w:r>
      <w:bookmarkEnd w:id="286"/>
    </w:p>
    <w:p w14:paraId="7DDAFB92">
      <w:pPr>
        <w:widowControl w:val="0"/>
        <w:tabs>
          <w:tab w:val="left" w:pos="907"/>
        </w:tabs>
        <w:adjustRightInd/>
        <w:snapToGrid/>
        <w:spacing w:line="264" w:lineRule="auto"/>
        <w:ind w:left="567"/>
        <w:jc w:val="both"/>
        <w:rPr>
          <w:rFonts w:ascii="宋体" w:hAnsi="宋体" w:cs="宋体"/>
          <w:color w:val="auto"/>
          <w:szCs w:val="21"/>
        </w:rPr>
      </w:pPr>
      <w:r>
        <w:rPr>
          <w:rFonts w:hint="eastAsia" w:ascii="宋体" w:hAnsi="宋体" w:cs="宋体"/>
          <w:color w:val="auto"/>
          <w:szCs w:val="21"/>
        </w:rPr>
        <w:t>（1）由东莞市行政区域内的银行支行及以上银行机构开具。非东莞市行政区内的银行开具的保函要由银行所在地公证部门出具的公证书。</w:t>
      </w:r>
    </w:p>
    <w:p w14:paraId="54F1FA83">
      <w:pPr>
        <w:widowControl w:val="0"/>
        <w:tabs>
          <w:tab w:val="left" w:pos="907"/>
        </w:tabs>
        <w:adjustRightInd/>
        <w:snapToGrid/>
        <w:spacing w:line="264" w:lineRule="auto"/>
        <w:ind w:left="567"/>
        <w:jc w:val="both"/>
        <w:outlineLvl w:val="4"/>
        <w:rPr>
          <w:rFonts w:ascii="宋体" w:hAnsi="宋体" w:cs="宋体"/>
          <w:color w:val="auto"/>
          <w:szCs w:val="21"/>
        </w:rPr>
      </w:pPr>
      <w:r>
        <w:rPr>
          <w:rFonts w:hint="eastAsia" w:ascii="宋体" w:hAnsi="宋体" w:cs="宋体"/>
          <w:color w:val="auto"/>
          <w:szCs w:val="21"/>
        </w:rPr>
        <w:t>（2）必须打印，手写、涂改无效</w:t>
      </w:r>
    </w:p>
    <w:p w14:paraId="622451C6">
      <w:pPr>
        <w:widowControl w:val="0"/>
        <w:numPr>
          <w:ilvl w:val="1"/>
          <w:numId w:val="3"/>
        </w:numPr>
        <w:overflowPunct w:val="0"/>
        <w:rPr>
          <w:rFonts w:ascii="宋体" w:hAnsi="宋体" w:cs="宋体"/>
          <w:color w:val="auto"/>
          <w:szCs w:val="21"/>
        </w:rPr>
      </w:pPr>
      <w:r>
        <w:rPr>
          <w:rFonts w:hint="eastAsia" w:ascii="宋体" w:hAnsi="宋体" w:cs="宋体"/>
          <w:color w:val="auto"/>
          <w:szCs w:val="21"/>
        </w:rPr>
        <w:t>若中标人不能按本须知（34.1至34.2）的规定执行，采购人将不予支付预付款。</w:t>
      </w:r>
    </w:p>
    <w:p w14:paraId="2661FF22">
      <w:pPr>
        <w:widowControl w:val="0"/>
        <w:numPr>
          <w:ilvl w:val="1"/>
          <w:numId w:val="3"/>
        </w:numPr>
        <w:overflowPunct w:val="0"/>
        <w:rPr>
          <w:rFonts w:ascii="宋体" w:hAnsi="宋体" w:cs="宋体"/>
          <w:color w:val="auto"/>
          <w:szCs w:val="21"/>
        </w:rPr>
      </w:pPr>
      <w:r>
        <w:rPr>
          <w:rFonts w:hint="eastAsia" w:ascii="宋体" w:hAnsi="宋体" w:cs="宋体"/>
          <w:color w:val="auto"/>
          <w:szCs w:val="21"/>
        </w:rPr>
        <w:t>如果中标人提交的预付款保函的有效期先于采购文件要求的预付款保函有效期到达，中标人应在原提交的预付款保函有效期满前15天内，无条件办理预付款保函延期手续。否则视为中标人违约，采购人可在预付款保函到期前将未抵扣的预付款金额转为现金存入采购人账户。</w:t>
      </w:r>
    </w:p>
    <w:p w14:paraId="18858BE7">
      <w:pPr>
        <w:rPr>
          <w:rFonts w:ascii="宋体" w:hAnsi="宋体" w:cs="宋体"/>
          <w:color w:val="auto"/>
        </w:rPr>
      </w:pPr>
    </w:p>
    <w:p w14:paraId="5654DA82">
      <w:pPr>
        <w:pStyle w:val="4"/>
        <w:numPr>
          <w:ilvl w:val="0"/>
          <w:numId w:val="2"/>
        </w:numPr>
        <w:spacing w:before="0" w:after="0" w:line="360" w:lineRule="auto"/>
        <w:jc w:val="center"/>
        <w:rPr>
          <w:rFonts w:ascii="宋体" w:hAnsi="宋体" w:cs="宋体"/>
          <w:color w:val="auto"/>
        </w:rPr>
      </w:pPr>
      <w:bookmarkStart w:id="287" w:name="_Toc23197"/>
      <w:bookmarkStart w:id="288" w:name="_Toc1114"/>
      <w:bookmarkStart w:id="289" w:name="_Toc24464"/>
      <w:bookmarkStart w:id="290" w:name="_Toc2530"/>
      <w:r>
        <w:rPr>
          <w:rFonts w:hint="eastAsia" w:ascii="宋体" w:hAnsi="宋体" w:cs="宋体"/>
          <w:color w:val="auto"/>
        </w:rPr>
        <w:t>异议</w:t>
      </w:r>
      <w:bookmarkEnd w:id="287"/>
      <w:bookmarkEnd w:id="288"/>
      <w:bookmarkEnd w:id="289"/>
      <w:bookmarkEnd w:id="290"/>
    </w:p>
    <w:p w14:paraId="104F92E8">
      <w:pPr>
        <w:pStyle w:val="5"/>
        <w:widowControl w:val="0"/>
        <w:numPr>
          <w:ilvl w:val="0"/>
          <w:numId w:val="3"/>
        </w:numPr>
        <w:overflowPunct w:val="0"/>
        <w:rPr>
          <w:rFonts w:ascii="宋体" w:hAnsi="宋体" w:cs="宋体"/>
          <w:color w:val="auto"/>
          <w:sz w:val="21"/>
          <w:szCs w:val="21"/>
        </w:rPr>
      </w:pPr>
      <w:bookmarkStart w:id="291" w:name="_Toc15562"/>
      <w:bookmarkStart w:id="292" w:name="_Toc23836"/>
      <w:bookmarkStart w:id="293" w:name="_Toc21927"/>
      <w:bookmarkStart w:id="294" w:name="_Toc14843"/>
      <w:r>
        <w:rPr>
          <w:rFonts w:hint="eastAsia" w:ascii="宋体" w:hAnsi="宋体" w:cs="宋体"/>
          <w:color w:val="auto"/>
          <w:sz w:val="21"/>
          <w:szCs w:val="21"/>
        </w:rPr>
        <w:t>异议</w:t>
      </w:r>
      <w:bookmarkEnd w:id="291"/>
      <w:bookmarkEnd w:id="292"/>
      <w:bookmarkEnd w:id="293"/>
      <w:bookmarkEnd w:id="294"/>
    </w:p>
    <w:p w14:paraId="57C3946A">
      <w:pPr>
        <w:pStyle w:val="47"/>
        <w:widowControl w:val="0"/>
        <w:numPr>
          <w:ilvl w:val="0"/>
          <w:numId w:val="4"/>
        </w:numPr>
        <w:tabs>
          <w:tab w:val="left" w:pos="907"/>
        </w:tabs>
        <w:adjustRightInd/>
        <w:snapToGrid/>
        <w:ind w:firstLineChars="0"/>
        <w:jc w:val="both"/>
        <w:rPr>
          <w:rFonts w:ascii="宋体" w:hAnsi="宋体" w:cs="宋体"/>
          <w:vanish/>
          <w:color w:val="auto"/>
          <w:szCs w:val="21"/>
        </w:rPr>
      </w:pPr>
    </w:p>
    <w:p w14:paraId="052180F3">
      <w:pPr>
        <w:widowControl w:val="0"/>
        <w:numPr>
          <w:ilvl w:val="1"/>
          <w:numId w:val="3"/>
        </w:numPr>
        <w:overflowPunct w:val="0"/>
        <w:outlineLvl w:val="3"/>
        <w:rPr>
          <w:rFonts w:ascii="宋体" w:hAnsi="宋体" w:cs="宋体"/>
          <w:color w:val="auto"/>
          <w:szCs w:val="21"/>
        </w:rPr>
      </w:pPr>
      <w:bookmarkStart w:id="295" w:name="_Toc19083"/>
      <w:r>
        <w:rPr>
          <w:rFonts w:hint="eastAsia" w:ascii="宋体" w:hAnsi="宋体" w:cs="宋体"/>
          <w:color w:val="auto"/>
          <w:szCs w:val="21"/>
          <w:lang w:val="zh-CN"/>
        </w:rPr>
        <w:t>采购文件的异议</w:t>
      </w:r>
      <w:bookmarkEnd w:id="295"/>
      <w:r>
        <w:rPr>
          <w:rFonts w:hint="eastAsia" w:ascii="宋体" w:hAnsi="宋体" w:cs="宋体"/>
          <w:color w:val="auto"/>
          <w:szCs w:val="21"/>
        </w:rPr>
        <w:t xml:space="preserve">  </w:t>
      </w:r>
    </w:p>
    <w:p w14:paraId="715CA6F7">
      <w:pPr>
        <w:widowControl w:val="0"/>
        <w:tabs>
          <w:tab w:val="left" w:pos="907"/>
        </w:tabs>
        <w:adjustRightInd/>
        <w:snapToGrid/>
        <w:spacing w:line="240" w:lineRule="auto"/>
        <w:ind w:left="420" w:leftChars="200"/>
        <w:jc w:val="both"/>
        <w:rPr>
          <w:rFonts w:ascii="宋体" w:hAnsi="宋体" w:cs="宋体"/>
          <w:color w:val="auto"/>
          <w:szCs w:val="21"/>
        </w:rPr>
      </w:pPr>
      <w:r>
        <w:rPr>
          <w:rFonts w:hint="eastAsia" w:ascii="宋体" w:hAnsi="宋体" w:cs="宋体"/>
          <w:bCs/>
          <w:color w:val="auto"/>
          <w:kern w:val="2"/>
          <w:szCs w:val="21"/>
          <w:lang w:val="zh-CN"/>
        </w:rPr>
        <w:t>投标人或者其他利害关系人对采购文件有异议的，应当在投标截止时间10日前</w:t>
      </w:r>
      <w:r>
        <w:rPr>
          <w:rFonts w:hint="eastAsia" w:ascii="宋体" w:hAnsi="宋体" w:cs="宋体"/>
          <w:color w:val="auto"/>
          <w:kern w:val="2"/>
          <w:szCs w:val="21"/>
          <w:lang w:val="zh-CN"/>
        </w:rPr>
        <w:t>以书面形式向采购代理机构提出，并将材料原件送达采购代理机构，逾期则视为对采购文件所有内容无异议。</w:t>
      </w:r>
      <w:r>
        <w:rPr>
          <w:rFonts w:hint="eastAsia" w:ascii="宋体" w:hAnsi="宋体" w:cs="宋体"/>
          <w:bCs/>
          <w:color w:val="auto"/>
          <w:kern w:val="2"/>
          <w:szCs w:val="21"/>
          <w:lang w:val="zh-CN"/>
        </w:rPr>
        <w:t>异议</w:t>
      </w:r>
      <w:r>
        <w:rPr>
          <w:rFonts w:hint="eastAsia" w:ascii="宋体" w:hAnsi="宋体" w:cs="宋体"/>
          <w:color w:val="auto"/>
          <w:kern w:val="2"/>
          <w:szCs w:val="21"/>
          <w:lang w:val="zh-CN"/>
        </w:rPr>
        <w:t>书面材料必须加盖投标人法人公章，并注明联系人、联系电话、联系地址。</w:t>
      </w:r>
      <w:r>
        <w:rPr>
          <w:rFonts w:hint="eastAsia" w:ascii="宋体" w:hAnsi="宋体" w:cs="宋体"/>
          <w:bCs/>
          <w:color w:val="auto"/>
          <w:kern w:val="2"/>
          <w:szCs w:val="21"/>
          <w:lang w:val="zh-CN"/>
        </w:rPr>
        <w:t>超出</w:t>
      </w:r>
      <w:r>
        <w:rPr>
          <w:rFonts w:hint="eastAsia" w:ascii="宋体" w:hAnsi="宋体" w:cs="宋体"/>
          <w:color w:val="auto"/>
          <w:kern w:val="2"/>
          <w:szCs w:val="21"/>
          <w:lang w:val="zh-CN"/>
        </w:rPr>
        <w:t>提交接收异议截止时间而</w:t>
      </w:r>
      <w:r>
        <w:rPr>
          <w:rFonts w:hint="eastAsia" w:ascii="宋体" w:hAnsi="宋体" w:cs="宋体"/>
          <w:bCs/>
          <w:color w:val="auto"/>
          <w:kern w:val="2"/>
          <w:szCs w:val="21"/>
          <w:lang w:val="zh-CN"/>
        </w:rPr>
        <w:t>提出的任何疑问，</w:t>
      </w:r>
      <w:r>
        <w:rPr>
          <w:rFonts w:hint="eastAsia" w:ascii="宋体" w:hAnsi="宋体" w:cs="宋体"/>
          <w:bCs/>
          <w:color w:val="auto"/>
          <w:kern w:val="2"/>
          <w:szCs w:val="21"/>
        </w:rPr>
        <w:t>采购人或</w:t>
      </w:r>
      <w:r>
        <w:rPr>
          <w:rFonts w:hint="eastAsia" w:ascii="宋体" w:hAnsi="宋体" w:cs="宋体"/>
          <w:bCs/>
          <w:color w:val="auto"/>
          <w:kern w:val="2"/>
          <w:szCs w:val="21"/>
          <w:lang w:val="zh-CN"/>
        </w:rPr>
        <w:t>采购代理机构可不予答复。</w:t>
      </w:r>
    </w:p>
    <w:p w14:paraId="0A7E56E2">
      <w:pPr>
        <w:widowControl w:val="0"/>
        <w:numPr>
          <w:ilvl w:val="1"/>
          <w:numId w:val="3"/>
        </w:numPr>
        <w:overflowPunct w:val="0"/>
        <w:outlineLvl w:val="3"/>
        <w:rPr>
          <w:rFonts w:ascii="宋体" w:hAnsi="宋体" w:cs="宋体"/>
          <w:color w:val="auto"/>
          <w:szCs w:val="21"/>
        </w:rPr>
      </w:pPr>
      <w:bookmarkStart w:id="296" w:name="_Toc4938"/>
      <w:r>
        <w:rPr>
          <w:rFonts w:hint="eastAsia" w:ascii="宋体" w:hAnsi="宋体" w:cs="宋体"/>
          <w:color w:val="auto"/>
          <w:szCs w:val="21"/>
          <w:lang w:val="zh-CN"/>
        </w:rPr>
        <w:t>评标结果异议</w:t>
      </w:r>
      <w:bookmarkEnd w:id="296"/>
      <w:r>
        <w:rPr>
          <w:rFonts w:hint="eastAsia" w:ascii="宋体" w:hAnsi="宋体" w:cs="宋体"/>
          <w:color w:val="auto"/>
          <w:szCs w:val="21"/>
        </w:rPr>
        <w:t xml:space="preserve">   </w:t>
      </w:r>
    </w:p>
    <w:p w14:paraId="2BD7C709">
      <w:pPr>
        <w:widowControl w:val="0"/>
        <w:tabs>
          <w:tab w:val="left" w:pos="907"/>
        </w:tabs>
        <w:adjustRightInd/>
        <w:snapToGrid/>
        <w:spacing w:line="240" w:lineRule="auto"/>
        <w:ind w:left="420" w:leftChars="200"/>
        <w:jc w:val="both"/>
        <w:rPr>
          <w:rFonts w:ascii="宋体" w:hAnsi="宋体" w:cs="宋体"/>
          <w:bCs/>
          <w:color w:val="auto"/>
          <w:kern w:val="2"/>
          <w:szCs w:val="21"/>
          <w:lang w:val="zh-CN"/>
        </w:rPr>
      </w:pPr>
      <w:r>
        <w:rPr>
          <w:rFonts w:hint="eastAsia" w:ascii="宋体" w:hAnsi="宋体" w:cs="宋体"/>
          <w:bCs/>
          <w:color w:val="auto"/>
          <w:kern w:val="2"/>
          <w:szCs w:val="21"/>
          <w:lang w:val="zh-CN"/>
        </w:rPr>
        <w:t>投标人或者其他利害关系人对评标结果有异议的，应当在中标候选人公示期间向采购代理机构以书面的形式提出，并将完整的异议书面材料原件送达采购代理机构，逾期则视为对评标结果无异议。超出提交异议截止时间而提出的任何疑问，采购代理机构可不予答复。</w:t>
      </w:r>
    </w:p>
    <w:p w14:paraId="0FFB812F">
      <w:pPr>
        <w:widowControl w:val="0"/>
        <w:tabs>
          <w:tab w:val="left" w:pos="907"/>
        </w:tabs>
        <w:adjustRightInd/>
        <w:snapToGrid/>
        <w:spacing w:line="240" w:lineRule="auto"/>
        <w:ind w:left="420" w:leftChars="200"/>
        <w:jc w:val="both"/>
        <w:rPr>
          <w:rFonts w:ascii="宋体" w:hAnsi="宋体" w:cs="宋体"/>
          <w:bCs/>
          <w:color w:val="auto"/>
          <w:kern w:val="2"/>
          <w:szCs w:val="21"/>
          <w:lang w:val="zh-CN"/>
        </w:rPr>
      </w:pPr>
      <w:r>
        <w:rPr>
          <w:rFonts w:hint="eastAsia" w:ascii="宋体" w:hAnsi="宋体" w:cs="宋体"/>
          <w:bCs/>
          <w:color w:val="auto"/>
          <w:kern w:val="2"/>
          <w:szCs w:val="21"/>
          <w:lang w:val="zh-CN"/>
        </w:rPr>
        <w:t>采购代理机构将拒收未能提供完整异议书面材料的异议，完整的异议书面材料必须同时包含：异议书（加盖法人公章，并注明联系人、联系电话、联系地址）、授权提交异议的法定代表人授权书原件、反映异议人主体资格的营业执照复印件（加盖法人公章）、以及合法来源的证据证明材料。</w:t>
      </w:r>
    </w:p>
    <w:p w14:paraId="3E97A48B">
      <w:pPr>
        <w:widowControl w:val="0"/>
        <w:numPr>
          <w:ilvl w:val="1"/>
          <w:numId w:val="3"/>
        </w:numPr>
        <w:overflowPunct w:val="0"/>
        <w:rPr>
          <w:rFonts w:ascii="宋体" w:hAnsi="宋体" w:cs="宋体"/>
          <w:color w:val="auto"/>
          <w:szCs w:val="21"/>
        </w:rPr>
      </w:pPr>
      <w:r>
        <w:rPr>
          <w:rFonts w:hint="eastAsia" w:ascii="宋体" w:hAnsi="宋体" w:cs="宋体"/>
          <w:color w:val="auto"/>
          <w:szCs w:val="21"/>
        </w:rPr>
        <w:t>以联合体形式参加采购活动的，其异议应当由组成联合体的所有投标人共同提出。</w:t>
      </w:r>
    </w:p>
    <w:p w14:paraId="5A903260">
      <w:pPr>
        <w:rPr>
          <w:rFonts w:ascii="宋体" w:hAnsi="宋体" w:cs="宋体"/>
          <w:color w:val="auto"/>
        </w:rPr>
      </w:pPr>
    </w:p>
    <w:p w14:paraId="68E96A75">
      <w:pPr>
        <w:pStyle w:val="4"/>
        <w:numPr>
          <w:ilvl w:val="0"/>
          <w:numId w:val="2"/>
        </w:numPr>
        <w:spacing w:before="0" w:after="0" w:line="360" w:lineRule="auto"/>
        <w:jc w:val="center"/>
        <w:rPr>
          <w:rFonts w:ascii="宋体" w:hAnsi="宋体" w:cs="宋体"/>
          <w:color w:val="auto"/>
        </w:rPr>
      </w:pPr>
      <w:bookmarkStart w:id="297" w:name="_Toc28584"/>
      <w:bookmarkStart w:id="298" w:name="_Toc19185"/>
      <w:bookmarkStart w:id="299" w:name="_Toc24199"/>
      <w:bookmarkStart w:id="300" w:name="_Toc29372"/>
      <w:r>
        <w:rPr>
          <w:rFonts w:hint="eastAsia" w:ascii="宋体" w:hAnsi="宋体" w:cs="宋体"/>
          <w:color w:val="auto"/>
        </w:rPr>
        <w:t>其他</w:t>
      </w:r>
      <w:bookmarkEnd w:id="297"/>
      <w:bookmarkEnd w:id="298"/>
      <w:bookmarkEnd w:id="299"/>
      <w:bookmarkEnd w:id="300"/>
    </w:p>
    <w:p w14:paraId="5DA605AF">
      <w:pPr>
        <w:pStyle w:val="5"/>
        <w:widowControl w:val="0"/>
        <w:numPr>
          <w:ilvl w:val="0"/>
          <w:numId w:val="3"/>
        </w:numPr>
        <w:overflowPunct w:val="0"/>
        <w:rPr>
          <w:rFonts w:ascii="宋体" w:hAnsi="宋体" w:cs="宋体"/>
          <w:color w:val="auto"/>
          <w:sz w:val="21"/>
          <w:szCs w:val="21"/>
        </w:rPr>
      </w:pPr>
      <w:bookmarkStart w:id="301" w:name="_Toc4634"/>
      <w:bookmarkStart w:id="302" w:name="_Toc8759"/>
      <w:bookmarkStart w:id="303" w:name="_Toc14408"/>
      <w:bookmarkStart w:id="304" w:name="_Toc3108"/>
      <w:r>
        <w:rPr>
          <w:rFonts w:hint="eastAsia" w:ascii="宋体" w:hAnsi="宋体" w:cs="宋体"/>
          <w:color w:val="auto"/>
          <w:sz w:val="21"/>
          <w:szCs w:val="21"/>
        </w:rPr>
        <w:t>采购文件的解释权</w:t>
      </w:r>
      <w:bookmarkEnd w:id="301"/>
      <w:bookmarkEnd w:id="302"/>
      <w:bookmarkEnd w:id="303"/>
      <w:bookmarkEnd w:id="304"/>
    </w:p>
    <w:p w14:paraId="4534FC17">
      <w:pPr>
        <w:pStyle w:val="47"/>
        <w:widowControl w:val="0"/>
        <w:numPr>
          <w:ilvl w:val="0"/>
          <w:numId w:val="4"/>
        </w:numPr>
        <w:tabs>
          <w:tab w:val="left" w:pos="907"/>
        </w:tabs>
        <w:adjustRightInd/>
        <w:snapToGrid/>
        <w:ind w:firstLineChars="0"/>
        <w:jc w:val="both"/>
        <w:rPr>
          <w:rFonts w:ascii="宋体" w:hAnsi="宋体" w:cs="宋体"/>
          <w:vanish/>
          <w:color w:val="auto"/>
          <w:szCs w:val="21"/>
        </w:rPr>
      </w:pPr>
    </w:p>
    <w:p w14:paraId="1CB7DF51">
      <w:pPr>
        <w:widowControl w:val="0"/>
        <w:numPr>
          <w:ilvl w:val="1"/>
          <w:numId w:val="3"/>
        </w:numPr>
        <w:overflowPunct w:val="0"/>
        <w:rPr>
          <w:rFonts w:ascii="宋体" w:hAnsi="宋体" w:cs="宋体"/>
          <w:color w:val="auto"/>
          <w:szCs w:val="21"/>
        </w:rPr>
      </w:pPr>
      <w:r>
        <w:rPr>
          <w:rFonts w:hint="eastAsia" w:ascii="宋体" w:hAnsi="宋体" w:cs="宋体"/>
          <w:color w:val="auto"/>
          <w:szCs w:val="21"/>
        </w:rPr>
        <w:t>本采购文件是根据国家有关法律、法规以及采购管理有关规定和参照国际惯例编制，解释权属本采购代理机构。</w:t>
      </w:r>
    </w:p>
    <w:p w14:paraId="54FEDB8D">
      <w:pPr>
        <w:widowControl w:val="0"/>
        <w:numPr>
          <w:ilvl w:val="1"/>
          <w:numId w:val="4"/>
        </w:numPr>
        <w:tabs>
          <w:tab w:val="left" w:pos="907"/>
        </w:tabs>
        <w:adjustRightInd/>
        <w:snapToGrid/>
        <w:jc w:val="both"/>
        <w:rPr>
          <w:rFonts w:ascii="宋体" w:hAnsi="宋体" w:cs="宋体"/>
          <w:color w:val="auto"/>
          <w:szCs w:val="21"/>
        </w:rPr>
      </w:pPr>
      <w:r>
        <w:rPr>
          <w:rFonts w:hint="eastAsia" w:ascii="宋体" w:hAnsi="宋体" w:cs="宋体"/>
          <w:color w:val="auto"/>
          <w:szCs w:val="21"/>
        </w:rPr>
        <w:br w:type="page"/>
      </w:r>
    </w:p>
    <w:p w14:paraId="503981BE">
      <w:pPr>
        <w:pStyle w:val="3"/>
        <w:spacing w:before="0" w:after="0" w:line="240" w:lineRule="auto"/>
        <w:rPr>
          <w:color w:val="auto"/>
          <w:sz w:val="28"/>
          <w:szCs w:val="28"/>
        </w:rPr>
      </w:pPr>
      <w:bookmarkStart w:id="305" w:name="_Toc12000"/>
      <w:bookmarkStart w:id="306" w:name="_Toc18733"/>
      <w:bookmarkStart w:id="307" w:name="_Toc25351"/>
      <w:bookmarkStart w:id="308" w:name="_Toc32366"/>
      <w:r>
        <w:rPr>
          <w:rFonts w:hint="eastAsia"/>
          <w:color w:val="auto"/>
          <w:sz w:val="28"/>
          <w:szCs w:val="28"/>
        </w:rPr>
        <w:t>第五部分  合同条款格式</w:t>
      </w:r>
      <w:bookmarkEnd w:id="305"/>
      <w:bookmarkEnd w:id="306"/>
      <w:bookmarkEnd w:id="307"/>
      <w:bookmarkEnd w:id="308"/>
      <w:bookmarkStart w:id="309" w:name="_Toc15636"/>
    </w:p>
    <w:bookmarkEnd w:id="309"/>
    <w:p w14:paraId="493347D7">
      <w:pPr>
        <w:pStyle w:val="15"/>
        <w:tabs>
          <w:tab w:val="left" w:pos="540"/>
        </w:tabs>
        <w:ind w:firstLine="420"/>
        <w:rPr>
          <w:rFonts w:hAnsi="宋体"/>
          <w:b w:val="0"/>
          <w:bCs/>
          <w:color w:val="auto"/>
        </w:rPr>
      </w:pPr>
      <w:bookmarkStart w:id="310" w:name="_Hlt109815959"/>
      <w:bookmarkEnd w:id="310"/>
      <w:bookmarkStart w:id="311" w:name="_Toc16481"/>
      <w:r>
        <w:rPr>
          <w:rFonts w:hint="eastAsia" w:hAnsi="宋体"/>
          <w:b w:val="0"/>
          <w:bCs/>
          <w:color w:val="auto"/>
        </w:rPr>
        <w:t>甲</w:t>
      </w:r>
      <w:r>
        <w:rPr>
          <w:rFonts w:hAnsi="宋体"/>
          <w:b w:val="0"/>
          <w:bCs/>
          <w:color w:val="auto"/>
        </w:rPr>
        <w:t xml:space="preserve">    </w:t>
      </w:r>
      <w:r>
        <w:rPr>
          <w:rFonts w:hint="eastAsia" w:hAnsi="宋体"/>
          <w:b w:val="0"/>
          <w:bCs/>
          <w:color w:val="auto"/>
        </w:rPr>
        <w:t>方：</w:t>
      </w:r>
      <w:r>
        <w:rPr>
          <w:rFonts w:hAnsi="宋体"/>
          <w:b w:val="0"/>
          <w:bCs/>
          <w:color w:val="auto"/>
        </w:rPr>
        <w:t xml:space="preserve"> </w:t>
      </w:r>
    </w:p>
    <w:p w14:paraId="4F57D992">
      <w:pPr>
        <w:pStyle w:val="15"/>
        <w:tabs>
          <w:tab w:val="left" w:pos="540"/>
        </w:tabs>
        <w:ind w:firstLine="420"/>
        <w:rPr>
          <w:rFonts w:hAnsi="宋体"/>
          <w:b w:val="0"/>
          <w:bCs/>
          <w:color w:val="auto"/>
        </w:rPr>
      </w:pPr>
      <w:r>
        <w:rPr>
          <w:rFonts w:hint="eastAsia" w:hAnsi="宋体"/>
          <w:b w:val="0"/>
          <w:bCs/>
          <w:color w:val="auto"/>
        </w:rPr>
        <w:t>统一社会信用代码：</w:t>
      </w:r>
    </w:p>
    <w:p w14:paraId="7842A767">
      <w:pPr>
        <w:pStyle w:val="15"/>
        <w:tabs>
          <w:tab w:val="left" w:pos="540"/>
        </w:tabs>
        <w:ind w:firstLine="420"/>
        <w:rPr>
          <w:rFonts w:hAnsi="宋体"/>
          <w:b w:val="0"/>
          <w:bCs/>
          <w:color w:val="auto"/>
        </w:rPr>
      </w:pPr>
      <w:r>
        <w:rPr>
          <w:rFonts w:hint="eastAsia" w:hAnsi="宋体"/>
          <w:b w:val="0"/>
          <w:bCs/>
          <w:color w:val="auto"/>
        </w:rPr>
        <w:t>法定代表人：</w:t>
      </w:r>
      <w:r>
        <w:rPr>
          <w:rFonts w:hAnsi="宋体"/>
          <w:b w:val="0"/>
          <w:bCs/>
          <w:color w:val="auto"/>
        </w:rPr>
        <w:t xml:space="preserve"> </w:t>
      </w:r>
    </w:p>
    <w:p w14:paraId="301D13CE">
      <w:pPr>
        <w:pStyle w:val="15"/>
        <w:tabs>
          <w:tab w:val="left" w:pos="540"/>
        </w:tabs>
        <w:ind w:firstLine="420"/>
        <w:rPr>
          <w:rFonts w:hAnsi="宋体"/>
          <w:b w:val="0"/>
          <w:bCs/>
          <w:color w:val="auto"/>
        </w:rPr>
      </w:pPr>
      <w:r>
        <w:rPr>
          <w:rFonts w:hint="eastAsia" w:hAnsi="宋体"/>
          <w:b w:val="0"/>
          <w:bCs/>
          <w:color w:val="auto"/>
        </w:rPr>
        <w:t>地址：</w:t>
      </w:r>
      <w:r>
        <w:rPr>
          <w:rFonts w:hAnsi="宋体"/>
          <w:b w:val="0"/>
          <w:bCs/>
          <w:color w:val="auto"/>
        </w:rPr>
        <w:t xml:space="preserve"> </w:t>
      </w:r>
    </w:p>
    <w:p w14:paraId="668D8333">
      <w:pPr>
        <w:pStyle w:val="15"/>
        <w:tabs>
          <w:tab w:val="left" w:pos="540"/>
        </w:tabs>
        <w:ind w:firstLine="420"/>
        <w:rPr>
          <w:rFonts w:hAnsi="宋体"/>
          <w:bCs/>
          <w:color w:val="auto"/>
        </w:rPr>
      </w:pPr>
    </w:p>
    <w:p w14:paraId="5DEF32A9">
      <w:pPr>
        <w:pStyle w:val="15"/>
        <w:tabs>
          <w:tab w:val="left" w:pos="540"/>
        </w:tabs>
        <w:ind w:firstLine="420"/>
        <w:rPr>
          <w:rFonts w:hAnsi="宋体"/>
          <w:b w:val="0"/>
          <w:bCs/>
          <w:color w:val="auto"/>
        </w:rPr>
      </w:pPr>
      <w:r>
        <w:rPr>
          <w:rFonts w:hint="eastAsia" w:hAnsi="宋体"/>
          <w:b w:val="0"/>
          <w:bCs/>
          <w:color w:val="auto"/>
        </w:rPr>
        <w:t>乙</w:t>
      </w:r>
      <w:r>
        <w:rPr>
          <w:rFonts w:hAnsi="宋体"/>
          <w:b w:val="0"/>
          <w:bCs/>
          <w:color w:val="auto"/>
        </w:rPr>
        <w:t xml:space="preserve">    </w:t>
      </w:r>
      <w:r>
        <w:rPr>
          <w:rFonts w:hint="eastAsia" w:hAnsi="宋体"/>
          <w:b w:val="0"/>
          <w:bCs/>
          <w:color w:val="auto"/>
        </w:rPr>
        <w:t>方：</w:t>
      </w:r>
      <w:bookmarkStart w:id="312" w:name="OLE_LINK1"/>
      <w:r>
        <w:rPr>
          <w:rFonts w:hAnsi="宋体"/>
          <w:b w:val="0"/>
          <w:bCs/>
          <w:color w:val="auto"/>
        </w:rPr>
        <w:t xml:space="preserve"> </w:t>
      </w:r>
      <w:bookmarkEnd w:id="312"/>
    </w:p>
    <w:p w14:paraId="3C777641">
      <w:pPr>
        <w:pStyle w:val="15"/>
        <w:tabs>
          <w:tab w:val="left" w:pos="540"/>
        </w:tabs>
        <w:ind w:firstLine="420"/>
        <w:rPr>
          <w:rFonts w:hAnsi="宋体"/>
          <w:b w:val="0"/>
          <w:bCs/>
          <w:color w:val="auto"/>
        </w:rPr>
      </w:pPr>
      <w:r>
        <w:rPr>
          <w:rFonts w:hint="eastAsia" w:hAnsi="宋体"/>
          <w:b w:val="0"/>
          <w:bCs/>
          <w:color w:val="auto"/>
        </w:rPr>
        <w:t>统一社会信用代码：</w:t>
      </w:r>
    </w:p>
    <w:p w14:paraId="4E0074ED">
      <w:pPr>
        <w:pStyle w:val="15"/>
        <w:tabs>
          <w:tab w:val="left" w:pos="540"/>
        </w:tabs>
        <w:ind w:firstLine="420"/>
        <w:rPr>
          <w:rFonts w:hAnsi="宋体"/>
          <w:b w:val="0"/>
          <w:bCs/>
          <w:color w:val="auto"/>
        </w:rPr>
      </w:pPr>
      <w:r>
        <w:rPr>
          <w:rFonts w:hint="eastAsia" w:hAnsi="宋体"/>
          <w:b w:val="0"/>
          <w:bCs/>
          <w:color w:val="auto"/>
        </w:rPr>
        <w:t>法定代表人：</w:t>
      </w:r>
      <w:r>
        <w:rPr>
          <w:rFonts w:hAnsi="宋体"/>
          <w:b w:val="0"/>
          <w:bCs/>
          <w:color w:val="auto"/>
        </w:rPr>
        <w:t xml:space="preserve"> </w:t>
      </w:r>
    </w:p>
    <w:p w14:paraId="029295B9">
      <w:pPr>
        <w:pStyle w:val="15"/>
        <w:tabs>
          <w:tab w:val="left" w:pos="540"/>
        </w:tabs>
        <w:ind w:firstLine="420"/>
        <w:rPr>
          <w:rFonts w:hAnsi="宋体"/>
          <w:b w:val="0"/>
          <w:bCs/>
          <w:color w:val="auto"/>
        </w:rPr>
      </w:pPr>
      <w:r>
        <w:rPr>
          <w:rFonts w:hint="eastAsia" w:hAnsi="宋体"/>
          <w:b w:val="0"/>
          <w:bCs/>
          <w:color w:val="auto"/>
        </w:rPr>
        <w:t>地址：</w:t>
      </w:r>
      <w:r>
        <w:rPr>
          <w:rFonts w:hAnsi="宋体"/>
          <w:b w:val="0"/>
          <w:bCs/>
          <w:color w:val="auto"/>
        </w:rPr>
        <w:t xml:space="preserve"> </w:t>
      </w:r>
    </w:p>
    <w:p w14:paraId="4C8683B8">
      <w:pPr>
        <w:ind w:right="25" w:rightChars="12" w:firstLine="359" w:firstLineChars="171"/>
        <w:rPr>
          <w:rFonts w:ascii="宋体" w:hAnsi="宋体" w:cs="宋体"/>
          <w:color w:val="auto"/>
          <w:szCs w:val="21"/>
        </w:rPr>
      </w:pPr>
    </w:p>
    <w:p w14:paraId="5F77F572">
      <w:pPr>
        <w:pStyle w:val="15"/>
        <w:tabs>
          <w:tab w:val="left" w:pos="540"/>
        </w:tabs>
        <w:ind w:firstLine="420"/>
        <w:rPr>
          <w:rFonts w:hAnsi="宋体"/>
          <w:b w:val="0"/>
          <w:bCs/>
          <w:color w:val="auto"/>
        </w:rPr>
      </w:pPr>
      <w:r>
        <w:rPr>
          <w:rFonts w:hint="eastAsia" w:hAnsi="宋体"/>
          <w:b w:val="0"/>
          <w:bCs/>
          <w:color w:val="auto"/>
        </w:rPr>
        <w:t>根据《中华人民共和国民法典》及有关法律法规、采购文件、中标通知书等相关资料的要求，经双方协商一致，签订本合同，共同遵守如下条款。</w:t>
      </w:r>
    </w:p>
    <w:p w14:paraId="181011D3">
      <w:pPr>
        <w:tabs>
          <w:tab w:val="left" w:pos="588"/>
        </w:tabs>
        <w:ind w:firstLine="413" w:firstLineChars="196"/>
        <w:rPr>
          <w:rFonts w:ascii="宋体" w:hAnsi="宋体" w:cs="宋体"/>
          <w:b/>
          <w:color w:val="auto"/>
          <w:szCs w:val="21"/>
        </w:rPr>
      </w:pPr>
      <w:r>
        <w:rPr>
          <w:rFonts w:hint="eastAsia" w:ascii="宋体" w:hAnsi="宋体" w:cs="宋体"/>
          <w:b/>
          <w:color w:val="auto"/>
          <w:szCs w:val="21"/>
        </w:rPr>
        <w:t>一、定义</w:t>
      </w:r>
    </w:p>
    <w:p w14:paraId="3B888559">
      <w:pPr>
        <w:pStyle w:val="15"/>
        <w:tabs>
          <w:tab w:val="left" w:pos="540"/>
        </w:tabs>
        <w:ind w:firstLine="420"/>
        <w:rPr>
          <w:rFonts w:hAnsi="宋体"/>
          <w:b w:val="0"/>
          <w:bCs/>
          <w:color w:val="auto"/>
        </w:rPr>
      </w:pPr>
      <w:r>
        <w:rPr>
          <w:rFonts w:hint="eastAsia" w:hAnsi="宋体"/>
          <w:b w:val="0"/>
          <w:bCs/>
          <w:color w:val="auto"/>
        </w:rPr>
        <w:t>（一）“合同”指本合同及其附件。</w:t>
      </w:r>
    </w:p>
    <w:p w14:paraId="7F707BEC">
      <w:pPr>
        <w:pStyle w:val="15"/>
        <w:tabs>
          <w:tab w:val="left" w:pos="540"/>
        </w:tabs>
        <w:ind w:firstLine="420"/>
        <w:rPr>
          <w:rFonts w:hAnsi="宋体"/>
          <w:b w:val="0"/>
          <w:bCs/>
          <w:color w:val="auto"/>
        </w:rPr>
      </w:pPr>
      <w:r>
        <w:rPr>
          <w:rFonts w:hint="eastAsia" w:hAnsi="宋体"/>
          <w:b w:val="0"/>
          <w:bCs/>
          <w:color w:val="auto"/>
        </w:rPr>
        <w:t>（二）“合同单价”包括本次采购所有服务内容的费用，包括但不限于实施过程及安全设施、所有技术人员的工勤费用（包括工资、福利、交通、食宿、通讯等费用）、材料费、机械设备费、运输费（含二次搬运）、装卸费、五金配件费、人工费、安装调试费、管理费、利润、税金等所有费用。</w:t>
      </w:r>
    </w:p>
    <w:p w14:paraId="194F0FB6">
      <w:pPr>
        <w:pStyle w:val="15"/>
        <w:tabs>
          <w:tab w:val="left" w:pos="540"/>
        </w:tabs>
        <w:ind w:firstLine="420"/>
        <w:rPr>
          <w:rFonts w:hAnsi="宋体"/>
          <w:b w:val="0"/>
          <w:bCs/>
          <w:color w:val="auto"/>
        </w:rPr>
      </w:pPr>
      <w:r>
        <w:rPr>
          <w:rFonts w:hint="eastAsia" w:hAnsi="宋体"/>
          <w:b w:val="0"/>
          <w:bCs/>
          <w:color w:val="auto"/>
        </w:rPr>
        <w:t>（三）“货物”</w:t>
      </w:r>
      <w:r>
        <w:rPr>
          <w:rFonts w:hAnsi="宋体"/>
          <w:b w:val="0"/>
          <w:bCs/>
          <w:color w:val="auto"/>
        </w:rPr>
        <w:t xml:space="preserve"> </w:t>
      </w:r>
      <w:r>
        <w:rPr>
          <w:rFonts w:hint="eastAsia" w:hAnsi="宋体"/>
          <w:b w:val="0"/>
          <w:bCs/>
          <w:color w:val="auto"/>
        </w:rPr>
        <w:t>指本合同项下乙方须向甲方提供的</w:t>
      </w:r>
      <w:r>
        <w:rPr>
          <w:rFonts w:hint="eastAsia" w:hAnsi="宋体"/>
          <w:b w:val="0"/>
          <w:bCs/>
          <w:color w:val="auto"/>
          <w:u w:val="single"/>
        </w:rPr>
        <w:t>适老化家具详见附件清单）</w:t>
      </w:r>
      <w:r>
        <w:rPr>
          <w:rFonts w:hAnsi="宋体"/>
          <w:b w:val="0"/>
          <w:bCs/>
          <w:color w:val="auto"/>
        </w:rPr>
        <w:t xml:space="preserve"> </w:t>
      </w:r>
      <w:r>
        <w:rPr>
          <w:rFonts w:hint="eastAsia" w:hAnsi="宋体"/>
          <w:b w:val="0"/>
          <w:bCs/>
          <w:color w:val="auto"/>
        </w:rPr>
        <w:t>。甲方有权根据需求情况调整数量，按实结算，合同期内单价不作调整。</w:t>
      </w:r>
    </w:p>
    <w:p w14:paraId="091A8014">
      <w:pPr>
        <w:pStyle w:val="15"/>
        <w:tabs>
          <w:tab w:val="left" w:pos="540"/>
        </w:tabs>
        <w:ind w:firstLine="420"/>
        <w:rPr>
          <w:rFonts w:hAnsi="宋体"/>
          <w:b w:val="0"/>
          <w:bCs/>
          <w:color w:val="auto"/>
        </w:rPr>
      </w:pPr>
      <w:r>
        <w:rPr>
          <w:rFonts w:hint="eastAsia" w:hAnsi="宋体"/>
          <w:b w:val="0"/>
          <w:bCs/>
          <w:color w:val="auto"/>
        </w:rPr>
        <w:t>（四）“服务”指根据合同规定乙方应提供的保证甲方所购货物正常使用所必需的有关运输、交货、安装、调试、技术支持、售后服务等一切服务。</w:t>
      </w:r>
    </w:p>
    <w:p w14:paraId="58B03344">
      <w:pPr>
        <w:pStyle w:val="15"/>
        <w:tabs>
          <w:tab w:val="left" w:pos="540"/>
        </w:tabs>
        <w:ind w:firstLine="420"/>
        <w:rPr>
          <w:rFonts w:hAnsi="宋体"/>
          <w:b w:val="0"/>
          <w:bCs/>
          <w:color w:val="auto"/>
        </w:rPr>
      </w:pPr>
      <w:r>
        <w:rPr>
          <w:rFonts w:hint="eastAsia" w:hAnsi="宋体"/>
          <w:b w:val="0"/>
          <w:bCs/>
          <w:color w:val="auto"/>
        </w:rPr>
        <w:t>（五）除有特殊说明外，“天”、“日”均指日历日。</w:t>
      </w:r>
    </w:p>
    <w:p w14:paraId="7AAB93C9">
      <w:pPr>
        <w:tabs>
          <w:tab w:val="left" w:pos="588"/>
        </w:tabs>
        <w:ind w:firstLine="413" w:firstLineChars="196"/>
        <w:rPr>
          <w:rFonts w:ascii="宋体" w:hAnsi="宋体" w:cs="宋体"/>
          <w:b/>
          <w:color w:val="auto"/>
          <w:szCs w:val="21"/>
        </w:rPr>
      </w:pPr>
      <w:r>
        <w:rPr>
          <w:rFonts w:hint="eastAsia" w:ascii="宋体" w:hAnsi="宋体" w:cs="宋体"/>
          <w:b/>
          <w:color w:val="auto"/>
          <w:szCs w:val="21"/>
        </w:rPr>
        <w:t>二、合同文件</w:t>
      </w:r>
    </w:p>
    <w:p w14:paraId="23518F4A">
      <w:pPr>
        <w:tabs>
          <w:tab w:val="left" w:pos="588"/>
        </w:tabs>
        <w:ind w:firstLine="480"/>
        <w:rPr>
          <w:rFonts w:ascii="宋体" w:hAnsi="宋体" w:cs="宋体"/>
          <w:b/>
          <w:bCs/>
          <w:color w:val="auto"/>
          <w:szCs w:val="21"/>
        </w:rPr>
      </w:pPr>
      <w:r>
        <w:rPr>
          <w:rFonts w:hint="eastAsia" w:ascii="宋体" w:hAnsi="宋体" w:cs="宋体"/>
          <w:color w:val="auto"/>
          <w:szCs w:val="21"/>
        </w:rPr>
        <w:t>以下文件是本合同不可分割的组成部分，如果不同文件的条款之间有冲突，文件之间的优先效力顺序如下：</w:t>
      </w:r>
    </w:p>
    <w:p w14:paraId="0AF2DABC">
      <w:pPr>
        <w:pStyle w:val="93"/>
        <w:ind w:left="197" w:leftChars="94" w:firstLine="210" w:firstLineChars="100"/>
        <w:rPr>
          <w:rFonts w:ascii="宋体" w:hAnsi="宋体"/>
          <w:color w:val="auto"/>
          <w:szCs w:val="21"/>
        </w:rPr>
      </w:pPr>
      <w:r>
        <w:rPr>
          <w:rFonts w:hint="eastAsia" w:ascii="宋体" w:hAnsi="宋体"/>
          <w:color w:val="auto"/>
          <w:szCs w:val="21"/>
        </w:rPr>
        <w:t>（一）本合同及其附件；</w:t>
      </w:r>
    </w:p>
    <w:p w14:paraId="21BE1166">
      <w:pPr>
        <w:pStyle w:val="93"/>
        <w:ind w:left="197" w:leftChars="94" w:firstLine="210" w:firstLineChars="100"/>
        <w:rPr>
          <w:rFonts w:ascii="宋体" w:hAnsi="宋体"/>
          <w:color w:val="auto"/>
          <w:szCs w:val="21"/>
        </w:rPr>
      </w:pPr>
      <w:r>
        <w:rPr>
          <w:rFonts w:hint="eastAsia" w:ascii="宋体" w:hAnsi="宋体"/>
          <w:color w:val="auto"/>
          <w:szCs w:val="21"/>
        </w:rPr>
        <w:t>（二）中标通知书（含乙方承诺函等）；</w:t>
      </w:r>
    </w:p>
    <w:p w14:paraId="13AE4B40">
      <w:pPr>
        <w:pStyle w:val="93"/>
        <w:ind w:left="197" w:leftChars="94" w:firstLine="210" w:firstLineChars="100"/>
        <w:rPr>
          <w:rFonts w:ascii="宋体" w:hAnsi="宋体"/>
          <w:color w:val="auto"/>
          <w:szCs w:val="21"/>
        </w:rPr>
      </w:pPr>
      <w:r>
        <w:rPr>
          <w:rFonts w:hint="eastAsia" w:ascii="宋体" w:hAnsi="宋体"/>
          <w:color w:val="auto"/>
          <w:szCs w:val="21"/>
        </w:rPr>
        <w:t>（三）乙方提供的投标文件（含澄清文件、报价及承诺等）；</w:t>
      </w:r>
    </w:p>
    <w:p w14:paraId="20899DE2">
      <w:pPr>
        <w:pStyle w:val="93"/>
        <w:ind w:left="197" w:leftChars="94" w:firstLine="210" w:firstLineChars="100"/>
        <w:rPr>
          <w:rFonts w:ascii="宋体" w:hAnsi="宋体"/>
          <w:color w:val="auto"/>
          <w:szCs w:val="21"/>
        </w:rPr>
      </w:pPr>
      <w:r>
        <w:rPr>
          <w:rFonts w:hint="eastAsia" w:ascii="宋体" w:hAnsi="宋体"/>
          <w:color w:val="auto"/>
          <w:szCs w:val="21"/>
        </w:rPr>
        <w:t>（四）甲方发出的采购文件（含采购补充文件等）。</w:t>
      </w:r>
      <w:bookmarkStart w:id="313" w:name="_Toc237831671"/>
      <w:bookmarkStart w:id="314" w:name="_Toc250708452"/>
      <w:bookmarkStart w:id="315" w:name="_Toc250619424"/>
    </w:p>
    <w:p w14:paraId="5A7AB374">
      <w:pPr>
        <w:tabs>
          <w:tab w:val="left" w:pos="588"/>
        </w:tabs>
        <w:ind w:firstLine="413" w:firstLineChars="196"/>
        <w:rPr>
          <w:rFonts w:ascii="宋体" w:hAnsi="宋体" w:cs="宋体"/>
          <w:b/>
          <w:color w:val="auto"/>
          <w:szCs w:val="21"/>
        </w:rPr>
      </w:pPr>
      <w:r>
        <w:rPr>
          <w:rFonts w:hint="eastAsia" w:ascii="宋体" w:hAnsi="宋体" w:cs="宋体"/>
          <w:b/>
          <w:color w:val="auto"/>
          <w:szCs w:val="21"/>
        </w:rPr>
        <w:t>三、</w:t>
      </w:r>
      <w:bookmarkEnd w:id="313"/>
      <w:bookmarkEnd w:id="314"/>
      <w:bookmarkEnd w:id="315"/>
      <w:r>
        <w:rPr>
          <w:rFonts w:hint="eastAsia" w:ascii="宋体" w:hAnsi="宋体" w:cs="宋体"/>
          <w:b/>
          <w:color w:val="auto"/>
          <w:szCs w:val="21"/>
        </w:rPr>
        <w:t>合同金额及付款方式</w:t>
      </w:r>
    </w:p>
    <w:p w14:paraId="30434681">
      <w:pPr>
        <w:pStyle w:val="15"/>
        <w:tabs>
          <w:tab w:val="left" w:pos="540"/>
        </w:tabs>
        <w:ind w:firstLine="420"/>
        <w:rPr>
          <w:rFonts w:hAnsi="宋体" w:cs="宋体"/>
          <w:b w:val="0"/>
          <w:color w:val="auto"/>
          <w:szCs w:val="21"/>
        </w:rPr>
      </w:pPr>
      <w:r>
        <w:rPr>
          <w:rFonts w:hint="eastAsia" w:hAnsi="宋体" w:cs="宋体"/>
          <w:b w:val="0"/>
          <w:color w:val="auto"/>
          <w:szCs w:val="21"/>
        </w:rPr>
        <w:t>（一）</w:t>
      </w:r>
      <w:r>
        <w:rPr>
          <w:rFonts w:hAnsi="宋体" w:cs="宋体"/>
          <w:b w:val="0"/>
          <w:color w:val="auto"/>
          <w:szCs w:val="21"/>
        </w:rPr>
        <w:t>合同含税</w:t>
      </w:r>
      <w:r>
        <w:rPr>
          <w:rFonts w:hint="eastAsia" w:hAnsi="宋体" w:cs="宋体"/>
          <w:b w:val="0"/>
          <w:color w:val="auto"/>
          <w:szCs w:val="21"/>
        </w:rPr>
        <w:t>总</w:t>
      </w:r>
      <w:r>
        <w:rPr>
          <w:rFonts w:hAnsi="宋体" w:cs="宋体"/>
          <w:b w:val="0"/>
          <w:color w:val="auto"/>
          <w:szCs w:val="21"/>
        </w:rPr>
        <w:t>价款为</w:t>
      </w:r>
      <w:r>
        <w:rPr>
          <w:rFonts w:hint="eastAsia" w:hAnsi="宋体" w:cs="宋体"/>
          <w:b w:val="0"/>
          <w:color w:val="auto"/>
          <w:szCs w:val="21"/>
        </w:rPr>
        <w:t>¥</w:t>
      </w:r>
      <w:r>
        <w:rPr>
          <w:rFonts w:hAnsi="宋体" w:cs="宋体"/>
          <w:b w:val="0"/>
          <w:color w:val="auto"/>
          <w:szCs w:val="21"/>
          <w:u w:val="single"/>
        </w:rPr>
        <w:t xml:space="preserve">         </w:t>
      </w:r>
      <w:r>
        <w:rPr>
          <w:rFonts w:hint="eastAsia" w:hAnsi="宋体" w:cs="宋体"/>
          <w:b w:val="0"/>
          <w:color w:val="auto"/>
          <w:szCs w:val="21"/>
        </w:rPr>
        <w:t>元（大写人民币</w:t>
      </w:r>
      <w:r>
        <w:rPr>
          <w:rFonts w:hint="eastAsia" w:hAnsi="宋体" w:cs="宋体"/>
          <w:b w:val="0"/>
          <w:color w:val="auto"/>
          <w:szCs w:val="21"/>
          <w:u w:val="single"/>
        </w:rPr>
        <w:t xml:space="preserve"> </w:t>
      </w:r>
      <w:r>
        <w:rPr>
          <w:rFonts w:hAnsi="宋体" w:cs="宋体"/>
          <w:b w:val="0"/>
          <w:color w:val="auto"/>
          <w:szCs w:val="21"/>
          <w:u w:val="single"/>
        </w:rPr>
        <w:t xml:space="preserve">          </w:t>
      </w:r>
      <w:r>
        <w:rPr>
          <w:rFonts w:hint="eastAsia" w:hAnsi="宋体" w:cs="宋体"/>
          <w:b w:val="0"/>
          <w:color w:val="auto"/>
          <w:szCs w:val="21"/>
          <w:u w:val="single"/>
        </w:rPr>
        <w:t>元整</w:t>
      </w:r>
      <w:r>
        <w:rPr>
          <w:rFonts w:hint="eastAsia" w:hAnsi="宋体" w:cs="宋体"/>
          <w:b w:val="0"/>
          <w:color w:val="auto"/>
          <w:szCs w:val="21"/>
        </w:rPr>
        <w:t>）；其中：增值税税率：</w:t>
      </w:r>
      <w:r>
        <w:rPr>
          <w:rFonts w:hint="eastAsia" w:hAnsi="宋体" w:cs="宋体"/>
          <w:b w:val="0"/>
          <w:color w:val="auto"/>
          <w:szCs w:val="21"/>
          <w:u w:val="single"/>
        </w:rPr>
        <w:t xml:space="preserve"> </w:t>
      </w:r>
      <w:r>
        <w:rPr>
          <w:rFonts w:hAnsi="宋体" w:cs="宋体"/>
          <w:b w:val="0"/>
          <w:color w:val="auto"/>
          <w:szCs w:val="21"/>
          <w:u w:val="single"/>
        </w:rPr>
        <w:t xml:space="preserve">   </w:t>
      </w:r>
      <w:r>
        <w:rPr>
          <w:rFonts w:hAnsi="宋体" w:cs="宋体"/>
          <w:b w:val="0"/>
          <w:color w:val="auto"/>
          <w:szCs w:val="21"/>
        </w:rPr>
        <w:t xml:space="preserve"> %，税金金额</w:t>
      </w:r>
      <w:r>
        <w:rPr>
          <w:rFonts w:hint="eastAsia" w:hAnsi="宋体" w:cs="宋体"/>
          <w:b w:val="0"/>
          <w:color w:val="auto"/>
          <w:szCs w:val="21"/>
        </w:rPr>
        <w:t>¥</w:t>
      </w:r>
      <w:r>
        <w:rPr>
          <w:rFonts w:hAnsi="宋体" w:cs="宋体"/>
          <w:b w:val="0"/>
          <w:color w:val="auto"/>
          <w:szCs w:val="21"/>
          <w:u w:val="single"/>
        </w:rPr>
        <w:t xml:space="preserve">    </w:t>
      </w:r>
      <w:r>
        <w:rPr>
          <w:rFonts w:hint="eastAsia" w:hAnsi="宋体" w:cs="宋体"/>
          <w:b w:val="0"/>
          <w:color w:val="auto"/>
          <w:szCs w:val="21"/>
        </w:rPr>
        <w:t>元，不含税合同总价款为¥</w:t>
      </w:r>
      <w:r>
        <w:rPr>
          <w:rFonts w:hAnsi="宋体" w:cs="宋体"/>
          <w:b w:val="0"/>
          <w:color w:val="auto"/>
          <w:szCs w:val="21"/>
          <w:u w:val="single"/>
        </w:rPr>
        <w:t xml:space="preserve">       </w:t>
      </w:r>
      <w:r>
        <w:rPr>
          <w:rFonts w:hint="eastAsia" w:hAnsi="宋体" w:cs="宋体"/>
          <w:b w:val="0"/>
          <w:color w:val="auto"/>
          <w:szCs w:val="21"/>
        </w:rPr>
        <w:t>元。</w:t>
      </w:r>
    </w:p>
    <w:p w14:paraId="1FF482C8">
      <w:pPr>
        <w:pStyle w:val="15"/>
        <w:tabs>
          <w:tab w:val="left" w:pos="540"/>
        </w:tabs>
        <w:ind w:firstLine="420"/>
        <w:rPr>
          <w:rFonts w:hAnsi="宋体"/>
          <w:b w:val="0"/>
          <w:bCs/>
          <w:color w:val="auto"/>
        </w:rPr>
      </w:pPr>
      <w:r>
        <w:rPr>
          <w:rFonts w:hint="eastAsia" w:hAnsi="宋体" w:cs="宋体"/>
          <w:b w:val="0"/>
          <w:bCs/>
          <w:color w:val="auto"/>
          <w:szCs w:val="21"/>
        </w:rPr>
        <w:t>（二）付款方式：</w:t>
      </w:r>
      <w:r>
        <w:rPr>
          <w:rFonts w:hint="eastAsia" w:hAnsi="宋体"/>
          <w:b w:val="0"/>
          <w:bCs/>
          <w:color w:val="auto"/>
        </w:rPr>
        <w:t>乙方按照甲方要求将货物分批运至甲方指定地点，开箱验收合格后，提交请款资料，经甲方审核无误，</w:t>
      </w:r>
      <w:r>
        <w:rPr>
          <w:rFonts w:hAnsi="宋体"/>
          <w:b w:val="0"/>
          <w:bCs/>
          <w:color w:val="auto"/>
        </w:rPr>
        <w:t>15个工作日内支付该批货物总价款的60%；项目完成并验收合格后，乙方提交请款资料，经甲方审核无误，20个工作日内支付至合同总价款的97%，余下3%质保金，</w:t>
      </w:r>
      <w:r>
        <w:rPr>
          <w:rFonts w:hint="eastAsia" w:hAnsi="宋体"/>
          <w:b w:val="0"/>
          <w:bCs/>
          <w:color w:val="auto"/>
        </w:rPr>
        <w:t>保修期满</w:t>
      </w:r>
      <w:r>
        <w:rPr>
          <w:rFonts w:hAnsi="宋体"/>
          <w:b w:val="0"/>
          <w:bCs/>
          <w:color w:val="auto"/>
        </w:rPr>
        <w:t>3年，无息支付质保金2%</w:t>
      </w:r>
      <w:r>
        <w:rPr>
          <w:rFonts w:hint="eastAsia" w:hAnsi="宋体"/>
          <w:b w:val="0"/>
          <w:bCs/>
          <w:color w:val="auto"/>
        </w:rPr>
        <w:t>，剩余</w:t>
      </w:r>
      <w:r>
        <w:rPr>
          <w:rFonts w:hAnsi="宋体"/>
          <w:b w:val="0"/>
          <w:bCs/>
          <w:color w:val="auto"/>
        </w:rPr>
        <w:t>1%</w:t>
      </w:r>
      <w:r>
        <w:rPr>
          <w:rFonts w:hint="eastAsia" w:hAnsi="宋体"/>
          <w:b w:val="0"/>
          <w:bCs/>
          <w:color w:val="auto"/>
        </w:rPr>
        <w:t>质保期满无息支付。</w:t>
      </w:r>
    </w:p>
    <w:p w14:paraId="0249E3D0">
      <w:pPr>
        <w:pStyle w:val="15"/>
        <w:tabs>
          <w:tab w:val="left" w:pos="540"/>
        </w:tabs>
        <w:ind w:firstLine="420" w:firstLineChars="200"/>
        <w:rPr>
          <w:rFonts w:hAnsi="宋体"/>
          <w:b w:val="0"/>
          <w:bCs/>
          <w:color w:val="auto"/>
        </w:rPr>
      </w:pPr>
      <w:r>
        <w:rPr>
          <w:rFonts w:hint="eastAsia" w:hAnsi="宋体"/>
          <w:b w:val="0"/>
          <w:bCs/>
          <w:color w:val="auto"/>
        </w:rPr>
        <w:t>（三）每次付款前，乙方必须提供等额合法有效、与合同条款中增值税税率一致的增值税专用发票给甲方，否则甲方有权拒绝付款且不构成违约；在甲方除支付质保金外的最后一期款项前，乙方须连同当期支付款项发票和质保金一并提交甲方；若后续出现质保问题，按照质保责任和条款，部分或全部扣除质保金的，不退还相应金额的发票。若合同执行期间，遇国家税务政策调整年引起的合同价格变化，按照不含税价格调整结算价格。若乙方提供的发票不合格的，甲方有权要求乙方于【</w:t>
      </w:r>
      <w:r>
        <w:rPr>
          <w:rFonts w:hAnsi="宋体"/>
          <w:b w:val="0"/>
          <w:bCs/>
          <w:color w:val="auto"/>
        </w:rPr>
        <w:t>5】日内重新开具合格发票，给甲方造成损失的，乙方应赔偿甲方全部损失。</w:t>
      </w:r>
    </w:p>
    <w:p w14:paraId="67B55C08">
      <w:pPr>
        <w:pStyle w:val="15"/>
        <w:tabs>
          <w:tab w:val="left" w:pos="540"/>
        </w:tabs>
        <w:ind w:firstLine="420"/>
        <w:rPr>
          <w:rFonts w:hAnsi="宋体"/>
          <w:b w:val="0"/>
          <w:bCs/>
          <w:color w:val="auto"/>
        </w:rPr>
      </w:pPr>
      <w:r>
        <w:rPr>
          <w:rFonts w:hint="eastAsia" w:hAnsi="宋体"/>
          <w:b w:val="0"/>
          <w:bCs/>
          <w:color w:val="auto"/>
        </w:rPr>
        <w:t>（四）本协议项下款项支付至乙方指定的以下帐户：</w:t>
      </w:r>
    </w:p>
    <w:p w14:paraId="339884F6">
      <w:pPr>
        <w:pStyle w:val="15"/>
        <w:tabs>
          <w:tab w:val="left" w:pos="540"/>
        </w:tabs>
        <w:ind w:firstLine="1050" w:firstLineChars="500"/>
        <w:rPr>
          <w:rFonts w:hAnsi="宋体"/>
          <w:b w:val="0"/>
          <w:bCs/>
          <w:color w:val="auto"/>
        </w:rPr>
      </w:pPr>
      <w:r>
        <w:rPr>
          <w:rFonts w:hint="eastAsia" w:hAnsi="宋体"/>
          <w:b w:val="0"/>
          <w:bCs/>
          <w:color w:val="auto"/>
        </w:rPr>
        <w:t>账号：</w:t>
      </w:r>
    </w:p>
    <w:p w14:paraId="7D31AAFA">
      <w:pPr>
        <w:pStyle w:val="15"/>
        <w:tabs>
          <w:tab w:val="left" w:pos="540"/>
        </w:tabs>
        <w:ind w:firstLine="1050" w:firstLineChars="500"/>
        <w:rPr>
          <w:rFonts w:hAnsi="宋体"/>
          <w:b w:val="0"/>
          <w:bCs/>
          <w:color w:val="auto"/>
        </w:rPr>
      </w:pPr>
      <w:r>
        <w:rPr>
          <w:rFonts w:hint="eastAsia" w:hAnsi="宋体"/>
          <w:b w:val="0"/>
          <w:bCs/>
          <w:color w:val="auto"/>
        </w:rPr>
        <w:t>户名：</w:t>
      </w:r>
      <w:r>
        <w:rPr>
          <w:rFonts w:hAnsi="宋体"/>
          <w:b w:val="0"/>
          <w:bCs/>
          <w:color w:val="auto"/>
        </w:rPr>
        <w:t xml:space="preserve"> </w:t>
      </w:r>
    </w:p>
    <w:p w14:paraId="75794250">
      <w:pPr>
        <w:pStyle w:val="15"/>
        <w:tabs>
          <w:tab w:val="left" w:pos="540"/>
        </w:tabs>
        <w:ind w:firstLine="1050" w:firstLineChars="500"/>
        <w:rPr>
          <w:rFonts w:hAnsi="宋体"/>
          <w:b w:val="0"/>
          <w:color w:val="auto"/>
        </w:rPr>
      </w:pPr>
      <w:r>
        <w:rPr>
          <w:rFonts w:hint="eastAsia" w:hAnsi="宋体"/>
          <w:b w:val="0"/>
          <w:color w:val="auto"/>
        </w:rPr>
        <w:t>开户行：</w:t>
      </w:r>
      <w:r>
        <w:rPr>
          <w:rFonts w:hAnsi="宋体"/>
          <w:b w:val="0"/>
          <w:color w:val="auto"/>
        </w:rPr>
        <w:t xml:space="preserve"> </w:t>
      </w:r>
    </w:p>
    <w:p w14:paraId="47F1DCE4">
      <w:pPr>
        <w:pStyle w:val="15"/>
        <w:tabs>
          <w:tab w:val="left" w:pos="540"/>
        </w:tabs>
        <w:ind w:firstLine="420" w:firstLineChars="200"/>
        <w:rPr>
          <w:rFonts w:hAnsi="宋体"/>
          <w:b w:val="0"/>
          <w:bCs/>
          <w:color w:val="auto"/>
        </w:rPr>
      </w:pPr>
      <w:r>
        <w:rPr>
          <w:rFonts w:hint="eastAsia" w:hAnsi="宋体"/>
          <w:b w:val="0"/>
          <w:bCs/>
          <w:color w:val="auto"/>
        </w:rPr>
        <w:t>乙方对上述账户信息的准确性和可用性承担全部责任，若上述账户信息发生任何变化，乙方应提前【</w:t>
      </w:r>
      <w:r>
        <w:rPr>
          <w:rFonts w:hAnsi="宋体"/>
          <w:b w:val="0"/>
          <w:bCs/>
          <w:color w:val="auto"/>
        </w:rPr>
        <w:t>5】</w:t>
      </w:r>
      <w:r>
        <w:rPr>
          <w:rFonts w:hint="eastAsia" w:hAnsi="宋体"/>
          <w:b w:val="0"/>
          <w:bCs/>
          <w:color w:val="auto"/>
        </w:rPr>
        <w:t>个工作日书面通知甲方，否则甲方不对乙方未能收到或迟延收到任何款项承担责任。</w:t>
      </w:r>
    </w:p>
    <w:p w14:paraId="24B3EAF9">
      <w:pPr>
        <w:tabs>
          <w:tab w:val="left" w:pos="588"/>
        </w:tabs>
        <w:ind w:firstLine="413" w:firstLineChars="196"/>
        <w:rPr>
          <w:rFonts w:ascii="宋体" w:hAnsi="宋体" w:cs="宋体"/>
          <w:b/>
          <w:color w:val="auto"/>
          <w:szCs w:val="21"/>
        </w:rPr>
      </w:pPr>
      <w:r>
        <w:rPr>
          <w:rFonts w:hint="eastAsia" w:ascii="宋体" w:hAnsi="宋体" w:cs="宋体"/>
          <w:b/>
          <w:color w:val="auto"/>
          <w:szCs w:val="21"/>
        </w:rPr>
        <w:t>四、保修期</w:t>
      </w:r>
    </w:p>
    <w:p w14:paraId="254A2BA0">
      <w:pPr>
        <w:tabs>
          <w:tab w:val="center" w:pos="3125"/>
        </w:tabs>
        <w:ind w:firstLine="420" w:firstLineChars="200"/>
        <w:rPr>
          <w:rFonts w:ascii="宋体" w:hAnsi="宋体" w:cs="宋体"/>
          <w:color w:val="auto"/>
          <w:szCs w:val="21"/>
        </w:rPr>
      </w:pPr>
      <w:bookmarkStart w:id="316" w:name="_Hlk221028795"/>
      <w:r>
        <w:rPr>
          <w:rFonts w:hint="eastAsia" w:hAnsi="宋体" w:cs="宋体"/>
          <w:color w:val="auto"/>
          <w:szCs w:val="21"/>
        </w:rPr>
        <w:t>（一</w:t>
      </w:r>
      <w:r>
        <w:rPr>
          <w:rFonts w:hint="eastAsia" w:ascii="宋体" w:hAnsi="宋体" w:cs="Times New Roman"/>
          <w:bCs/>
          <w:color w:val="auto"/>
          <w:kern w:val="2"/>
          <w:szCs w:val="20"/>
        </w:rPr>
        <w:t>）</w:t>
      </w:r>
      <w:r>
        <w:rPr>
          <w:rFonts w:ascii="宋体" w:hAnsi="宋体" w:cs="Times New Roman"/>
          <w:bCs/>
          <w:color w:val="auto"/>
          <w:kern w:val="2"/>
          <w:szCs w:val="20"/>
        </w:rPr>
        <w:t>整体</w:t>
      </w:r>
      <w:r>
        <w:rPr>
          <w:rFonts w:hint="eastAsia" w:ascii="宋体" w:hAnsi="宋体" w:cs="Times New Roman"/>
          <w:bCs/>
          <w:color w:val="auto"/>
          <w:kern w:val="2"/>
          <w:szCs w:val="20"/>
        </w:rPr>
        <w:t>保修期</w:t>
      </w:r>
      <w:r>
        <w:rPr>
          <w:rFonts w:ascii="宋体" w:hAnsi="宋体" w:cs="Times New Roman"/>
          <w:bCs/>
          <w:color w:val="auto"/>
          <w:kern w:val="2"/>
          <w:szCs w:val="20"/>
        </w:rPr>
        <w:t>：本项目所有货物提供5年整体</w:t>
      </w:r>
      <w:r>
        <w:rPr>
          <w:rFonts w:hint="eastAsia" w:ascii="宋体" w:hAnsi="宋体" w:cs="Times New Roman"/>
          <w:bCs/>
          <w:color w:val="auto"/>
          <w:kern w:val="2"/>
          <w:szCs w:val="20"/>
        </w:rPr>
        <w:t>保修</w:t>
      </w:r>
      <w:r>
        <w:rPr>
          <w:rFonts w:ascii="宋体" w:hAnsi="宋体" w:cs="Times New Roman"/>
          <w:bCs/>
          <w:color w:val="auto"/>
          <w:kern w:val="2"/>
          <w:szCs w:val="20"/>
        </w:rPr>
        <w:t>（自最终竣工验收合格之日起算）</w:t>
      </w:r>
      <w:r>
        <w:rPr>
          <w:rFonts w:hint="eastAsia" w:ascii="宋体" w:hAnsi="宋体" w:cs="Times New Roman"/>
          <w:bCs/>
          <w:color w:val="auto"/>
          <w:kern w:val="2"/>
          <w:szCs w:val="20"/>
        </w:rPr>
        <w:t>。</w:t>
      </w:r>
    </w:p>
    <w:p w14:paraId="29785272">
      <w:pPr>
        <w:pStyle w:val="15"/>
        <w:tabs>
          <w:tab w:val="left" w:pos="540"/>
        </w:tabs>
        <w:ind w:firstLine="420"/>
        <w:rPr>
          <w:rFonts w:hAnsi="宋体"/>
          <w:b w:val="0"/>
          <w:bCs/>
          <w:color w:val="auto"/>
        </w:rPr>
      </w:pPr>
      <w:r>
        <w:rPr>
          <w:rFonts w:hint="eastAsia" w:hAnsi="宋体" w:cs="宋体"/>
          <w:b w:val="0"/>
          <w:color w:val="auto"/>
          <w:szCs w:val="21"/>
        </w:rPr>
        <w:t>（二）</w:t>
      </w:r>
      <w:r>
        <w:rPr>
          <w:rFonts w:hint="eastAsia" w:hAnsi="宋体"/>
          <w:b w:val="0"/>
          <w:bCs/>
          <w:color w:val="auto"/>
        </w:rPr>
        <w:t>保修期内，非因甲方自身操作不当引起的故障，乙方应无条件于【</w:t>
      </w:r>
      <w:r>
        <w:rPr>
          <w:rFonts w:hAnsi="宋体"/>
          <w:b w:val="0"/>
          <w:bCs/>
          <w:color w:val="auto"/>
        </w:rPr>
        <w:t>2】日内进行无偿维修；维修不能解决的，乙方应无条件于【5】日内无条件更换；若因用户自身操作不当引起的故障，乙方可合理地收取维修费。保修期内，乙方对甲方提出的维修通知在5个工</w:t>
      </w:r>
      <w:r>
        <w:rPr>
          <w:rFonts w:hint="eastAsia" w:hAnsi="宋体"/>
          <w:b w:val="0"/>
          <w:bCs/>
          <w:color w:val="auto"/>
        </w:rPr>
        <w:t>作日内不予响应并完成维修的，甲方有权委托其他维修单位维修且不承担任何违约责任，所需全部费用及责任由乙方承担。</w:t>
      </w:r>
    </w:p>
    <w:bookmarkEnd w:id="316"/>
    <w:p w14:paraId="07FFB789">
      <w:pPr>
        <w:tabs>
          <w:tab w:val="left" w:pos="588"/>
        </w:tabs>
        <w:ind w:firstLine="482"/>
        <w:rPr>
          <w:rFonts w:ascii="宋体" w:hAnsi="宋体" w:cs="宋体"/>
          <w:b/>
          <w:bCs/>
          <w:color w:val="auto"/>
          <w:szCs w:val="21"/>
        </w:rPr>
      </w:pPr>
      <w:r>
        <w:rPr>
          <w:rFonts w:hint="eastAsia" w:ascii="宋体" w:hAnsi="宋体" w:cs="宋体"/>
          <w:b/>
          <w:bCs/>
          <w:color w:val="auto"/>
          <w:szCs w:val="21"/>
        </w:rPr>
        <w:t>五、产品质量保证</w:t>
      </w:r>
    </w:p>
    <w:p w14:paraId="7830A742">
      <w:pPr>
        <w:pStyle w:val="15"/>
        <w:tabs>
          <w:tab w:val="left" w:pos="540"/>
        </w:tabs>
        <w:ind w:firstLine="420"/>
        <w:rPr>
          <w:rFonts w:hAnsi="宋体"/>
          <w:b w:val="0"/>
          <w:bCs/>
          <w:color w:val="auto"/>
        </w:rPr>
      </w:pPr>
      <w:r>
        <w:rPr>
          <w:rFonts w:hint="eastAsia" w:hAnsi="宋体"/>
          <w:b w:val="0"/>
          <w:bCs/>
          <w:color w:val="auto"/>
        </w:rPr>
        <w:t>（一）</w:t>
      </w:r>
      <w:r>
        <w:rPr>
          <w:rFonts w:hAnsi="宋体"/>
          <w:b w:val="0"/>
          <w:bCs/>
          <w:color w:val="auto"/>
        </w:rPr>
        <w:t>所有产品均须符合国家现行最新版标准，包括但不限于：GB/T 35607-2024《绿色产品评价 家具》</w:t>
      </w:r>
      <w:r>
        <w:rPr>
          <w:rFonts w:hint="eastAsia" w:hAnsi="宋体"/>
          <w:b w:val="0"/>
          <w:bCs/>
          <w:color w:val="auto"/>
        </w:rPr>
        <w:t>、</w:t>
      </w:r>
      <w:r>
        <w:rPr>
          <w:rFonts w:hAnsi="宋体"/>
          <w:b w:val="0"/>
          <w:bCs/>
          <w:color w:val="auto"/>
        </w:rPr>
        <w:t>GB/T 3324-2024《木家具通用技术条件》</w:t>
      </w:r>
      <w:r>
        <w:rPr>
          <w:rFonts w:hint="eastAsia" w:hAnsi="宋体"/>
          <w:b w:val="0"/>
          <w:bCs/>
          <w:color w:val="auto"/>
        </w:rPr>
        <w:t>、</w:t>
      </w:r>
      <w:r>
        <w:rPr>
          <w:rFonts w:hAnsi="宋体"/>
          <w:b w:val="0"/>
          <w:bCs/>
          <w:color w:val="auto"/>
        </w:rPr>
        <w:t>GB/T 10802-2023《通用软质聚氨酯泡沫塑料》</w:t>
      </w:r>
      <w:r>
        <w:rPr>
          <w:rFonts w:hint="eastAsia" w:hAnsi="宋体"/>
          <w:b w:val="0"/>
          <w:bCs/>
          <w:color w:val="auto"/>
        </w:rPr>
        <w:t>、</w:t>
      </w:r>
      <w:r>
        <w:rPr>
          <w:rFonts w:hAnsi="宋体"/>
          <w:b w:val="0"/>
          <w:bCs/>
          <w:color w:val="auto"/>
        </w:rPr>
        <w:t>GB 18584-2001《室内装饰装修材料 木家具中有害物质限量》当标准有更新时，按最新版本执行。</w:t>
      </w:r>
    </w:p>
    <w:p w14:paraId="7D8D7A6C">
      <w:pPr>
        <w:pStyle w:val="15"/>
        <w:tabs>
          <w:tab w:val="left" w:pos="540"/>
        </w:tabs>
        <w:ind w:firstLine="420"/>
        <w:rPr>
          <w:rFonts w:hAnsi="宋体"/>
          <w:b w:val="0"/>
          <w:bCs/>
          <w:color w:val="auto"/>
        </w:rPr>
      </w:pPr>
      <w:r>
        <w:rPr>
          <w:rFonts w:hint="eastAsia" w:hAnsi="宋体"/>
          <w:b w:val="0"/>
          <w:bCs/>
          <w:color w:val="auto"/>
        </w:rPr>
        <w:t>（二）</w:t>
      </w:r>
      <w:r>
        <w:rPr>
          <w:rFonts w:hAnsi="宋体"/>
          <w:b w:val="0"/>
          <w:bCs/>
          <w:color w:val="auto"/>
        </w:rPr>
        <w:t>主要构件质保：在整体质保期内，对影响产品使用功能和结构安全的主要构件提供免费保修或更换：</w:t>
      </w:r>
    </w:p>
    <w:p w14:paraId="379E6D5B">
      <w:pPr>
        <w:pStyle w:val="15"/>
        <w:tabs>
          <w:tab w:val="left" w:pos="540"/>
        </w:tabs>
        <w:ind w:firstLine="420"/>
        <w:rPr>
          <w:rFonts w:hAnsi="宋体"/>
          <w:b w:val="0"/>
          <w:bCs/>
          <w:color w:val="auto"/>
        </w:rPr>
      </w:pPr>
      <w:r>
        <w:rPr>
          <w:rFonts w:hint="eastAsia" w:hAnsi="宋体"/>
          <w:b w:val="0"/>
          <w:bCs/>
          <w:color w:val="auto"/>
        </w:rPr>
        <w:t>（三）</w:t>
      </w:r>
      <w:r>
        <w:rPr>
          <w:rFonts w:hAnsi="宋体"/>
          <w:b w:val="0"/>
          <w:bCs/>
          <w:color w:val="auto"/>
        </w:rPr>
        <w:t>金属框架及构件（床架、桌腿、椅架、沙发内架）：终身不生锈、不开焊、不变形。</w:t>
      </w:r>
    </w:p>
    <w:p w14:paraId="53D61A18">
      <w:pPr>
        <w:pStyle w:val="15"/>
        <w:tabs>
          <w:tab w:val="left" w:pos="540"/>
        </w:tabs>
        <w:ind w:firstLine="420"/>
        <w:rPr>
          <w:rFonts w:hAnsi="宋体"/>
          <w:b w:val="0"/>
          <w:bCs/>
          <w:color w:val="auto"/>
        </w:rPr>
      </w:pPr>
      <w:r>
        <w:rPr>
          <w:rFonts w:hint="eastAsia" w:hAnsi="宋体"/>
          <w:b w:val="0"/>
          <w:bCs/>
          <w:color w:val="auto"/>
        </w:rPr>
        <w:t>（四）</w:t>
      </w:r>
      <w:r>
        <w:rPr>
          <w:rFonts w:hAnsi="宋体"/>
          <w:b w:val="0"/>
          <w:bCs/>
          <w:color w:val="auto"/>
        </w:rPr>
        <w:t>木质柜体及门板：终身不翘曲、不开裂、不脱落。</w:t>
      </w:r>
    </w:p>
    <w:p w14:paraId="57B3E2FC">
      <w:pPr>
        <w:pStyle w:val="15"/>
        <w:tabs>
          <w:tab w:val="left" w:pos="540"/>
        </w:tabs>
        <w:ind w:firstLine="420"/>
        <w:rPr>
          <w:rFonts w:hAnsi="宋体"/>
          <w:b w:val="0"/>
          <w:bCs/>
          <w:color w:val="auto"/>
        </w:rPr>
      </w:pPr>
      <w:r>
        <w:rPr>
          <w:rFonts w:hint="eastAsia" w:hAnsi="宋体"/>
          <w:b w:val="0"/>
          <w:bCs/>
          <w:color w:val="auto"/>
        </w:rPr>
        <w:t>（五）</w:t>
      </w:r>
      <w:r>
        <w:rPr>
          <w:rFonts w:hAnsi="宋体"/>
          <w:b w:val="0"/>
          <w:bCs/>
          <w:color w:val="auto"/>
        </w:rPr>
        <w:t>五金连接件（铰链、滑轨、连接件）：终身顺畅、无锈蚀、无损坏。</w:t>
      </w:r>
    </w:p>
    <w:p w14:paraId="2B17B657">
      <w:pPr>
        <w:pStyle w:val="15"/>
        <w:tabs>
          <w:tab w:val="left" w:pos="540"/>
        </w:tabs>
        <w:ind w:firstLine="420"/>
        <w:rPr>
          <w:rFonts w:hAnsi="宋体"/>
          <w:b w:val="0"/>
          <w:bCs/>
          <w:color w:val="auto"/>
        </w:rPr>
      </w:pPr>
      <w:r>
        <w:rPr>
          <w:rFonts w:hint="eastAsia" w:hAnsi="宋体"/>
          <w:b w:val="0"/>
          <w:bCs/>
          <w:color w:val="auto"/>
        </w:rPr>
        <w:t>（六）</w:t>
      </w:r>
      <w:r>
        <w:rPr>
          <w:rFonts w:hAnsi="宋体"/>
          <w:b w:val="0"/>
          <w:bCs/>
          <w:color w:val="auto"/>
        </w:rPr>
        <w:t>软包填充材料（海绵、乳胶）：5年内无严重塌陷（塌陷率≤8%）、粉化。</w:t>
      </w:r>
    </w:p>
    <w:p w14:paraId="47BAE472">
      <w:pPr>
        <w:pStyle w:val="15"/>
        <w:tabs>
          <w:tab w:val="left" w:pos="540"/>
        </w:tabs>
        <w:ind w:firstLine="420"/>
        <w:rPr>
          <w:rFonts w:hAnsi="宋体"/>
          <w:b w:val="0"/>
          <w:bCs/>
          <w:color w:val="auto"/>
        </w:rPr>
      </w:pPr>
      <w:r>
        <w:rPr>
          <w:rFonts w:hint="eastAsia" w:hAnsi="宋体"/>
          <w:b w:val="0"/>
          <w:bCs/>
          <w:color w:val="auto"/>
        </w:rPr>
        <w:t>（七）</w:t>
      </w:r>
      <w:r>
        <w:rPr>
          <w:rFonts w:hAnsi="宋体"/>
          <w:b w:val="0"/>
          <w:bCs/>
          <w:color w:val="auto"/>
        </w:rPr>
        <w:t>功能部件（挂衣杆、脚垫）：终身不脱落、不断裂。</w:t>
      </w:r>
    </w:p>
    <w:p w14:paraId="67DAD622">
      <w:pPr>
        <w:tabs>
          <w:tab w:val="left" w:pos="588"/>
        </w:tabs>
        <w:ind w:firstLine="482"/>
        <w:rPr>
          <w:rFonts w:ascii="宋体" w:hAnsi="宋体" w:cs="宋体"/>
          <w:b/>
          <w:bCs/>
          <w:color w:val="auto"/>
          <w:szCs w:val="21"/>
        </w:rPr>
      </w:pPr>
      <w:r>
        <w:rPr>
          <w:rFonts w:hint="eastAsia" w:ascii="宋体" w:hAnsi="宋体" w:cs="宋体"/>
          <w:b/>
          <w:bCs/>
          <w:color w:val="auto"/>
          <w:szCs w:val="21"/>
        </w:rPr>
        <w:t>六、包装、运输及保险</w:t>
      </w:r>
    </w:p>
    <w:p w14:paraId="5155C5B2">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一）乙方提供的货物应为原厂包装，能够防止货物在运输中损坏或变质。这类包装应采取防潮、防晒、防锈、防腐蚀、防震动及防止其它损坏的必要保护措施，从而保护货物能够经受多次搬运、装卸及长途运输。乙方应承担因包装或防护措施不当等原因所造成任何损失的责任，给甲方造成损失的，乙方应赔偿甲方全部损失。</w:t>
      </w:r>
    </w:p>
    <w:p w14:paraId="628E145B">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二）乙方负责安排运输工具，并支付运费，确保按合同要求交货。乙方应承担因运输、搬运过程中防护措施不当等原因造成的任何损失及一切风险，包括但不限于甲方、乙方员工或任何第三方的人身损害及财产损失等。</w:t>
      </w:r>
    </w:p>
    <w:p w14:paraId="7FAFC6F7">
      <w:pPr>
        <w:ind w:firstLine="480"/>
        <w:rPr>
          <w:rFonts w:ascii="宋体" w:hAnsi="宋体" w:cs="宋体"/>
          <w:color w:val="auto"/>
          <w:szCs w:val="21"/>
        </w:rPr>
      </w:pPr>
      <w:r>
        <w:rPr>
          <w:rFonts w:hint="eastAsia" w:ascii="宋体" w:hAnsi="宋体" w:cs="宋体"/>
          <w:color w:val="auto"/>
          <w:szCs w:val="21"/>
        </w:rPr>
        <w:t>（三）乙方应向甲方交付各种技术资料和简易安装工具作为维护管理使用。包括但不限于：</w:t>
      </w:r>
    </w:p>
    <w:p w14:paraId="1570DEC1">
      <w:pPr>
        <w:ind w:firstLine="48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货物说明书、安装、维护和操作文件</w:t>
      </w:r>
      <w:r>
        <w:rPr>
          <w:rFonts w:ascii="宋体" w:hAnsi="宋体" w:cs="宋体"/>
          <w:color w:val="auto"/>
          <w:szCs w:val="21"/>
        </w:rPr>
        <w:t>,包括：</w:t>
      </w:r>
    </w:p>
    <w:p w14:paraId="261E50AE">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1）技术性能和指标；</w:t>
      </w:r>
    </w:p>
    <w:p w14:paraId="7409F062">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2）安装图；</w:t>
      </w:r>
    </w:p>
    <w:p w14:paraId="3C57E340">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3）货物的可靠性指标及计算依据等。</w:t>
      </w:r>
    </w:p>
    <w:p w14:paraId="12B5EDA3">
      <w:pPr>
        <w:pStyle w:val="94"/>
        <w:snapToGrid/>
        <w:spacing w:line="360" w:lineRule="auto"/>
        <w:ind w:right="29"/>
        <w:rPr>
          <w:rFonts w:ascii="宋体" w:hAnsi="宋体" w:cs="宋体"/>
          <w:color w:val="auto"/>
          <w:sz w:val="21"/>
          <w:szCs w:val="21"/>
        </w:rPr>
      </w:pPr>
      <w:r>
        <w:rPr>
          <w:rFonts w:ascii="宋体" w:hAnsi="宋体" w:cs="宋体"/>
          <w:color w:val="auto"/>
          <w:sz w:val="21"/>
          <w:szCs w:val="21"/>
        </w:rPr>
        <w:t>2.主要部件、配件的产地及技术资料；</w:t>
      </w:r>
    </w:p>
    <w:p w14:paraId="686A4274">
      <w:pPr>
        <w:pStyle w:val="94"/>
        <w:snapToGrid/>
        <w:spacing w:line="360" w:lineRule="auto"/>
        <w:ind w:right="29"/>
        <w:rPr>
          <w:rFonts w:ascii="宋体" w:hAnsi="宋体" w:cs="宋体"/>
          <w:color w:val="auto"/>
          <w:sz w:val="21"/>
          <w:szCs w:val="21"/>
        </w:rPr>
      </w:pPr>
      <w:r>
        <w:rPr>
          <w:rFonts w:ascii="宋体" w:hAnsi="宋体" w:cs="宋体"/>
          <w:color w:val="auto"/>
          <w:sz w:val="21"/>
          <w:szCs w:val="21"/>
        </w:rPr>
        <w:t>3.安装、维护和操作文件，包括：安装手册、操作维护手册；</w:t>
      </w:r>
    </w:p>
    <w:p w14:paraId="4F845DD7">
      <w:pPr>
        <w:pStyle w:val="94"/>
        <w:snapToGrid/>
        <w:spacing w:line="360" w:lineRule="auto"/>
        <w:ind w:right="29"/>
        <w:rPr>
          <w:rFonts w:ascii="宋体" w:hAnsi="宋体" w:cs="宋体"/>
          <w:color w:val="auto"/>
          <w:sz w:val="21"/>
          <w:szCs w:val="21"/>
        </w:rPr>
      </w:pPr>
      <w:r>
        <w:rPr>
          <w:rFonts w:ascii="宋体" w:hAnsi="宋体" w:cs="宋体"/>
          <w:color w:val="auto"/>
          <w:sz w:val="21"/>
          <w:szCs w:val="21"/>
        </w:rPr>
        <w:t>4.简易安装工具。</w:t>
      </w:r>
    </w:p>
    <w:p w14:paraId="2410EB0E">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四）乙方负责为货物和在项目现场进行技术服务的乙方人员办理必要的保险并支付相关保险费，该保险的期限至货物安装完成正常使用时为止。未办理保险的，乙方现场作业人员不得入场，由此造成逾期交货或安装，由乙方按本合同约定承担违约责任。</w:t>
      </w:r>
    </w:p>
    <w:p w14:paraId="38164BC8">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乙方为所有进场作业人员配备符合国家及行业现行安全标准的安全防护设施（包括但不限于安全帽、安全带、安全网等），并定期检查设施完好性，确保作业人员规范使用。</w:t>
      </w:r>
    </w:p>
    <w:p w14:paraId="4A660D60">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乙方对所有作业人员开展岗前安全施工教育培训及施工过程中的常态化安全交底，明确施工安全操作规范，如有高空作业，乙方相关作业人员还应具备高空作业的相关资质，甲方有权随时进行监督检查。</w:t>
      </w:r>
    </w:p>
    <w:p w14:paraId="481BEDEC">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施工期间，如乙方人员在合同履行中发生事故的，包括但不限于造成乙方人员、甲方及任何第三方人身损害及财产损失等，无论事故是否因乙方过错、作业人员自身原因或第三方原因导致，均由乙方独立承担全部赔偿责任及事故处理义务，甲方无需就该等事故承担任何赔偿责任、连带责任或补充责任。</w:t>
      </w:r>
    </w:p>
    <w:p w14:paraId="72834C99">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若因乙方未履行本合同约定的安全保障义务，或未及时妥善处理作业人员安全事故，导致甲方被牵连进入诉讼、仲裁或其他任何法律程序，乙方应赔偿甲方因此遭受的全部直接及间接损失，包括但不限于项目停工损失、诉讼费、律师费、差旅费、鉴定费、保全费、公告费、行政罚款，以及甲方因涉诉向第三方支付的赔偿金、违约金或其他款项。</w:t>
      </w:r>
    </w:p>
    <w:p w14:paraId="321E8FEE">
      <w:pPr>
        <w:tabs>
          <w:tab w:val="left" w:pos="588"/>
        </w:tabs>
        <w:ind w:firstLine="482"/>
        <w:rPr>
          <w:rFonts w:ascii="宋体" w:hAnsi="宋体" w:cs="宋体"/>
          <w:b/>
          <w:bCs/>
          <w:color w:val="auto"/>
          <w:szCs w:val="21"/>
        </w:rPr>
      </w:pPr>
      <w:r>
        <w:rPr>
          <w:rFonts w:hint="eastAsia" w:ascii="宋体" w:hAnsi="宋体" w:cs="宋体"/>
          <w:b/>
          <w:bCs/>
          <w:color w:val="auto"/>
          <w:szCs w:val="21"/>
        </w:rPr>
        <w:t>七、供货要求</w:t>
      </w:r>
    </w:p>
    <w:p w14:paraId="59846B29">
      <w:pPr>
        <w:pStyle w:val="93"/>
        <w:ind w:left="0" w:firstLine="420" w:firstLineChars="200"/>
        <w:rPr>
          <w:rFonts w:ascii="宋体" w:hAnsi="宋体"/>
          <w:color w:val="auto"/>
          <w:szCs w:val="21"/>
        </w:rPr>
      </w:pPr>
      <w:r>
        <w:rPr>
          <w:rFonts w:hint="eastAsia" w:ascii="宋体" w:hAnsi="宋体"/>
          <w:color w:val="auto"/>
          <w:szCs w:val="21"/>
        </w:rPr>
        <w:t>（一）样板房供货要求：</w:t>
      </w:r>
      <w:r>
        <w:rPr>
          <w:rFonts w:ascii="宋体" w:hAnsi="宋体"/>
          <w:color w:val="auto"/>
          <w:szCs w:val="21"/>
        </w:rPr>
        <w:t>3个户型精装样板房需按</w:t>
      </w:r>
      <w:r>
        <w:rPr>
          <w:rFonts w:hint="eastAsia" w:ascii="宋体" w:hAnsi="宋体"/>
          <w:color w:val="auto"/>
          <w:szCs w:val="21"/>
        </w:rPr>
        <w:t>甲方要求在收到甲方通知</w:t>
      </w:r>
      <w:r>
        <w:rPr>
          <w:rFonts w:ascii="宋体" w:hAnsi="宋体"/>
          <w:color w:val="auto"/>
          <w:szCs w:val="21"/>
        </w:rPr>
        <w:t>15天内完成安装、调试工作。</w:t>
      </w:r>
    </w:p>
    <w:p w14:paraId="480FEB98">
      <w:pPr>
        <w:pStyle w:val="93"/>
        <w:ind w:left="0" w:firstLine="420" w:firstLineChars="200"/>
        <w:rPr>
          <w:rFonts w:ascii="宋体" w:hAnsi="宋体"/>
          <w:color w:val="auto"/>
          <w:szCs w:val="21"/>
        </w:rPr>
      </w:pPr>
      <w:r>
        <w:rPr>
          <w:rFonts w:hint="eastAsia" w:ascii="宋体" w:hAnsi="宋体"/>
          <w:color w:val="auto"/>
          <w:szCs w:val="21"/>
        </w:rPr>
        <w:t>（二）整体供货要求：接到甲方生产通知后，</w:t>
      </w:r>
      <w:r>
        <w:rPr>
          <w:rFonts w:ascii="宋体" w:hAnsi="宋体"/>
          <w:color w:val="auto"/>
          <w:szCs w:val="21"/>
        </w:rPr>
        <w:t>30日内完成定制家具的生产；乙方根据项目现场施工进度配合进场安装、调试等工作。</w:t>
      </w:r>
    </w:p>
    <w:p w14:paraId="25CE0F0C">
      <w:pPr>
        <w:pStyle w:val="93"/>
        <w:ind w:left="0" w:firstLine="420" w:firstLineChars="200"/>
        <w:rPr>
          <w:rFonts w:ascii="宋体" w:hAnsi="宋体"/>
          <w:color w:val="auto"/>
          <w:szCs w:val="21"/>
        </w:rPr>
      </w:pPr>
      <w:r>
        <w:rPr>
          <w:rFonts w:hint="eastAsia" w:ascii="宋体" w:hAnsi="宋体"/>
          <w:color w:val="auto"/>
          <w:szCs w:val="21"/>
        </w:rPr>
        <w:t>（三）在建设工地的临时存放场地由甲方负责协调落实，乙方须自行负责货物的保管、看管工作，期间发生的货物毁损、灭失风险由乙方承担。乙方应采取必要的防盗、防潮、防尘措施，确保货物在安装前保持完好状态。</w:t>
      </w:r>
    </w:p>
    <w:p w14:paraId="6D23F741">
      <w:pPr>
        <w:pStyle w:val="93"/>
        <w:ind w:left="0" w:firstLine="420" w:firstLineChars="200"/>
        <w:rPr>
          <w:rFonts w:ascii="宋体" w:hAnsi="宋体"/>
          <w:color w:val="auto"/>
          <w:szCs w:val="21"/>
        </w:rPr>
      </w:pPr>
      <w:r>
        <w:rPr>
          <w:rFonts w:hint="eastAsia" w:ascii="宋体" w:hAnsi="宋体"/>
          <w:color w:val="auto"/>
          <w:szCs w:val="21"/>
        </w:rPr>
        <w:t>（四）项目实施过程中，乙方须负责全部货物的成品保护，直至验收合格并正常运行后为止。在安装过程中，如建筑结构或其它设备被损坏乙方将有责任修理或赔偿损失。</w:t>
      </w:r>
    </w:p>
    <w:p w14:paraId="17D165C9">
      <w:pPr>
        <w:pStyle w:val="93"/>
        <w:ind w:left="0" w:firstLine="420" w:firstLineChars="200"/>
        <w:rPr>
          <w:rFonts w:ascii="宋体" w:hAnsi="宋体"/>
          <w:color w:val="auto"/>
          <w:szCs w:val="21"/>
        </w:rPr>
      </w:pPr>
      <w:r>
        <w:rPr>
          <w:rFonts w:hint="eastAsia" w:ascii="宋体" w:hAnsi="宋体"/>
          <w:color w:val="auto"/>
          <w:szCs w:val="21"/>
        </w:rPr>
        <w:t>（五）乙方的货物运输安装需配合甲方安排，使用电梯或其他设备等需提前【</w:t>
      </w:r>
      <w:r>
        <w:rPr>
          <w:rFonts w:ascii="宋体" w:hAnsi="宋体"/>
          <w:color w:val="auto"/>
          <w:szCs w:val="21"/>
        </w:rPr>
        <w:t>1】日征得甲方书面同意，无电梯则自行安排运送至楼上。</w:t>
      </w:r>
    </w:p>
    <w:p w14:paraId="573A9C85">
      <w:pPr>
        <w:pStyle w:val="93"/>
        <w:ind w:left="0" w:firstLine="420" w:firstLineChars="200"/>
        <w:rPr>
          <w:rFonts w:ascii="宋体" w:hAnsi="宋体"/>
          <w:color w:val="auto"/>
          <w:szCs w:val="21"/>
        </w:rPr>
      </w:pPr>
      <w:r>
        <w:rPr>
          <w:rFonts w:hint="eastAsia" w:ascii="宋体" w:hAnsi="宋体"/>
          <w:color w:val="auto"/>
          <w:szCs w:val="21"/>
        </w:rPr>
        <w:t>（六）在验收过程中，因交付货物的全部或部分不符合本合同约定的数量、质量标准，存在外观变形或损坏及隐蔽瑕疵等情形，乙方应按甲方要求在</w:t>
      </w:r>
      <w:r>
        <w:rPr>
          <w:rFonts w:ascii="宋体" w:hAnsi="宋体"/>
          <w:color w:val="auto"/>
          <w:szCs w:val="21"/>
          <w:u w:val="single"/>
        </w:rPr>
        <w:t>5</w:t>
      </w:r>
      <w:r>
        <w:rPr>
          <w:rFonts w:hint="eastAsia" w:ascii="宋体" w:hAnsi="宋体"/>
          <w:color w:val="auto"/>
          <w:szCs w:val="21"/>
        </w:rPr>
        <w:t>日内完成无条件更换、补齐，确保所交付的货物全部符合合同约定，否则甲方有权拒绝接受该货物或解除、终止本合同且不承担任何违约责任，并有权不予支付全部合同价款，同时甲方有权要求乙方支付合同总金额的【</w:t>
      </w:r>
      <w:r>
        <w:rPr>
          <w:rFonts w:ascii="宋体" w:hAnsi="宋体"/>
          <w:color w:val="auto"/>
          <w:szCs w:val="21"/>
        </w:rPr>
        <w:t>5】%作为违约金，由此给甲方造成的损失由乙方全额赔偿。</w:t>
      </w:r>
    </w:p>
    <w:p w14:paraId="7E93859C">
      <w:pPr>
        <w:pStyle w:val="94"/>
        <w:snapToGrid/>
        <w:spacing w:line="360" w:lineRule="auto"/>
        <w:ind w:right="29" w:firstLine="420" w:firstLineChars="200"/>
        <w:rPr>
          <w:rFonts w:ascii="宋体" w:hAnsi="宋体" w:cs="宋体"/>
          <w:color w:val="auto"/>
          <w:sz w:val="21"/>
          <w:szCs w:val="21"/>
        </w:rPr>
      </w:pPr>
      <w:bookmarkStart w:id="317" w:name="OLE_LINK5"/>
      <w:r>
        <w:rPr>
          <w:rFonts w:hint="eastAsia" w:ascii="宋体" w:hAnsi="宋体" w:cs="宋体"/>
          <w:color w:val="auto"/>
          <w:sz w:val="21"/>
          <w:szCs w:val="21"/>
        </w:rPr>
        <w:t>（七）</w:t>
      </w:r>
      <w:bookmarkEnd w:id="317"/>
      <w:r>
        <w:rPr>
          <w:rFonts w:hint="eastAsia" w:ascii="宋体" w:hAnsi="宋体" w:cs="宋体"/>
          <w:color w:val="auto"/>
          <w:sz w:val="21"/>
          <w:szCs w:val="21"/>
        </w:rPr>
        <w:t>乙方负责安排技术人员免费为甲方用户提供现场安装服务。安装工程包括：勘测、卸车、安装、连接等工作，所有货物和自带材料的二次搬运、安装、安装废料的清理工作由乙方负责。</w:t>
      </w:r>
    </w:p>
    <w:p w14:paraId="7C79B611">
      <w:pPr>
        <w:pStyle w:val="24"/>
        <w:ind w:left="0" w:leftChars="0" w:firstLine="420" w:firstLineChars="200"/>
        <w:rPr>
          <w:color w:val="auto"/>
        </w:rPr>
      </w:pPr>
      <w:r>
        <w:rPr>
          <w:rFonts w:hint="eastAsia" w:ascii="宋体" w:hAnsi="宋体" w:cs="宋体"/>
          <w:color w:val="auto"/>
          <w:sz w:val="21"/>
          <w:szCs w:val="21"/>
        </w:rPr>
        <w:t>（八）乙方安装期间，如在拆、装、搬运过程中造成甲方损失的，应由乙方承担全部赔偿责任。</w:t>
      </w:r>
    </w:p>
    <w:p w14:paraId="644AA8E1">
      <w:pPr>
        <w:tabs>
          <w:tab w:val="left" w:pos="588"/>
        </w:tabs>
        <w:ind w:firstLine="482"/>
        <w:rPr>
          <w:rFonts w:ascii="宋体" w:hAnsi="宋体" w:cs="宋体"/>
          <w:b/>
          <w:bCs/>
          <w:color w:val="auto"/>
          <w:szCs w:val="21"/>
        </w:rPr>
      </w:pPr>
      <w:r>
        <w:rPr>
          <w:rFonts w:hint="eastAsia" w:ascii="宋体" w:hAnsi="宋体" w:cs="宋体"/>
          <w:b/>
          <w:bCs/>
          <w:color w:val="auto"/>
          <w:szCs w:val="21"/>
        </w:rPr>
        <w:t>八、验收程序</w:t>
      </w:r>
    </w:p>
    <w:p w14:paraId="1F3D9F93">
      <w:pPr>
        <w:pStyle w:val="94"/>
        <w:snapToGrid/>
        <w:spacing w:line="360" w:lineRule="auto"/>
        <w:ind w:right="29" w:firstLine="420" w:firstLineChars="200"/>
        <w:rPr>
          <w:rFonts w:ascii="宋体" w:hAnsi="宋体" w:cs="宋体"/>
          <w:color w:val="auto"/>
          <w:sz w:val="21"/>
          <w:szCs w:val="21"/>
        </w:rPr>
      </w:pPr>
      <w:r>
        <w:rPr>
          <w:rFonts w:hint="eastAsia" w:ascii="宋体" w:hAnsi="宋体" w:cs="宋体"/>
          <w:color w:val="auto"/>
          <w:sz w:val="21"/>
          <w:szCs w:val="21"/>
        </w:rPr>
        <w:t>（一）</w:t>
      </w:r>
      <w:r>
        <w:rPr>
          <w:rFonts w:ascii="宋体" w:hAnsi="宋体" w:cs="宋体"/>
          <w:color w:val="auto"/>
          <w:sz w:val="21"/>
          <w:szCs w:val="21"/>
        </w:rPr>
        <w:t>验收组织：验收由</w:t>
      </w:r>
      <w:r>
        <w:rPr>
          <w:rFonts w:hint="eastAsia" w:ascii="宋体" w:hAnsi="宋体" w:cs="宋体"/>
          <w:color w:val="auto"/>
          <w:sz w:val="21"/>
          <w:szCs w:val="21"/>
        </w:rPr>
        <w:t>甲方</w:t>
      </w:r>
      <w:r>
        <w:rPr>
          <w:rFonts w:ascii="宋体" w:hAnsi="宋体" w:cs="宋体"/>
          <w:color w:val="auto"/>
          <w:sz w:val="21"/>
          <w:szCs w:val="21"/>
        </w:rPr>
        <w:t>组织，</w:t>
      </w:r>
      <w:r>
        <w:rPr>
          <w:rFonts w:hint="eastAsia" w:ascii="宋体" w:hAnsi="宋体" w:cs="宋体"/>
          <w:color w:val="auto"/>
          <w:sz w:val="21"/>
          <w:szCs w:val="21"/>
        </w:rPr>
        <w:t>乙方</w:t>
      </w:r>
      <w:r>
        <w:rPr>
          <w:rFonts w:ascii="宋体" w:hAnsi="宋体" w:cs="宋体"/>
          <w:color w:val="auto"/>
          <w:sz w:val="21"/>
          <w:szCs w:val="21"/>
        </w:rPr>
        <w:t>共同参与。</w:t>
      </w:r>
    </w:p>
    <w:p w14:paraId="1A1F8A18">
      <w:pPr>
        <w:pStyle w:val="94"/>
        <w:snapToGrid/>
        <w:spacing w:line="360" w:lineRule="auto"/>
        <w:ind w:right="29" w:firstLine="420" w:firstLineChars="200"/>
        <w:rPr>
          <w:rFonts w:ascii="宋体" w:hAnsi="宋体" w:cs="宋体"/>
          <w:color w:val="auto"/>
          <w:sz w:val="21"/>
          <w:szCs w:val="21"/>
        </w:rPr>
      </w:pPr>
      <w:r>
        <w:rPr>
          <w:rFonts w:hint="eastAsia" w:ascii="宋体" w:hAnsi="宋体" w:cs="宋体"/>
          <w:color w:val="auto"/>
          <w:sz w:val="21"/>
          <w:szCs w:val="21"/>
        </w:rPr>
        <w:t>（二）</w:t>
      </w:r>
      <w:r>
        <w:rPr>
          <w:rFonts w:ascii="宋体" w:hAnsi="宋体" w:cs="宋体"/>
          <w:color w:val="auto"/>
          <w:sz w:val="21"/>
          <w:szCs w:val="21"/>
        </w:rPr>
        <w:t>分批到货验收：每批货物运抵现场并安装完毕后，</w:t>
      </w:r>
      <w:r>
        <w:rPr>
          <w:rFonts w:hint="eastAsia" w:ascii="宋体" w:hAnsi="宋体" w:cs="宋体"/>
          <w:color w:val="auto"/>
          <w:sz w:val="21"/>
          <w:szCs w:val="21"/>
        </w:rPr>
        <w:t>甲方</w:t>
      </w:r>
      <w:r>
        <w:rPr>
          <w:rFonts w:ascii="宋体" w:hAnsi="宋体" w:cs="宋体"/>
          <w:color w:val="auto"/>
          <w:sz w:val="21"/>
          <w:szCs w:val="21"/>
        </w:rPr>
        <w:t xml:space="preserve">将组织该批次货物的初步验收，核对数量、规格、型号及外观。 </w:t>
      </w:r>
    </w:p>
    <w:p w14:paraId="47017D54">
      <w:pPr>
        <w:pStyle w:val="94"/>
        <w:snapToGrid/>
        <w:spacing w:line="360" w:lineRule="auto"/>
        <w:ind w:right="29" w:firstLine="420" w:firstLineChars="200"/>
        <w:rPr>
          <w:rFonts w:ascii="宋体" w:hAnsi="宋体" w:cs="宋体"/>
          <w:color w:val="auto"/>
          <w:sz w:val="21"/>
          <w:szCs w:val="21"/>
        </w:rPr>
      </w:pPr>
      <w:r>
        <w:rPr>
          <w:rFonts w:hint="eastAsia" w:ascii="宋体" w:hAnsi="宋体" w:cs="宋体"/>
          <w:color w:val="auto"/>
          <w:sz w:val="21"/>
          <w:szCs w:val="21"/>
        </w:rPr>
        <w:t>（三）</w:t>
      </w:r>
      <w:r>
        <w:rPr>
          <w:rFonts w:ascii="宋体" w:hAnsi="宋体" w:cs="宋体"/>
          <w:color w:val="auto"/>
          <w:sz w:val="21"/>
          <w:szCs w:val="21"/>
        </w:rPr>
        <w:t>最终竣工验收：全部货物安装调试完毕并完成保洁后，</w:t>
      </w:r>
      <w:r>
        <w:rPr>
          <w:rFonts w:hint="eastAsia" w:ascii="宋体" w:hAnsi="宋体" w:cs="宋体"/>
          <w:color w:val="auto"/>
          <w:sz w:val="21"/>
          <w:szCs w:val="21"/>
        </w:rPr>
        <w:t>甲方</w:t>
      </w:r>
      <w:r>
        <w:rPr>
          <w:rFonts w:ascii="宋体" w:hAnsi="宋体" w:cs="宋体"/>
          <w:color w:val="auto"/>
          <w:sz w:val="21"/>
          <w:szCs w:val="21"/>
        </w:rPr>
        <w:t>将组织最终综合验收。验收小组将依据合同、招投标文件、封样样品及国家相关标准，对全部货物的质量、数量、环保性、工艺、功能等进行全面核查。</w:t>
      </w:r>
      <w:r>
        <w:rPr>
          <w:rFonts w:ascii="宋体" w:hAnsi="宋体" w:cs="宋体"/>
          <w:color w:val="auto"/>
          <w:sz w:val="21"/>
          <w:szCs w:val="21"/>
        </w:rPr>
        <w:br w:type="textWrapping"/>
      </w:r>
      <w:r>
        <w:rPr>
          <w:rFonts w:ascii="宋体" w:hAnsi="宋体" w:cs="宋体"/>
          <w:color w:val="auto"/>
          <w:sz w:val="21"/>
          <w:szCs w:val="21"/>
        </w:rPr>
        <w:t xml:space="preserve">   （四）环保抽检：最终验收时，</w:t>
      </w:r>
      <w:r>
        <w:rPr>
          <w:rFonts w:hint="eastAsia" w:ascii="宋体" w:hAnsi="宋体" w:cs="宋体"/>
          <w:color w:val="auto"/>
          <w:sz w:val="21"/>
          <w:szCs w:val="21"/>
        </w:rPr>
        <w:t>甲方</w:t>
      </w:r>
      <w:r>
        <w:rPr>
          <w:rFonts w:ascii="宋体" w:hAnsi="宋体" w:cs="宋体"/>
          <w:color w:val="auto"/>
          <w:sz w:val="21"/>
          <w:szCs w:val="21"/>
        </w:rPr>
        <w:t>有权委托具备资质的第三方检测机构，对现场家具进行随机取样检测（费用由</w:t>
      </w:r>
      <w:r>
        <w:rPr>
          <w:rFonts w:hint="eastAsia" w:ascii="宋体" w:hAnsi="宋体" w:cs="宋体"/>
          <w:color w:val="auto"/>
          <w:sz w:val="21"/>
          <w:szCs w:val="21"/>
        </w:rPr>
        <w:t>乙方</w:t>
      </w:r>
      <w:r>
        <w:rPr>
          <w:rFonts w:ascii="宋体" w:hAnsi="宋体" w:cs="宋体"/>
          <w:color w:val="auto"/>
          <w:sz w:val="21"/>
          <w:szCs w:val="21"/>
        </w:rPr>
        <w:t>承担），检测项目包括甲醛释放量等环保指标，检测结果须符合GB/T 35607-2024标准。</w:t>
      </w:r>
      <w:r>
        <w:rPr>
          <w:rFonts w:hint="eastAsia" w:ascii="宋体" w:hAnsi="宋体" w:cs="宋体"/>
          <w:color w:val="auto"/>
          <w:sz w:val="21"/>
          <w:szCs w:val="21"/>
        </w:rPr>
        <w:t>乙方不配合环保抽检的（包括不予支付检测费用），无法完成竣工验收的责任由乙方自行承担，甲方有权不予支付货物尾款。</w:t>
      </w:r>
    </w:p>
    <w:p w14:paraId="1F31EBB7">
      <w:pPr>
        <w:tabs>
          <w:tab w:val="left" w:pos="588"/>
        </w:tabs>
        <w:ind w:firstLine="482"/>
        <w:rPr>
          <w:rFonts w:ascii="宋体" w:hAnsi="宋体" w:cs="宋体"/>
          <w:b/>
          <w:bCs/>
          <w:color w:val="auto"/>
          <w:szCs w:val="21"/>
        </w:rPr>
      </w:pPr>
      <w:r>
        <w:rPr>
          <w:rFonts w:hint="eastAsia" w:ascii="宋体" w:hAnsi="宋体" w:cs="宋体"/>
          <w:b/>
          <w:bCs/>
          <w:color w:val="auto"/>
          <w:szCs w:val="21"/>
        </w:rPr>
        <w:t>九、验收标准</w:t>
      </w:r>
    </w:p>
    <w:p w14:paraId="592C8A0B">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（一）乙方提供的所有货物和服务，其质量、技术等特征必须符合国家、行业现行的标准及采购文件、甲方要求及用户需求；</w:t>
      </w:r>
    </w:p>
    <w:p w14:paraId="1CB8BB8A">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（二）所有货物必须有相应的详细中文说明书。</w:t>
      </w:r>
    </w:p>
    <w:p w14:paraId="75FF540D">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（三）甲方有权拒绝接受任何不合格的货物和服务，由此产生的费用及相关后果均由乙方自行承担，给甲方造成损失的，乙方应赔偿甲方全部损失。</w:t>
      </w:r>
    </w:p>
    <w:p w14:paraId="5F487C65">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（四）乙方应保证，所提供的本项目的货物、服务或其任何一部分均不会侵犯任何第三方依法享有的专利权、商标权或其他知识产权，且不</w:t>
      </w:r>
      <w:r>
        <w:rPr>
          <w:rFonts w:hint="eastAsia" w:ascii="宋体" w:hAnsi="宋体" w:cs="宋体"/>
          <w:color w:val="auto"/>
          <w:sz w:val="21"/>
          <w:szCs w:val="21"/>
          <w:lang w:val="zh-CN"/>
        </w:rPr>
        <w:t>存在</w:t>
      </w:r>
      <w:r>
        <w:rPr>
          <w:rFonts w:hint="eastAsia" w:ascii="宋体" w:hAnsi="宋体" w:cs="宋体"/>
          <w:color w:val="auto"/>
          <w:sz w:val="21"/>
          <w:szCs w:val="21"/>
        </w:rPr>
        <w:t>任何</w:t>
      </w:r>
      <w:r>
        <w:rPr>
          <w:rFonts w:hint="eastAsia" w:ascii="宋体" w:hAnsi="宋体" w:cs="宋体"/>
          <w:color w:val="auto"/>
          <w:sz w:val="21"/>
          <w:szCs w:val="21"/>
          <w:lang w:val="zh-CN"/>
        </w:rPr>
        <w:t>权利争议（包括但不限于诉讼、仲裁等）</w:t>
      </w:r>
      <w:r>
        <w:rPr>
          <w:rFonts w:hint="eastAsia" w:ascii="宋体" w:hAnsi="宋体" w:cs="宋体"/>
          <w:color w:val="auto"/>
          <w:sz w:val="21"/>
          <w:szCs w:val="21"/>
        </w:rPr>
        <w:t>；如果乙方不拥有相应的知识产权，则须在报价中包括合法获取该知识产权的相关费用，并在投标文件中附有相关证明文件，如第三方提出其专利权、商标权或其他知识产权的侵权之诉或存在任何权利争议（包括但不限于诉讼、仲裁等），则一切法律责任由乙方承担，给甲方造成损失的，乙方应赔偿甲方全部损失。</w:t>
      </w:r>
    </w:p>
    <w:p w14:paraId="7AD90A53">
      <w:pPr>
        <w:pStyle w:val="94"/>
        <w:rPr>
          <w:rFonts w:ascii="宋体" w:hAnsi="宋体" w:cs="宋体"/>
          <w:color w:val="auto"/>
          <w:sz w:val="21"/>
          <w:szCs w:val="21"/>
          <w:lang w:val="zh-CN"/>
        </w:rPr>
      </w:pPr>
      <w:r>
        <w:rPr>
          <w:rFonts w:hint="eastAsia" w:ascii="宋体" w:hAnsi="宋体" w:cs="宋体"/>
          <w:color w:val="auto"/>
          <w:sz w:val="21"/>
          <w:szCs w:val="21"/>
        </w:rPr>
        <w:t>（五）验收按国家有关的规定、规范进行。验收时如发现所交付的货物有短装、次品、损坏或其它不符合本项目规定之</w:t>
      </w:r>
      <w:r>
        <w:rPr>
          <w:rFonts w:hint="eastAsia" w:ascii="宋体" w:hAnsi="宋体" w:cs="宋体"/>
          <w:color w:val="auto"/>
          <w:sz w:val="21"/>
          <w:szCs w:val="21"/>
          <w:lang w:val="zh-CN"/>
        </w:rPr>
        <w:t>情形者，甲方应做出详尽的现场记录，或由甲方和乙方双方签署备忘录。此现场记录或备忘录可用作补充、缺失和更换</w:t>
      </w:r>
      <w:r>
        <w:rPr>
          <w:rFonts w:hint="eastAsia" w:ascii="宋体" w:hAnsi="宋体" w:cs="宋体"/>
          <w:color w:val="auto"/>
          <w:sz w:val="21"/>
          <w:szCs w:val="21"/>
        </w:rPr>
        <w:t>货物</w:t>
      </w:r>
      <w:r>
        <w:rPr>
          <w:rFonts w:hint="eastAsia" w:ascii="宋体" w:hAnsi="宋体" w:cs="宋体"/>
          <w:color w:val="auto"/>
          <w:sz w:val="21"/>
          <w:szCs w:val="21"/>
          <w:lang w:val="zh-CN"/>
        </w:rPr>
        <w:t>的有效证据。由此产生的有关费用及责任由乙方承担，给甲方造成损失的，乙方应赔偿甲方全部损失。</w:t>
      </w:r>
      <w:r>
        <w:rPr>
          <w:rFonts w:hint="eastAsia" w:ascii="宋体" w:hAnsi="宋体" w:cs="宋体"/>
          <w:color w:val="auto"/>
          <w:sz w:val="21"/>
          <w:szCs w:val="21"/>
          <w:lang w:bidi="ar"/>
        </w:rPr>
        <w:t>甲方</w:t>
      </w:r>
      <w:r>
        <w:rPr>
          <w:rFonts w:hint="eastAsia" w:ascii="宋体" w:hAnsi="宋体" w:cs="宋体"/>
          <w:color w:val="auto"/>
          <w:sz w:val="21"/>
          <w:szCs w:val="21"/>
          <w:lang w:eastAsia="zh-Hans" w:bidi="ar"/>
        </w:rPr>
        <w:t>的验收</w:t>
      </w:r>
      <w:r>
        <w:rPr>
          <w:rFonts w:hint="eastAsia" w:ascii="宋体" w:hAnsi="宋体" w:cs="宋体"/>
          <w:color w:val="auto"/>
          <w:sz w:val="21"/>
          <w:szCs w:val="21"/>
          <w:lang w:bidi="ar"/>
        </w:rPr>
        <w:t>并</w:t>
      </w:r>
      <w:r>
        <w:rPr>
          <w:rFonts w:hint="eastAsia" w:ascii="宋体" w:hAnsi="宋体" w:cs="宋体"/>
          <w:color w:val="auto"/>
          <w:sz w:val="21"/>
          <w:szCs w:val="21"/>
          <w:lang w:eastAsia="zh-Hans" w:bidi="ar"/>
        </w:rPr>
        <w:t>不免除乙方对</w:t>
      </w:r>
      <w:r>
        <w:rPr>
          <w:rFonts w:hint="eastAsia" w:ascii="宋体" w:hAnsi="宋体" w:cs="宋体"/>
          <w:color w:val="auto"/>
          <w:sz w:val="21"/>
          <w:szCs w:val="21"/>
          <w:lang w:bidi="ar"/>
        </w:rPr>
        <w:t>货物及服务的</w:t>
      </w:r>
      <w:r>
        <w:rPr>
          <w:rFonts w:hint="eastAsia" w:ascii="宋体" w:hAnsi="宋体" w:cs="宋体"/>
          <w:color w:val="auto"/>
          <w:sz w:val="21"/>
          <w:szCs w:val="21"/>
          <w:lang w:eastAsia="zh-Hans" w:bidi="ar"/>
        </w:rPr>
        <w:t>质量保证</w:t>
      </w:r>
      <w:r>
        <w:rPr>
          <w:rFonts w:hint="eastAsia" w:ascii="宋体" w:hAnsi="宋体" w:cs="宋体"/>
          <w:color w:val="auto"/>
          <w:sz w:val="21"/>
          <w:szCs w:val="21"/>
          <w:lang w:bidi="ar"/>
        </w:rPr>
        <w:t>责任。</w:t>
      </w:r>
    </w:p>
    <w:p w14:paraId="736E17F9">
      <w:pPr>
        <w:tabs>
          <w:tab w:val="left" w:pos="588"/>
        </w:tabs>
        <w:ind w:firstLine="482"/>
        <w:rPr>
          <w:rFonts w:ascii="宋体" w:hAnsi="宋体" w:cs="宋体"/>
          <w:b/>
          <w:bCs/>
          <w:color w:val="auto"/>
          <w:szCs w:val="21"/>
        </w:rPr>
      </w:pPr>
      <w:r>
        <w:rPr>
          <w:rFonts w:hint="eastAsia" w:ascii="宋体" w:hAnsi="宋体" w:cs="宋体"/>
          <w:b/>
          <w:bCs/>
          <w:color w:val="auto"/>
          <w:szCs w:val="21"/>
        </w:rPr>
        <w:t>十、售后服务</w:t>
      </w:r>
    </w:p>
    <w:p w14:paraId="619A952E">
      <w:pPr>
        <w:pStyle w:val="94"/>
        <w:rPr>
          <w:rFonts w:ascii="宋体" w:hAnsi="宋体" w:cs="宋体"/>
          <w:color w:val="auto"/>
          <w:sz w:val="21"/>
          <w:szCs w:val="21"/>
          <w:lang w:val="zh-CN"/>
        </w:rPr>
      </w:pPr>
      <w:r>
        <w:rPr>
          <w:rFonts w:hint="eastAsia" w:ascii="宋体" w:hAnsi="宋体" w:cs="宋体"/>
          <w:color w:val="auto"/>
          <w:sz w:val="21"/>
          <w:szCs w:val="21"/>
          <w:lang w:val="zh-CN"/>
        </w:rPr>
        <w:t>（一）在保修期内，如货物非因甲方原因而出现的质量问题由乙方负责保修、包换或包退，并承担修理、调换或退货的实际费用。乙方不能修复、调换或不能退货的，应退回相应货款，并承担相应的违约责任。</w:t>
      </w:r>
      <w:r>
        <w:rPr>
          <w:rFonts w:ascii="宋体" w:hAnsi="宋体" w:cs="宋体"/>
          <w:color w:val="auto"/>
          <w:sz w:val="21"/>
          <w:szCs w:val="21"/>
          <w:lang w:val="zh-CN"/>
        </w:rPr>
        <w:t xml:space="preserve"> </w:t>
      </w:r>
    </w:p>
    <w:p w14:paraId="0259EAF1">
      <w:pPr>
        <w:pStyle w:val="94"/>
        <w:rPr>
          <w:rFonts w:ascii="宋体" w:hAnsi="宋体" w:cs="宋体"/>
          <w:color w:val="auto"/>
          <w:sz w:val="21"/>
          <w:szCs w:val="21"/>
          <w:lang w:val="zh-CN"/>
        </w:rPr>
      </w:pPr>
      <w:r>
        <w:rPr>
          <w:rFonts w:hint="eastAsia" w:ascii="宋体" w:hAnsi="宋体" w:cs="宋体"/>
          <w:color w:val="auto"/>
          <w:sz w:val="21"/>
          <w:szCs w:val="21"/>
          <w:lang w:val="zh-CN"/>
        </w:rPr>
        <w:t>（二）提供</w:t>
      </w:r>
      <w:r>
        <w:rPr>
          <w:rFonts w:ascii="宋体" w:hAnsi="宋体" w:cs="宋体"/>
          <w:color w:val="auto"/>
          <w:sz w:val="21"/>
          <w:szCs w:val="21"/>
          <w:lang w:val="zh-CN"/>
        </w:rPr>
        <w:t xml:space="preserve"> 7*24 </w:t>
      </w:r>
      <w:r>
        <w:rPr>
          <w:rFonts w:hint="eastAsia" w:ascii="宋体" w:hAnsi="宋体" w:cs="宋体"/>
          <w:color w:val="auto"/>
          <w:sz w:val="21"/>
          <w:szCs w:val="21"/>
          <w:lang w:val="zh-CN"/>
        </w:rPr>
        <w:t>小时高效服务响应与技术支持。在保修服务期内，乙方应保证在接到故障电话后</w:t>
      </w:r>
      <w:r>
        <w:rPr>
          <w:rFonts w:ascii="宋体" w:hAnsi="宋体" w:cs="宋体"/>
          <w:color w:val="auto"/>
          <w:sz w:val="21"/>
          <w:szCs w:val="21"/>
          <w:lang w:val="zh-CN"/>
        </w:rPr>
        <w:t xml:space="preserve"> 4 </w:t>
      </w:r>
      <w:r>
        <w:rPr>
          <w:rFonts w:hint="eastAsia" w:ascii="宋体" w:hAnsi="宋体" w:cs="宋体"/>
          <w:color w:val="auto"/>
          <w:sz w:val="21"/>
          <w:szCs w:val="21"/>
          <w:lang w:val="zh-CN"/>
        </w:rPr>
        <w:t>小时响应用户要求、</w:t>
      </w:r>
      <w:r>
        <w:rPr>
          <w:rFonts w:ascii="宋体" w:hAnsi="宋体" w:cs="宋体"/>
          <w:color w:val="auto"/>
          <w:sz w:val="21"/>
          <w:szCs w:val="21"/>
          <w:lang w:val="zh-CN"/>
        </w:rPr>
        <w:t xml:space="preserve">24 </w:t>
      </w:r>
      <w:r>
        <w:rPr>
          <w:rFonts w:hint="eastAsia" w:ascii="宋体" w:hAnsi="宋体" w:cs="宋体"/>
          <w:color w:val="auto"/>
          <w:sz w:val="21"/>
          <w:szCs w:val="21"/>
          <w:lang w:val="zh-CN"/>
        </w:rPr>
        <w:t>小时内派员上门现场维护并在</w:t>
      </w:r>
      <w:r>
        <w:rPr>
          <w:rFonts w:ascii="宋体" w:hAnsi="宋体" w:cs="宋体"/>
          <w:color w:val="auto"/>
          <w:sz w:val="21"/>
          <w:szCs w:val="21"/>
          <w:lang w:val="zh-CN"/>
        </w:rPr>
        <w:t xml:space="preserve"> 24小时内排除故障修复使用，如在规定时间内不能修复解决，则提供相同功能档次的货物予乙方作为代替使用，</w:t>
      </w:r>
      <w:r>
        <w:rPr>
          <w:rFonts w:hint="eastAsia" w:ascii="宋体" w:hAnsi="宋体" w:cs="宋体"/>
          <w:color w:val="auto"/>
          <w:sz w:val="21"/>
          <w:szCs w:val="21"/>
          <w:lang w:val="zh-CN"/>
        </w:rPr>
        <w:t xml:space="preserve">确保货物的正常运行和使用。保修期内乙方对所供货物实行包修、包换、包退、包维护保养的上门服务。（费用包含在合同价中） </w:t>
      </w:r>
    </w:p>
    <w:p w14:paraId="4E96E23D">
      <w:pPr>
        <w:pStyle w:val="94"/>
        <w:rPr>
          <w:rFonts w:ascii="宋体" w:hAnsi="宋体" w:cs="宋体"/>
          <w:color w:val="auto"/>
          <w:sz w:val="21"/>
          <w:szCs w:val="21"/>
          <w:lang w:val="zh-CN"/>
        </w:rPr>
      </w:pPr>
      <w:r>
        <w:rPr>
          <w:rFonts w:hint="eastAsia" w:ascii="宋体" w:hAnsi="宋体" w:cs="宋体"/>
          <w:color w:val="auto"/>
          <w:sz w:val="21"/>
          <w:szCs w:val="21"/>
          <w:lang w:val="zh-CN"/>
        </w:rPr>
        <w:t>（三）所有货物保修服务方式均为乙方上门服务，即由乙方派员到货物使用现场维修，由此产生的一切费用均由乙方承担。</w:t>
      </w:r>
    </w:p>
    <w:p w14:paraId="0D720AF8">
      <w:pPr>
        <w:pStyle w:val="94"/>
        <w:rPr>
          <w:rFonts w:ascii="宋体" w:hAnsi="宋体" w:cs="宋体"/>
          <w:b/>
          <w:bCs/>
          <w:color w:val="auto"/>
          <w:sz w:val="21"/>
          <w:szCs w:val="21"/>
          <w:lang w:val="zh-CN"/>
        </w:rPr>
      </w:pPr>
      <w:r>
        <w:rPr>
          <w:rFonts w:hint="eastAsia" w:ascii="宋体" w:hAnsi="宋体" w:cs="宋体"/>
          <w:b/>
          <w:bCs/>
          <w:color w:val="auto"/>
          <w:sz w:val="21"/>
          <w:szCs w:val="21"/>
          <w:lang w:val="zh-CN"/>
        </w:rPr>
        <w:t>十一、知识产权保护与保密义务</w:t>
      </w:r>
    </w:p>
    <w:p w14:paraId="6B1B772D">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lang w:val="zh-CN"/>
        </w:rPr>
        <w:t>（一）乙方保证根据全部提供的货物及服务没有任何权利瑕疵，没有侵犯任何第三方权利，甲方在使用该货物或服务的任何一部分时，免受任何第三方提出的侵犯其权利等任何权利主张。如果任何人对甲方使用该货物主张权利，由乙方负责处理一切纠纷及相关事宜。由此给甲方造成的损失，由乙方承担，其承担范围包括但不限于：</w:t>
      </w:r>
      <w:r>
        <w:rPr>
          <w:rFonts w:hint="eastAsia" w:ascii="宋体" w:hAnsi="宋体" w:cs="宋体"/>
          <w:color w:val="auto"/>
          <w:sz w:val="21"/>
          <w:szCs w:val="21"/>
          <w:lang w:val="zh-CN" w:eastAsia="zh-TW"/>
        </w:rPr>
        <w:t>经营损失、预期收益损失、商誉损失、止损降损开支、</w:t>
      </w:r>
      <w:r>
        <w:rPr>
          <w:rFonts w:hint="eastAsia" w:ascii="宋体" w:hAnsi="宋体" w:cs="宋体"/>
          <w:color w:val="auto"/>
          <w:sz w:val="21"/>
          <w:szCs w:val="21"/>
          <w:lang w:val="zh-CN"/>
        </w:rPr>
        <w:t>律师费、赔偿费、诉讼</w:t>
      </w:r>
      <w:r>
        <w:rPr>
          <w:rFonts w:hint="eastAsia" w:ascii="宋体" w:hAnsi="宋体" w:cs="宋体"/>
          <w:color w:val="auto"/>
          <w:sz w:val="21"/>
          <w:szCs w:val="21"/>
        </w:rPr>
        <w:t>费或仲裁费和与诉讼或仲裁相关的费用、</w:t>
      </w:r>
      <w:r>
        <w:rPr>
          <w:rFonts w:hint="eastAsia" w:ascii="宋体" w:hAnsi="宋体" w:cs="宋体"/>
          <w:color w:val="auto"/>
          <w:sz w:val="21"/>
          <w:szCs w:val="21"/>
          <w:lang w:val="zh-CN" w:eastAsia="zh-TW"/>
        </w:rPr>
        <w:t>对外支付的补偿与赔偿</w:t>
      </w:r>
      <w:r>
        <w:rPr>
          <w:rFonts w:hint="eastAsia" w:ascii="宋体" w:hAnsi="宋体" w:cs="宋体"/>
          <w:color w:val="auto"/>
          <w:sz w:val="21"/>
          <w:szCs w:val="21"/>
        </w:rPr>
        <w:t>等。</w:t>
      </w:r>
    </w:p>
    <w:p w14:paraId="17B7E433">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二）乙方应保守在缔结和履行合同过程中获知的甲方保密信息，除甲乙双方履行合同义务的必要或有法律、法规规定应披露的之外，未经甲方书面同意，乙方不得以任何方式向第三人披露和不正当使用，否则，应当赔偿因泄露保密信息给甲方造成的全部损失并承担违约责任。本协议的无效、被撤销、解除、变更或终止等均不影响本条的效力。</w:t>
      </w:r>
    </w:p>
    <w:p w14:paraId="04BA2CE8">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（三）如知悉与本项目相关的第三方有侵害甲方知识产权及保密信息的行为，乙方有义务提供线索并配合甲方进行调查取证，协助工商、司法机关查处侵权行为。</w:t>
      </w:r>
    </w:p>
    <w:p w14:paraId="7559727B">
      <w:pPr>
        <w:tabs>
          <w:tab w:val="left" w:pos="588"/>
        </w:tabs>
        <w:ind w:firstLine="482"/>
        <w:rPr>
          <w:rFonts w:ascii="宋体" w:hAnsi="宋体" w:cs="宋体"/>
          <w:b/>
          <w:color w:val="auto"/>
          <w:szCs w:val="21"/>
        </w:rPr>
      </w:pPr>
      <w:r>
        <w:rPr>
          <w:rFonts w:hint="eastAsia" w:ascii="宋体" w:hAnsi="宋体" w:cs="宋体"/>
          <w:b/>
          <w:color w:val="auto"/>
          <w:szCs w:val="21"/>
        </w:rPr>
        <w:t>十二、违约责任</w:t>
      </w:r>
    </w:p>
    <w:p w14:paraId="0389CD5A">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（一）如果乙方提供的货物、服务不符合合同约定要求，甲方有权要求乙方于【</w:t>
      </w:r>
      <w:r>
        <w:rPr>
          <w:rFonts w:ascii="宋体" w:hAnsi="宋体" w:cs="宋体"/>
          <w:color w:val="auto"/>
          <w:sz w:val="21"/>
          <w:szCs w:val="21"/>
        </w:rPr>
        <w:t>5</w:t>
      </w:r>
      <w:r>
        <w:rPr>
          <w:rFonts w:hint="eastAsia" w:ascii="宋体" w:hAnsi="宋体" w:cs="宋体"/>
          <w:color w:val="auto"/>
          <w:sz w:val="21"/>
          <w:szCs w:val="21"/>
        </w:rPr>
        <w:t>】日内无条件换货或退货，如乙方逾期未换货或退货的，甲方有权拒付合同款项、解除或终止本合同，并将乙方列入甲方采购禁入名单。</w:t>
      </w:r>
    </w:p>
    <w:p w14:paraId="5897A220">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（二）乙方未按合同约定的时间交付货物或提供服务的，每逾期一日，乙方应按本合同总金额的【</w:t>
      </w:r>
      <w:r>
        <w:rPr>
          <w:rFonts w:ascii="宋体" w:hAnsi="宋体" w:cs="宋体"/>
          <w:color w:val="auto"/>
          <w:sz w:val="21"/>
          <w:szCs w:val="21"/>
        </w:rPr>
        <w:t>0.05】%向乙方支付违约金，逾期超过【</w:t>
      </w:r>
      <w:r>
        <w:rPr>
          <w:rFonts w:hint="eastAsia" w:ascii="宋体" w:hAnsi="宋体" w:cs="宋体"/>
          <w:color w:val="auto"/>
          <w:sz w:val="21"/>
          <w:szCs w:val="21"/>
        </w:rPr>
        <w:t>1</w:t>
      </w:r>
      <w:r>
        <w:rPr>
          <w:rFonts w:ascii="宋体" w:hAnsi="宋体" w:cs="宋体"/>
          <w:color w:val="auto"/>
          <w:sz w:val="21"/>
          <w:szCs w:val="21"/>
        </w:rPr>
        <w:t>5】日的，甲方有权解除合同并不予支付全部合同价款，乙方应按合同总金额的【10</w:t>
      </w:r>
      <w:r>
        <w:rPr>
          <w:rFonts w:hint="eastAsia" w:ascii="宋体" w:hAnsi="宋体" w:cs="宋体"/>
          <w:color w:val="auto"/>
          <w:sz w:val="21"/>
          <w:szCs w:val="21"/>
        </w:rPr>
        <w:t>】</w:t>
      </w:r>
      <w:r>
        <w:rPr>
          <w:rFonts w:ascii="宋体" w:hAnsi="宋体" w:cs="宋体"/>
          <w:color w:val="auto"/>
          <w:sz w:val="21"/>
          <w:szCs w:val="21"/>
        </w:rPr>
        <w:t>%支付违约金并赔偿甲方全部损失，同时甲方有权追究乙方相关法律责任</w:t>
      </w:r>
      <w:r>
        <w:rPr>
          <w:rFonts w:hint="eastAsia" w:ascii="宋体" w:hAnsi="宋体" w:cs="宋体"/>
          <w:color w:val="auto"/>
          <w:sz w:val="21"/>
          <w:szCs w:val="21"/>
        </w:rPr>
        <w:t>。</w:t>
      </w:r>
    </w:p>
    <w:p w14:paraId="4C339AD0">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（三）</w:t>
      </w:r>
      <w:r>
        <w:rPr>
          <w:rFonts w:hint="eastAsia"/>
          <w:color w:val="auto"/>
          <w:sz w:val="21"/>
          <w:szCs w:val="21"/>
        </w:rPr>
        <w:t>甲方未按合同约定的时间支付乙方款项的，经乙方书面催告仍未在合理期限内支付的，每逾期一日，甲方应按本合同总金额的【</w:t>
      </w:r>
      <w:r>
        <w:rPr>
          <w:color w:val="auto"/>
          <w:sz w:val="21"/>
          <w:szCs w:val="21"/>
        </w:rPr>
        <w:t>0.05%</w:t>
      </w:r>
      <w:r>
        <w:rPr>
          <w:rFonts w:hint="eastAsia"/>
          <w:color w:val="auto"/>
          <w:sz w:val="21"/>
          <w:szCs w:val="21"/>
        </w:rPr>
        <w:t>】向乙方支付违约金，逾期超过【1</w:t>
      </w:r>
      <w:r>
        <w:rPr>
          <w:color w:val="auto"/>
          <w:sz w:val="21"/>
          <w:szCs w:val="21"/>
        </w:rPr>
        <w:t>5</w:t>
      </w:r>
      <w:r>
        <w:rPr>
          <w:rFonts w:hint="eastAsia"/>
          <w:color w:val="auto"/>
          <w:sz w:val="21"/>
          <w:szCs w:val="21"/>
        </w:rPr>
        <w:t>】日的，乙方有权解除合同，甲方应按合同总金额的【</w:t>
      </w:r>
      <w:r>
        <w:rPr>
          <w:color w:val="auto"/>
          <w:sz w:val="21"/>
          <w:szCs w:val="21"/>
        </w:rPr>
        <w:t>10</w:t>
      </w:r>
      <w:r>
        <w:rPr>
          <w:rFonts w:hint="eastAsia"/>
          <w:color w:val="auto"/>
          <w:sz w:val="21"/>
          <w:szCs w:val="21"/>
        </w:rPr>
        <w:t>】</w:t>
      </w:r>
      <w:r>
        <w:rPr>
          <w:color w:val="auto"/>
          <w:sz w:val="21"/>
          <w:szCs w:val="21"/>
        </w:rPr>
        <w:t>%</w:t>
      </w:r>
      <w:r>
        <w:rPr>
          <w:rFonts w:hint="eastAsia"/>
          <w:color w:val="auto"/>
          <w:sz w:val="21"/>
          <w:szCs w:val="21"/>
        </w:rPr>
        <w:t>支付违约金并赔偿乙方全部损失，同时乙方有权追究甲方相关法律责任</w:t>
      </w:r>
      <w:r>
        <w:rPr>
          <w:rFonts w:hint="eastAsia" w:ascii="宋体" w:hAnsi="宋体" w:cs="宋体"/>
          <w:color w:val="auto"/>
          <w:sz w:val="21"/>
          <w:szCs w:val="21"/>
        </w:rPr>
        <w:t>。</w:t>
      </w:r>
    </w:p>
    <w:p w14:paraId="72C6FAB2">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（四）经过甲方验收，乙方交付的产品数量、包装、规格、质量、随附单证等与合同约定不一致的，视为交付不合格，甲方有权采取下列任何一种措施追究乙方违约责任：</w:t>
      </w:r>
    </w:p>
    <w:p w14:paraId="568C7666">
      <w:pPr>
        <w:pStyle w:val="94"/>
        <w:snapToGrid/>
        <w:spacing w:line="360" w:lineRule="auto"/>
        <w:ind w:right="29"/>
        <w:rPr>
          <w:rFonts w:ascii="宋体" w:hAnsi="宋体" w:cs="宋体"/>
          <w:color w:val="auto"/>
          <w:sz w:val="21"/>
          <w:szCs w:val="21"/>
        </w:rPr>
      </w:pPr>
      <w:r>
        <w:rPr>
          <w:rFonts w:ascii="宋体" w:hAnsi="宋体" w:cs="宋体"/>
          <w:color w:val="auto"/>
          <w:sz w:val="21"/>
          <w:szCs w:val="21"/>
        </w:rPr>
        <w:t>1</w:t>
      </w:r>
      <w:r>
        <w:rPr>
          <w:rFonts w:hint="eastAsia" w:ascii="宋体" w:hAnsi="宋体" w:cs="宋体"/>
          <w:color w:val="auto"/>
          <w:sz w:val="21"/>
          <w:szCs w:val="21"/>
        </w:rPr>
        <w:t>、</w:t>
      </w:r>
      <w:r>
        <w:rPr>
          <w:rFonts w:ascii="宋体" w:hAnsi="宋体" w:cs="宋体"/>
          <w:color w:val="auto"/>
          <w:sz w:val="21"/>
          <w:szCs w:val="21"/>
        </w:rPr>
        <w:t>拒绝接受不合格产品，要求乙方在</w:t>
      </w:r>
      <w:r>
        <w:rPr>
          <w:rFonts w:ascii="宋体" w:hAnsi="宋体" w:cs="宋体"/>
          <w:color w:val="auto"/>
          <w:sz w:val="21"/>
          <w:szCs w:val="21"/>
          <w:u w:val="single"/>
        </w:rPr>
        <w:t>5个</w:t>
      </w:r>
      <w:r>
        <w:rPr>
          <w:rFonts w:hint="eastAsia" w:ascii="宋体" w:hAnsi="宋体" w:cs="宋体"/>
          <w:color w:val="auto"/>
          <w:sz w:val="21"/>
          <w:szCs w:val="21"/>
          <w:u w:val="single"/>
        </w:rPr>
        <w:t>日历天</w:t>
      </w:r>
      <w:r>
        <w:rPr>
          <w:rFonts w:ascii="宋体" w:hAnsi="宋体" w:cs="宋体"/>
          <w:color w:val="auto"/>
          <w:sz w:val="21"/>
          <w:szCs w:val="21"/>
        </w:rPr>
        <w:t>内无条件更换、补足或修理、重做，由此产生的</w:t>
      </w:r>
      <w:r>
        <w:rPr>
          <w:rFonts w:hint="eastAsia" w:ascii="宋体" w:hAnsi="宋体" w:cs="宋体"/>
          <w:color w:val="auto"/>
          <w:sz w:val="21"/>
          <w:szCs w:val="21"/>
        </w:rPr>
        <w:t>全部</w:t>
      </w:r>
      <w:r>
        <w:rPr>
          <w:rFonts w:ascii="宋体" w:hAnsi="宋体" w:cs="宋体"/>
          <w:color w:val="auto"/>
          <w:sz w:val="21"/>
          <w:szCs w:val="21"/>
        </w:rPr>
        <w:t>费用</w:t>
      </w:r>
      <w:r>
        <w:rPr>
          <w:rFonts w:hint="eastAsia" w:ascii="宋体" w:hAnsi="宋体" w:cs="宋体"/>
          <w:color w:val="auto"/>
          <w:sz w:val="21"/>
          <w:szCs w:val="21"/>
        </w:rPr>
        <w:t>均</w:t>
      </w:r>
      <w:r>
        <w:rPr>
          <w:rFonts w:ascii="宋体" w:hAnsi="宋体" w:cs="宋体"/>
          <w:color w:val="auto"/>
          <w:sz w:val="21"/>
          <w:szCs w:val="21"/>
        </w:rPr>
        <w:t>由乙方承担，因此延误交货期的乙方承担相应的违约责任，逾期</w:t>
      </w:r>
      <w:r>
        <w:rPr>
          <w:rFonts w:ascii="宋体" w:hAnsi="宋体" w:cs="宋体"/>
          <w:color w:val="auto"/>
          <w:sz w:val="21"/>
          <w:szCs w:val="21"/>
          <w:u w:val="single"/>
        </w:rPr>
        <w:t>10日</w:t>
      </w:r>
      <w:r>
        <w:rPr>
          <w:rFonts w:ascii="宋体" w:hAnsi="宋体" w:cs="宋体"/>
          <w:color w:val="auto"/>
          <w:sz w:val="21"/>
          <w:szCs w:val="21"/>
        </w:rPr>
        <w:t>仍未更换、补足或更换、补足后仍不符合合同约定的，甲方有权选择单方解除本合同或部分解除本合同；</w:t>
      </w:r>
    </w:p>
    <w:p w14:paraId="65A70B15">
      <w:pPr>
        <w:pStyle w:val="94"/>
        <w:snapToGrid/>
        <w:spacing w:line="360" w:lineRule="auto"/>
        <w:ind w:right="29"/>
        <w:rPr>
          <w:rFonts w:ascii="宋体" w:hAnsi="宋体" w:cs="宋体"/>
          <w:color w:val="auto"/>
          <w:sz w:val="21"/>
          <w:szCs w:val="21"/>
        </w:rPr>
      </w:pPr>
      <w:r>
        <w:rPr>
          <w:rFonts w:ascii="宋体" w:hAnsi="宋体" w:cs="宋体"/>
          <w:color w:val="auto"/>
          <w:sz w:val="21"/>
          <w:szCs w:val="21"/>
        </w:rPr>
        <w:t>2、已经接收的产品要求乙方在</w:t>
      </w:r>
      <w:r>
        <w:rPr>
          <w:rFonts w:ascii="宋体" w:hAnsi="宋体" w:cs="宋体"/>
          <w:color w:val="auto"/>
          <w:sz w:val="21"/>
          <w:szCs w:val="21"/>
          <w:u w:val="single"/>
        </w:rPr>
        <w:t>5个日历天</w:t>
      </w:r>
      <w:r>
        <w:rPr>
          <w:rFonts w:ascii="宋体" w:hAnsi="宋体" w:cs="宋体"/>
          <w:color w:val="auto"/>
          <w:sz w:val="21"/>
          <w:szCs w:val="21"/>
        </w:rPr>
        <w:t>内无条件退货并退还甲方已支付的全部价款；</w:t>
      </w:r>
    </w:p>
    <w:p w14:paraId="54611146">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w:t>
      </w:r>
      <w:r>
        <w:rPr>
          <w:rFonts w:ascii="宋体" w:hAnsi="宋体" w:cs="宋体"/>
          <w:color w:val="auto"/>
          <w:sz w:val="21"/>
          <w:szCs w:val="21"/>
        </w:rPr>
        <w:t>3）无法退货的，乙方应当向甲方支付本合同总金额的</w:t>
      </w:r>
      <w:r>
        <w:rPr>
          <w:rFonts w:ascii="宋体" w:hAnsi="宋体" w:cs="宋体"/>
          <w:color w:val="auto"/>
          <w:sz w:val="21"/>
          <w:szCs w:val="21"/>
          <w:u w:val="single"/>
        </w:rPr>
        <w:t>20%</w:t>
      </w:r>
      <w:r>
        <w:rPr>
          <w:rFonts w:ascii="宋体" w:hAnsi="宋体" w:cs="宋体"/>
          <w:color w:val="auto"/>
          <w:sz w:val="21"/>
          <w:szCs w:val="21"/>
        </w:rPr>
        <w:t>作为违约金</w:t>
      </w:r>
      <w:r>
        <w:rPr>
          <w:rFonts w:hint="eastAsia" w:ascii="宋体" w:hAnsi="宋体" w:cs="宋体"/>
          <w:color w:val="auto"/>
          <w:sz w:val="21"/>
          <w:szCs w:val="21"/>
        </w:rPr>
        <w:t>并赔偿甲方全部损失</w:t>
      </w:r>
      <w:r>
        <w:rPr>
          <w:rFonts w:ascii="宋体" w:hAnsi="宋体" w:cs="宋体"/>
          <w:color w:val="auto"/>
          <w:sz w:val="21"/>
          <w:szCs w:val="21"/>
        </w:rPr>
        <w:t>。</w:t>
      </w:r>
    </w:p>
    <w:p w14:paraId="2AE092CE">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（五）本合同签订及履行过程中，未经甲方书面同意，乙方不得将本合同的权利义务以任何方式转让给第三人，否则甲方有权选择单方解除本合同并要求乙方支付合同总金额</w:t>
      </w:r>
      <w:r>
        <w:rPr>
          <w:rFonts w:ascii="宋体" w:hAnsi="宋体" w:cs="宋体"/>
          <w:color w:val="auto"/>
          <w:sz w:val="21"/>
          <w:szCs w:val="21"/>
          <w:u w:val="single"/>
        </w:rPr>
        <w:t>20%</w:t>
      </w:r>
      <w:r>
        <w:rPr>
          <w:rFonts w:ascii="宋体" w:hAnsi="宋体" w:cs="宋体"/>
          <w:color w:val="auto"/>
          <w:sz w:val="21"/>
          <w:szCs w:val="21"/>
        </w:rPr>
        <w:t>的违约金</w:t>
      </w:r>
      <w:r>
        <w:rPr>
          <w:rFonts w:hint="eastAsia" w:ascii="宋体" w:hAnsi="宋体" w:cs="宋体"/>
          <w:color w:val="auto"/>
          <w:sz w:val="21"/>
          <w:szCs w:val="21"/>
        </w:rPr>
        <w:t>及赔偿甲方全部损失</w:t>
      </w:r>
      <w:r>
        <w:rPr>
          <w:rFonts w:ascii="宋体" w:hAnsi="宋体" w:cs="宋体"/>
          <w:color w:val="auto"/>
          <w:sz w:val="21"/>
          <w:szCs w:val="21"/>
        </w:rPr>
        <w:t>。</w:t>
      </w:r>
    </w:p>
    <w:p w14:paraId="046CC3A7">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六）乙方违反合同的相关规定未完全履行本合同约定的义务或或因乙方原因，给甲方造成损失的，应当赔偿给甲方造成的全部损失，包括但不限于直接损失、预期利益损失、甲方向第三人支付的违约金、赔偿金及甲方为索赔支出的诉讼费、律师费、公证费、保全费、担保费、鉴定费、评估费等全部费用。</w:t>
      </w:r>
    </w:p>
    <w:p w14:paraId="5B9A96D6">
      <w:pPr>
        <w:pStyle w:val="94"/>
        <w:snapToGrid/>
        <w:ind w:right="29"/>
        <w:rPr>
          <w:rFonts w:ascii="宋体" w:hAnsi="宋体" w:cs="宋体"/>
          <w:color w:val="auto"/>
          <w:sz w:val="21"/>
          <w:szCs w:val="21"/>
        </w:rPr>
      </w:pPr>
      <w:r>
        <w:rPr>
          <w:rFonts w:hint="eastAsia" w:ascii="宋体" w:hAnsi="宋体" w:cs="宋体"/>
          <w:color w:val="auto"/>
          <w:sz w:val="21"/>
          <w:szCs w:val="21"/>
        </w:rPr>
        <w:t>（七）如甲方继续履行合同的，仍有权要求乙方承担违约赔偿责任。</w:t>
      </w:r>
    </w:p>
    <w:p w14:paraId="54998049">
      <w:pPr>
        <w:pStyle w:val="94"/>
        <w:ind w:right="29"/>
        <w:rPr>
          <w:color w:val="auto"/>
        </w:rPr>
      </w:pPr>
      <w:r>
        <w:rPr>
          <w:rFonts w:hint="eastAsia" w:ascii="宋体" w:hAnsi="宋体" w:cs="宋体"/>
          <w:color w:val="auto"/>
          <w:sz w:val="21"/>
          <w:szCs w:val="21"/>
        </w:rPr>
        <w:t>（八）对于乙方因履行本合同应向甲方支付的违约金、赔偿损失、其他费用（如有）等费用，甲方均有权从未予支付的费用（包括但不限于质保金）中直接扣除。</w:t>
      </w:r>
    </w:p>
    <w:p w14:paraId="1FDB439E">
      <w:pPr>
        <w:tabs>
          <w:tab w:val="left" w:pos="588"/>
        </w:tabs>
        <w:ind w:firstLine="482"/>
        <w:rPr>
          <w:rFonts w:ascii="宋体" w:hAnsi="宋体" w:cs="宋体"/>
          <w:b/>
          <w:color w:val="auto"/>
          <w:szCs w:val="21"/>
        </w:rPr>
      </w:pPr>
      <w:r>
        <w:rPr>
          <w:rFonts w:hint="eastAsia" w:ascii="宋体" w:hAnsi="宋体" w:cs="宋体"/>
          <w:b/>
          <w:color w:val="auto"/>
          <w:szCs w:val="21"/>
        </w:rPr>
        <w:t>十三、协议争议的解决</w:t>
      </w:r>
    </w:p>
    <w:p w14:paraId="39BDC8BC">
      <w:pPr>
        <w:pStyle w:val="94"/>
        <w:spacing w:line="360" w:lineRule="auto"/>
        <w:ind w:left="821" w:right="29" w:firstLine="0"/>
        <w:rPr>
          <w:rFonts w:ascii="宋体" w:hAnsi="宋体" w:cs="宋体"/>
          <w:color w:val="auto"/>
          <w:kern w:val="0"/>
          <w:sz w:val="21"/>
          <w:szCs w:val="21"/>
        </w:rPr>
      </w:pPr>
      <w:r>
        <w:rPr>
          <w:rFonts w:hint="eastAsia" w:ascii="宋体" w:hAnsi="宋体" w:cs="宋体"/>
          <w:color w:val="auto"/>
          <w:kern w:val="0"/>
          <w:sz w:val="21"/>
          <w:szCs w:val="21"/>
        </w:rPr>
        <w:t>本协议履行中发生争议，可由双方协商解决，协商不成，可按以下第</w:t>
      </w:r>
      <w:r>
        <w:rPr>
          <w:rFonts w:hint="eastAsia" w:ascii="宋体" w:hAnsi="宋体" w:cs="宋体"/>
          <w:color w:val="auto"/>
          <w:kern w:val="0"/>
          <w:sz w:val="21"/>
          <w:szCs w:val="21"/>
          <w:u w:val="single"/>
        </w:rPr>
        <w:t>（二）</w:t>
      </w:r>
      <w:r>
        <w:rPr>
          <w:rFonts w:hint="eastAsia" w:ascii="宋体" w:hAnsi="宋体" w:cs="宋体"/>
          <w:color w:val="auto"/>
          <w:kern w:val="0"/>
          <w:sz w:val="21"/>
          <w:szCs w:val="21"/>
        </w:rPr>
        <w:t>种方式解决：</w:t>
      </w:r>
    </w:p>
    <w:p w14:paraId="40CAA0F3">
      <w:pPr>
        <w:pStyle w:val="94"/>
        <w:spacing w:line="360" w:lineRule="auto"/>
        <w:ind w:right="29" w:firstLine="420" w:firstLineChars="200"/>
        <w:rPr>
          <w:rFonts w:ascii="宋体" w:hAnsi="宋体" w:cs="宋体"/>
          <w:color w:val="auto"/>
          <w:kern w:val="0"/>
          <w:sz w:val="21"/>
          <w:szCs w:val="21"/>
        </w:rPr>
      </w:pPr>
      <w:r>
        <w:rPr>
          <w:rFonts w:hint="eastAsia" w:ascii="宋体" w:hAnsi="宋体" w:cs="宋体"/>
          <w:color w:val="auto"/>
          <w:kern w:val="0"/>
          <w:sz w:val="21"/>
          <w:szCs w:val="21"/>
        </w:rPr>
        <w:t>（一）仲裁。提交</w:t>
      </w:r>
      <w:r>
        <w:rPr>
          <w:rFonts w:ascii="宋体" w:hAnsi="宋体" w:cs="宋体"/>
          <w:color w:val="auto"/>
          <w:kern w:val="0"/>
          <w:sz w:val="21"/>
          <w:szCs w:val="21"/>
          <w:u w:val="single"/>
        </w:rPr>
        <w:t xml:space="preserve">           </w:t>
      </w:r>
      <w:r>
        <w:rPr>
          <w:rFonts w:hint="eastAsia" w:ascii="宋体" w:hAnsi="宋体" w:cs="宋体"/>
          <w:color w:val="auto"/>
          <w:kern w:val="0"/>
          <w:sz w:val="21"/>
          <w:szCs w:val="21"/>
        </w:rPr>
        <w:t>（仲裁机构全称）按其仲裁规则进行仲裁。</w:t>
      </w:r>
    </w:p>
    <w:p w14:paraId="388D5D26">
      <w:pPr>
        <w:pStyle w:val="94"/>
        <w:spacing w:line="360" w:lineRule="auto"/>
        <w:ind w:right="29" w:firstLine="420" w:firstLineChars="200"/>
        <w:rPr>
          <w:rFonts w:ascii="宋体" w:hAnsi="宋体" w:cs="宋体"/>
          <w:color w:val="auto"/>
          <w:kern w:val="0"/>
          <w:sz w:val="21"/>
          <w:szCs w:val="21"/>
        </w:rPr>
      </w:pPr>
      <w:r>
        <w:rPr>
          <w:rFonts w:hint="eastAsia" w:ascii="宋体" w:hAnsi="宋体" w:cs="宋体"/>
          <w:color w:val="auto"/>
          <w:kern w:val="0"/>
          <w:sz w:val="21"/>
          <w:szCs w:val="21"/>
        </w:rPr>
        <w:t>（二）诉讼。由</w:t>
      </w:r>
      <w:r>
        <w:rPr>
          <w:rFonts w:hint="eastAsia" w:ascii="宋体" w:hAnsi="宋体" w:cs="宋体"/>
          <w:color w:val="auto"/>
          <w:kern w:val="0"/>
          <w:sz w:val="21"/>
          <w:szCs w:val="21"/>
          <w:u w:val="single"/>
        </w:rPr>
        <w:t>甲方所在</w:t>
      </w:r>
      <w:r>
        <w:rPr>
          <w:rFonts w:hint="eastAsia" w:ascii="宋体" w:hAnsi="宋体" w:cs="宋体"/>
          <w:color w:val="auto"/>
          <w:kern w:val="0"/>
          <w:sz w:val="21"/>
          <w:szCs w:val="21"/>
        </w:rPr>
        <w:t>地人民法院管辖。</w:t>
      </w:r>
    </w:p>
    <w:p w14:paraId="223B509A">
      <w:pPr>
        <w:pStyle w:val="94"/>
        <w:spacing w:line="360" w:lineRule="auto"/>
        <w:ind w:right="29" w:firstLine="978" w:firstLineChars="466"/>
        <w:rPr>
          <w:rFonts w:ascii="宋体" w:hAnsi="宋体" w:cs="宋体"/>
          <w:color w:val="auto"/>
          <w:kern w:val="0"/>
          <w:sz w:val="21"/>
          <w:szCs w:val="21"/>
        </w:rPr>
      </w:pPr>
      <w:r>
        <w:rPr>
          <w:rFonts w:hint="eastAsia" w:ascii="宋体" w:hAnsi="宋体" w:cs="宋体"/>
          <w:color w:val="auto"/>
          <w:kern w:val="0"/>
          <w:sz w:val="21"/>
          <w:szCs w:val="21"/>
        </w:rPr>
        <w:t>在仲裁或诉讼期间，本协议不涉及争议的条款仍须履行。</w:t>
      </w:r>
    </w:p>
    <w:p w14:paraId="588FD698">
      <w:pPr>
        <w:tabs>
          <w:tab w:val="left" w:pos="588"/>
        </w:tabs>
        <w:ind w:firstLine="482"/>
        <w:rPr>
          <w:rFonts w:ascii="宋体" w:hAnsi="宋体" w:cs="宋体"/>
          <w:b/>
          <w:color w:val="auto"/>
          <w:szCs w:val="21"/>
        </w:rPr>
      </w:pPr>
      <w:r>
        <w:rPr>
          <w:rFonts w:hint="eastAsia" w:ascii="宋体" w:hAnsi="宋体" w:cs="宋体"/>
          <w:b/>
          <w:color w:val="auto"/>
          <w:szCs w:val="21"/>
        </w:rPr>
        <w:t>十四、不可抗力</w:t>
      </w:r>
    </w:p>
    <w:p w14:paraId="21287D55">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（一）由于发生不能预见、不能避免并不能克服的不可抗力情形，致使直接影响合同的履行或不能按照合同项下之约定履行时，遇有不可抗力的一方应当立即书面通知对方，并在发生不可抗力之日起</w:t>
      </w:r>
      <w:r>
        <w:rPr>
          <w:rFonts w:ascii="宋体" w:hAnsi="宋体" w:cs="宋体"/>
          <w:color w:val="auto"/>
          <w:sz w:val="21"/>
          <w:szCs w:val="21"/>
          <w:u w:val="single"/>
        </w:rPr>
        <w:t>10</w:t>
      </w:r>
      <w:r>
        <w:rPr>
          <w:rFonts w:hint="eastAsia" w:ascii="宋体" w:hAnsi="宋体" w:cs="宋体"/>
          <w:color w:val="auto"/>
          <w:sz w:val="21"/>
          <w:szCs w:val="21"/>
          <w:u w:val="single"/>
        </w:rPr>
        <w:t>天内</w:t>
      </w:r>
      <w:r>
        <w:rPr>
          <w:rFonts w:hint="eastAsia" w:ascii="宋体" w:hAnsi="宋体" w:cs="宋体"/>
          <w:color w:val="auto"/>
          <w:sz w:val="21"/>
          <w:szCs w:val="21"/>
        </w:rPr>
        <w:t>，提供不可抗力详情及协议不能履行或部分不能履行，或需要延期履行理由的有效书面证明，该项证明文件应当由不可抗力发生地的公证机关出具。</w:t>
      </w:r>
    </w:p>
    <w:p w14:paraId="295CDFE0">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（二）根据不可抗力对协议的影响程度，双方应当协商是否解除本协议或部分、全部免除履行本协议的责任，或延期履行协议。</w:t>
      </w:r>
    </w:p>
    <w:p w14:paraId="6B055E7A">
      <w:pPr>
        <w:tabs>
          <w:tab w:val="left" w:pos="588"/>
        </w:tabs>
        <w:ind w:firstLine="482"/>
        <w:rPr>
          <w:rFonts w:ascii="宋体" w:hAnsi="宋体" w:cs="宋体"/>
          <w:b/>
          <w:color w:val="auto"/>
          <w:szCs w:val="21"/>
        </w:rPr>
      </w:pPr>
      <w:r>
        <w:rPr>
          <w:rFonts w:hint="eastAsia" w:ascii="宋体" w:hAnsi="宋体" w:cs="宋体"/>
          <w:b/>
          <w:color w:val="auto"/>
          <w:szCs w:val="21"/>
        </w:rPr>
        <w:t>十五、协议的转让、更改及终止</w:t>
      </w:r>
    </w:p>
    <w:p w14:paraId="480660D0">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一）合同双方都不得单方面修改合同内容。拟修改合同内容的一方应当就修改事项列明拟修改条款后以书面形式通知对方，双方协商同意后，应就修改条款签订补充合同。补充合同必须经双方法定代表人或授权代理人签字并加盖公章后方可生效。补充合同为本合同的组成部分，一经签署即具有法律效力，且与本合同具有同等法律效力。</w:t>
      </w:r>
    </w:p>
    <w:p w14:paraId="37BCD405">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（二）未经甲方书面同意，乙方不得将本合同规定的权利和义务转让给第三方或委托第三方代理。</w:t>
      </w:r>
    </w:p>
    <w:p w14:paraId="621E9017">
      <w:pPr>
        <w:pStyle w:val="94"/>
        <w:snapToGrid/>
        <w:spacing w:line="360" w:lineRule="auto"/>
        <w:ind w:right="29"/>
        <w:rPr>
          <w:rFonts w:ascii="宋体" w:hAnsi="宋体" w:cs="宋体"/>
          <w:color w:val="auto"/>
          <w:sz w:val="21"/>
          <w:szCs w:val="21"/>
        </w:rPr>
      </w:pPr>
      <w:r>
        <w:rPr>
          <w:rFonts w:hint="eastAsia" w:ascii="宋体" w:hAnsi="宋体" w:cs="宋体"/>
          <w:color w:val="auto"/>
          <w:sz w:val="21"/>
          <w:szCs w:val="21"/>
        </w:rPr>
        <w:t>（三）合同有效期内，乙方如发生资产重组、并购等情形时，应在工商变更登记之日前</w:t>
      </w:r>
      <w:r>
        <w:rPr>
          <w:rFonts w:ascii="宋体" w:hAnsi="宋体" w:cs="宋体"/>
          <w:color w:val="auto"/>
          <w:sz w:val="21"/>
          <w:szCs w:val="21"/>
        </w:rPr>
        <w:t>7个工作日内以书面形式通知甲方，并保证上述情形不会影响本合同的正常履行。</w:t>
      </w:r>
    </w:p>
    <w:p w14:paraId="498ABF1C">
      <w:pPr>
        <w:pStyle w:val="12"/>
        <w:ind w:right="2" w:rightChars="1" w:firstLine="177" w:firstLineChars="84"/>
        <w:rPr>
          <w:rFonts w:cs="宋体"/>
          <w:b w:val="0"/>
          <w:color w:val="auto"/>
          <w:szCs w:val="21"/>
        </w:rPr>
      </w:pPr>
      <w:r>
        <w:rPr>
          <w:rFonts w:hint="eastAsia" w:cs="宋体"/>
          <w:color w:val="auto"/>
          <w:szCs w:val="21"/>
        </w:rPr>
        <w:t>十六、其他约定事项</w:t>
      </w:r>
    </w:p>
    <w:p w14:paraId="6AD27F91">
      <w:pPr>
        <w:pStyle w:val="12"/>
        <w:ind w:right="2" w:rightChars="1" w:firstLine="178"/>
        <w:rPr>
          <w:rFonts w:cs="宋体"/>
          <w:b w:val="0"/>
          <w:bCs w:val="0"/>
          <w:color w:val="auto"/>
          <w:szCs w:val="21"/>
          <w:u w:val="single"/>
        </w:rPr>
      </w:pPr>
      <w:r>
        <w:rPr>
          <w:rFonts w:hint="eastAsia" w:cs="宋体"/>
          <w:b w:val="0"/>
          <w:bCs w:val="0"/>
          <w:color w:val="auto"/>
          <w:szCs w:val="21"/>
        </w:rPr>
        <w:t>（一）</w:t>
      </w:r>
      <w:r>
        <w:rPr>
          <w:rFonts w:cs="宋体"/>
          <w:b w:val="0"/>
          <w:bCs w:val="0"/>
          <w:color w:val="auto"/>
          <w:szCs w:val="21"/>
          <w:u w:val="single"/>
        </w:rPr>
        <w:t xml:space="preserve">  </w:t>
      </w:r>
      <w:r>
        <w:rPr>
          <w:rFonts w:hint="eastAsia" w:cs="宋体"/>
          <w:b w:val="0"/>
          <w:bCs w:val="0"/>
          <w:color w:val="auto"/>
          <w:szCs w:val="21"/>
          <w:u w:val="single"/>
        </w:rPr>
        <w:t>如有</w:t>
      </w:r>
      <w:r>
        <w:rPr>
          <w:rFonts w:cs="宋体"/>
          <w:b w:val="0"/>
          <w:bCs w:val="0"/>
          <w:color w:val="auto"/>
          <w:szCs w:val="21"/>
          <w:u w:val="single"/>
        </w:rPr>
        <w:t xml:space="preserve">               </w:t>
      </w:r>
      <w:r>
        <w:rPr>
          <w:rFonts w:hint="eastAsia" w:cs="宋体"/>
          <w:b w:val="0"/>
          <w:bCs w:val="0"/>
          <w:color w:val="auto"/>
          <w:szCs w:val="21"/>
          <w:u w:val="single"/>
        </w:rPr>
        <w:t>；</w:t>
      </w:r>
    </w:p>
    <w:p w14:paraId="2874DB2F">
      <w:pPr>
        <w:pStyle w:val="12"/>
        <w:ind w:right="2" w:rightChars="1" w:firstLine="178"/>
        <w:rPr>
          <w:rFonts w:cs="宋体"/>
          <w:b w:val="0"/>
          <w:bCs w:val="0"/>
          <w:color w:val="auto"/>
          <w:szCs w:val="21"/>
        </w:rPr>
      </w:pPr>
      <w:r>
        <w:rPr>
          <w:rFonts w:hint="eastAsia" w:cs="宋体"/>
          <w:b w:val="0"/>
          <w:bCs w:val="0"/>
          <w:color w:val="auto"/>
          <w:szCs w:val="21"/>
        </w:rPr>
        <w:t>（二）</w:t>
      </w:r>
      <w:r>
        <w:rPr>
          <w:rFonts w:cs="宋体"/>
          <w:b w:val="0"/>
          <w:bCs w:val="0"/>
          <w:color w:val="auto"/>
          <w:szCs w:val="21"/>
          <w:u w:val="single"/>
        </w:rPr>
        <w:t xml:space="preserve">                     </w:t>
      </w:r>
      <w:r>
        <w:rPr>
          <w:rFonts w:hint="eastAsia" w:cs="宋体"/>
          <w:b w:val="0"/>
          <w:bCs w:val="0"/>
          <w:color w:val="auto"/>
          <w:szCs w:val="21"/>
          <w:u w:val="single"/>
        </w:rPr>
        <w:t>。</w:t>
      </w:r>
    </w:p>
    <w:p w14:paraId="26095725">
      <w:pPr>
        <w:pStyle w:val="94"/>
        <w:snapToGrid/>
        <w:spacing w:line="360" w:lineRule="auto"/>
        <w:ind w:right="29" w:firstLine="559" w:firstLineChars="265"/>
        <w:rPr>
          <w:rFonts w:ascii="宋体" w:hAnsi="宋体" w:cs="宋体"/>
          <w:b/>
          <w:color w:val="auto"/>
          <w:sz w:val="21"/>
          <w:szCs w:val="21"/>
        </w:rPr>
      </w:pPr>
      <w:r>
        <w:rPr>
          <w:rFonts w:hint="eastAsia" w:ascii="宋体" w:hAnsi="宋体" w:cs="宋体"/>
          <w:b/>
          <w:color w:val="auto"/>
          <w:sz w:val="21"/>
          <w:szCs w:val="21"/>
        </w:rPr>
        <w:t>十七、协议的生效及其他</w:t>
      </w:r>
    </w:p>
    <w:p w14:paraId="4F60DB57">
      <w:pPr>
        <w:pStyle w:val="94"/>
        <w:snapToGrid/>
        <w:spacing w:line="360" w:lineRule="auto"/>
        <w:ind w:right="29" w:firstLine="420" w:firstLineChars="200"/>
        <w:rPr>
          <w:rFonts w:ascii="宋体" w:hAnsi="宋体" w:cs="宋体"/>
          <w:color w:val="auto"/>
          <w:sz w:val="21"/>
          <w:szCs w:val="21"/>
        </w:rPr>
      </w:pPr>
      <w:r>
        <w:rPr>
          <w:rFonts w:hint="eastAsia" w:ascii="宋体" w:hAnsi="宋体" w:cs="宋体"/>
          <w:color w:val="auto"/>
          <w:sz w:val="21"/>
          <w:szCs w:val="21"/>
        </w:rPr>
        <w:t>（一）本合同经双方法定代表人或授权代理人签字并加盖公章后生效，协议一式</w:t>
      </w:r>
      <w:r>
        <w:rPr>
          <w:rFonts w:hint="eastAsia" w:ascii="宋体" w:hAnsi="宋体"/>
          <w:color w:val="auto"/>
          <w:sz w:val="21"/>
          <w:szCs w:val="21"/>
          <w:u w:val="single"/>
        </w:rPr>
        <w:t>肆</w:t>
      </w:r>
      <w:r>
        <w:rPr>
          <w:rFonts w:hint="eastAsia" w:ascii="宋体" w:hAnsi="宋体" w:cs="宋体"/>
          <w:color w:val="auto"/>
          <w:sz w:val="21"/>
          <w:szCs w:val="21"/>
        </w:rPr>
        <w:t>份，</w:t>
      </w:r>
      <w:r>
        <w:rPr>
          <w:rFonts w:hint="eastAsia" w:ascii="宋体" w:hAnsi="宋体"/>
          <w:color w:val="auto"/>
          <w:sz w:val="21"/>
          <w:szCs w:val="21"/>
        </w:rPr>
        <w:t>甲方</w:t>
      </w:r>
      <w:r>
        <w:rPr>
          <w:rFonts w:hint="eastAsia" w:ascii="宋体" w:hAnsi="宋体" w:cs="宋体"/>
          <w:color w:val="auto"/>
          <w:sz w:val="21"/>
          <w:szCs w:val="21"/>
          <w:u w:val="single"/>
        </w:rPr>
        <w:t>贰</w:t>
      </w:r>
      <w:r>
        <w:rPr>
          <w:rFonts w:hint="eastAsia" w:ascii="宋体" w:hAnsi="宋体" w:cs="宋体"/>
          <w:color w:val="auto"/>
          <w:sz w:val="21"/>
          <w:szCs w:val="21"/>
        </w:rPr>
        <w:t>份，乙方</w:t>
      </w:r>
      <w:r>
        <w:rPr>
          <w:rFonts w:hint="eastAsia" w:ascii="宋体" w:hAnsi="宋体" w:cs="宋体"/>
          <w:color w:val="auto"/>
          <w:sz w:val="21"/>
          <w:szCs w:val="21"/>
          <w:u w:val="single"/>
        </w:rPr>
        <w:t>贰</w:t>
      </w:r>
      <w:r>
        <w:rPr>
          <w:rFonts w:hint="eastAsia" w:ascii="宋体" w:hAnsi="宋体" w:cs="宋体"/>
          <w:color w:val="auto"/>
          <w:sz w:val="21"/>
          <w:szCs w:val="21"/>
        </w:rPr>
        <w:t>份，具有同等法律效力。</w:t>
      </w:r>
    </w:p>
    <w:p w14:paraId="51CB7B96">
      <w:pPr>
        <w:pStyle w:val="94"/>
        <w:snapToGrid/>
        <w:spacing w:line="360" w:lineRule="auto"/>
        <w:ind w:right="29" w:firstLine="420" w:firstLineChars="200"/>
        <w:rPr>
          <w:rFonts w:ascii="宋体" w:hAnsi="宋体" w:cs="宋体"/>
          <w:color w:val="auto"/>
          <w:sz w:val="21"/>
          <w:szCs w:val="21"/>
        </w:rPr>
      </w:pPr>
      <w:r>
        <w:rPr>
          <w:rFonts w:hint="eastAsia" w:ascii="宋体" w:hAnsi="宋体" w:cs="宋体"/>
          <w:color w:val="auto"/>
          <w:sz w:val="21"/>
          <w:szCs w:val="21"/>
        </w:rPr>
        <w:t>（二）本协议未尽事宜，按中华人民共和国有关法律、法规办理。</w:t>
      </w:r>
    </w:p>
    <w:p w14:paraId="06510150">
      <w:pPr>
        <w:pStyle w:val="94"/>
        <w:ind w:right="29"/>
        <w:rPr>
          <w:rFonts w:ascii="宋体" w:hAnsi="宋体" w:cs="宋体"/>
          <w:color w:val="auto"/>
          <w:sz w:val="21"/>
          <w:szCs w:val="21"/>
        </w:rPr>
      </w:pPr>
      <w:r>
        <w:rPr>
          <w:rFonts w:hint="eastAsia" w:ascii="宋体" w:hAnsi="宋体" w:cs="宋体"/>
          <w:color w:val="auto"/>
          <w:sz w:val="21"/>
          <w:szCs w:val="21"/>
        </w:rPr>
        <w:t>（三）本合同附件为本合同组成部分，与本合同具有同等法律效力。</w:t>
      </w:r>
    </w:p>
    <w:p w14:paraId="6CAC090A">
      <w:pPr>
        <w:pStyle w:val="94"/>
        <w:ind w:right="29"/>
        <w:rPr>
          <w:rFonts w:ascii="宋体" w:hAnsi="宋体" w:cs="宋体"/>
          <w:color w:val="auto"/>
          <w:sz w:val="21"/>
          <w:szCs w:val="21"/>
        </w:rPr>
      </w:pPr>
      <w:r>
        <w:rPr>
          <w:rFonts w:hint="eastAsia" w:ascii="宋体" w:hAnsi="宋体" w:cs="宋体"/>
          <w:color w:val="auto"/>
          <w:sz w:val="21"/>
          <w:szCs w:val="21"/>
        </w:rPr>
        <w:t>（四）甲乙双方按照本合同项下列明地址、电话送达通知、文件（含诉讼文书等），如一方变更上述信息，应提前五个工作日书面通知另一方，否则另一方（包括司法机关送达法律文书）按原地址、电话送达的，视为已送达，未及时通知方自行承担不利后果。</w:t>
      </w:r>
    </w:p>
    <w:p w14:paraId="1EE3C091">
      <w:pPr>
        <w:pStyle w:val="94"/>
        <w:ind w:right="29"/>
        <w:rPr>
          <w:rFonts w:ascii="宋体" w:hAnsi="宋体" w:cs="宋体"/>
          <w:color w:val="auto"/>
          <w:sz w:val="21"/>
          <w:szCs w:val="21"/>
        </w:rPr>
      </w:pPr>
      <w:r>
        <w:rPr>
          <w:rFonts w:hint="eastAsia" w:ascii="宋体" w:hAnsi="宋体" w:cs="宋体"/>
          <w:color w:val="auto"/>
          <w:sz w:val="21"/>
          <w:szCs w:val="21"/>
        </w:rPr>
        <w:t>附件</w:t>
      </w:r>
      <w:r>
        <w:rPr>
          <w:rFonts w:ascii="宋体" w:hAnsi="宋体" w:cs="宋体"/>
          <w:color w:val="auto"/>
          <w:sz w:val="21"/>
          <w:szCs w:val="21"/>
        </w:rPr>
        <w:t>1：营业执照</w:t>
      </w:r>
    </w:p>
    <w:p w14:paraId="225F3EF0">
      <w:pPr>
        <w:pStyle w:val="94"/>
        <w:ind w:right="29"/>
        <w:rPr>
          <w:rFonts w:ascii="宋体" w:hAnsi="宋体" w:cs="宋体"/>
          <w:color w:val="auto"/>
          <w:sz w:val="21"/>
          <w:szCs w:val="21"/>
        </w:rPr>
      </w:pPr>
      <w:r>
        <w:rPr>
          <w:rFonts w:hint="eastAsia" w:ascii="宋体" w:hAnsi="宋体" w:cs="宋体"/>
          <w:color w:val="auto"/>
          <w:sz w:val="21"/>
          <w:szCs w:val="21"/>
        </w:rPr>
        <w:t>附近</w:t>
      </w:r>
      <w:r>
        <w:rPr>
          <w:rFonts w:ascii="宋体" w:hAnsi="宋体" w:cs="宋体"/>
          <w:color w:val="auto"/>
          <w:sz w:val="21"/>
          <w:szCs w:val="21"/>
        </w:rPr>
        <w:t>2:</w:t>
      </w:r>
      <w:r>
        <w:rPr>
          <w:rFonts w:hint="eastAsia" w:ascii="宋体" w:hAnsi="宋体" w:cs="宋体"/>
          <w:color w:val="auto"/>
          <w:sz w:val="21"/>
          <w:szCs w:val="21"/>
        </w:rPr>
        <w:t>法人身份证</w:t>
      </w:r>
    </w:p>
    <w:p w14:paraId="3AFE42DF">
      <w:pPr>
        <w:pStyle w:val="24"/>
        <w:ind w:left="0" w:leftChars="0"/>
        <w:jc w:val="center"/>
        <w:rPr>
          <w:rFonts w:ascii="宋体" w:hAnsi="宋体" w:cs="宋体"/>
          <w:color w:val="auto"/>
          <w:sz w:val="21"/>
          <w:szCs w:val="21"/>
        </w:rPr>
      </w:pPr>
    </w:p>
    <w:p w14:paraId="47583C01">
      <w:pPr>
        <w:pStyle w:val="24"/>
        <w:jc w:val="center"/>
        <w:rPr>
          <w:rFonts w:ascii="宋体" w:hAnsi="宋体" w:cs="宋体"/>
          <w:color w:val="auto"/>
          <w:sz w:val="21"/>
          <w:szCs w:val="21"/>
        </w:rPr>
      </w:pPr>
      <w:r>
        <w:rPr>
          <w:rFonts w:hint="eastAsia" w:ascii="宋体" w:hAnsi="宋体" w:cs="宋体"/>
          <w:color w:val="auto"/>
          <w:sz w:val="21"/>
          <w:szCs w:val="21"/>
        </w:rPr>
        <w:t>（以下为签署页，无正文）</w:t>
      </w:r>
    </w:p>
    <w:p w14:paraId="1F02C7C9">
      <w:pPr>
        <w:pStyle w:val="24"/>
        <w:jc w:val="center"/>
        <w:rPr>
          <w:rFonts w:ascii="宋体" w:hAnsi="宋体" w:cs="宋体"/>
          <w:color w:val="auto"/>
          <w:sz w:val="21"/>
          <w:szCs w:val="21"/>
        </w:rPr>
      </w:pPr>
    </w:p>
    <w:p w14:paraId="48B72031">
      <w:pPr>
        <w:pStyle w:val="24"/>
        <w:jc w:val="center"/>
        <w:rPr>
          <w:rFonts w:ascii="宋体" w:hAnsi="宋体" w:cs="宋体"/>
          <w:color w:val="auto"/>
          <w:sz w:val="21"/>
          <w:szCs w:val="21"/>
        </w:rPr>
      </w:pPr>
    </w:p>
    <w:p w14:paraId="345ADE27">
      <w:pPr>
        <w:pStyle w:val="24"/>
        <w:jc w:val="center"/>
        <w:rPr>
          <w:rFonts w:ascii="宋体" w:hAnsi="宋体" w:cs="宋体"/>
          <w:color w:val="auto"/>
          <w:sz w:val="21"/>
          <w:szCs w:val="21"/>
        </w:rPr>
      </w:pPr>
    </w:p>
    <w:p w14:paraId="1D095CA8">
      <w:pPr>
        <w:pStyle w:val="24"/>
        <w:jc w:val="center"/>
        <w:rPr>
          <w:rFonts w:ascii="宋体" w:hAnsi="宋体" w:cs="宋体"/>
          <w:color w:val="auto"/>
          <w:sz w:val="21"/>
          <w:szCs w:val="21"/>
        </w:rPr>
      </w:pPr>
    </w:p>
    <w:p w14:paraId="0B344E62">
      <w:pPr>
        <w:spacing w:line="500" w:lineRule="exact"/>
        <w:rPr>
          <w:rFonts w:ascii="宋体" w:hAnsi="宋体"/>
          <w:bCs/>
          <w:color w:val="auto"/>
          <w:szCs w:val="21"/>
        </w:rPr>
      </w:pPr>
      <w:r>
        <w:rPr>
          <w:rFonts w:hint="eastAsia" w:ascii="宋体" w:hAnsi="宋体"/>
          <w:bCs/>
          <w:color w:val="auto"/>
          <w:szCs w:val="21"/>
        </w:rPr>
        <w:t>甲</w:t>
      </w:r>
      <w:r>
        <w:rPr>
          <w:rFonts w:ascii="宋体" w:hAnsi="宋体"/>
          <w:bCs/>
          <w:color w:val="auto"/>
          <w:szCs w:val="21"/>
        </w:rPr>
        <w:t xml:space="preserve">     </w:t>
      </w:r>
      <w:r>
        <w:rPr>
          <w:rFonts w:hint="eastAsia" w:ascii="宋体" w:hAnsi="宋体"/>
          <w:bCs/>
          <w:color w:val="auto"/>
          <w:szCs w:val="21"/>
        </w:rPr>
        <w:t>方：</w:t>
      </w:r>
      <w:r>
        <w:rPr>
          <w:rFonts w:ascii="宋体" w:hAnsi="宋体"/>
          <w:bCs/>
          <w:color w:val="auto"/>
          <w:szCs w:val="21"/>
        </w:rPr>
        <w:t xml:space="preserve">                                   </w:t>
      </w:r>
      <w:r>
        <w:rPr>
          <w:rFonts w:hint="eastAsia" w:ascii="宋体" w:hAnsi="宋体"/>
          <w:bCs/>
          <w:color w:val="auto"/>
          <w:szCs w:val="21"/>
        </w:rPr>
        <w:t>乙</w:t>
      </w:r>
      <w:r>
        <w:rPr>
          <w:rFonts w:ascii="宋体" w:hAnsi="宋体"/>
          <w:bCs/>
          <w:color w:val="auto"/>
          <w:szCs w:val="21"/>
        </w:rPr>
        <w:t xml:space="preserve">    </w:t>
      </w:r>
      <w:r>
        <w:rPr>
          <w:rFonts w:hint="eastAsia" w:ascii="宋体" w:hAnsi="宋体"/>
          <w:bCs/>
          <w:color w:val="auto"/>
          <w:szCs w:val="21"/>
        </w:rPr>
        <w:t>方：</w:t>
      </w:r>
      <w:r>
        <w:rPr>
          <w:rFonts w:ascii="宋体" w:hAnsi="宋体"/>
          <w:bCs/>
          <w:color w:val="auto"/>
          <w:szCs w:val="21"/>
        </w:rPr>
        <w:t xml:space="preserve">       </w:t>
      </w:r>
    </w:p>
    <w:p w14:paraId="70AFC5AA">
      <w:pPr>
        <w:spacing w:line="500" w:lineRule="exact"/>
        <w:rPr>
          <w:rFonts w:ascii="宋体" w:hAnsi="宋体"/>
          <w:bCs/>
          <w:color w:val="auto"/>
          <w:szCs w:val="21"/>
        </w:rPr>
      </w:pPr>
      <w:r>
        <w:rPr>
          <w:rFonts w:hint="eastAsia" w:ascii="宋体" w:hAnsi="宋体"/>
          <w:bCs/>
          <w:color w:val="auto"/>
          <w:szCs w:val="21"/>
        </w:rPr>
        <w:t>电</w:t>
      </w:r>
      <w:r>
        <w:rPr>
          <w:rFonts w:ascii="宋体" w:hAnsi="宋体"/>
          <w:bCs/>
          <w:color w:val="auto"/>
          <w:szCs w:val="21"/>
        </w:rPr>
        <w:t xml:space="preserve">     </w:t>
      </w:r>
      <w:r>
        <w:rPr>
          <w:rFonts w:hint="eastAsia" w:ascii="宋体" w:hAnsi="宋体"/>
          <w:bCs/>
          <w:color w:val="auto"/>
          <w:szCs w:val="21"/>
        </w:rPr>
        <w:t>话：</w:t>
      </w:r>
      <w:r>
        <w:rPr>
          <w:rFonts w:ascii="宋体" w:hAnsi="宋体"/>
          <w:bCs/>
          <w:color w:val="auto"/>
          <w:szCs w:val="21"/>
        </w:rPr>
        <w:t xml:space="preserve">                                   </w:t>
      </w:r>
      <w:r>
        <w:rPr>
          <w:rFonts w:hint="eastAsia" w:ascii="宋体" w:hAnsi="宋体"/>
          <w:bCs/>
          <w:color w:val="auto"/>
          <w:szCs w:val="21"/>
        </w:rPr>
        <w:t>电</w:t>
      </w:r>
      <w:r>
        <w:rPr>
          <w:rFonts w:ascii="宋体" w:hAnsi="宋体"/>
          <w:bCs/>
          <w:color w:val="auto"/>
          <w:szCs w:val="21"/>
        </w:rPr>
        <w:t xml:space="preserve">    </w:t>
      </w:r>
      <w:r>
        <w:rPr>
          <w:rFonts w:hint="eastAsia" w:ascii="宋体" w:hAnsi="宋体"/>
          <w:bCs/>
          <w:color w:val="auto"/>
          <w:szCs w:val="21"/>
        </w:rPr>
        <w:t>话：</w:t>
      </w:r>
    </w:p>
    <w:p w14:paraId="223EF036">
      <w:pPr>
        <w:spacing w:line="500" w:lineRule="exact"/>
        <w:rPr>
          <w:rFonts w:ascii="宋体" w:hAnsi="宋体"/>
          <w:bCs/>
          <w:color w:val="auto"/>
          <w:szCs w:val="21"/>
        </w:rPr>
      </w:pPr>
      <w:r>
        <w:rPr>
          <w:rFonts w:hint="eastAsia" w:ascii="宋体" w:hAnsi="宋体"/>
          <w:bCs/>
          <w:color w:val="auto"/>
          <w:szCs w:val="21"/>
        </w:rPr>
        <w:t>签字（盖章）：</w:t>
      </w:r>
      <w:r>
        <w:rPr>
          <w:rFonts w:ascii="宋体" w:hAnsi="宋体"/>
          <w:bCs/>
          <w:color w:val="auto"/>
          <w:szCs w:val="21"/>
        </w:rPr>
        <w:t xml:space="preserve">                                </w:t>
      </w:r>
      <w:r>
        <w:rPr>
          <w:rFonts w:hint="eastAsia" w:ascii="宋体" w:hAnsi="宋体"/>
          <w:bCs/>
          <w:color w:val="auto"/>
          <w:szCs w:val="21"/>
        </w:rPr>
        <w:t>签字（盖章）：</w:t>
      </w:r>
    </w:p>
    <w:p w14:paraId="63921F5B">
      <w:pPr>
        <w:spacing w:line="500" w:lineRule="exact"/>
        <w:rPr>
          <w:rFonts w:ascii="宋体" w:hAnsi="宋体"/>
          <w:bCs/>
          <w:color w:val="auto"/>
          <w:szCs w:val="21"/>
        </w:rPr>
      </w:pPr>
      <w:r>
        <w:rPr>
          <w:rFonts w:hint="eastAsia" w:ascii="宋体" w:hAnsi="宋体"/>
          <w:bCs/>
          <w:color w:val="auto"/>
          <w:szCs w:val="21"/>
        </w:rPr>
        <w:t>开户名称：</w:t>
      </w:r>
      <w:r>
        <w:rPr>
          <w:rFonts w:ascii="宋体" w:hAnsi="宋体"/>
          <w:bCs/>
          <w:color w:val="auto"/>
          <w:szCs w:val="21"/>
        </w:rPr>
        <w:t xml:space="preserve">                                    </w:t>
      </w:r>
      <w:r>
        <w:rPr>
          <w:rFonts w:hint="eastAsia" w:ascii="宋体" w:hAnsi="宋体"/>
          <w:bCs/>
          <w:color w:val="auto"/>
          <w:szCs w:val="21"/>
        </w:rPr>
        <w:t>开户名称：</w:t>
      </w:r>
      <w:r>
        <w:rPr>
          <w:rFonts w:ascii="宋体" w:hAnsi="宋体"/>
          <w:bCs/>
          <w:color w:val="auto"/>
          <w:szCs w:val="21"/>
        </w:rPr>
        <w:t xml:space="preserve"> </w:t>
      </w:r>
    </w:p>
    <w:p w14:paraId="77C9DACB">
      <w:pPr>
        <w:spacing w:line="500" w:lineRule="exact"/>
        <w:rPr>
          <w:rFonts w:ascii="宋体" w:hAnsi="宋体"/>
          <w:bCs/>
          <w:color w:val="auto"/>
          <w:szCs w:val="21"/>
        </w:rPr>
      </w:pPr>
      <w:r>
        <w:rPr>
          <w:rFonts w:hint="eastAsia" w:ascii="宋体" w:hAnsi="宋体"/>
          <w:bCs/>
          <w:color w:val="auto"/>
          <w:szCs w:val="21"/>
        </w:rPr>
        <w:t>开户银行：</w:t>
      </w:r>
      <w:r>
        <w:rPr>
          <w:rFonts w:ascii="宋体" w:hAnsi="宋体"/>
          <w:bCs/>
          <w:color w:val="auto"/>
          <w:szCs w:val="21"/>
        </w:rPr>
        <w:t xml:space="preserve">                                    </w:t>
      </w:r>
      <w:r>
        <w:rPr>
          <w:rFonts w:hint="eastAsia" w:ascii="宋体" w:hAnsi="宋体"/>
          <w:bCs/>
          <w:color w:val="auto"/>
          <w:szCs w:val="21"/>
        </w:rPr>
        <w:t>开户银行：</w:t>
      </w:r>
      <w:r>
        <w:rPr>
          <w:rFonts w:ascii="宋体" w:hAnsi="宋体"/>
          <w:bCs/>
          <w:color w:val="auto"/>
          <w:szCs w:val="21"/>
        </w:rPr>
        <w:t xml:space="preserve"> </w:t>
      </w:r>
    </w:p>
    <w:p w14:paraId="15DB9DCD">
      <w:pPr>
        <w:spacing w:line="500" w:lineRule="exact"/>
        <w:rPr>
          <w:rFonts w:ascii="宋体" w:hAnsi="宋体"/>
          <w:bCs/>
          <w:color w:val="auto"/>
          <w:szCs w:val="21"/>
        </w:rPr>
      </w:pPr>
      <w:r>
        <w:rPr>
          <w:rFonts w:hint="eastAsia" w:ascii="宋体" w:hAnsi="宋体"/>
          <w:bCs/>
          <w:color w:val="auto"/>
          <w:szCs w:val="21"/>
        </w:rPr>
        <w:t>开户账号：</w:t>
      </w:r>
      <w:r>
        <w:rPr>
          <w:rFonts w:ascii="宋体" w:hAnsi="宋体"/>
          <w:bCs/>
          <w:color w:val="auto"/>
          <w:szCs w:val="21"/>
        </w:rPr>
        <w:t xml:space="preserve">                                    </w:t>
      </w:r>
      <w:r>
        <w:rPr>
          <w:rFonts w:hint="eastAsia" w:ascii="宋体" w:hAnsi="宋体"/>
          <w:bCs/>
          <w:color w:val="auto"/>
          <w:szCs w:val="21"/>
        </w:rPr>
        <w:t>开户帐号：</w:t>
      </w:r>
    </w:p>
    <w:p w14:paraId="23DE4686">
      <w:pPr>
        <w:spacing w:line="500" w:lineRule="exact"/>
        <w:rPr>
          <w:rFonts w:ascii="宋体" w:hAnsi="宋体"/>
          <w:bCs/>
          <w:color w:val="auto"/>
          <w:szCs w:val="21"/>
        </w:rPr>
        <w:sectPr>
          <w:pgSz w:w="11906" w:h="16838"/>
          <w:pgMar w:top="1440" w:right="1800" w:bottom="1440" w:left="1800" w:header="851" w:footer="992" w:gutter="0"/>
          <w:cols w:space="425" w:num="1"/>
          <w:docGrid w:type="lines" w:linePitch="312" w:charSpace="0"/>
        </w:sectPr>
      </w:pPr>
      <w:r>
        <w:rPr>
          <w:rFonts w:hint="eastAsia" w:ascii="宋体" w:hAnsi="宋体"/>
          <w:bCs/>
          <w:color w:val="auto"/>
          <w:szCs w:val="21"/>
        </w:rPr>
        <w:t>日期：</w:t>
      </w:r>
      <w:r>
        <w:rPr>
          <w:rFonts w:ascii="宋体" w:hAnsi="宋体"/>
          <w:bCs/>
          <w:color w:val="auto"/>
          <w:szCs w:val="21"/>
        </w:rPr>
        <w:t xml:space="preserve"> 2026</w:t>
      </w:r>
      <w:r>
        <w:rPr>
          <w:rFonts w:hint="eastAsia" w:ascii="宋体" w:hAnsi="宋体"/>
          <w:bCs/>
          <w:color w:val="auto"/>
          <w:szCs w:val="21"/>
        </w:rPr>
        <w:t xml:space="preserve">年 </w:t>
      </w:r>
      <w:r>
        <w:rPr>
          <w:rFonts w:ascii="宋体" w:hAnsi="宋体"/>
          <w:bCs/>
          <w:color w:val="auto"/>
          <w:szCs w:val="21"/>
        </w:rPr>
        <w:t xml:space="preserve"> </w:t>
      </w:r>
      <w:r>
        <w:rPr>
          <w:rFonts w:hint="eastAsia" w:ascii="宋体" w:hAnsi="宋体"/>
          <w:bCs/>
          <w:color w:val="auto"/>
          <w:szCs w:val="21"/>
        </w:rPr>
        <w:t xml:space="preserve">月 </w:t>
      </w:r>
      <w:r>
        <w:rPr>
          <w:rFonts w:ascii="宋体" w:hAnsi="宋体"/>
          <w:bCs/>
          <w:color w:val="auto"/>
          <w:szCs w:val="21"/>
        </w:rPr>
        <w:t xml:space="preserve"> </w:t>
      </w:r>
      <w:r>
        <w:rPr>
          <w:rFonts w:hint="eastAsia" w:ascii="宋体" w:hAnsi="宋体"/>
          <w:bCs/>
          <w:color w:val="auto"/>
          <w:szCs w:val="21"/>
        </w:rPr>
        <w:t>日</w:t>
      </w:r>
      <w:r>
        <w:rPr>
          <w:rFonts w:ascii="宋体" w:hAnsi="宋体"/>
          <w:bCs/>
          <w:color w:val="auto"/>
          <w:szCs w:val="21"/>
        </w:rPr>
        <w:t xml:space="preserve">                        </w:t>
      </w:r>
      <w:r>
        <w:rPr>
          <w:rFonts w:hint="eastAsia" w:ascii="宋体" w:hAnsi="宋体"/>
          <w:bCs/>
          <w:color w:val="auto"/>
          <w:szCs w:val="21"/>
        </w:rPr>
        <w:t>日期：</w:t>
      </w:r>
      <w:r>
        <w:rPr>
          <w:rFonts w:ascii="宋体" w:hAnsi="宋体"/>
          <w:bCs/>
          <w:color w:val="auto"/>
          <w:szCs w:val="21"/>
        </w:rPr>
        <w:t xml:space="preserve">  年     月    </w:t>
      </w:r>
      <w:r>
        <w:rPr>
          <w:rFonts w:hint="eastAsia" w:ascii="宋体" w:hAnsi="宋体"/>
          <w:bCs/>
          <w:color w:val="auto"/>
          <w:szCs w:val="21"/>
        </w:rPr>
        <w:t>日</w:t>
      </w:r>
    </w:p>
    <w:p w14:paraId="5DA303C1">
      <w:pPr>
        <w:pStyle w:val="94"/>
        <w:ind w:right="29" w:firstLine="0"/>
        <w:rPr>
          <w:rFonts w:ascii="宋体" w:hAnsi="宋体" w:cs="宋体"/>
          <w:color w:val="auto"/>
          <w:sz w:val="21"/>
          <w:szCs w:val="21"/>
        </w:rPr>
      </w:pPr>
      <w:r>
        <w:rPr>
          <w:rFonts w:hint="eastAsia" w:ascii="宋体" w:hAnsi="宋体" w:cs="宋体"/>
          <w:color w:val="auto"/>
          <w:sz w:val="21"/>
          <w:szCs w:val="21"/>
        </w:rPr>
        <w:t>附件：阳光协议</w:t>
      </w:r>
    </w:p>
    <w:p w14:paraId="51D3F2D5">
      <w:pPr>
        <w:adjustRightInd/>
        <w:snapToGrid/>
        <w:ind w:firstLine="883" w:firstLineChars="200"/>
        <w:jc w:val="center"/>
        <w:rPr>
          <w:rFonts w:ascii="方正小标宋简体" w:hAnsi="黑体" w:eastAsia="方正小标宋简体"/>
          <w:b/>
          <w:color w:val="auto"/>
          <w:sz w:val="44"/>
          <w:szCs w:val="44"/>
        </w:rPr>
      </w:pPr>
      <w:r>
        <w:rPr>
          <w:rFonts w:hint="eastAsia" w:ascii="方正小标宋简体" w:hAnsi="黑体" w:eastAsia="方正小标宋简体"/>
          <w:b/>
          <w:color w:val="auto"/>
          <w:sz w:val="44"/>
          <w:szCs w:val="44"/>
        </w:rPr>
        <w:t>阳光合作协议</w:t>
      </w:r>
    </w:p>
    <w:p w14:paraId="4B17A88D">
      <w:pPr>
        <w:adjustRightInd/>
        <w:snapToGrid/>
        <w:spacing w:before="180" w:beforeLines="50"/>
        <w:ind w:firstLine="420" w:firstLineChars="200"/>
        <w:contextualSpacing/>
        <w:rPr>
          <w:rFonts w:ascii="宋体" w:hAnsi="宋体"/>
          <w:color w:val="auto"/>
          <w:u w:val="single"/>
        </w:rPr>
      </w:pPr>
      <w:r>
        <w:rPr>
          <w:rFonts w:hint="eastAsia" w:ascii="宋体" w:hAnsi="宋体"/>
          <w:color w:val="auto"/>
        </w:rPr>
        <w:t>甲方：</w:t>
      </w:r>
      <w:r>
        <w:rPr>
          <w:rFonts w:hint="eastAsia" w:ascii="宋体" w:hAnsi="宋体"/>
          <w:color w:val="auto"/>
          <w:u w:val="single"/>
        </w:rPr>
        <w:t>东莞市安居建设投资有限公司</w:t>
      </w:r>
    </w:p>
    <w:p w14:paraId="65A9F486">
      <w:pPr>
        <w:adjustRightInd/>
        <w:snapToGrid/>
        <w:spacing w:before="180" w:beforeLines="50"/>
        <w:ind w:firstLine="420" w:firstLineChars="200"/>
        <w:contextualSpacing/>
        <w:rPr>
          <w:rFonts w:ascii="宋体" w:hAnsi="宋体"/>
          <w:color w:val="auto"/>
          <w:u w:val="single"/>
        </w:rPr>
      </w:pPr>
      <w:r>
        <w:rPr>
          <w:rFonts w:hint="eastAsia" w:ascii="宋体" w:hAnsi="宋体"/>
          <w:color w:val="auto"/>
        </w:rPr>
        <w:t>乙方：</w:t>
      </w:r>
      <w:r>
        <w:rPr>
          <w:rFonts w:hint="eastAsia" w:ascii="宋体" w:hAnsi="宋体"/>
          <w:color w:val="auto"/>
          <w:u w:val="single"/>
        </w:rPr>
        <w:t xml:space="preserve"> </w:t>
      </w:r>
      <w:r>
        <w:rPr>
          <w:rFonts w:ascii="宋体" w:hAnsi="宋体"/>
          <w:color w:val="auto"/>
          <w:u w:val="single"/>
        </w:rPr>
        <w:t xml:space="preserve">                            </w:t>
      </w:r>
    </w:p>
    <w:p w14:paraId="4416A793">
      <w:pPr>
        <w:adjustRightInd/>
        <w:snapToGrid/>
        <w:spacing w:before="180" w:beforeLines="50"/>
        <w:ind w:firstLine="420" w:firstLineChars="200"/>
        <w:contextualSpacing/>
        <w:rPr>
          <w:rFonts w:ascii="宋体"/>
          <w:color w:val="auto"/>
        </w:rPr>
      </w:pPr>
      <w:r>
        <w:rPr>
          <w:rFonts w:hint="eastAsia" w:ascii="宋体" w:hAnsi="宋体"/>
          <w:color w:val="auto"/>
        </w:rPr>
        <w:t>甲乙双方于</w:t>
      </w:r>
      <w:r>
        <w:rPr>
          <w:rFonts w:ascii="宋体" w:hAnsi="宋体"/>
          <w:color w:val="auto"/>
          <w:u w:val="single"/>
        </w:rPr>
        <w:t>2026</w:t>
      </w:r>
      <w:r>
        <w:rPr>
          <w:rFonts w:hint="eastAsia" w:ascii="宋体" w:hAnsi="宋体"/>
          <w:color w:val="auto"/>
        </w:rPr>
        <w:t>年</w:t>
      </w:r>
      <w:r>
        <w:rPr>
          <w:rFonts w:hint="eastAsia" w:ascii="宋体" w:hAnsi="宋体"/>
          <w:color w:val="auto"/>
          <w:u w:val="single"/>
        </w:rPr>
        <w:t xml:space="preserve"> </w:t>
      </w:r>
      <w:r>
        <w:rPr>
          <w:rFonts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ascii="宋体" w:hAnsi="宋体"/>
          <w:color w:val="auto"/>
          <w:u w:val="single"/>
        </w:rPr>
        <w:t xml:space="preserve">    </w:t>
      </w:r>
      <w:r>
        <w:rPr>
          <w:rFonts w:hint="eastAsia" w:ascii="宋体" w:hAnsi="宋体"/>
          <w:color w:val="auto"/>
        </w:rPr>
        <w:t>日签署了《</w:t>
      </w:r>
      <w:r>
        <w:rPr>
          <w:rFonts w:hint="eastAsia" w:ascii="宋体" w:hAnsi="宋体"/>
          <w:color w:val="auto"/>
          <w:u w:val="single"/>
        </w:rPr>
        <w:t xml:space="preserve"> </w:t>
      </w:r>
      <w:r>
        <w:rPr>
          <w:rFonts w:ascii="宋体" w:hAnsi="宋体"/>
          <w:color w:val="auto"/>
          <w:u w:val="single"/>
        </w:rPr>
        <w:t xml:space="preserve">                  </w:t>
      </w:r>
      <w:r>
        <w:rPr>
          <w:rFonts w:hint="eastAsia" w:ascii="宋体" w:hAnsi="宋体"/>
          <w:color w:val="auto"/>
        </w:rPr>
        <w:t>》（以下简称原合同），为加强双方阳光合作，保证职员职业安全，甲乙双方经协商签订本协议并作为双方共同遵守的阳光合作行为准则。</w:t>
      </w:r>
    </w:p>
    <w:p w14:paraId="342785A6">
      <w:pPr>
        <w:adjustRightInd/>
        <w:snapToGrid/>
        <w:spacing w:before="180" w:beforeLines="50"/>
        <w:ind w:left="420" w:leftChars="200"/>
        <w:contextualSpacing/>
        <w:rPr>
          <w:rFonts w:ascii="宋体" w:hAnsi="宋体"/>
          <w:b/>
          <w:color w:val="auto"/>
        </w:rPr>
      </w:pPr>
      <w:r>
        <w:rPr>
          <w:rFonts w:hint="eastAsia" w:ascii="宋体" w:hAnsi="宋体"/>
          <w:b/>
          <w:color w:val="auto"/>
        </w:rPr>
        <w:t>一、甲方责任</w:t>
      </w:r>
    </w:p>
    <w:p w14:paraId="6B3F0393">
      <w:pPr>
        <w:adjustRightInd/>
        <w:snapToGrid/>
        <w:spacing w:before="180" w:beforeLines="50"/>
        <w:ind w:left="105" w:leftChars="50" w:firstLine="420" w:firstLineChars="200"/>
        <w:contextualSpacing/>
        <w:rPr>
          <w:rFonts w:ascii="宋体" w:hAnsi="宋体"/>
          <w:color w:val="auto"/>
        </w:rPr>
      </w:pPr>
      <w:r>
        <w:rPr>
          <w:rFonts w:ascii="宋体" w:hAnsi="宋体"/>
          <w:color w:val="auto"/>
        </w:rPr>
        <w:t>1.甲方有责任向乙方介绍本单位有关采购管理通用原则和本协议的规定。</w:t>
      </w:r>
    </w:p>
    <w:p w14:paraId="6B79092C">
      <w:pPr>
        <w:adjustRightInd/>
        <w:snapToGrid/>
        <w:spacing w:before="180" w:beforeLines="50"/>
        <w:ind w:left="105" w:leftChars="50" w:firstLine="420" w:firstLineChars="200"/>
        <w:contextualSpacing/>
        <w:rPr>
          <w:rFonts w:ascii="宋体" w:hAnsi="宋体"/>
          <w:color w:val="auto"/>
        </w:rPr>
      </w:pPr>
      <w:r>
        <w:rPr>
          <w:rFonts w:ascii="宋体" w:hAnsi="宋体"/>
          <w:color w:val="auto"/>
        </w:rPr>
        <w:t>2.甲方有责任对本单位相关人员进行阳光合作教育。</w:t>
      </w:r>
    </w:p>
    <w:p w14:paraId="1D61D70C">
      <w:pPr>
        <w:adjustRightInd/>
        <w:snapToGrid/>
        <w:spacing w:before="180" w:beforeLines="50"/>
        <w:ind w:left="105" w:leftChars="50" w:firstLine="420" w:firstLineChars="200"/>
        <w:contextualSpacing/>
        <w:rPr>
          <w:rFonts w:ascii="宋体" w:hAnsi="宋体"/>
          <w:color w:val="auto"/>
        </w:rPr>
      </w:pPr>
      <w:r>
        <w:rPr>
          <w:rFonts w:ascii="宋体" w:hAnsi="宋体"/>
          <w:color w:val="auto"/>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4D8396CA">
      <w:pPr>
        <w:adjustRightInd/>
        <w:snapToGrid/>
        <w:spacing w:before="180" w:beforeLines="50"/>
        <w:ind w:left="105" w:leftChars="50" w:firstLine="420" w:firstLineChars="200"/>
        <w:contextualSpacing/>
        <w:rPr>
          <w:rFonts w:ascii="宋体" w:hAnsi="宋体"/>
          <w:color w:val="auto"/>
        </w:rPr>
      </w:pPr>
      <w:r>
        <w:rPr>
          <w:rFonts w:ascii="宋体" w:hAnsi="宋体"/>
          <w:color w:val="auto"/>
        </w:rPr>
        <w:t>4.甲方人员如违反阳光合作管理制度及本协议规定，甲方视情节轻重、影响大小给予行政及经济处罚。</w:t>
      </w:r>
    </w:p>
    <w:p w14:paraId="4C3C9C66">
      <w:pPr>
        <w:adjustRightInd/>
        <w:snapToGrid/>
        <w:spacing w:before="180" w:beforeLines="50"/>
        <w:ind w:left="105" w:leftChars="50" w:firstLine="420" w:firstLineChars="200"/>
        <w:contextualSpacing/>
        <w:rPr>
          <w:rFonts w:ascii="宋体" w:hAnsi="宋体"/>
          <w:color w:val="auto"/>
        </w:rPr>
      </w:pPr>
      <w:r>
        <w:rPr>
          <w:rFonts w:ascii="宋体" w:hAnsi="宋体"/>
          <w:color w:val="auto"/>
        </w:rPr>
        <w:t>5．对于乙方举报甲方人员违反阳光合作规定的情况，甲方应及时进行调查，根据调查情况进行处理，并将调查结果向乙方反馈。</w:t>
      </w:r>
    </w:p>
    <w:p w14:paraId="4C48C6CD">
      <w:pPr>
        <w:adjustRightInd/>
        <w:snapToGrid/>
        <w:spacing w:before="180" w:beforeLines="50"/>
        <w:ind w:left="105" w:leftChars="50" w:firstLine="420" w:firstLineChars="200"/>
        <w:contextualSpacing/>
        <w:rPr>
          <w:rFonts w:ascii="宋体" w:hAnsi="宋体"/>
          <w:color w:val="auto"/>
        </w:rPr>
      </w:pPr>
      <w:r>
        <w:rPr>
          <w:rFonts w:ascii="宋体" w:hAnsi="宋体"/>
          <w:color w:val="auto"/>
        </w:rPr>
        <w:t>6.接受举报的一方应为举报方保密，不得对举报方进行报复，对举报属实和严格遵守《阳光合作协议》的合作方，在同等条件下给予后续合作的优先权。</w:t>
      </w:r>
    </w:p>
    <w:p w14:paraId="1EFF86D5">
      <w:pPr>
        <w:adjustRightInd/>
        <w:snapToGrid/>
        <w:spacing w:before="180" w:beforeLines="50"/>
        <w:ind w:left="420" w:leftChars="200"/>
        <w:contextualSpacing/>
        <w:rPr>
          <w:rFonts w:ascii="宋体" w:hAnsi="宋体"/>
          <w:b/>
          <w:color w:val="auto"/>
        </w:rPr>
      </w:pPr>
      <w:r>
        <w:rPr>
          <w:rFonts w:hint="eastAsia" w:ascii="宋体" w:hAnsi="宋体"/>
          <w:b/>
          <w:color w:val="auto"/>
        </w:rPr>
        <w:t>二、乙方责任</w:t>
      </w:r>
    </w:p>
    <w:p w14:paraId="4BE4637C">
      <w:pPr>
        <w:adjustRightInd/>
        <w:snapToGrid/>
        <w:spacing w:before="180" w:beforeLines="50"/>
        <w:ind w:left="105" w:leftChars="50" w:firstLine="420" w:firstLineChars="200"/>
        <w:contextualSpacing/>
        <w:rPr>
          <w:rFonts w:ascii="宋体" w:hAnsi="宋体"/>
          <w:color w:val="auto"/>
        </w:rPr>
      </w:pPr>
      <w:r>
        <w:rPr>
          <w:rFonts w:ascii="宋体" w:hAnsi="宋体"/>
          <w:color w:val="auto"/>
        </w:rPr>
        <w:t>1.乙方应保证乙方人员了解甲方有关采购管理通用原则和</w:t>
      </w:r>
      <w:r>
        <w:rPr>
          <w:rFonts w:hint="eastAsia" w:ascii="宋体" w:hAnsi="宋体"/>
          <w:color w:val="auto"/>
        </w:rPr>
        <w:t>及本协议的规定，并遵照执行。</w:t>
      </w:r>
    </w:p>
    <w:p w14:paraId="13C9582D">
      <w:pPr>
        <w:adjustRightInd/>
        <w:snapToGrid/>
        <w:spacing w:before="180" w:beforeLines="50"/>
        <w:ind w:left="105" w:leftChars="50" w:firstLine="420" w:firstLineChars="200"/>
        <w:contextualSpacing/>
        <w:rPr>
          <w:rFonts w:ascii="宋体" w:hAnsi="宋体"/>
          <w:color w:val="auto"/>
        </w:rPr>
      </w:pPr>
      <w:r>
        <w:rPr>
          <w:rFonts w:ascii="宋体" w:hAnsi="宋体"/>
          <w:color w:val="auto"/>
        </w:rPr>
        <w:t>2.乙方不得以任何形式给予甲方人员回扣、赠送实物、现金、有价证券、礼券等有价物品或提供旅游等其他可能影响职务行为公正履行的活动（以下统称“财物”）。</w:t>
      </w:r>
    </w:p>
    <w:p w14:paraId="2E487ECE">
      <w:pPr>
        <w:adjustRightInd/>
        <w:snapToGrid/>
        <w:spacing w:before="180" w:beforeLines="50"/>
        <w:ind w:left="105" w:leftChars="50" w:firstLine="420" w:firstLineChars="200"/>
        <w:contextualSpacing/>
        <w:rPr>
          <w:rFonts w:ascii="宋体" w:hAnsi="宋体"/>
          <w:color w:val="auto"/>
        </w:rPr>
      </w:pPr>
      <w:r>
        <w:rPr>
          <w:rFonts w:ascii="宋体" w:hAnsi="宋体"/>
          <w:color w:val="auto"/>
        </w:rPr>
        <w:t>3.乙方有责任接受甲方对乙方在合作期间阳光合作管理执行情况的监督，并对甲方相关调查工作主动配合。</w:t>
      </w:r>
    </w:p>
    <w:p w14:paraId="2E35711D">
      <w:pPr>
        <w:adjustRightInd/>
        <w:snapToGrid/>
        <w:spacing w:before="180" w:beforeLines="50"/>
        <w:ind w:left="105" w:leftChars="50" w:firstLine="420" w:firstLineChars="200"/>
        <w:contextualSpacing/>
        <w:rPr>
          <w:rFonts w:ascii="宋体" w:hAnsi="宋体"/>
          <w:color w:val="auto"/>
        </w:rPr>
      </w:pPr>
      <w:r>
        <w:rPr>
          <w:rFonts w:ascii="宋体" w:hAnsi="宋体"/>
          <w:color w:val="auto"/>
        </w:rPr>
        <w:t>4.乙方有义务就甲方人员任何形式的索取或收受财物行为及时向甲方（直接联系人为东莞实业投资控股集团有限公司法律合</w:t>
      </w:r>
      <w:r>
        <w:rPr>
          <w:rFonts w:hint="eastAsia" w:ascii="宋体" w:hAnsi="宋体"/>
          <w:color w:val="auto"/>
        </w:rPr>
        <w:t>规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w:t>
      </w:r>
      <w:r>
        <w:rPr>
          <w:rFonts w:ascii="宋体" w:hAnsi="宋体"/>
          <w:color w:val="auto"/>
        </w:rPr>
        <w:t>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53413BED">
      <w:pPr>
        <w:adjustRightInd/>
        <w:snapToGrid/>
        <w:spacing w:before="180" w:beforeLines="50"/>
        <w:ind w:left="105" w:leftChars="50" w:firstLine="420" w:firstLineChars="200"/>
        <w:contextualSpacing/>
        <w:rPr>
          <w:rFonts w:ascii="宋体" w:hAnsi="宋体"/>
          <w:color w:val="auto"/>
        </w:rPr>
      </w:pPr>
      <w:r>
        <w:rPr>
          <w:rFonts w:ascii="宋体" w:hAnsi="宋体"/>
          <w:color w:val="auto"/>
        </w:rPr>
        <w:t xml:space="preserve">5．甲方接受乙方实名或匿名举报，保证为举报者的信息保密，常设举报部门及电话： </w:t>
      </w:r>
    </w:p>
    <w:p w14:paraId="08A4DD80">
      <w:pPr>
        <w:adjustRightInd/>
        <w:snapToGrid/>
        <w:spacing w:before="180" w:beforeLines="50"/>
        <w:ind w:left="105" w:leftChars="50" w:firstLine="420" w:firstLineChars="200"/>
        <w:contextualSpacing/>
        <w:rPr>
          <w:rFonts w:ascii="宋体" w:hAnsi="宋体"/>
          <w:color w:val="auto"/>
        </w:rPr>
      </w:pPr>
      <w:r>
        <w:rPr>
          <w:rFonts w:hint="eastAsia" w:ascii="宋体" w:hAnsi="宋体"/>
          <w:color w:val="auto"/>
        </w:rPr>
        <w:t>举报受理部门：东莞实业投资控股集团有限公司法律合规部</w:t>
      </w:r>
    </w:p>
    <w:p w14:paraId="37D22847">
      <w:pPr>
        <w:adjustRightInd/>
        <w:snapToGrid/>
        <w:spacing w:before="180" w:beforeLines="50"/>
        <w:ind w:left="105" w:leftChars="50" w:firstLine="420" w:firstLineChars="200"/>
        <w:contextualSpacing/>
        <w:rPr>
          <w:rFonts w:ascii="宋体" w:hAnsi="宋体"/>
          <w:color w:val="auto"/>
        </w:rPr>
      </w:pPr>
      <w:r>
        <w:rPr>
          <w:rFonts w:hint="eastAsia" w:ascii="宋体" w:hAnsi="宋体"/>
          <w:color w:val="auto"/>
        </w:rPr>
        <w:t>东实集团举报邮箱：</w:t>
      </w:r>
      <w:r>
        <w:rPr>
          <w:rFonts w:ascii="宋体" w:hAnsi="宋体"/>
          <w:color w:val="auto"/>
        </w:rPr>
        <w:t>dgsyxf@163.com</w:t>
      </w:r>
    </w:p>
    <w:p w14:paraId="14600F27">
      <w:pPr>
        <w:adjustRightInd/>
        <w:snapToGrid/>
        <w:spacing w:before="180" w:beforeLines="50"/>
        <w:ind w:left="105" w:leftChars="50" w:firstLine="420" w:firstLineChars="200"/>
        <w:contextualSpacing/>
        <w:rPr>
          <w:rFonts w:ascii="宋体" w:hAnsi="宋体"/>
          <w:color w:val="auto"/>
        </w:rPr>
      </w:pPr>
      <w:r>
        <w:rPr>
          <w:rFonts w:hint="eastAsia" w:ascii="宋体" w:hAnsi="宋体"/>
          <w:color w:val="auto"/>
        </w:rPr>
        <w:t>东实集团举报电话：</w:t>
      </w:r>
      <w:r>
        <w:rPr>
          <w:rFonts w:ascii="宋体" w:hAnsi="宋体"/>
          <w:color w:val="auto"/>
        </w:rPr>
        <w:t>0769-28820703（周一至周五9:00-12:00和14:00-18:00）</w:t>
      </w:r>
    </w:p>
    <w:p w14:paraId="4431F919">
      <w:pPr>
        <w:adjustRightInd/>
        <w:snapToGrid/>
        <w:spacing w:before="180" w:beforeLines="50"/>
        <w:ind w:left="105" w:leftChars="50" w:firstLine="420" w:firstLineChars="200"/>
        <w:contextualSpacing/>
        <w:rPr>
          <w:rFonts w:ascii="宋体" w:hAnsi="宋体"/>
          <w:color w:val="auto"/>
        </w:rPr>
      </w:pPr>
      <w:r>
        <w:rPr>
          <w:rFonts w:hint="eastAsia" w:ascii="宋体" w:hAnsi="宋体"/>
          <w:color w:val="auto"/>
        </w:rPr>
        <w:t>邮寄地址：东莞市东城区八一路</w:t>
      </w:r>
      <w:r>
        <w:rPr>
          <w:rFonts w:ascii="宋体" w:hAnsi="宋体"/>
          <w:color w:val="auto"/>
        </w:rPr>
        <w:t>1号机关二号大院9号楼，东莞实业投资控股集团有限公司法律合</w:t>
      </w:r>
      <w:r>
        <w:rPr>
          <w:rFonts w:hint="eastAsia" w:ascii="宋体" w:hAnsi="宋体"/>
          <w:color w:val="auto"/>
        </w:rPr>
        <w:t>规部收，邮编</w:t>
      </w:r>
      <w:r>
        <w:rPr>
          <w:rFonts w:ascii="宋体" w:hAnsi="宋体"/>
          <w:color w:val="auto"/>
        </w:rPr>
        <w:t>523000。</w:t>
      </w:r>
    </w:p>
    <w:p w14:paraId="4C2E1B2F">
      <w:pPr>
        <w:adjustRightInd/>
        <w:snapToGrid/>
        <w:spacing w:before="180" w:beforeLines="50"/>
        <w:ind w:left="420" w:leftChars="200"/>
        <w:contextualSpacing/>
        <w:rPr>
          <w:rFonts w:ascii="宋体" w:hAnsi="宋体"/>
          <w:b/>
          <w:color w:val="auto"/>
        </w:rPr>
      </w:pPr>
      <w:r>
        <w:rPr>
          <w:rFonts w:hint="eastAsia" w:ascii="宋体" w:hAnsi="宋体"/>
          <w:b/>
          <w:color w:val="auto"/>
        </w:rPr>
        <w:t>三、其他</w:t>
      </w:r>
    </w:p>
    <w:p w14:paraId="1FD5B185">
      <w:pPr>
        <w:adjustRightInd/>
        <w:snapToGrid/>
        <w:spacing w:before="180" w:beforeLines="50"/>
        <w:ind w:left="105" w:leftChars="50" w:firstLine="420" w:firstLineChars="200"/>
        <w:contextualSpacing/>
        <w:rPr>
          <w:rFonts w:ascii="宋体" w:hAnsi="宋体"/>
          <w:color w:val="auto"/>
        </w:rPr>
      </w:pPr>
      <w:r>
        <w:rPr>
          <w:rFonts w:ascii="宋体" w:hAnsi="宋体"/>
          <w:color w:val="auto"/>
        </w:rPr>
        <w:t>1.本协议是原合同的补充协议，与原合同有同等法律效力。</w:t>
      </w:r>
    </w:p>
    <w:p w14:paraId="6407EDD1">
      <w:pPr>
        <w:adjustRightInd/>
        <w:snapToGrid/>
        <w:spacing w:before="180" w:beforeLines="50"/>
        <w:ind w:left="105" w:leftChars="50" w:firstLine="420" w:firstLineChars="200"/>
        <w:contextualSpacing/>
        <w:rPr>
          <w:rFonts w:ascii="宋体" w:hAnsi="宋体"/>
          <w:color w:val="auto"/>
        </w:rPr>
      </w:pPr>
      <w:r>
        <w:rPr>
          <w:rFonts w:ascii="宋体" w:hAnsi="宋体"/>
          <w:color w:val="auto"/>
        </w:rPr>
        <w:t>2.本协议一式四份，甲方执贰份，乙方执贰份,具有同等法律效力。</w:t>
      </w:r>
    </w:p>
    <w:p w14:paraId="1F3B551A">
      <w:pPr>
        <w:adjustRightInd/>
        <w:snapToGrid/>
        <w:spacing w:before="180" w:beforeLines="50"/>
        <w:ind w:left="105" w:leftChars="50" w:firstLine="420" w:firstLineChars="200"/>
        <w:contextualSpacing/>
        <w:rPr>
          <w:rFonts w:ascii="宋体" w:hAnsi="宋体"/>
          <w:color w:val="auto"/>
        </w:rPr>
      </w:pPr>
      <w:r>
        <w:rPr>
          <w:rFonts w:ascii="宋体" w:hAnsi="宋体"/>
          <w:color w:val="auto"/>
        </w:rPr>
        <w:t>3.本协议经双方签署后生效。</w:t>
      </w:r>
    </w:p>
    <w:p w14:paraId="423C88AF">
      <w:pPr>
        <w:adjustRightInd/>
        <w:snapToGrid/>
        <w:spacing w:before="180" w:beforeLines="50"/>
        <w:ind w:firstLine="420" w:firstLineChars="200"/>
        <w:contextualSpacing/>
        <w:jc w:val="center"/>
        <w:rPr>
          <w:rFonts w:ascii="宋体" w:hAnsi="宋体"/>
          <w:color w:val="auto"/>
        </w:rPr>
      </w:pPr>
      <w:r>
        <w:rPr>
          <w:rFonts w:hint="eastAsia" w:ascii="宋体" w:hAnsi="宋体"/>
          <w:color w:val="auto"/>
        </w:rPr>
        <w:t>（以下为签署页，无正文）</w:t>
      </w:r>
    </w:p>
    <w:p w14:paraId="27546AEE">
      <w:pPr>
        <w:pStyle w:val="11"/>
        <w:rPr>
          <w:color w:val="auto"/>
        </w:rPr>
      </w:pPr>
    </w:p>
    <w:p w14:paraId="6C96FFA1">
      <w:pPr>
        <w:adjustRightInd/>
        <w:snapToGrid/>
        <w:spacing w:before="180" w:beforeLines="50"/>
        <w:ind w:firstLine="420" w:firstLineChars="200"/>
        <w:contextualSpacing/>
        <w:rPr>
          <w:rFonts w:ascii="宋体"/>
          <w:color w:val="auto"/>
        </w:rPr>
      </w:pPr>
      <w:r>
        <w:rPr>
          <w:rFonts w:hint="eastAsia" w:ascii="宋体" w:hAnsi="宋体"/>
          <w:color w:val="auto"/>
        </w:rPr>
        <w:t>甲方（盖章）：</w:t>
      </w:r>
      <w:r>
        <w:rPr>
          <w:rFonts w:ascii="宋体" w:hAnsi="宋体"/>
          <w:color w:val="auto"/>
        </w:rPr>
        <w:t xml:space="preserve">                        </w:t>
      </w:r>
      <w:r>
        <w:rPr>
          <w:rFonts w:hint="eastAsia" w:ascii="宋体" w:hAnsi="宋体"/>
          <w:color w:val="auto"/>
        </w:rPr>
        <w:t>乙方（盖章）：</w:t>
      </w:r>
      <w:r>
        <w:rPr>
          <w:rFonts w:ascii="宋体"/>
          <w:color w:val="auto"/>
        </w:rPr>
        <w:t xml:space="preserve"> </w:t>
      </w:r>
    </w:p>
    <w:p w14:paraId="77D9B527">
      <w:pPr>
        <w:adjustRightInd/>
        <w:snapToGrid/>
        <w:spacing w:before="180" w:beforeLines="50"/>
        <w:ind w:firstLine="420" w:firstLineChars="200"/>
        <w:contextualSpacing/>
        <w:rPr>
          <w:rFonts w:ascii="宋体" w:hAnsi="宋体"/>
          <w:color w:val="auto"/>
        </w:rPr>
      </w:pPr>
    </w:p>
    <w:p w14:paraId="76078822">
      <w:pPr>
        <w:adjustRightInd/>
        <w:snapToGrid/>
        <w:spacing w:before="180" w:beforeLines="50"/>
        <w:ind w:firstLine="420" w:firstLineChars="200"/>
        <w:contextualSpacing/>
        <w:rPr>
          <w:rFonts w:ascii="宋体"/>
          <w:color w:val="auto"/>
        </w:rPr>
      </w:pPr>
      <w:r>
        <w:rPr>
          <w:rFonts w:hint="eastAsia" w:ascii="宋体" w:hAnsi="宋体"/>
          <w:color w:val="auto"/>
        </w:rPr>
        <w:t>法定代表人（授权代表）：</w:t>
      </w:r>
      <w:r>
        <w:rPr>
          <w:rFonts w:ascii="宋体"/>
          <w:color w:val="auto"/>
        </w:rPr>
        <w:tab/>
      </w:r>
      <w:r>
        <w:rPr>
          <w:rFonts w:ascii="宋体"/>
          <w:color w:val="auto"/>
        </w:rPr>
        <w:t xml:space="preserve">          </w:t>
      </w:r>
      <w:r>
        <w:rPr>
          <w:rFonts w:hint="eastAsia" w:ascii="宋体" w:hAnsi="宋体"/>
          <w:color w:val="auto"/>
        </w:rPr>
        <w:t>法定代表人（授权代表）：</w:t>
      </w:r>
    </w:p>
    <w:p w14:paraId="19FE8102">
      <w:pPr>
        <w:adjustRightInd/>
        <w:snapToGrid/>
        <w:spacing w:before="180" w:beforeLines="50"/>
        <w:ind w:firstLine="420" w:firstLineChars="200"/>
        <w:contextualSpacing/>
        <w:rPr>
          <w:rFonts w:ascii="宋体" w:hAnsi="宋体"/>
          <w:color w:val="auto"/>
        </w:rPr>
      </w:pPr>
    </w:p>
    <w:p w14:paraId="53A7D88E">
      <w:pPr>
        <w:adjustRightInd/>
        <w:snapToGrid/>
        <w:spacing w:before="180" w:beforeLines="50"/>
        <w:ind w:firstLine="420" w:firstLineChars="200"/>
        <w:contextualSpacing/>
        <w:rPr>
          <w:color w:val="auto"/>
        </w:rPr>
      </w:pPr>
      <w:r>
        <w:rPr>
          <w:rFonts w:hint="eastAsia" w:ascii="宋体" w:hAnsi="宋体"/>
          <w:color w:val="auto"/>
        </w:rPr>
        <w:t>签约日期：</w:t>
      </w:r>
      <w:r>
        <w:rPr>
          <w:rFonts w:ascii="宋体" w:hAnsi="宋体"/>
          <w:color w:val="auto"/>
        </w:rPr>
        <w:t>2026年</w:t>
      </w:r>
      <w:r>
        <w:rPr>
          <w:rFonts w:hint="eastAsia" w:ascii="宋体" w:hAnsi="宋体"/>
          <w:color w:val="auto"/>
        </w:rPr>
        <w:t xml:space="preserve"> </w:t>
      </w:r>
      <w:r>
        <w:rPr>
          <w:rFonts w:ascii="宋体" w:hAnsi="宋体"/>
          <w:color w:val="auto"/>
        </w:rPr>
        <w:t xml:space="preserve"> </w:t>
      </w:r>
      <w:r>
        <w:rPr>
          <w:rFonts w:hint="eastAsia" w:ascii="宋体" w:hAnsi="宋体"/>
          <w:color w:val="auto"/>
        </w:rPr>
        <w:t xml:space="preserve">月 </w:t>
      </w:r>
      <w:r>
        <w:rPr>
          <w:rFonts w:ascii="宋体" w:hAnsi="宋体"/>
          <w:color w:val="auto"/>
        </w:rPr>
        <w:t xml:space="preserve"> </w:t>
      </w:r>
      <w:r>
        <w:rPr>
          <w:rFonts w:hint="eastAsia" w:ascii="宋体" w:hAnsi="宋体"/>
          <w:color w:val="auto"/>
        </w:rPr>
        <w:t>日</w:t>
      </w:r>
      <w:bookmarkStart w:id="318" w:name="现场签证通知单"/>
      <w:bookmarkEnd w:id="318"/>
      <w:bookmarkStart w:id="319" w:name="设计变更通知单"/>
      <w:bookmarkEnd w:id="319"/>
      <w:r>
        <w:rPr>
          <w:color w:val="auto"/>
        </w:rPr>
        <w:tab/>
      </w:r>
      <w:r>
        <w:rPr>
          <w:color w:val="auto"/>
        </w:rPr>
        <w:t xml:space="preserve">          </w:t>
      </w:r>
      <w:r>
        <w:rPr>
          <w:rFonts w:hint="eastAsia" w:ascii="宋体" w:hAnsi="宋体"/>
          <w:color w:val="auto"/>
        </w:rPr>
        <w:t>签约日期：</w:t>
      </w:r>
      <w:r>
        <w:rPr>
          <w:rFonts w:ascii="宋体" w:hAnsi="宋体"/>
          <w:color w:val="auto"/>
        </w:rPr>
        <w:t>2026年</w:t>
      </w:r>
      <w:r>
        <w:rPr>
          <w:rFonts w:ascii="宋体" w:hAnsi="宋体" w:eastAsiaTheme="minorEastAsia"/>
          <w:color w:val="auto"/>
        </w:rPr>
        <w:t xml:space="preserve">  </w:t>
      </w:r>
      <w:r>
        <w:rPr>
          <w:rFonts w:hint="eastAsia" w:ascii="宋体" w:hAnsi="宋体"/>
          <w:color w:val="auto"/>
        </w:rPr>
        <w:t>月</w:t>
      </w:r>
      <w:r>
        <w:rPr>
          <w:rFonts w:ascii="宋体" w:hAnsi="宋体" w:eastAsiaTheme="minorEastAsia"/>
          <w:color w:val="auto"/>
        </w:rPr>
        <w:t xml:space="preserve">  </w:t>
      </w:r>
      <w:r>
        <w:rPr>
          <w:rFonts w:hint="eastAsia" w:ascii="宋体" w:hAnsi="宋体"/>
          <w:color w:val="auto"/>
        </w:rPr>
        <w:t>日</w:t>
      </w:r>
    </w:p>
    <w:p w14:paraId="692BAD94">
      <w:pPr>
        <w:rPr>
          <w:color w:val="auto"/>
        </w:rPr>
      </w:pPr>
    </w:p>
    <w:p w14:paraId="4BAEF97B">
      <w:pPr>
        <w:rPr>
          <w:color w:val="auto"/>
        </w:rPr>
      </w:pPr>
    </w:p>
    <w:p w14:paraId="12A5C10C">
      <w:pPr>
        <w:rPr>
          <w:color w:val="auto"/>
        </w:rPr>
      </w:pPr>
    </w:p>
    <w:p w14:paraId="7BEBA945">
      <w:pPr>
        <w:rPr>
          <w:color w:val="auto"/>
        </w:rPr>
      </w:pPr>
    </w:p>
    <w:p w14:paraId="1AC9B9F3">
      <w:pPr>
        <w:rPr>
          <w:color w:val="auto"/>
        </w:rPr>
      </w:pPr>
    </w:p>
    <w:p w14:paraId="47EF58BF">
      <w:pPr>
        <w:rPr>
          <w:color w:val="auto"/>
        </w:rPr>
      </w:pPr>
    </w:p>
    <w:p w14:paraId="442C7D70">
      <w:pPr>
        <w:pStyle w:val="15"/>
        <w:tabs>
          <w:tab w:val="left" w:pos="540"/>
        </w:tabs>
        <w:ind w:firstLine="420"/>
        <w:rPr>
          <w:rFonts w:hAnsi="宋体"/>
          <w:b w:val="0"/>
          <w:bCs/>
          <w:color w:val="auto"/>
        </w:rPr>
      </w:pPr>
    </w:p>
    <w:p w14:paraId="79D51AA9">
      <w:pPr>
        <w:rPr>
          <w:color w:val="auto"/>
          <w:sz w:val="28"/>
          <w:szCs w:val="28"/>
        </w:rPr>
      </w:pPr>
      <w:bookmarkStart w:id="320" w:name="_Toc3316"/>
      <w:bookmarkStart w:id="321" w:name="_Toc18576"/>
      <w:r>
        <w:rPr>
          <w:rFonts w:hint="eastAsia"/>
          <w:color w:val="auto"/>
          <w:sz w:val="28"/>
          <w:szCs w:val="28"/>
        </w:rPr>
        <w:br w:type="page"/>
      </w:r>
    </w:p>
    <w:p w14:paraId="7F6CB196">
      <w:pPr>
        <w:pStyle w:val="3"/>
        <w:spacing w:before="0" w:after="0" w:line="240" w:lineRule="auto"/>
        <w:rPr>
          <w:color w:val="auto"/>
          <w:sz w:val="28"/>
          <w:szCs w:val="28"/>
        </w:rPr>
      </w:pPr>
      <w:bookmarkStart w:id="322" w:name="_Toc2637"/>
      <w:r>
        <w:rPr>
          <w:rFonts w:hint="eastAsia"/>
          <w:color w:val="auto"/>
          <w:sz w:val="28"/>
          <w:szCs w:val="28"/>
        </w:rPr>
        <w:t>第六部分附件－投标文件格式</w:t>
      </w:r>
      <w:bookmarkEnd w:id="311"/>
      <w:bookmarkEnd w:id="320"/>
      <w:bookmarkEnd w:id="321"/>
      <w:bookmarkEnd w:id="322"/>
    </w:p>
    <w:p w14:paraId="07E5D2CA">
      <w:pPr>
        <w:rPr>
          <w:color w:val="auto"/>
        </w:rPr>
      </w:pPr>
    </w:p>
    <w:p w14:paraId="16D43646">
      <w:pPr>
        <w:pStyle w:val="5"/>
        <w:widowControl w:val="0"/>
        <w:overflowPunct w:val="0"/>
        <w:spacing w:line="240" w:lineRule="auto"/>
        <w:rPr>
          <w:rFonts w:ascii="宋体" w:hAnsi="宋体"/>
          <w:color w:val="auto"/>
          <w:sz w:val="21"/>
          <w:szCs w:val="21"/>
        </w:rPr>
      </w:pPr>
      <w:bookmarkStart w:id="323" w:name="_Toc19391"/>
      <w:bookmarkStart w:id="324" w:name="_Toc25141"/>
      <w:bookmarkStart w:id="325" w:name="_Toc18971"/>
      <w:bookmarkStart w:id="326" w:name="_Toc26996"/>
      <w:r>
        <w:rPr>
          <w:rFonts w:hint="eastAsia" w:ascii="宋体" w:hAnsi="宋体"/>
          <w:color w:val="auto"/>
          <w:sz w:val="21"/>
          <w:szCs w:val="21"/>
        </w:rPr>
        <w:t>投标文件目录</w:t>
      </w:r>
      <w:bookmarkEnd w:id="323"/>
      <w:bookmarkEnd w:id="324"/>
      <w:bookmarkEnd w:id="325"/>
      <w:bookmarkEnd w:id="326"/>
    </w:p>
    <w:p w14:paraId="6632D952">
      <w:pPr>
        <w:jc w:val="center"/>
        <w:rPr>
          <w:rFonts w:ascii="兰米黑体" w:eastAsia="兰米黑体"/>
          <w:color w:val="auto"/>
          <w:sz w:val="32"/>
          <w:szCs w:val="32"/>
        </w:rPr>
      </w:pPr>
    </w:p>
    <w:p w14:paraId="47C7F9FA">
      <w:pPr>
        <w:jc w:val="center"/>
        <w:rPr>
          <w:rFonts w:ascii="兰米黑体" w:eastAsia="兰米黑体"/>
          <w:color w:val="auto"/>
          <w:sz w:val="32"/>
          <w:szCs w:val="32"/>
        </w:rPr>
      </w:pPr>
      <w:r>
        <w:rPr>
          <w:rFonts w:hint="eastAsia" w:ascii="兰米黑体" w:eastAsia="兰米黑体"/>
          <w:color w:val="auto"/>
          <w:sz w:val="32"/>
          <w:szCs w:val="32"/>
        </w:rPr>
        <w:t>目录</w:t>
      </w:r>
    </w:p>
    <w:p w14:paraId="5DCDC7D5">
      <w:pPr>
        <w:pStyle w:val="14"/>
        <w:tabs>
          <w:tab w:val="right" w:leader="dot" w:pos="8306"/>
          <w:tab w:val="clear" w:pos="8296"/>
        </w:tabs>
        <w:ind w:left="0" w:leftChars="0" w:firstLine="179"/>
        <w:rPr>
          <w:rFonts w:ascii="宋体" w:hAnsi="宋体" w:cs="宋体"/>
          <w:b/>
          <w:bCs/>
          <w:color w:val="auto"/>
          <w:sz w:val="24"/>
          <w:szCs w:val="24"/>
        </w:rPr>
      </w:pPr>
      <w:r>
        <w:rPr>
          <w:color w:val="auto"/>
        </w:rPr>
        <w:fldChar w:fldCharType="begin"/>
      </w:r>
      <w:r>
        <w:rPr>
          <w:color w:val="auto"/>
        </w:rPr>
        <w:instrText xml:space="preserve"> HYPERLINK \l "_Toc30895" </w:instrText>
      </w:r>
      <w:r>
        <w:rPr>
          <w:color w:val="auto"/>
        </w:rPr>
        <w:fldChar w:fldCharType="separate"/>
      </w:r>
      <w:r>
        <w:rPr>
          <w:rFonts w:hint="eastAsia" w:ascii="宋体" w:hAnsi="宋体" w:cs="宋体"/>
          <w:b/>
          <w:bCs/>
          <w:color w:val="auto"/>
          <w:sz w:val="24"/>
          <w:szCs w:val="24"/>
        </w:rPr>
        <w:t>价格文件</w:t>
      </w:r>
      <w:r>
        <w:rPr>
          <w:rFonts w:hint="eastAsia" w:ascii="宋体" w:hAnsi="宋体" w:cs="宋体"/>
          <w:b/>
          <w:bCs/>
          <w:color w:val="auto"/>
          <w:sz w:val="24"/>
          <w:szCs w:val="24"/>
        </w:rPr>
        <w:fldChar w:fldCharType="end"/>
      </w:r>
    </w:p>
    <w:p w14:paraId="3A781251">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"_Toc15657" </w:instrText>
      </w:r>
      <w:r>
        <w:rPr>
          <w:color w:val="auto"/>
        </w:rPr>
        <w:fldChar w:fldCharType="separate"/>
      </w:r>
      <w:r>
        <w:rPr>
          <w:rFonts w:hint="eastAsia" w:ascii="宋体" w:hAnsi="宋体" w:cs="宋体"/>
          <w:color w:val="auto"/>
        </w:rPr>
        <w:t>开标一览表</w:t>
      </w:r>
      <w:r>
        <w:rPr>
          <w:rFonts w:hint="eastAsia" w:ascii="宋体" w:hAnsi="宋体" w:cs="宋体"/>
          <w:color w:val="auto"/>
        </w:rPr>
        <w:fldChar w:fldCharType="end"/>
      </w:r>
    </w:p>
    <w:p w14:paraId="2B638265">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"_Toc17495" </w:instrText>
      </w:r>
      <w:r>
        <w:rPr>
          <w:color w:val="auto"/>
        </w:rPr>
        <w:fldChar w:fldCharType="separate"/>
      </w:r>
      <w:r>
        <w:rPr>
          <w:rFonts w:hint="eastAsia" w:ascii="宋体" w:hAnsi="宋体" w:cs="宋体"/>
          <w:color w:val="auto"/>
        </w:rPr>
        <w:t>主要设备品牌响应表</w:t>
      </w:r>
      <w:r>
        <w:rPr>
          <w:rFonts w:hint="eastAsia" w:ascii="宋体" w:hAnsi="宋体" w:cs="宋体"/>
          <w:color w:val="auto"/>
        </w:rPr>
        <w:fldChar w:fldCharType="end"/>
      </w:r>
    </w:p>
    <w:p w14:paraId="238E35C9">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"_Toc4453" </w:instrText>
      </w:r>
      <w:r>
        <w:rPr>
          <w:color w:val="auto"/>
        </w:rPr>
        <w:fldChar w:fldCharType="separate"/>
      </w:r>
      <w:r>
        <w:rPr>
          <w:rFonts w:hint="eastAsia" w:ascii="宋体" w:hAnsi="宋体" w:cs="宋体"/>
          <w:color w:val="auto"/>
        </w:rPr>
        <w:t>报价明细表</w:t>
      </w:r>
      <w:r>
        <w:rPr>
          <w:rFonts w:hint="eastAsia" w:ascii="宋体" w:hAnsi="宋体" w:cs="宋体"/>
          <w:color w:val="auto"/>
        </w:rPr>
        <w:fldChar w:fldCharType="end"/>
      </w:r>
    </w:p>
    <w:p w14:paraId="21B21260">
      <w:pPr>
        <w:pStyle w:val="14"/>
        <w:tabs>
          <w:tab w:val="right" w:leader="dot" w:pos="8306"/>
          <w:tab w:val="clear" w:pos="8296"/>
        </w:tabs>
        <w:ind w:left="0" w:leftChars="0" w:firstLine="179"/>
        <w:rPr>
          <w:rFonts w:ascii="宋体" w:hAnsi="宋体" w:cs="宋体"/>
          <w:b/>
          <w:bCs/>
          <w:color w:val="auto"/>
          <w:sz w:val="24"/>
          <w:szCs w:val="24"/>
        </w:rPr>
      </w:pPr>
      <w:r>
        <w:rPr>
          <w:color w:val="auto"/>
        </w:rPr>
        <w:fldChar w:fldCharType="begin"/>
      </w:r>
      <w:r>
        <w:rPr>
          <w:color w:val="auto"/>
        </w:rPr>
        <w:instrText xml:space="preserve"> HYPERLINK \l "_Toc8484" </w:instrText>
      </w:r>
      <w:r>
        <w:rPr>
          <w:color w:val="auto"/>
        </w:rPr>
        <w:fldChar w:fldCharType="separate"/>
      </w:r>
      <w:r>
        <w:rPr>
          <w:rFonts w:hint="eastAsia" w:ascii="宋体" w:hAnsi="宋体" w:cs="宋体"/>
          <w:b/>
          <w:bCs/>
          <w:color w:val="auto"/>
          <w:sz w:val="24"/>
          <w:szCs w:val="24"/>
        </w:rPr>
        <w:t>商务文件</w:t>
      </w:r>
      <w:r>
        <w:rPr>
          <w:rFonts w:hint="eastAsia" w:ascii="宋体" w:hAnsi="宋体" w:cs="宋体"/>
          <w:b/>
          <w:bCs/>
          <w:color w:val="auto"/>
          <w:sz w:val="24"/>
          <w:szCs w:val="24"/>
        </w:rPr>
        <w:fldChar w:fldCharType="end"/>
      </w:r>
    </w:p>
    <w:p w14:paraId="4777A2C0">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"_Toc28959" </w:instrText>
      </w:r>
      <w:r>
        <w:rPr>
          <w:color w:val="auto"/>
        </w:rPr>
        <w:fldChar w:fldCharType="separate"/>
      </w:r>
      <w:r>
        <w:rPr>
          <w:rFonts w:hint="eastAsia" w:ascii="宋体" w:hAnsi="宋体" w:cs="宋体"/>
          <w:color w:val="auto"/>
        </w:rPr>
        <w:t>投标书格式</w:t>
      </w:r>
      <w:r>
        <w:rPr>
          <w:rFonts w:hint="eastAsia" w:ascii="宋体" w:hAnsi="宋体" w:cs="宋体"/>
          <w:color w:val="auto"/>
        </w:rPr>
        <w:fldChar w:fldCharType="end"/>
      </w:r>
    </w:p>
    <w:p w14:paraId="53AB6A3A">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"_Toc6073" </w:instrText>
      </w:r>
      <w:r>
        <w:rPr>
          <w:color w:val="auto"/>
        </w:rPr>
        <w:fldChar w:fldCharType="separate"/>
      </w:r>
      <w:r>
        <w:rPr>
          <w:rFonts w:hint="eastAsia" w:ascii="宋体" w:hAnsi="宋体" w:cs="宋体"/>
          <w:color w:val="auto"/>
        </w:rPr>
        <w:t>法定代表人证明书</w:t>
      </w:r>
      <w:r>
        <w:rPr>
          <w:rFonts w:hint="eastAsia" w:ascii="宋体" w:hAnsi="宋体" w:cs="宋体"/>
          <w:color w:val="auto"/>
        </w:rPr>
        <w:fldChar w:fldCharType="end"/>
      </w:r>
    </w:p>
    <w:p w14:paraId="72172209">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"_Toc25531" </w:instrText>
      </w:r>
      <w:r>
        <w:rPr>
          <w:color w:val="auto"/>
        </w:rPr>
        <w:fldChar w:fldCharType="separate"/>
      </w:r>
      <w:r>
        <w:rPr>
          <w:rFonts w:hint="eastAsia" w:ascii="宋体" w:hAnsi="宋体" w:cs="宋体"/>
          <w:color w:val="auto"/>
        </w:rPr>
        <w:t>法定代表人授权书</w:t>
      </w:r>
      <w:r>
        <w:rPr>
          <w:rFonts w:hint="eastAsia" w:ascii="宋体" w:hAnsi="宋体" w:cs="宋体"/>
          <w:color w:val="auto"/>
        </w:rPr>
        <w:fldChar w:fldCharType="end"/>
      </w:r>
    </w:p>
    <w:p w14:paraId="7C81B3D8">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"_Toc30192" </w:instrText>
      </w:r>
      <w:r>
        <w:rPr>
          <w:color w:val="auto"/>
        </w:rPr>
        <w:fldChar w:fldCharType="separate"/>
      </w:r>
      <w:r>
        <w:rPr>
          <w:rFonts w:hint="eastAsia" w:ascii="宋体" w:hAnsi="宋体" w:cs="宋体"/>
          <w:color w:val="auto"/>
        </w:rPr>
        <w:t>资格申明</w:t>
      </w:r>
      <w:r>
        <w:rPr>
          <w:rFonts w:hint="eastAsia" w:ascii="宋体" w:hAnsi="宋体" w:cs="宋体"/>
          <w:color w:val="auto"/>
        </w:rPr>
        <w:fldChar w:fldCharType="end"/>
      </w:r>
    </w:p>
    <w:p w14:paraId="16DD59FC">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"_Toc31632" </w:instrText>
      </w:r>
      <w:r>
        <w:rPr>
          <w:color w:val="auto"/>
        </w:rPr>
        <w:fldChar w:fldCharType="separate"/>
      </w:r>
      <w:r>
        <w:rPr>
          <w:rFonts w:hint="eastAsia" w:ascii="宋体" w:hAnsi="宋体" w:cs="宋体"/>
          <w:color w:val="auto"/>
        </w:rPr>
        <w:t>营业执照</w:t>
      </w:r>
      <w:r>
        <w:rPr>
          <w:rFonts w:hint="eastAsia" w:ascii="宋体" w:hAnsi="宋体" w:cs="宋体"/>
          <w:color w:val="auto"/>
        </w:rPr>
        <w:fldChar w:fldCharType="end"/>
      </w:r>
    </w:p>
    <w:p w14:paraId="44D1DD68">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"_Toc6435" </w:instrText>
      </w:r>
      <w:r>
        <w:rPr>
          <w:color w:val="auto"/>
        </w:rPr>
        <w:fldChar w:fldCharType="separate"/>
      </w:r>
      <w:r>
        <w:rPr>
          <w:rFonts w:hint="eastAsia" w:ascii="宋体" w:hAnsi="宋体" w:cs="宋体"/>
          <w:color w:val="auto"/>
        </w:rPr>
        <w:t>相关资质证明文件</w:t>
      </w:r>
      <w:r>
        <w:rPr>
          <w:rFonts w:hint="eastAsia" w:ascii="宋体" w:hAnsi="宋体" w:cs="宋体"/>
          <w:color w:val="auto"/>
        </w:rPr>
        <w:fldChar w:fldCharType="end"/>
      </w:r>
    </w:p>
    <w:p w14:paraId="4227B5D9">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"_Toc19329" </w:instrText>
      </w:r>
      <w:r>
        <w:rPr>
          <w:color w:val="auto"/>
        </w:rPr>
        <w:fldChar w:fldCharType="separate"/>
      </w:r>
      <w:r>
        <w:rPr>
          <w:rFonts w:hint="eastAsia" w:ascii="宋体" w:hAnsi="宋体" w:cs="宋体"/>
          <w:color w:val="auto"/>
        </w:rPr>
        <w:t>在经营活动中没有重大违法记录的书面声明</w:t>
      </w:r>
      <w:r>
        <w:rPr>
          <w:rFonts w:hint="eastAsia" w:ascii="宋体" w:hAnsi="宋体" w:cs="宋体"/>
          <w:color w:val="auto"/>
        </w:rPr>
        <w:fldChar w:fldCharType="end"/>
      </w:r>
    </w:p>
    <w:p w14:paraId="08782239">
      <w:pPr>
        <w:ind w:firstLine="420"/>
        <w:rPr>
          <w:rFonts w:ascii="宋体" w:hAnsi="宋体" w:cs="宋体"/>
          <w:color w:val="auto"/>
        </w:rPr>
      </w:pPr>
      <w:r>
        <w:rPr>
          <w:rFonts w:hint="eastAsia" w:ascii="宋体" w:hAnsi="宋体" w:cs="宋体"/>
          <w:color w:val="auto"/>
        </w:rPr>
        <w:t>未被列入“信用中国”记录失信被执行人或重大税收违法失信主体或政府采购严重违法失信行为记录名单的证明资料</w:t>
      </w:r>
    </w:p>
    <w:p w14:paraId="03C596C3">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"_Toc4049" </w:instrText>
      </w:r>
      <w:r>
        <w:rPr>
          <w:color w:val="auto"/>
        </w:rPr>
        <w:fldChar w:fldCharType="separate"/>
      </w:r>
      <w:r>
        <w:rPr>
          <w:rFonts w:hint="eastAsia" w:ascii="宋体" w:hAnsi="宋体" w:cs="宋体"/>
          <w:color w:val="auto"/>
        </w:rPr>
        <w:t>承诺书</w:t>
      </w:r>
      <w:r>
        <w:rPr>
          <w:rFonts w:hint="eastAsia" w:ascii="宋体" w:hAnsi="宋体" w:cs="宋体"/>
          <w:color w:val="auto"/>
        </w:rPr>
        <w:fldChar w:fldCharType="end"/>
      </w:r>
    </w:p>
    <w:p w14:paraId="4E357734">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"_Toc31380" </w:instrText>
      </w:r>
      <w:r>
        <w:rPr>
          <w:color w:val="auto"/>
        </w:rPr>
        <w:fldChar w:fldCharType="separate"/>
      </w:r>
      <w:r>
        <w:rPr>
          <w:rFonts w:hint="eastAsia" w:ascii="宋体" w:hAnsi="宋体" w:cs="宋体"/>
          <w:color w:val="auto"/>
        </w:rPr>
        <w:t>商务需求条款偏离表</w:t>
      </w:r>
      <w:r>
        <w:rPr>
          <w:rFonts w:hint="eastAsia" w:ascii="宋体" w:hAnsi="宋体" w:cs="宋体"/>
          <w:color w:val="auto"/>
        </w:rPr>
        <w:fldChar w:fldCharType="end"/>
      </w:r>
    </w:p>
    <w:p w14:paraId="742AE0DA">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"_Toc30050" </w:instrText>
      </w:r>
      <w:r>
        <w:rPr>
          <w:color w:val="auto"/>
        </w:rPr>
        <w:fldChar w:fldCharType="separate"/>
      </w:r>
      <w:r>
        <w:rPr>
          <w:rFonts w:hint="eastAsia" w:ascii="宋体" w:hAnsi="宋体" w:cs="宋体"/>
          <w:color w:val="auto"/>
        </w:rPr>
        <w:t>业绩表</w:t>
      </w:r>
      <w:r>
        <w:rPr>
          <w:rFonts w:hint="eastAsia" w:ascii="宋体" w:hAnsi="宋体" w:cs="宋体"/>
          <w:color w:val="auto"/>
        </w:rPr>
        <w:fldChar w:fldCharType="end"/>
      </w:r>
      <w:r>
        <w:rPr>
          <w:rFonts w:hint="eastAsia" w:ascii="宋体" w:hAnsi="宋体" w:cs="宋体"/>
          <w:color w:val="auto"/>
        </w:rPr>
        <w:t>（包括合同复印件、并网证明、验收证明）</w:t>
      </w:r>
    </w:p>
    <w:p w14:paraId="2C00F8AB">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"_Toc27938" </w:instrText>
      </w:r>
      <w:r>
        <w:rPr>
          <w:color w:val="auto"/>
        </w:rPr>
        <w:fldChar w:fldCharType="separate"/>
      </w:r>
      <w:r>
        <w:rPr>
          <w:rFonts w:hint="eastAsia" w:ascii="宋体" w:hAnsi="宋体" w:cs="宋体"/>
          <w:color w:val="auto"/>
        </w:rPr>
        <w:t>联合体协议书（如有）</w:t>
      </w:r>
      <w:r>
        <w:rPr>
          <w:rFonts w:hint="eastAsia" w:ascii="宋体" w:hAnsi="宋体" w:cs="宋体"/>
          <w:color w:val="auto"/>
        </w:rPr>
        <w:fldChar w:fldCharType="end"/>
      </w:r>
    </w:p>
    <w:p w14:paraId="3C507A22">
      <w:pPr>
        <w:pStyle w:val="14"/>
        <w:tabs>
          <w:tab w:val="right" w:leader="dot" w:pos="8306"/>
          <w:tab w:val="clear" w:pos="8296"/>
        </w:tabs>
        <w:ind w:left="0" w:leftChars="0" w:firstLine="420" w:firstLineChars="200"/>
        <w:rPr>
          <w:rFonts w:ascii="宋体" w:hAnsi="宋体" w:cs="宋体"/>
          <w:color w:val="auto"/>
        </w:rPr>
      </w:pPr>
      <w:r>
        <w:rPr>
          <w:rFonts w:hint="eastAsia" w:ascii="宋体" w:hAnsi="宋体" w:cs="宋体"/>
          <w:color w:val="auto"/>
        </w:rPr>
        <w:t>体系认证资料</w:t>
      </w:r>
    </w:p>
    <w:p w14:paraId="766A4529">
      <w:pPr>
        <w:pStyle w:val="14"/>
        <w:tabs>
          <w:tab w:val="right" w:leader="dot" w:pos="8306"/>
          <w:tab w:val="clear" w:pos="8296"/>
        </w:tabs>
        <w:ind w:left="0" w:leftChars="0" w:firstLine="420" w:firstLineChars="200"/>
        <w:rPr>
          <w:rFonts w:ascii="宋体" w:hAnsi="宋体" w:cs="宋体"/>
          <w:color w:val="auto"/>
        </w:rPr>
      </w:pPr>
      <w:r>
        <w:rPr>
          <w:rFonts w:hint="eastAsia" w:ascii="宋体" w:hAnsi="宋体" w:cs="宋体"/>
          <w:color w:val="auto"/>
        </w:rPr>
        <w:t>财务资料</w:t>
      </w:r>
    </w:p>
    <w:p w14:paraId="65EC3BCA">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"_Toc32156" </w:instrText>
      </w:r>
      <w:r>
        <w:rPr>
          <w:color w:val="auto"/>
        </w:rPr>
        <w:fldChar w:fldCharType="separate"/>
      </w:r>
      <w:r>
        <w:rPr>
          <w:rFonts w:hint="eastAsia" w:ascii="宋体" w:hAnsi="宋体" w:cs="宋体"/>
          <w:color w:val="auto"/>
        </w:rPr>
        <w:t>实施本项目的有关人员资料表</w:t>
      </w:r>
      <w:r>
        <w:rPr>
          <w:rFonts w:hint="eastAsia" w:ascii="宋体" w:hAnsi="宋体" w:cs="宋体"/>
          <w:color w:val="auto"/>
        </w:rPr>
        <w:fldChar w:fldCharType="end"/>
      </w:r>
      <w:r>
        <w:rPr>
          <w:rFonts w:hint="eastAsia" w:ascii="宋体" w:hAnsi="宋体" w:cs="宋体"/>
          <w:color w:val="auto"/>
        </w:rPr>
        <w:t>（包括相关人员相关证书资料）</w:t>
      </w:r>
    </w:p>
    <w:p w14:paraId="32BEA500">
      <w:pPr>
        <w:pStyle w:val="14"/>
        <w:tabs>
          <w:tab w:val="right" w:leader="dot" w:pos="8306"/>
          <w:tab w:val="clear" w:pos="8296"/>
        </w:tabs>
        <w:ind w:left="0" w:leftChars="0" w:firstLine="420" w:firstLineChars="200"/>
        <w:rPr>
          <w:rFonts w:ascii="宋体" w:hAnsi="宋体" w:cs="宋体"/>
          <w:color w:val="auto"/>
        </w:rPr>
      </w:pPr>
      <w:r>
        <w:rPr>
          <w:rFonts w:hint="eastAsia" w:ascii="宋体" w:hAnsi="宋体" w:cs="宋体"/>
          <w:color w:val="auto"/>
        </w:rPr>
        <w:t>有关人员近期的社保缴纳情况</w:t>
      </w:r>
    </w:p>
    <w:p w14:paraId="56CCCB10">
      <w:pPr>
        <w:pStyle w:val="14"/>
        <w:tabs>
          <w:tab w:val="right" w:leader="dot" w:pos="8306"/>
          <w:tab w:val="clear" w:pos="8296"/>
        </w:tabs>
        <w:ind w:left="0" w:leftChars="0" w:firstLine="179"/>
        <w:rPr>
          <w:rFonts w:ascii="宋体" w:hAnsi="宋体" w:cs="宋体"/>
          <w:b/>
          <w:bCs/>
          <w:color w:val="auto"/>
          <w:sz w:val="24"/>
          <w:szCs w:val="24"/>
        </w:rPr>
      </w:pPr>
      <w:r>
        <w:rPr>
          <w:color w:val="auto"/>
        </w:rPr>
        <w:fldChar w:fldCharType="begin"/>
      </w:r>
      <w:r>
        <w:rPr>
          <w:color w:val="auto"/>
        </w:rPr>
        <w:instrText xml:space="preserve"> HYPERLINK \l "_Toc16663" </w:instrText>
      </w:r>
      <w:r>
        <w:rPr>
          <w:color w:val="auto"/>
        </w:rPr>
        <w:fldChar w:fldCharType="separate"/>
      </w:r>
      <w:r>
        <w:rPr>
          <w:rFonts w:hint="eastAsia" w:ascii="宋体" w:hAnsi="宋体" w:cs="宋体"/>
          <w:b/>
          <w:bCs/>
          <w:color w:val="auto"/>
          <w:sz w:val="24"/>
          <w:szCs w:val="24"/>
        </w:rPr>
        <w:t>技术文件</w:t>
      </w:r>
      <w:r>
        <w:rPr>
          <w:rFonts w:hint="eastAsia" w:ascii="宋体" w:hAnsi="宋体" w:cs="宋体"/>
          <w:b/>
          <w:bCs/>
          <w:color w:val="auto"/>
          <w:sz w:val="24"/>
          <w:szCs w:val="24"/>
        </w:rPr>
        <w:fldChar w:fldCharType="end"/>
      </w:r>
    </w:p>
    <w:p w14:paraId="09970B65">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"_Toc30859" </w:instrText>
      </w:r>
      <w:r>
        <w:rPr>
          <w:color w:val="auto"/>
        </w:rPr>
        <w:fldChar w:fldCharType="separate"/>
      </w:r>
      <w:r>
        <w:rPr>
          <w:rFonts w:hint="eastAsia" w:ascii="宋体" w:hAnsi="宋体" w:cs="宋体"/>
          <w:color w:val="auto"/>
        </w:rPr>
        <w:t>技术规格偏离表</w:t>
      </w:r>
      <w:r>
        <w:rPr>
          <w:rFonts w:hint="eastAsia" w:ascii="宋体" w:hAnsi="宋体" w:cs="宋体"/>
          <w:color w:val="auto"/>
        </w:rPr>
        <w:fldChar w:fldCharType="end"/>
      </w:r>
    </w:p>
    <w:p w14:paraId="029CC85C">
      <w:pPr>
        <w:pStyle w:val="14"/>
        <w:tabs>
          <w:tab w:val="right" w:leader="dot" w:pos="8306"/>
          <w:tab w:val="clear" w:pos="8296"/>
        </w:tabs>
        <w:ind w:left="0" w:leftChars="0" w:firstLine="420" w:firstLineChars="200"/>
        <w:rPr>
          <w:rFonts w:ascii="宋体" w:hAnsi="宋体" w:cs="宋体"/>
          <w:color w:val="auto"/>
        </w:rPr>
      </w:pPr>
      <w:r>
        <w:rPr>
          <w:color w:val="auto"/>
        </w:rPr>
        <w:fldChar w:fldCharType="begin"/>
      </w:r>
      <w:r>
        <w:rPr>
          <w:color w:val="auto"/>
        </w:rPr>
        <w:instrText xml:space="preserve"> HYPERLINK \l "_Toc18790" </w:instrText>
      </w:r>
      <w:r>
        <w:rPr>
          <w:color w:val="auto"/>
        </w:rPr>
        <w:fldChar w:fldCharType="separate"/>
      </w:r>
      <w:r>
        <w:rPr>
          <w:rFonts w:hint="eastAsia" w:ascii="宋体" w:hAnsi="宋体" w:cs="宋体"/>
          <w:color w:val="auto"/>
        </w:rPr>
        <w:t>项目实施方案</w:t>
      </w:r>
      <w:r>
        <w:rPr>
          <w:rFonts w:hint="eastAsia" w:ascii="宋体" w:hAnsi="宋体" w:cs="宋体"/>
          <w:color w:val="auto"/>
        </w:rPr>
        <w:fldChar w:fldCharType="end"/>
      </w:r>
      <w:r>
        <w:rPr>
          <w:rFonts w:hint="eastAsia" w:ascii="宋体" w:hAnsi="宋体" w:cs="宋体"/>
          <w:color w:val="auto"/>
        </w:rPr>
        <w:t>（包括项目实施方案、质量保证措施方案、售后服务方案、所投产品性能资料等）</w:t>
      </w:r>
    </w:p>
    <w:p w14:paraId="53BF1A68">
      <w:pPr>
        <w:pStyle w:val="14"/>
        <w:tabs>
          <w:tab w:val="right" w:leader="dot" w:pos="8306"/>
          <w:tab w:val="clear" w:pos="8296"/>
        </w:tabs>
        <w:ind w:left="0" w:leftChars="0" w:firstLine="210" w:firstLineChars="100"/>
        <w:rPr>
          <w:rFonts w:ascii="宋体" w:hAnsi="宋体" w:cs="宋体"/>
          <w:b/>
          <w:bCs/>
          <w:color w:val="auto"/>
          <w:sz w:val="24"/>
          <w:szCs w:val="24"/>
        </w:rPr>
      </w:pPr>
      <w:r>
        <w:rPr>
          <w:color w:val="auto"/>
        </w:rPr>
        <w:fldChar w:fldCharType="begin"/>
      </w:r>
      <w:r>
        <w:rPr>
          <w:color w:val="auto"/>
        </w:rPr>
        <w:instrText xml:space="preserve"> HYPERLINK \l "_Toc13443" </w:instrText>
      </w:r>
      <w:r>
        <w:rPr>
          <w:color w:val="auto"/>
        </w:rPr>
        <w:fldChar w:fldCharType="separate"/>
      </w:r>
      <w:r>
        <w:rPr>
          <w:rFonts w:hint="eastAsia" w:ascii="宋体" w:hAnsi="宋体" w:cs="宋体"/>
          <w:b/>
          <w:bCs/>
          <w:color w:val="auto"/>
          <w:sz w:val="24"/>
          <w:szCs w:val="24"/>
        </w:rPr>
        <w:t>唱标信封</w:t>
      </w:r>
      <w:r>
        <w:rPr>
          <w:rFonts w:hint="eastAsia" w:ascii="宋体" w:hAnsi="宋体" w:cs="宋体"/>
          <w:b/>
          <w:bCs/>
          <w:color w:val="auto"/>
          <w:sz w:val="24"/>
          <w:szCs w:val="24"/>
        </w:rPr>
        <w:fldChar w:fldCharType="end"/>
      </w:r>
    </w:p>
    <w:p w14:paraId="6564EF55">
      <w:pPr>
        <w:pStyle w:val="14"/>
        <w:tabs>
          <w:tab w:val="right" w:leader="dot" w:pos="8306"/>
          <w:tab w:val="clear" w:pos="8296"/>
        </w:tabs>
        <w:ind w:left="0" w:leftChars="0" w:firstLine="420" w:firstLineChars="200"/>
        <w:rPr>
          <w:rFonts w:ascii="宋体" w:hAnsi="宋体" w:cs="宋体"/>
          <w:color w:val="auto"/>
        </w:rPr>
      </w:pPr>
      <w:r>
        <w:rPr>
          <w:rFonts w:hint="eastAsia" w:ascii="宋体" w:hAnsi="宋体" w:cs="宋体"/>
          <w:color w:val="auto"/>
        </w:rPr>
        <w:t>开标一览表</w:t>
      </w:r>
    </w:p>
    <w:p w14:paraId="6C3E81C4">
      <w:pPr>
        <w:pStyle w:val="14"/>
        <w:tabs>
          <w:tab w:val="right" w:leader="dot" w:pos="8306"/>
          <w:tab w:val="clear" w:pos="8296"/>
        </w:tabs>
        <w:ind w:left="0" w:leftChars="0" w:firstLine="420" w:firstLineChars="200"/>
        <w:rPr>
          <w:rFonts w:ascii="宋体" w:hAnsi="宋体" w:cs="宋体"/>
          <w:color w:val="auto"/>
        </w:rPr>
      </w:pPr>
      <w:r>
        <w:rPr>
          <w:rFonts w:hint="eastAsia" w:ascii="宋体" w:hAnsi="宋体" w:cs="宋体"/>
          <w:color w:val="auto"/>
        </w:rPr>
        <w:t>法定代表人证明书</w:t>
      </w:r>
    </w:p>
    <w:p w14:paraId="35054001">
      <w:pPr>
        <w:pStyle w:val="14"/>
        <w:tabs>
          <w:tab w:val="right" w:leader="dot" w:pos="8306"/>
          <w:tab w:val="clear" w:pos="8296"/>
        </w:tabs>
        <w:ind w:left="0" w:leftChars="0" w:firstLine="420" w:firstLineChars="200"/>
        <w:rPr>
          <w:rFonts w:ascii="宋体" w:hAnsi="宋体" w:cs="宋体"/>
          <w:color w:val="auto"/>
        </w:rPr>
      </w:pPr>
      <w:r>
        <w:rPr>
          <w:rFonts w:hint="eastAsia" w:ascii="宋体" w:hAnsi="宋体" w:cs="宋体"/>
          <w:color w:val="auto"/>
        </w:rPr>
        <w:t>法定代表人授权委托书加盖公章</w:t>
      </w:r>
    </w:p>
    <w:p w14:paraId="25752D53">
      <w:pPr>
        <w:pStyle w:val="14"/>
        <w:tabs>
          <w:tab w:val="right" w:leader="dot" w:pos="8306"/>
          <w:tab w:val="clear" w:pos="8296"/>
        </w:tabs>
        <w:ind w:left="0" w:leftChars="0" w:firstLine="420" w:firstLineChars="200"/>
        <w:rPr>
          <w:rFonts w:ascii="宋体" w:hAnsi="宋体" w:cs="宋体"/>
          <w:color w:val="auto"/>
        </w:rPr>
      </w:pPr>
      <w:r>
        <w:rPr>
          <w:rFonts w:hint="eastAsia" w:ascii="宋体" w:hAnsi="宋体" w:cs="宋体"/>
          <w:color w:val="auto"/>
        </w:rPr>
        <w:t>投标保证金汇入情况说明（含银行汇款凭证）</w:t>
      </w:r>
    </w:p>
    <w:p w14:paraId="1B587D28">
      <w:pPr>
        <w:pStyle w:val="14"/>
        <w:tabs>
          <w:tab w:val="right" w:leader="dot" w:pos="8306"/>
          <w:tab w:val="clear" w:pos="8296"/>
        </w:tabs>
        <w:ind w:left="0" w:leftChars="0" w:firstLine="420" w:firstLineChars="200"/>
        <w:rPr>
          <w:rFonts w:ascii="宋体" w:hAnsi="宋体" w:cs="宋体"/>
          <w:color w:val="auto"/>
        </w:rPr>
      </w:pPr>
      <w:r>
        <w:rPr>
          <w:rFonts w:hint="eastAsia" w:ascii="宋体" w:hAnsi="宋体" w:cs="宋体"/>
          <w:color w:val="auto"/>
        </w:rPr>
        <w:t>投标文件电子文件（U盘）</w:t>
      </w:r>
    </w:p>
    <w:p w14:paraId="2CC61D42">
      <w:pPr>
        <w:adjustRightInd/>
        <w:snapToGrid/>
        <w:spacing w:line="276" w:lineRule="auto"/>
        <w:rPr>
          <w:rFonts w:ascii="宋体" w:hAnsi="宋体"/>
          <w:color w:val="auto"/>
          <w:szCs w:val="21"/>
        </w:rPr>
      </w:pPr>
    </w:p>
    <w:p w14:paraId="475D2985">
      <w:pPr>
        <w:adjustRightInd/>
        <w:snapToGrid/>
        <w:spacing w:line="276" w:lineRule="auto"/>
        <w:rPr>
          <w:rFonts w:ascii="宋体" w:hAnsi="宋体"/>
          <w:color w:val="auto"/>
          <w:szCs w:val="21"/>
        </w:rPr>
      </w:pPr>
    </w:p>
    <w:p w14:paraId="5C0EA42A">
      <w:pPr>
        <w:adjustRightInd/>
        <w:snapToGrid/>
        <w:spacing w:line="276" w:lineRule="auto"/>
        <w:rPr>
          <w:rFonts w:ascii="宋体" w:hAnsi="宋体"/>
          <w:b/>
          <w:bCs/>
          <w:color w:val="auto"/>
          <w:szCs w:val="21"/>
        </w:rPr>
      </w:pPr>
      <w:r>
        <w:rPr>
          <w:rFonts w:hint="eastAsia" w:ascii="宋体" w:hAnsi="宋体"/>
          <w:b/>
          <w:bCs/>
          <w:color w:val="auto"/>
          <w:szCs w:val="21"/>
        </w:rPr>
        <w:t>注：</w:t>
      </w:r>
    </w:p>
    <w:p w14:paraId="38BCB8B9">
      <w:pPr>
        <w:adjustRightInd/>
        <w:snapToGrid/>
        <w:spacing w:line="276" w:lineRule="auto"/>
        <w:rPr>
          <w:rFonts w:ascii="宋体" w:hAnsi="宋体"/>
          <w:color w:val="auto"/>
          <w:szCs w:val="21"/>
        </w:rPr>
      </w:pPr>
      <w:r>
        <w:rPr>
          <w:rFonts w:hint="eastAsia" w:ascii="宋体" w:hAnsi="宋体"/>
          <w:b/>
          <w:bCs/>
          <w:color w:val="auto"/>
          <w:szCs w:val="21"/>
        </w:rPr>
        <w:t>1、投标人制作的投标文件时应当具备目录，并自行根据投标文件内容进行调整。</w:t>
      </w:r>
      <w:r>
        <w:rPr>
          <w:rFonts w:ascii="宋体" w:hAnsi="宋体"/>
          <w:color w:val="auto"/>
          <w:szCs w:val="21"/>
        </w:rPr>
        <w:br w:type="page"/>
      </w:r>
    </w:p>
    <w:p w14:paraId="3B076667">
      <w:pPr>
        <w:pStyle w:val="5"/>
        <w:widowControl w:val="0"/>
        <w:overflowPunct w:val="0"/>
        <w:spacing w:line="240" w:lineRule="auto"/>
        <w:rPr>
          <w:rFonts w:ascii="宋体" w:hAnsi="宋体"/>
          <w:color w:val="auto"/>
          <w:sz w:val="21"/>
          <w:szCs w:val="21"/>
        </w:rPr>
      </w:pPr>
      <w:bookmarkStart w:id="327" w:name="_Toc25753"/>
      <w:bookmarkStart w:id="328" w:name="_Toc25538"/>
      <w:bookmarkStart w:id="329" w:name="_Toc13671"/>
      <w:bookmarkStart w:id="330" w:name="_Toc22466"/>
      <w:r>
        <w:rPr>
          <w:rFonts w:hint="eastAsia" w:ascii="宋体" w:hAnsi="宋体"/>
          <w:color w:val="auto"/>
          <w:sz w:val="21"/>
          <w:szCs w:val="21"/>
        </w:rPr>
        <w:t>附件1.评分标准索引表</w:t>
      </w:r>
      <w:bookmarkEnd w:id="327"/>
      <w:bookmarkEnd w:id="328"/>
      <w:bookmarkEnd w:id="329"/>
      <w:bookmarkEnd w:id="330"/>
    </w:p>
    <w:p w14:paraId="25F0450D">
      <w:pPr>
        <w:adjustRightInd/>
        <w:snapToGrid/>
        <w:spacing w:line="276" w:lineRule="auto"/>
        <w:rPr>
          <w:rFonts w:ascii="宋体" w:hAnsi="宋体"/>
          <w:color w:val="auto"/>
          <w:szCs w:val="21"/>
        </w:rPr>
      </w:pPr>
    </w:p>
    <w:p w14:paraId="0D95D014">
      <w:pPr>
        <w:jc w:val="center"/>
        <w:rPr>
          <w:rFonts w:ascii="兰米黑体" w:eastAsia="兰米黑体"/>
          <w:color w:val="auto"/>
          <w:sz w:val="32"/>
          <w:szCs w:val="32"/>
        </w:rPr>
      </w:pPr>
      <w:r>
        <w:rPr>
          <w:rFonts w:hint="eastAsia" w:ascii="兰米黑体" w:eastAsia="兰米黑体"/>
          <w:color w:val="auto"/>
          <w:sz w:val="32"/>
          <w:szCs w:val="32"/>
        </w:rPr>
        <w:t>评分标准索引表</w:t>
      </w:r>
    </w:p>
    <w:tbl>
      <w:tblPr>
        <w:tblStyle w:val="3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14B3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14:paraId="475C4643">
            <w:pPr>
              <w:jc w:val="center"/>
              <w:rPr>
                <w:rFonts w:ascii="宋体" w:hAnsi="宋体" w:cs="宋体"/>
                <w:color w:val="auto"/>
              </w:rPr>
            </w:pPr>
            <w:r>
              <w:rPr>
                <w:rFonts w:hint="eastAsia" w:ascii="宋体" w:hAnsi="宋体" w:cs="宋体"/>
                <w:color w:val="auto"/>
              </w:rPr>
              <w:t>序号</w:t>
            </w:r>
          </w:p>
        </w:tc>
        <w:tc>
          <w:tcPr>
            <w:tcW w:w="1704" w:type="dxa"/>
            <w:vAlign w:val="center"/>
          </w:tcPr>
          <w:p w14:paraId="3A005E9E">
            <w:pPr>
              <w:jc w:val="center"/>
              <w:rPr>
                <w:rFonts w:ascii="宋体" w:hAnsi="宋体" w:cs="宋体"/>
                <w:color w:val="auto"/>
              </w:rPr>
            </w:pPr>
            <w:r>
              <w:rPr>
                <w:rFonts w:hint="eastAsia" w:ascii="宋体" w:hAnsi="宋体" w:cs="宋体"/>
                <w:color w:val="auto"/>
              </w:rPr>
              <w:t>评审项目</w:t>
            </w:r>
          </w:p>
        </w:tc>
        <w:tc>
          <w:tcPr>
            <w:tcW w:w="1704" w:type="dxa"/>
            <w:vAlign w:val="center"/>
          </w:tcPr>
          <w:p w14:paraId="3B3AAAEA">
            <w:pPr>
              <w:jc w:val="center"/>
              <w:rPr>
                <w:rFonts w:ascii="宋体" w:hAnsi="宋体" w:cs="宋体"/>
                <w:color w:val="auto"/>
              </w:rPr>
            </w:pPr>
            <w:r>
              <w:rPr>
                <w:rFonts w:hint="eastAsia" w:ascii="宋体" w:hAnsi="宋体" w:cs="宋体"/>
                <w:color w:val="auto"/>
              </w:rPr>
              <w:t>评审细则</w:t>
            </w:r>
          </w:p>
        </w:tc>
        <w:tc>
          <w:tcPr>
            <w:tcW w:w="1705" w:type="dxa"/>
            <w:vAlign w:val="center"/>
          </w:tcPr>
          <w:p w14:paraId="54BBB2D7">
            <w:pPr>
              <w:jc w:val="center"/>
              <w:rPr>
                <w:rFonts w:ascii="宋体" w:hAnsi="宋体" w:cs="宋体"/>
                <w:color w:val="auto"/>
              </w:rPr>
            </w:pPr>
            <w:r>
              <w:rPr>
                <w:rFonts w:hint="eastAsia" w:ascii="宋体" w:hAnsi="宋体" w:cs="宋体"/>
                <w:color w:val="auto"/>
              </w:rPr>
              <w:t>分值</w:t>
            </w:r>
          </w:p>
        </w:tc>
        <w:tc>
          <w:tcPr>
            <w:tcW w:w="1705" w:type="dxa"/>
            <w:vAlign w:val="center"/>
          </w:tcPr>
          <w:p w14:paraId="3FC8C828">
            <w:pPr>
              <w:jc w:val="center"/>
              <w:rPr>
                <w:rFonts w:ascii="宋体" w:hAnsi="宋体" w:cs="宋体"/>
                <w:color w:val="auto"/>
              </w:rPr>
            </w:pPr>
            <w:r>
              <w:rPr>
                <w:rFonts w:hint="eastAsia" w:ascii="宋体" w:hAnsi="宋体" w:cs="宋体"/>
                <w:color w:val="auto"/>
              </w:rPr>
              <w:t>页码范围</w:t>
            </w:r>
          </w:p>
        </w:tc>
      </w:tr>
      <w:tr w14:paraId="41FB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4795340F">
            <w:pPr>
              <w:rPr>
                <w:rFonts w:ascii="宋体" w:hAnsi="宋体" w:cs="宋体"/>
                <w:color w:val="auto"/>
              </w:rPr>
            </w:pPr>
            <w:r>
              <w:rPr>
                <w:rFonts w:hint="eastAsia" w:ascii="宋体" w:hAnsi="宋体" w:cs="宋体"/>
                <w:color w:val="auto"/>
              </w:rPr>
              <w:t>商务评审</w:t>
            </w:r>
          </w:p>
        </w:tc>
      </w:tr>
      <w:tr w14:paraId="4292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567D3E6A">
            <w:pPr>
              <w:jc w:val="center"/>
              <w:rPr>
                <w:rFonts w:ascii="宋体" w:hAnsi="宋体" w:cs="宋体"/>
                <w:color w:val="auto"/>
              </w:rPr>
            </w:pPr>
          </w:p>
        </w:tc>
        <w:tc>
          <w:tcPr>
            <w:tcW w:w="1704" w:type="dxa"/>
            <w:vAlign w:val="center"/>
          </w:tcPr>
          <w:p w14:paraId="1DD045CC">
            <w:pPr>
              <w:jc w:val="center"/>
              <w:rPr>
                <w:rFonts w:ascii="宋体" w:hAnsi="宋体" w:cs="宋体"/>
                <w:color w:val="auto"/>
              </w:rPr>
            </w:pPr>
          </w:p>
        </w:tc>
        <w:tc>
          <w:tcPr>
            <w:tcW w:w="1704" w:type="dxa"/>
            <w:vAlign w:val="center"/>
          </w:tcPr>
          <w:p w14:paraId="5A125C0E">
            <w:pPr>
              <w:jc w:val="center"/>
              <w:rPr>
                <w:rFonts w:ascii="宋体" w:hAnsi="宋体" w:cs="宋体"/>
                <w:color w:val="auto"/>
              </w:rPr>
            </w:pPr>
          </w:p>
        </w:tc>
        <w:tc>
          <w:tcPr>
            <w:tcW w:w="1705" w:type="dxa"/>
            <w:vAlign w:val="center"/>
          </w:tcPr>
          <w:p w14:paraId="0D6260BA">
            <w:pPr>
              <w:jc w:val="center"/>
              <w:rPr>
                <w:rFonts w:ascii="宋体" w:hAnsi="宋体" w:cs="宋体"/>
                <w:color w:val="auto"/>
              </w:rPr>
            </w:pPr>
          </w:p>
        </w:tc>
        <w:tc>
          <w:tcPr>
            <w:tcW w:w="1705" w:type="dxa"/>
            <w:vAlign w:val="center"/>
          </w:tcPr>
          <w:p w14:paraId="122578AB">
            <w:pPr>
              <w:jc w:val="center"/>
              <w:rPr>
                <w:rFonts w:ascii="宋体" w:hAnsi="宋体" w:cs="宋体"/>
                <w:color w:val="auto"/>
              </w:rPr>
            </w:pPr>
          </w:p>
        </w:tc>
      </w:tr>
      <w:tr w14:paraId="551D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1BC0C319">
            <w:pPr>
              <w:jc w:val="center"/>
              <w:rPr>
                <w:rFonts w:ascii="宋体" w:hAnsi="宋体" w:cs="宋体"/>
                <w:color w:val="auto"/>
              </w:rPr>
            </w:pPr>
          </w:p>
        </w:tc>
        <w:tc>
          <w:tcPr>
            <w:tcW w:w="1704" w:type="dxa"/>
            <w:vAlign w:val="center"/>
          </w:tcPr>
          <w:p w14:paraId="4D095A0B">
            <w:pPr>
              <w:jc w:val="center"/>
              <w:rPr>
                <w:rFonts w:ascii="宋体" w:hAnsi="宋体" w:cs="宋体"/>
                <w:color w:val="auto"/>
              </w:rPr>
            </w:pPr>
          </w:p>
        </w:tc>
        <w:tc>
          <w:tcPr>
            <w:tcW w:w="1704" w:type="dxa"/>
            <w:vAlign w:val="center"/>
          </w:tcPr>
          <w:p w14:paraId="7AD0282B">
            <w:pPr>
              <w:jc w:val="center"/>
              <w:rPr>
                <w:rFonts w:ascii="宋体" w:hAnsi="宋体" w:cs="宋体"/>
                <w:color w:val="auto"/>
              </w:rPr>
            </w:pPr>
          </w:p>
        </w:tc>
        <w:tc>
          <w:tcPr>
            <w:tcW w:w="1705" w:type="dxa"/>
            <w:vAlign w:val="center"/>
          </w:tcPr>
          <w:p w14:paraId="1EA1E119">
            <w:pPr>
              <w:jc w:val="center"/>
              <w:rPr>
                <w:rFonts w:ascii="宋体" w:hAnsi="宋体" w:cs="宋体"/>
                <w:color w:val="auto"/>
              </w:rPr>
            </w:pPr>
          </w:p>
        </w:tc>
        <w:tc>
          <w:tcPr>
            <w:tcW w:w="1705" w:type="dxa"/>
            <w:vAlign w:val="center"/>
          </w:tcPr>
          <w:p w14:paraId="43455014">
            <w:pPr>
              <w:jc w:val="center"/>
              <w:rPr>
                <w:rFonts w:ascii="宋体" w:hAnsi="宋体" w:cs="宋体"/>
                <w:color w:val="auto"/>
              </w:rPr>
            </w:pPr>
          </w:p>
        </w:tc>
      </w:tr>
      <w:tr w14:paraId="2DF5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7553FBB2">
            <w:pPr>
              <w:jc w:val="center"/>
              <w:rPr>
                <w:rFonts w:ascii="宋体" w:hAnsi="宋体" w:cs="宋体"/>
                <w:color w:val="auto"/>
              </w:rPr>
            </w:pPr>
          </w:p>
        </w:tc>
        <w:tc>
          <w:tcPr>
            <w:tcW w:w="1704" w:type="dxa"/>
            <w:vAlign w:val="center"/>
          </w:tcPr>
          <w:p w14:paraId="31EBD965">
            <w:pPr>
              <w:jc w:val="center"/>
              <w:rPr>
                <w:rFonts w:ascii="宋体" w:hAnsi="宋体" w:cs="宋体"/>
                <w:color w:val="auto"/>
              </w:rPr>
            </w:pPr>
          </w:p>
        </w:tc>
        <w:tc>
          <w:tcPr>
            <w:tcW w:w="1704" w:type="dxa"/>
            <w:vAlign w:val="center"/>
          </w:tcPr>
          <w:p w14:paraId="3FFFC9BD">
            <w:pPr>
              <w:jc w:val="center"/>
              <w:rPr>
                <w:rFonts w:ascii="宋体" w:hAnsi="宋体" w:cs="宋体"/>
                <w:color w:val="auto"/>
              </w:rPr>
            </w:pPr>
          </w:p>
        </w:tc>
        <w:tc>
          <w:tcPr>
            <w:tcW w:w="1705" w:type="dxa"/>
            <w:vAlign w:val="center"/>
          </w:tcPr>
          <w:p w14:paraId="52EB2D87">
            <w:pPr>
              <w:jc w:val="center"/>
              <w:rPr>
                <w:rFonts w:ascii="宋体" w:hAnsi="宋体" w:cs="宋体"/>
                <w:color w:val="auto"/>
              </w:rPr>
            </w:pPr>
          </w:p>
        </w:tc>
        <w:tc>
          <w:tcPr>
            <w:tcW w:w="1705" w:type="dxa"/>
            <w:vAlign w:val="center"/>
          </w:tcPr>
          <w:p w14:paraId="233E7407">
            <w:pPr>
              <w:jc w:val="center"/>
              <w:rPr>
                <w:rFonts w:ascii="宋体" w:hAnsi="宋体" w:cs="宋体"/>
                <w:color w:val="auto"/>
              </w:rPr>
            </w:pPr>
          </w:p>
        </w:tc>
      </w:tr>
      <w:tr w14:paraId="03F5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5124985A">
            <w:pPr>
              <w:rPr>
                <w:rFonts w:ascii="宋体" w:hAnsi="宋体" w:cs="宋体"/>
                <w:color w:val="auto"/>
              </w:rPr>
            </w:pPr>
            <w:r>
              <w:rPr>
                <w:rFonts w:hint="eastAsia" w:ascii="宋体" w:hAnsi="宋体" w:cs="宋体"/>
                <w:color w:val="auto"/>
              </w:rPr>
              <w:t>技术评审</w:t>
            </w:r>
          </w:p>
        </w:tc>
      </w:tr>
      <w:tr w14:paraId="04AF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0146EE78">
            <w:pPr>
              <w:jc w:val="center"/>
              <w:rPr>
                <w:rFonts w:ascii="宋体" w:hAnsi="宋体" w:cs="宋体"/>
                <w:color w:val="auto"/>
              </w:rPr>
            </w:pPr>
          </w:p>
        </w:tc>
        <w:tc>
          <w:tcPr>
            <w:tcW w:w="1704" w:type="dxa"/>
            <w:vAlign w:val="center"/>
          </w:tcPr>
          <w:p w14:paraId="19371590">
            <w:pPr>
              <w:jc w:val="center"/>
              <w:rPr>
                <w:rFonts w:ascii="宋体" w:hAnsi="宋体" w:cs="宋体"/>
                <w:color w:val="auto"/>
              </w:rPr>
            </w:pPr>
          </w:p>
        </w:tc>
        <w:tc>
          <w:tcPr>
            <w:tcW w:w="1704" w:type="dxa"/>
            <w:vAlign w:val="center"/>
          </w:tcPr>
          <w:p w14:paraId="7142EFFB">
            <w:pPr>
              <w:jc w:val="center"/>
              <w:rPr>
                <w:rFonts w:ascii="宋体" w:hAnsi="宋体" w:cs="宋体"/>
                <w:color w:val="auto"/>
              </w:rPr>
            </w:pPr>
          </w:p>
        </w:tc>
        <w:tc>
          <w:tcPr>
            <w:tcW w:w="1705" w:type="dxa"/>
            <w:vAlign w:val="center"/>
          </w:tcPr>
          <w:p w14:paraId="2FFD5E24">
            <w:pPr>
              <w:jc w:val="center"/>
              <w:rPr>
                <w:rFonts w:ascii="宋体" w:hAnsi="宋体" w:cs="宋体"/>
                <w:color w:val="auto"/>
              </w:rPr>
            </w:pPr>
          </w:p>
        </w:tc>
        <w:tc>
          <w:tcPr>
            <w:tcW w:w="1705" w:type="dxa"/>
            <w:vAlign w:val="center"/>
          </w:tcPr>
          <w:p w14:paraId="2611672B">
            <w:pPr>
              <w:jc w:val="center"/>
              <w:rPr>
                <w:rFonts w:ascii="宋体" w:hAnsi="宋体" w:cs="宋体"/>
                <w:color w:val="auto"/>
              </w:rPr>
            </w:pPr>
          </w:p>
        </w:tc>
      </w:tr>
      <w:tr w14:paraId="3BD8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5F93B11B">
            <w:pPr>
              <w:jc w:val="center"/>
              <w:rPr>
                <w:rFonts w:ascii="宋体" w:hAnsi="宋体" w:cs="宋体"/>
                <w:color w:val="auto"/>
              </w:rPr>
            </w:pPr>
          </w:p>
        </w:tc>
        <w:tc>
          <w:tcPr>
            <w:tcW w:w="1704" w:type="dxa"/>
            <w:vAlign w:val="center"/>
          </w:tcPr>
          <w:p w14:paraId="3FFE3246">
            <w:pPr>
              <w:jc w:val="center"/>
              <w:rPr>
                <w:rFonts w:ascii="宋体" w:hAnsi="宋体" w:cs="宋体"/>
                <w:color w:val="auto"/>
              </w:rPr>
            </w:pPr>
          </w:p>
        </w:tc>
        <w:tc>
          <w:tcPr>
            <w:tcW w:w="1704" w:type="dxa"/>
            <w:vAlign w:val="center"/>
          </w:tcPr>
          <w:p w14:paraId="15DB7CA0">
            <w:pPr>
              <w:jc w:val="center"/>
              <w:rPr>
                <w:rFonts w:ascii="宋体" w:hAnsi="宋体" w:cs="宋体"/>
                <w:color w:val="auto"/>
              </w:rPr>
            </w:pPr>
          </w:p>
        </w:tc>
        <w:tc>
          <w:tcPr>
            <w:tcW w:w="1705" w:type="dxa"/>
            <w:vAlign w:val="center"/>
          </w:tcPr>
          <w:p w14:paraId="2048CDC2">
            <w:pPr>
              <w:jc w:val="center"/>
              <w:rPr>
                <w:rFonts w:ascii="宋体" w:hAnsi="宋体" w:cs="宋体"/>
                <w:color w:val="auto"/>
              </w:rPr>
            </w:pPr>
          </w:p>
        </w:tc>
        <w:tc>
          <w:tcPr>
            <w:tcW w:w="1705" w:type="dxa"/>
            <w:vAlign w:val="center"/>
          </w:tcPr>
          <w:p w14:paraId="240A57D5">
            <w:pPr>
              <w:jc w:val="center"/>
              <w:rPr>
                <w:rFonts w:ascii="宋体" w:hAnsi="宋体" w:cs="宋体"/>
                <w:color w:val="auto"/>
              </w:rPr>
            </w:pPr>
          </w:p>
        </w:tc>
      </w:tr>
      <w:tr w14:paraId="5E8E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71B77226">
            <w:pPr>
              <w:jc w:val="center"/>
              <w:rPr>
                <w:rFonts w:ascii="宋体" w:hAnsi="宋体" w:cs="宋体"/>
                <w:color w:val="auto"/>
              </w:rPr>
            </w:pPr>
          </w:p>
        </w:tc>
        <w:tc>
          <w:tcPr>
            <w:tcW w:w="1704" w:type="dxa"/>
            <w:vAlign w:val="center"/>
          </w:tcPr>
          <w:p w14:paraId="25A319B0">
            <w:pPr>
              <w:jc w:val="center"/>
              <w:rPr>
                <w:rFonts w:ascii="宋体" w:hAnsi="宋体" w:cs="宋体"/>
                <w:color w:val="auto"/>
              </w:rPr>
            </w:pPr>
          </w:p>
        </w:tc>
        <w:tc>
          <w:tcPr>
            <w:tcW w:w="1704" w:type="dxa"/>
            <w:vAlign w:val="center"/>
          </w:tcPr>
          <w:p w14:paraId="7D1D2E67">
            <w:pPr>
              <w:jc w:val="center"/>
              <w:rPr>
                <w:rFonts w:ascii="宋体" w:hAnsi="宋体" w:cs="宋体"/>
                <w:color w:val="auto"/>
              </w:rPr>
            </w:pPr>
          </w:p>
        </w:tc>
        <w:tc>
          <w:tcPr>
            <w:tcW w:w="1705" w:type="dxa"/>
            <w:vAlign w:val="center"/>
          </w:tcPr>
          <w:p w14:paraId="638A31D5">
            <w:pPr>
              <w:jc w:val="center"/>
              <w:rPr>
                <w:rFonts w:ascii="宋体" w:hAnsi="宋体" w:cs="宋体"/>
                <w:color w:val="auto"/>
              </w:rPr>
            </w:pPr>
          </w:p>
        </w:tc>
        <w:tc>
          <w:tcPr>
            <w:tcW w:w="1705" w:type="dxa"/>
            <w:vAlign w:val="center"/>
          </w:tcPr>
          <w:p w14:paraId="47A6A181">
            <w:pPr>
              <w:jc w:val="center"/>
              <w:rPr>
                <w:rFonts w:ascii="宋体" w:hAnsi="宋体" w:cs="宋体"/>
                <w:color w:val="auto"/>
              </w:rPr>
            </w:pPr>
          </w:p>
        </w:tc>
      </w:tr>
    </w:tbl>
    <w:p w14:paraId="2175148A">
      <w:pPr>
        <w:rPr>
          <w:rFonts w:ascii="宋体" w:hAnsi="宋体"/>
          <w:color w:val="auto"/>
          <w:szCs w:val="21"/>
        </w:rPr>
      </w:pPr>
    </w:p>
    <w:p w14:paraId="23A1C00F">
      <w:pPr>
        <w:rPr>
          <w:rFonts w:ascii="宋体" w:hAnsi="宋体"/>
          <w:color w:val="auto"/>
          <w:szCs w:val="21"/>
        </w:rPr>
      </w:pPr>
      <w:r>
        <w:rPr>
          <w:rFonts w:hint="eastAsia" w:ascii="宋体" w:hAnsi="宋体"/>
          <w:color w:val="auto"/>
          <w:szCs w:val="21"/>
        </w:rPr>
        <w:t>注：</w:t>
      </w:r>
    </w:p>
    <w:p w14:paraId="0F51D5B2">
      <w:pPr>
        <w:numPr>
          <w:ilvl w:val="0"/>
          <w:numId w:val="9"/>
        </w:numPr>
        <w:rPr>
          <w:rFonts w:ascii="宋体" w:hAnsi="宋体"/>
          <w:color w:val="auto"/>
          <w:szCs w:val="21"/>
        </w:rPr>
      </w:pPr>
      <w:r>
        <w:rPr>
          <w:rFonts w:hint="eastAsia" w:ascii="宋体" w:hAnsi="宋体"/>
          <w:color w:val="auto"/>
          <w:szCs w:val="21"/>
        </w:rPr>
        <w:t>该表格为参考格式，投标人可按实际情况自行制订评分标准索引表。</w:t>
      </w:r>
    </w:p>
    <w:p w14:paraId="517FC3C3">
      <w:pPr>
        <w:pStyle w:val="11"/>
        <w:spacing w:before="0"/>
        <w:ind w:left="0"/>
        <w:rPr>
          <w:color w:val="auto"/>
        </w:rPr>
      </w:pPr>
    </w:p>
    <w:p w14:paraId="2D85EF3A">
      <w:pPr>
        <w:adjustRightInd/>
        <w:snapToGrid/>
        <w:spacing w:line="276" w:lineRule="auto"/>
        <w:rPr>
          <w:rFonts w:ascii="宋体" w:hAnsi="宋体"/>
          <w:color w:val="auto"/>
          <w:szCs w:val="21"/>
        </w:rPr>
      </w:pPr>
    </w:p>
    <w:p w14:paraId="06374051">
      <w:pPr>
        <w:adjustRightInd/>
        <w:snapToGrid/>
        <w:spacing w:line="276" w:lineRule="auto"/>
        <w:rPr>
          <w:rFonts w:ascii="宋体" w:hAnsi="宋体"/>
          <w:color w:val="auto"/>
          <w:szCs w:val="21"/>
        </w:rPr>
      </w:pPr>
    </w:p>
    <w:p w14:paraId="10AB1867">
      <w:pPr>
        <w:adjustRightInd/>
        <w:snapToGrid/>
        <w:spacing w:line="276" w:lineRule="auto"/>
        <w:rPr>
          <w:rFonts w:ascii="宋体" w:hAnsi="宋体"/>
          <w:color w:val="auto"/>
          <w:szCs w:val="21"/>
        </w:rPr>
      </w:pPr>
    </w:p>
    <w:p w14:paraId="0ED3EB02">
      <w:pPr>
        <w:adjustRightInd/>
        <w:snapToGrid/>
        <w:spacing w:line="276" w:lineRule="auto"/>
        <w:rPr>
          <w:rFonts w:ascii="宋体" w:hAnsi="宋体"/>
          <w:color w:val="auto"/>
          <w:szCs w:val="21"/>
        </w:rPr>
      </w:pPr>
    </w:p>
    <w:p w14:paraId="72EB590E">
      <w:pPr>
        <w:adjustRightInd/>
        <w:snapToGrid/>
        <w:spacing w:line="276" w:lineRule="auto"/>
        <w:rPr>
          <w:rFonts w:ascii="宋体" w:hAnsi="宋体"/>
          <w:color w:val="auto"/>
          <w:szCs w:val="21"/>
        </w:rPr>
      </w:pPr>
    </w:p>
    <w:p w14:paraId="49C46A2B">
      <w:pPr>
        <w:adjustRightInd/>
        <w:snapToGrid/>
        <w:spacing w:line="276" w:lineRule="auto"/>
        <w:rPr>
          <w:rFonts w:ascii="宋体" w:hAnsi="宋体"/>
          <w:color w:val="auto"/>
          <w:szCs w:val="21"/>
        </w:rPr>
      </w:pPr>
      <w:r>
        <w:rPr>
          <w:rFonts w:ascii="宋体" w:hAnsi="宋体"/>
          <w:color w:val="auto"/>
          <w:szCs w:val="21"/>
        </w:rPr>
        <w:br w:type="page"/>
      </w:r>
    </w:p>
    <w:p w14:paraId="0F29C5AC">
      <w:pPr>
        <w:jc w:val="center"/>
        <w:rPr>
          <w:rFonts w:ascii="兰米黑体" w:eastAsia="兰米黑体"/>
          <w:color w:val="auto"/>
          <w:sz w:val="52"/>
          <w:szCs w:val="52"/>
        </w:rPr>
      </w:pPr>
      <w:bookmarkStart w:id="331" w:name="_Toc18450"/>
      <w:bookmarkStart w:id="332" w:name="_Toc30918"/>
      <w:bookmarkStart w:id="333" w:name="_Toc21746"/>
      <w:bookmarkStart w:id="334" w:name="_Toc20335"/>
      <w:bookmarkStart w:id="335" w:name="_Toc28154"/>
    </w:p>
    <w:p w14:paraId="509106FD">
      <w:pPr>
        <w:pStyle w:val="3"/>
        <w:spacing w:before="0" w:after="0" w:line="360" w:lineRule="auto"/>
        <w:jc w:val="center"/>
        <w:rPr>
          <w:color w:val="auto"/>
          <w:sz w:val="72"/>
          <w:szCs w:val="72"/>
        </w:rPr>
      </w:pPr>
      <w:bookmarkStart w:id="336" w:name="_Toc7230"/>
      <w:bookmarkStart w:id="337" w:name="_Toc25059"/>
      <w:bookmarkStart w:id="338" w:name="_Toc27461"/>
      <w:bookmarkStart w:id="339" w:name="_Toc16439"/>
      <w:r>
        <w:rPr>
          <w:rFonts w:hint="eastAsia"/>
          <w:color w:val="auto"/>
          <w:sz w:val="72"/>
          <w:szCs w:val="72"/>
        </w:rPr>
        <w:t>价格文件</w:t>
      </w:r>
      <w:bookmarkEnd w:id="331"/>
      <w:bookmarkEnd w:id="332"/>
      <w:bookmarkEnd w:id="336"/>
      <w:bookmarkEnd w:id="337"/>
      <w:bookmarkEnd w:id="338"/>
      <w:bookmarkEnd w:id="339"/>
      <w:bookmarkStart w:id="340" w:name="_Hlt10519799"/>
      <w:bookmarkEnd w:id="340"/>
      <w:bookmarkStart w:id="341" w:name="_Hlt10456397"/>
      <w:bookmarkEnd w:id="341"/>
    </w:p>
    <w:p w14:paraId="66C5F7E4">
      <w:pPr>
        <w:jc w:val="center"/>
        <w:rPr>
          <w:rFonts w:ascii="兰米黑体" w:eastAsia="兰米黑体"/>
          <w:color w:val="auto"/>
          <w:sz w:val="72"/>
          <w:szCs w:val="72"/>
        </w:rPr>
      </w:pPr>
      <w:r>
        <w:rPr>
          <w:rFonts w:hint="eastAsia" w:ascii="兰米黑体" w:eastAsia="兰米黑体"/>
          <w:color w:val="auto"/>
          <w:sz w:val="72"/>
          <w:szCs w:val="72"/>
        </w:rPr>
        <w:t>（单独装订成册）</w:t>
      </w:r>
      <w:bookmarkEnd w:id="333"/>
      <w:bookmarkEnd w:id="334"/>
      <w:bookmarkEnd w:id="335"/>
    </w:p>
    <w:p w14:paraId="53C3D9D1">
      <w:pPr>
        <w:rPr>
          <w:color w:val="auto"/>
        </w:rPr>
      </w:pPr>
    </w:p>
    <w:p w14:paraId="1B8807A9">
      <w:pPr>
        <w:pStyle w:val="11"/>
        <w:rPr>
          <w:color w:val="auto"/>
        </w:rPr>
      </w:pPr>
    </w:p>
    <w:p w14:paraId="4C9AA4FA">
      <w:pPr>
        <w:pStyle w:val="30"/>
        <w:ind w:firstLine="240"/>
        <w:rPr>
          <w:color w:val="auto"/>
        </w:rPr>
      </w:pPr>
    </w:p>
    <w:p w14:paraId="63B7E8B4">
      <w:pPr>
        <w:rPr>
          <w:rFonts w:ascii="宋体" w:hAnsi="宋体" w:cs="宋体"/>
          <w:b/>
          <w:bCs/>
          <w:color w:val="auto"/>
          <w:spacing w:val="-6"/>
          <w:sz w:val="32"/>
          <w:szCs w:val="32"/>
        </w:rPr>
      </w:pPr>
      <w:r>
        <w:rPr>
          <w:rFonts w:hint="eastAsia" w:ascii="宋体" w:hAnsi="宋体" w:cs="宋体"/>
          <w:b/>
          <w:bCs/>
          <w:color w:val="auto"/>
          <w:spacing w:val="106"/>
          <w:kern w:val="0"/>
          <w:sz w:val="32"/>
          <w:szCs w:val="32"/>
          <w:fitText w:val="1600" w:id="238099993"/>
        </w:rPr>
        <w:t>项目名</w:t>
      </w:r>
      <w:r>
        <w:rPr>
          <w:rFonts w:hint="eastAsia" w:ascii="宋体" w:hAnsi="宋体" w:cs="宋体"/>
          <w:b/>
          <w:bCs/>
          <w:color w:val="auto"/>
          <w:spacing w:val="2"/>
          <w:kern w:val="0"/>
          <w:sz w:val="32"/>
          <w:szCs w:val="32"/>
          <w:fitText w:val="1600" w:id="238099993"/>
        </w:rPr>
        <w:t>称</w:t>
      </w:r>
      <w:r>
        <w:rPr>
          <w:rFonts w:hint="eastAsia" w:ascii="宋体" w:hAnsi="宋体" w:cs="宋体"/>
          <w:b/>
          <w:bCs/>
          <w:color w:val="auto"/>
          <w:spacing w:val="-6"/>
          <w:sz w:val="32"/>
          <w:szCs w:val="32"/>
        </w:rPr>
        <w:t>：</w:t>
      </w:r>
    </w:p>
    <w:p w14:paraId="21673216">
      <w:pPr>
        <w:rPr>
          <w:rFonts w:ascii="宋体" w:hAnsi="宋体" w:cs="宋体"/>
          <w:b/>
          <w:bCs/>
          <w:color w:val="auto"/>
          <w:sz w:val="32"/>
          <w:szCs w:val="32"/>
        </w:rPr>
      </w:pPr>
      <w:r>
        <w:rPr>
          <w:rFonts w:hint="eastAsia" w:ascii="宋体" w:hAnsi="宋体" w:cs="宋体"/>
          <w:b/>
          <w:bCs/>
          <w:color w:val="auto"/>
          <w:spacing w:val="106"/>
          <w:kern w:val="0"/>
          <w:sz w:val="32"/>
          <w:szCs w:val="32"/>
          <w:fitText w:val="1600" w:id="1"/>
        </w:rPr>
        <w:t>项目编</w:t>
      </w:r>
      <w:r>
        <w:rPr>
          <w:rFonts w:hint="eastAsia" w:ascii="宋体" w:hAnsi="宋体" w:cs="宋体"/>
          <w:b/>
          <w:bCs/>
          <w:color w:val="auto"/>
          <w:spacing w:val="2"/>
          <w:kern w:val="0"/>
          <w:sz w:val="32"/>
          <w:szCs w:val="32"/>
          <w:fitText w:val="1600" w:id="1"/>
        </w:rPr>
        <w:t>号</w:t>
      </w:r>
      <w:r>
        <w:rPr>
          <w:rFonts w:hint="eastAsia" w:ascii="宋体" w:hAnsi="宋体" w:cs="宋体"/>
          <w:b/>
          <w:bCs/>
          <w:color w:val="auto"/>
          <w:sz w:val="32"/>
          <w:szCs w:val="32"/>
        </w:rPr>
        <w:t>：</w:t>
      </w:r>
    </w:p>
    <w:p w14:paraId="0EF930AA">
      <w:pPr>
        <w:pStyle w:val="28"/>
        <w:widowControl/>
        <w:adjustRightInd w:val="0"/>
        <w:snapToGrid w:val="0"/>
        <w:spacing w:before="161" w:afterAutospacing="1"/>
        <w:jc w:val="left"/>
        <w:rPr>
          <w:rFonts w:ascii="宋体" w:hAnsi="宋体" w:cs="宋体"/>
          <w:b/>
          <w:color w:val="auto"/>
          <w:w w:val="83"/>
          <w:kern w:val="0"/>
          <w:sz w:val="32"/>
          <w:szCs w:val="32"/>
        </w:rPr>
      </w:pPr>
      <w:r>
        <w:rPr>
          <w:rFonts w:hint="eastAsia" w:ascii="宋体" w:hAnsi="宋体" w:cs="宋体"/>
          <w:b/>
          <w:color w:val="auto"/>
          <w:spacing w:val="106"/>
          <w:kern w:val="0"/>
          <w:sz w:val="32"/>
          <w:szCs w:val="32"/>
          <w:lang w:bidi="ar"/>
        </w:rPr>
        <w:t>包组号（如有）：</w:t>
      </w:r>
    </w:p>
    <w:p w14:paraId="08CCA5DB">
      <w:pPr>
        <w:rPr>
          <w:rFonts w:ascii="宋体" w:hAnsi="宋体" w:cs="宋体"/>
          <w:b/>
          <w:color w:val="auto"/>
          <w:sz w:val="32"/>
          <w:szCs w:val="32"/>
        </w:rPr>
      </w:pPr>
      <w:r>
        <w:rPr>
          <w:rFonts w:hint="eastAsia" w:ascii="宋体" w:hAnsi="宋体" w:cs="宋体"/>
          <w:b/>
          <w:color w:val="auto"/>
          <w:spacing w:val="0"/>
          <w:kern w:val="0"/>
          <w:sz w:val="32"/>
          <w:szCs w:val="32"/>
          <w:fitText w:val="1600" w:id="2"/>
        </w:rPr>
        <w:t>投标人名称</w:t>
      </w:r>
      <w:r>
        <w:rPr>
          <w:rFonts w:hint="eastAsia" w:ascii="宋体" w:hAnsi="宋体" w:cs="宋体"/>
          <w:b/>
          <w:color w:val="auto"/>
          <w:sz w:val="32"/>
          <w:szCs w:val="32"/>
        </w:rPr>
        <w:t>：</w:t>
      </w:r>
    </w:p>
    <w:p w14:paraId="2E036999">
      <w:pPr>
        <w:rPr>
          <w:rFonts w:ascii="宋体" w:hAnsi="宋体" w:cs="宋体"/>
          <w:b/>
          <w:color w:val="auto"/>
          <w:sz w:val="32"/>
          <w:szCs w:val="32"/>
        </w:rPr>
      </w:pPr>
      <w:r>
        <w:rPr>
          <w:rFonts w:hint="eastAsia" w:ascii="宋体" w:hAnsi="宋体" w:cs="宋体"/>
          <w:b/>
          <w:color w:val="auto"/>
          <w:spacing w:val="64"/>
          <w:kern w:val="0"/>
          <w:sz w:val="32"/>
          <w:szCs w:val="32"/>
          <w:fitText w:val="1600" w:id="3"/>
        </w:rPr>
        <w:t xml:space="preserve">日    </w:t>
      </w:r>
      <w:r>
        <w:rPr>
          <w:rFonts w:hint="eastAsia" w:ascii="宋体" w:hAnsi="宋体" w:cs="宋体"/>
          <w:b/>
          <w:color w:val="auto"/>
          <w:spacing w:val="0"/>
          <w:kern w:val="0"/>
          <w:sz w:val="32"/>
          <w:szCs w:val="32"/>
          <w:fitText w:val="1600" w:id="3"/>
        </w:rPr>
        <w:t>期</w:t>
      </w:r>
      <w:r>
        <w:rPr>
          <w:rFonts w:hint="eastAsia" w:ascii="宋体" w:hAnsi="宋体" w:cs="宋体"/>
          <w:b/>
          <w:color w:val="auto"/>
          <w:sz w:val="32"/>
          <w:szCs w:val="32"/>
        </w:rPr>
        <w:t>：</w:t>
      </w:r>
    </w:p>
    <w:p w14:paraId="53F6DE69">
      <w:pPr>
        <w:rPr>
          <w:color w:val="auto"/>
        </w:rPr>
      </w:pPr>
    </w:p>
    <w:p w14:paraId="40BF3517">
      <w:pPr>
        <w:pStyle w:val="11"/>
        <w:rPr>
          <w:color w:val="auto"/>
        </w:rPr>
      </w:pPr>
    </w:p>
    <w:p w14:paraId="0264901F">
      <w:pPr>
        <w:pStyle w:val="30"/>
        <w:ind w:firstLine="240"/>
        <w:rPr>
          <w:color w:val="auto"/>
        </w:rPr>
      </w:pPr>
    </w:p>
    <w:p w14:paraId="66F9A3CA">
      <w:pPr>
        <w:pStyle w:val="23"/>
        <w:rPr>
          <w:color w:val="auto"/>
        </w:rPr>
      </w:pPr>
    </w:p>
    <w:p w14:paraId="120D74DF">
      <w:pPr>
        <w:rPr>
          <w:color w:val="auto"/>
        </w:rPr>
      </w:pPr>
    </w:p>
    <w:p w14:paraId="29495C7D">
      <w:pPr>
        <w:pStyle w:val="11"/>
        <w:rPr>
          <w:color w:val="auto"/>
        </w:rPr>
      </w:pPr>
    </w:p>
    <w:p w14:paraId="7E6DFA34">
      <w:pPr>
        <w:pStyle w:val="30"/>
        <w:ind w:firstLine="240"/>
        <w:rPr>
          <w:color w:val="auto"/>
        </w:rPr>
      </w:pPr>
    </w:p>
    <w:p w14:paraId="5C249214">
      <w:pPr>
        <w:pStyle w:val="23"/>
        <w:rPr>
          <w:color w:val="auto"/>
        </w:rPr>
      </w:pPr>
    </w:p>
    <w:p w14:paraId="0204E668">
      <w:pPr>
        <w:pStyle w:val="23"/>
        <w:ind w:left="0"/>
        <w:rPr>
          <w:color w:val="auto"/>
        </w:rPr>
      </w:pPr>
    </w:p>
    <w:p w14:paraId="1107CECB">
      <w:pPr>
        <w:rPr>
          <w:rFonts w:ascii="宋体" w:hAnsi="宋体"/>
          <w:color w:val="auto"/>
          <w:szCs w:val="21"/>
        </w:rPr>
      </w:pPr>
      <w:r>
        <w:rPr>
          <w:rFonts w:hint="eastAsia" w:ascii="宋体" w:hAnsi="宋体"/>
          <w:color w:val="auto"/>
          <w:szCs w:val="21"/>
        </w:rPr>
        <w:br w:type="page"/>
      </w:r>
    </w:p>
    <w:p w14:paraId="7394FF43">
      <w:pPr>
        <w:pStyle w:val="5"/>
        <w:widowControl w:val="0"/>
        <w:overflowPunct w:val="0"/>
        <w:spacing w:line="240" w:lineRule="auto"/>
        <w:rPr>
          <w:rFonts w:ascii="宋体" w:hAnsi="宋体"/>
          <w:color w:val="auto"/>
          <w:sz w:val="21"/>
          <w:szCs w:val="21"/>
        </w:rPr>
      </w:pPr>
      <w:bookmarkStart w:id="342" w:name="_Toc26920"/>
      <w:bookmarkStart w:id="343" w:name="_Toc25036"/>
      <w:bookmarkStart w:id="344" w:name="_Toc26390"/>
      <w:bookmarkStart w:id="345" w:name="_Toc25325"/>
      <w:r>
        <w:rPr>
          <w:rFonts w:hint="eastAsia" w:ascii="宋体" w:hAnsi="宋体"/>
          <w:color w:val="auto"/>
          <w:sz w:val="21"/>
          <w:szCs w:val="21"/>
        </w:rPr>
        <w:t>附件2.开标一览表格式</w:t>
      </w:r>
      <w:bookmarkEnd w:id="342"/>
      <w:bookmarkEnd w:id="343"/>
      <w:bookmarkEnd w:id="344"/>
      <w:bookmarkEnd w:id="345"/>
    </w:p>
    <w:p w14:paraId="3611A30E">
      <w:pPr>
        <w:jc w:val="center"/>
        <w:rPr>
          <w:rFonts w:ascii="兰米黑体" w:eastAsia="兰米黑体"/>
          <w:color w:val="auto"/>
          <w:sz w:val="32"/>
          <w:szCs w:val="32"/>
        </w:rPr>
      </w:pPr>
      <w:r>
        <w:rPr>
          <w:rFonts w:hint="eastAsia" w:ascii="兰米黑体" w:eastAsia="兰米黑体"/>
          <w:color w:val="auto"/>
          <w:sz w:val="32"/>
          <w:szCs w:val="32"/>
        </w:rPr>
        <w:t>开标一览表</w:t>
      </w:r>
    </w:p>
    <w:p w14:paraId="5DA91159">
      <w:pPr>
        <w:rPr>
          <w:color w:val="auto"/>
        </w:rPr>
      </w:pP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3"/>
        <w:gridCol w:w="2793"/>
        <w:gridCol w:w="1569"/>
        <w:gridCol w:w="1222"/>
        <w:gridCol w:w="1255"/>
      </w:tblGrid>
      <w:tr w14:paraId="34F3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987" w:type="pct"/>
            <w:vAlign w:val="center"/>
          </w:tcPr>
          <w:p w14:paraId="3A0B6530">
            <w:pPr>
              <w:spacing w:line="240" w:lineRule="auto"/>
              <w:jc w:val="center"/>
              <w:rPr>
                <w:rFonts w:ascii="宋体" w:hAnsi="宋体" w:cs="宋体"/>
                <w:color w:val="auto"/>
                <w:kern w:val="28"/>
                <w:szCs w:val="21"/>
              </w:rPr>
            </w:pPr>
            <w:r>
              <w:rPr>
                <w:rFonts w:hint="eastAsia" w:ascii="宋体" w:hAnsi="宋体"/>
                <w:color w:val="auto"/>
                <w:szCs w:val="21"/>
              </w:rPr>
              <w:t>项目名称</w:t>
            </w:r>
          </w:p>
        </w:tc>
        <w:tc>
          <w:tcPr>
            <w:tcW w:w="1638" w:type="pct"/>
            <w:vAlign w:val="center"/>
          </w:tcPr>
          <w:p w14:paraId="6235C4D1">
            <w:pPr>
              <w:spacing w:line="240" w:lineRule="auto"/>
              <w:jc w:val="center"/>
              <w:rPr>
                <w:rFonts w:ascii="宋体" w:hAnsi="宋体" w:cs="宋体"/>
                <w:color w:val="auto"/>
                <w:kern w:val="28"/>
                <w:szCs w:val="21"/>
              </w:rPr>
            </w:pPr>
            <w:r>
              <w:rPr>
                <w:rFonts w:hint="eastAsia" w:ascii="宋体" w:hAnsi="宋体" w:cs="宋体"/>
                <w:color w:val="auto"/>
                <w:kern w:val="28"/>
                <w:szCs w:val="21"/>
              </w:rPr>
              <w:t>含税投标总价（元）</w:t>
            </w:r>
          </w:p>
        </w:tc>
        <w:tc>
          <w:tcPr>
            <w:tcW w:w="920" w:type="pct"/>
            <w:vAlign w:val="center"/>
          </w:tcPr>
          <w:p w14:paraId="43CC72B9">
            <w:pPr>
              <w:spacing w:line="240" w:lineRule="auto"/>
              <w:jc w:val="center"/>
              <w:rPr>
                <w:rFonts w:ascii="宋体" w:hAnsi="宋体"/>
                <w:color w:val="auto"/>
                <w:szCs w:val="21"/>
              </w:rPr>
            </w:pPr>
            <w:r>
              <w:rPr>
                <w:rFonts w:hint="eastAsia" w:ascii="宋体" w:hAnsi="宋体"/>
                <w:color w:val="auto"/>
                <w:szCs w:val="21"/>
              </w:rPr>
              <w:t>税率</w:t>
            </w:r>
          </w:p>
        </w:tc>
        <w:tc>
          <w:tcPr>
            <w:tcW w:w="717" w:type="pct"/>
            <w:vAlign w:val="center"/>
          </w:tcPr>
          <w:p w14:paraId="1559F329">
            <w:pPr>
              <w:spacing w:line="240" w:lineRule="auto"/>
              <w:jc w:val="center"/>
              <w:rPr>
                <w:rFonts w:ascii="宋体" w:hAnsi="宋体" w:cs="宋体"/>
                <w:color w:val="auto"/>
                <w:kern w:val="28"/>
                <w:szCs w:val="21"/>
              </w:rPr>
            </w:pPr>
            <w:r>
              <w:rPr>
                <w:rFonts w:hint="eastAsia" w:ascii="宋体" w:hAnsi="宋体" w:cs="宋体"/>
                <w:color w:val="auto"/>
                <w:kern w:val="28"/>
                <w:szCs w:val="21"/>
              </w:rPr>
              <w:t>供货期</w:t>
            </w:r>
          </w:p>
        </w:tc>
        <w:tc>
          <w:tcPr>
            <w:tcW w:w="736" w:type="pct"/>
            <w:vAlign w:val="center"/>
          </w:tcPr>
          <w:p w14:paraId="36D2181A">
            <w:pPr>
              <w:spacing w:line="240" w:lineRule="auto"/>
              <w:jc w:val="center"/>
              <w:rPr>
                <w:rFonts w:ascii="宋体" w:hAnsi="宋体" w:cs="宋体"/>
                <w:color w:val="auto"/>
                <w:kern w:val="28"/>
                <w:szCs w:val="21"/>
              </w:rPr>
            </w:pPr>
            <w:r>
              <w:rPr>
                <w:rFonts w:hint="eastAsia" w:ascii="宋体" w:hAnsi="宋体" w:cs="宋体"/>
                <w:color w:val="auto"/>
                <w:kern w:val="28"/>
                <w:szCs w:val="21"/>
              </w:rPr>
              <w:t>备注</w:t>
            </w:r>
          </w:p>
        </w:tc>
      </w:tr>
      <w:tr w14:paraId="43AD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987" w:type="pct"/>
            <w:vAlign w:val="center"/>
          </w:tcPr>
          <w:p w14:paraId="7C2B3211">
            <w:pPr>
              <w:spacing w:line="240" w:lineRule="auto"/>
              <w:jc w:val="center"/>
              <w:rPr>
                <w:rFonts w:ascii="宋体" w:hAnsi="宋体" w:cs="宋体"/>
                <w:color w:val="auto"/>
                <w:szCs w:val="21"/>
              </w:rPr>
            </w:pPr>
          </w:p>
        </w:tc>
        <w:tc>
          <w:tcPr>
            <w:tcW w:w="1638" w:type="pct"/>
            <w:vAlign w:val="center"/>
          </w:tcPr>
          <w:p w14:paraId="202CACCA">
            <w:pPr>
              <w:spacing w:line="240" w:lineRule="auto"/>
              <w:jc w:val="both"/>
              <w:rPr>
                <w:rFonts w:ascii="宋体" w:hAnsi="宋体" w:cs="宋体"/>
                <w:color w:val="auto"/>
                <w:szCs w:val="21"/>
              </w:rPr>
            </w:pPr>
            <w:r>
              <w:rPr>
                <w:rFonts w:hint="eastAsia" w:ascii="宋体" w:hAnsi="宋体" w:cs="宋体"/>
                <w:color w:val="auto"/>
                <w:szCs w:val="21"/>
              </w:rPr>
              <w:t>小写：</w:t>
            </w:r>
          </w:p>
          <w:p w14:paraId="6CED8989">
            <w:pPr>
              <w:spacing w:line="240" w:lineRule="auto"/>
              <w:jc w:val="both"/>
              <w:rPr>
                <w:rFonts w:ascii="宋体" w:hAnsi="宋体" w:cs="宋体"/>
                <w:color w:val="auto"/>
                <w:szCs w:val="21"/>
              </w:rPr>
            </w:pPr>
            <w:r>
              <w:rPr>
                <w:rFonts w:hint="eastAsia" w:ascii="宋体" w:hAnsi="宋体" w:cs="宋体"/>
                <w:color w:val="auto"/>
                <w:szCs w:val="21"/>
              </w:rPr>
              <w:t>大写：</w:t>
            </w:r>
          </w:p>
        </w:tc>
        <w:tc>
          <w:tcPr>
            <w:tcW w:w="920" w:type="pct"/>
          </w:tcPr>
          <w:p w14:paraId="6FC249E6">
            <w:pPr>
              <w:pStyle w:val="70"/>
              <w:jc w:val="center"/>
              <w:rPr>
                <w:rFonts w:hAnsi="宋体" w:cstheme="minorBidi"/>
                <w:color w:val="auto"/>
                <w:sz w:val="21"/>
                <w:szCs w:val="21"/>
              </w:rPr>
            </w:pPr>
          </w:p>
        </w:tc>
        <w:tc>
          <w:tcPr>
            <w:tcW w:w="717" w:type="pct"/>
            <w:vAlign w:val="center"/>
          </w:tcPr>
          <w:p w14:paraId="0B99E396">
            <w:pPr>
              <w:pStyle w:val="70"/>
              <w:jc w:val="center"/>
              <w:rPr>
                <w:rFonts w:hAnsi="宋体"/>
                <w:color w:val="auto"/>
                <w:sz w:val="21"/>
                <w:szCs w:val="21"/>
              </w:rPr>
            </w:pPr>
            <w:r>
              <w:rPr>
                <w:rFonts w:hint="eastAsia" w:hAnsi="宋体"/>
                <w:color w:val="auto"/>
                <w:sz w:val="21"/>
                <w:szCs w:val="21"/>
              </w:rPr>
              <w:t xml:space="preserve"> </w:t>
            </w:r>
          </w:p>
        </w:tc>
        <w:tc>
          <w:tcPr>
            <w:tcW w:w="736" w:type="pct"/>
            <w:vAlign w:val="center"/>
          </w:tcPr>
          <w:p w14:paraId="29BC9BAE">
            <w:pPr>
              <w:pStyle w:val="70"/>
              <w:jc w:val="center"/>
              <w:rPr>
                <w:rFonts w:hAnsi="宋体"/>
                <w:color w:val="auto"/>
                <w:sz w:val="21"/>
                <w:szCs w:val="21"/>
              </w:rPr>
            </w:pPr>
          </w:p>
        </w:tc>
      </w:tr>
    </w:tbl>
    <w:p w14:paraId="63A9E126">
      <w:pPr>
        <w:ind w:firstLine="410" w:firstLineChars="171"/>
        <w:rPr>
          <w:rFonts w:ascii="宋体" w:hAnsi="宋体"/>
          <w:color w:val="auto"/>
          <w:sz w:val="24"/>
          <w:szCs w:val="24"/>
        </w:rPr>
      </w:pPr>
    </w:p>
    <w:p w14:paraId="072F5B4E">
      <w:pPr>
        <w:ind w:firstLine="359" w:firstLineChars="171"/>
        <w:rPr>
          <w:rFonts w:ascii="宋体" w:hAnsi="宋体"/>
          <w:color w:val="auto"/>
          <w:szCs w:val="21"/>
        </w:rPr>
      </w:pPr>
      <w:bookmarkStart w:id="346" w:name="_Toc6010"/>
      <w:r>
        <w:rPr>
          <w:rFonts w:hint="eastAsia" w:ascii="宋体" w:hAnsi="宋体"/>
          <w:color w:val="auto"/>
          <w:szCs w:val="21"/>
        </w:rPr>
        <w:t>投标人代表签字：</w:t>
      </w:r>
    </w:p>
    <w:p w14:paraId="3ECE7369">
      <w:pPr>
        <w:ind w:firstLine="359" w:firstLineChars="171"/>
        <w:rPr>
          <w:rFonts w:ascii="宋体" w:hAnsi="宋体"/>
          <w:color w:val="auto"/>
          <w:szCs w:val="21"/>
        </w:rPr>
      </w:pPr>
      <w:r>
        <w:rPr>
          <w:rFonts w:hint="eastAsia" w:ascii="宋体" w:hAnsi="宋体"/>
          <w:color w:val="auto"/>
          <w:szCs w:val="21"/>
        </w:rPr>
        <w:t>投标人盖章：</w:t>
      </w:r>
    </w:p>
    <w:p w14:paraId="112E6634">
      <w:pPr>
        <w:ind w:firstLine="359" w:firstLineChars="171"/>
        <w:rPr>
          <w:rFonts w:ascii="宋体" w:hAnsi="宋体"/>
          <w:color w:val="auto"/>
          <w:szCs w:val="21"/>
        </w:rPr>
      </w:pPr>
      <w:r>
        <w:rPr>
          <w:rFonts w:hint="eastAsia" w:ascii="宋体" w:hAnsi="宋体"/>
          <w:color w:val="auto"/>
          <w:szCs w:val="21"/>
        </w:rPr>
        <w:t>日期：</w:t>
      </w:r>
    </w:p>
    <w:p w14:paraId="3C139150">
      <w:pPr>
        <w:ind w:firstLine="359" w:firstLineChars="171"/>
        <w:rPr>
          <w:rFonts w:ascii="宋体" w:hAnsi="宋体"/>
          <w:color w:val="auto"/>
          <w:szCs w:val="21"/>
        </w:rPr>
      </w:pPr>
    </w:p>
    <w:p w14:paraId="55BA7B49">
      <w:pPr>
        <w:ind w:left="391" w:hanging="390" w:hangingChars="186"/>
        <w:rPr>
          <w:rFonts w:ascii="宋体" w:hAnsi="宋体"/>
          <w:color w:val="auto"/>
          <w:szCs w:val="21"/>
        </w:rPr>
      </w:pPr>
      <w:r>
        <w:rPr>
          <w:rFonts w:hint="eastAsia" w:ascii="宋体" w:hAnsi="宋体"/>
          <w:color w:val="auto"/>
          <w:szCs w:val="21"/>
        </w:rPr>
        <w:t xml:space="preserve">    注：</w:t>
      </w:r>
    </w:p>
    <w:p w14:paraId="6E187576">
      <w:pPr>
        <w:ind w:firstLine="420" w:firstLineChars="200"/>
        <w:rPr>
          <w:rFonts w:ascii="宋体" w:hAnsi="宋体"/>
          <w:color w:val="auto"/>
          <w:szCs w:val="21"/>
        </w:rPr>
      </w:pPr>
      <w:r>
        <w:rPr>
          <w:rFonts w:hint="eastAsia" w:ascii="宋体" w:hAnsi="宋体"/>
          <w:color w:val="auto"/>
          <w:szCs w:val="21"/>
        </w:rPr>
        <w:t>1、投标总价栏须</w:t>
      </w:r>
      <w:r>
        <w:rPr>
          <w:rFonts w:ascii="宋体" w:hAnsi="宋体"/>
          <w:color w:val="auto"/>
          <w:szCs w:val="21"/>
        </w:rPr>
        <w:t>用</w:t>
      </w:r>
      <w:r>
        <w:rPr>
          <w:rFonts w:hint="eastAsia" w:ascii="宋体" w:hAnsi="宋体"/>
          <w:color w:val="auto"/>
          <w:szCs w:val="21"/>
        </w:rPr>
        <w:t>大写金额和小写金额两种方式</w:t>
      </w:r>
      <w:r>
        <w:rPr>
          <w:rFonts w:ascii="宋体" w:hAnsi="宋体"/>
          <w:color w:val="auto"/>
          <w:szCs w:val="21"/>
        </w:rPr>
        <w:t>表示的投标总价</w:t>
      </w:r>
      <w:r>
        <w:rPr>
          <w:rFonts w:hint="eastAsia" w:ascii="宋体" w:hAnsi="宋体"/>
          <w:color w:val="auto"/>
          <w:szCs w:val="21"/>
        </w:rPr>
        <w:t>，报价保留小数点后两位。投标总价大小写不一致，以大写为准。投标总价必须准确唯一且应包含采购文件要求的所有费用。</w:t>
      </w:r>
    </w:p>
    <w:p w14:paraId="3B5F16D2">
      <w:pPr>
        <w:ind w:firstLine="420" w:firstLineChars="200"/>
        <w:rPr>
          <w:rFonts w:ascii="宋体" w:hAnsi="宋体"/>
          <w:color w:val="auto"/>
          <w:szCs w:val="21"/>
        </w:rPr>
      </w:pPr>
      <w:r>
        <w:rPr>
          <w:rFonts w:hint="eastAsia" w:ascii="宋体" w:hAnsi="宋体"/>
          <w:color w:val="auto"/>
          <w:szCs w:val="21"/>
        </w:rPr>
        <w:t>2、温馨提示：未按采购文件要求报价、填写开标一览表是导致投标人废标的常见问题，请投标人仔细填写，认真核对。</w:t>
      </w:r>
    </w:p>
    <w:bookmarkEnd w:id="346"/>
    <w:p w14:paraId="49FB3FF1">
      <w:pPr>
        <w:pStyle w:val="30"/>
        <w:ind w:firstLine="210"/>
        <w:rPr>
          <w:bCs w:val="0"/>
          <w:color w:val="auto"/>
          <w:sz w:val="21"/>
          <w:lang w:val="en-US" w:bidi="ar-SA"/>
        </w:rPr>
      </w:pPr>
    </w:p>
    <w:p w14:paraId="46D0EF98">
      <w:pPr>
        <w:rPr>
          <w:color w:val="auto"/>
        </w:rPr>
      </w:pPr>
    </w:p>
    <w:p w14:paraId="58847B66">
      <w:pPr>
        <w:rPr>
          <w:color w:val="auto"/>
        </w:rPr>
      </w:pPr>
      <w:bookmarkStart w:id="347" w:name="_Toc10792"/>
    </w:p>
    <w:p w14:paraId="6D7EE872">
      <w:pPr>
        <w:rPr>
          <w:rFonts w:ascii="宋体" w:hAnsi="宋体"/>
          <w:color w:val="auto"/>
          <w:szCs w:val="21"/>
        </w:rPr>
      </w:pPr>
      <w:bookmarkStart w:id="348" w:name="_Toc20740"/>
      <w:r>
        <w:rPr>
          <w:rFonts w:hint="eastAsia" w:ascii="宋体" w:hAnsi="宋体"/>
          <w:color w:val="auto"/>
          <w:szCs w:val="21"/>
        </w:rPr>
        <w:br w:type="page"/>
      </w:r>
    </w:p>
    <w:p w14:paraId="38A848F0">
      <w:pPr>
        <w:pStyle w:val="5"/>
        <w:widowControl w:val="0"/>
        <w:overflowPunct w:val="0"/>
        <w:spacing w:line="240" w:lineRule="auto"/>
        <w:rPr>
          <w:rFonts w:ascii="宋体" w:hAnsi="宋体"/>
          <w:color w:val="auto"/>
          <w:sz w:val="21"/>
          <w:szCs w:val="21"/>
        </w:rPr>
      </w:pPr>
      <w:bookmarkStart w:id="349" w:name="_Toc18295"/>
      <w:bookmarkStart w:id="350" w:name="_Toc10976"/>
      <w:r>
        <w:rPr>
          <w:rFonts w:hint="eastAsia" w:ascii="宋体" w:hAnsi="宋体"/>
          <w:color w:val="auto"/>
          <w:sz w:val="21"/>
          <w:szCs w:val="21"/>
        </w:rPr>
        <w:t>附件3.报价明细表格式</w:t>
      </w:r>
      <w:bookmarkEnd w:id="349"/>
      <w:bookmarkEnd w:id="350"/>
    </w:p>
    <w:p w14:paraId="2B02EBD7">
      <w:pPr>
        <w:jc w:val="center"/>
        <w:rPr>
          <w:rFonts w:ascii="兰米黑体" w:eastAsia="兰米黑体"/>
          <w:color w:val="auto"/>
          <w:sz w:val="32"/>
          <w:szCs w:val="32"/>
        </w:rPr>
      </w:pPr>
      <w:bookmarkStart w:id="351" w:name="_Toc31062"/>
      <w:bookmarkStart w:id="352" w:name="_Toc31172"/>
      <w:r>
        <w:rPr>
          <w:rFonts w:hint="eastAsia" w:ascii="兰米黑体" w:eastAsia="兰米黑体"/>
          <w:color w:val="auto"/>
          <w:sz w:val="32"/>
          <w:szCs w:val="32"/>
        </w:rPr>
        <w:t>报价明细表</w:t>
      </w:r>
      <w:bookmarkEnd w:id="351"/>
      <w:bookmarkEnd w:id="352"/>
    </w:p>
    <w:p w14:paraId="2A1E69FA">
      <w:pPr>
        <w:pStyle w:val="79"/>
        <w:spacing w:before="0" w:after="0"/>
        <w:jc w:val="right"/>
        <w:rPr>
          <w:rFonts w:ascii="宋体" w:hAnsi="宋体" w:cs="宋体"/>
          <w:color w:val="auto"/>
          <w:szCs w:val="21"/>
        </w:rPr>
      </w:pPr>
      <w:r>
        <w:rPr>
          <w:rFonts w:hint="eastAsia" w:ascii="宋体" w:hAnsi="宋体" w:cs="宋体"/>
          <w:color w:val="auto"/>
          <w:szCs w:val="21"/>
        </w:rPr>
        <w:t>单位：元</w:t>
      </w:r>
    </w:p>
    <w:tbl>
      <w:tblPr>
        <w:tblStyle w:val="32"/>
        <w:tblW w:w="847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783"/>
        <w:gridCol w:w="998"/>
        <w:gridCol w:w="1237"/>
        <w:gridCol w:w="1011"/>
        <w:gridCol w:w="1117"/>
        <w:gridCol w:w="724"/>
        <w:gridCol w:w="920"/>
      </w:tblGrid>
      <w:tr w14:paraId="3D17E2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6" w:type="dxa"/>
            <w:tcBorders>
              <w:tl2br w:val="nil"/>
              <w:tr2bl w:val="nil"/>
            </w:tcBorders>
            <w:vAlign w:val="center"/>
          </w:tcPr>
          <w:p w14:paraId="6BD4719C">
            <w:pPr>
              <w:spacing w:before="100" w:beforeAutospacing="1" w:after="100" w:afterAutospacing="1"/>
              <w:jc w:val="center"/>
              <w:rPr>
                <w:rFonts w:ascii="宋体" w:hAnsi="宋体"/>
                <w:color w:val="auto"/>
                <w:szCs w:val="21"/>
              </w:rPr>
            </w:pPr>
            <w:r>
              <w:rPr>
                <w:rFonts w:hint="eastAsia" w:ascii="宋体" w:hAnsi="宋体"/>
                <w:color w:val="auto"/>
                <w:szCs w:val="21"/>
              </w:rPr>
              <w:t>序号</w:t>
            </w:r>
          </w:p>
        </w:tc>
        <w:tc>
          <w:tcPr>
            <w:tcW w:w="1783" w:type="dxa"/>
            <w:tcBorders>
              <w:tl2br w:val="nil"/>
              <w:tr2bl w:val="nil"/>
            </w:tcBorders>
            <w:vAlign w:val="center"/>
          </w:tcPr>
          <w:p w14:paraId="50176D0D">
            <w:pPr>
              <w:spacing w:before="100" w:beforeAutospacing="1" w:after="100" w:afterAutospacing="1"/>
              <w:jc w:val="center"/>
              <w:rPr>
                <w:rFonts w:ascii="宋体" w:hAnsi="宋体"/>
                <w:color w:val="auto"/>
                <w:szCs w:val="21"/>
              </w:rPr>
            </w:pPr>
            <w:r>
              <w:rPr>
                <w:rFonts w:hint="eastAsia" w:ascii="宋体" w:hAnsi="宋体"/>
                <w:color w:val="auto"/>
                <w:szCs w:val="21"/>
              </w:rPr>
              <w:t>货物名称</w:t>
            </w:r>
          </w:p>
        </w:tc>
        <w:tc>
          <w:tcPr>
            <w:tcW w:w="998" w:type="dxa"/>
            <w:tcBorders>
              <w:tl2br w:val="nil"/>
              <w:tr2bl w:val="nil"/>
            </w:tcBorders>
            <w:vAlign w:val="center"/>
          </w:tcPr>
          <w:p w14:paraId="2DBF5D79">
            <w:pPr>
              <w:spacing w:before="100" w:beforeAutospacing="1" w:after="100" w:afterAutospacing="1"/>
              <w:jc w:val="center"/>
              <w:rPr>
                <w:rFonts w:ascii="宋体" w:hAnsi="宋体"/>
                <w:color w:val="auto"/>
                <w:szCs w:val="21"/>
              </w:rPr>
            </w:pPr>
            <w:r>
              <w:rPr>
                <w:rFonts w:hint="eastAsia" w:ascii="宋体" w:hAnsi="宋体"/>
                <w:color w:val="auto"/>
                <w:szCs w:val="21"/>
              </w:rPr>
              <w:t>品牌</w:t>
            </w:r>
          </w:p>
        </w:tc>
        <w:tc>
          <w:tcPr>
            <w:tcW w:w="1237" w:type="dxa"/>
            <w:tcBorders>
              <w:tl2br w:val="nil"/>
              <w:tr2bl w:val="nil"/>
            </w:tcBorders>
            <w:vAlign w:val="center"/>
          </w:tcPr>
          <w:p w14:paraId="2171A4F4">
            <w:pPr>
              <w:spacing w:before="100" w:beforeAutospacing="1" w:after="100" w:afterAutospacing="1"/>
              <w:jc w:val="center"/>
              <w:rPr>
                <w:rFonts w:ascii="宋体" w:hAnsi="宋体"/>
                <w:color w:val="auto"/>
                <w:szCs w:val="21"/>
              </w:rPr>
            </w:pPr>
            <w:r>
              <w:rPr>
                <w:rFonts w:hint="eastAsia" w:ascii="宋体" w:hAnsi="宋体"/>
                <w:color w:val="auto"/>
                <w:szCs w:val="21"/>
              </w:rPr>
              <w:t>规格型号</w:t>
            </w:r>
          </w:p>
        </w:tc>
        <w:tc>
          <w:tcPr>
            <w:tcW w:w="1011" w:type="dxa"/>
            <w:tcBorders>
              <w:tl2br w:val="nil"/>
              <w:tr2bl w:val="nil"/>
            </w:tcBorders>
            <w:vAlign w:val="center"/>
          </w:tcPr>
          <w:p w14:paraId="1FD1EEBF">
            <w:pPr>
              <w:spacing w:before="100" w:beforeAutospacing="1" w:after="100" w:afterAutospacing="1"/>
              <w:jc w:val="center"/>
              <w:rPr>
                <w:rFonts w:ascii="宋体" w:hAnsi="宋体"/>
                <w:color w:val="auto"/>
                <w:szCs w:val="21"/>
              </w:rPr>
            </w:pPr>
            <w:r>
              <w:rPr>
                <w:rFonts w:hint="eastAsia" w:ascii="宋体" w:hAnsi="宋体"/>
                <w:color w:val="auto"/>
                <w:szCs w:val="21"/>
              </w:rPr>
              <w:t>数量</w:t>
            </w:r>
          </w:p>
        </w:tc>
        <w:tc>
          <w:tcPr>
            <w:tcW w:w="1117" w:type="dxa"/>
            <w:tcBorders>
              <w:tl2br w:val="nil"/>
              <w:tr2bl w:val="nil"/>
            </w:tcBorders>
            <w:vAlign w:val="center"/>
          </w:tcPr>
          <w:p w14:paraId="53C0E183">
            <w:pPr>
              <w:spacing w:before="100" w:beforeAutospacing="1" w:after="100" w:afterAutospacing="1"/>
              <w:jc w:val="center"/>
              <w:rPr>
                <w:rFonts w:ascii="宋体" w:hAnsi="宋体"/>
                <w:color w:val="auto"/>
                <w:szCs w:val="21"/>
              </w:rPr>
            </w:pPr>
            <w:r>
              <w:rPr>
                <w:rFonts w:hint="eastAsia" w:ascii="宋体" w:hAnsi="宋体"/>
                <w:color w:val="auto"/>
                <w:szCs w:val="21"/>
              </w:rPr>
              <w:t>单价</w:t>
            </w:r>
          </w:p>
        </w:tc>
        <w:tc>
          <w:tcPr>
            <w:tcW w:w="724" w:type="dxa"/>
            <w:tcBorders>
              <w:tl2br w:val="nil"/>
              <w:tr2bl w:val="nil"/>
            </w:tcBorders>
            <w:vAlign w:val="center"/>
          </w:tcPr>
          <w:p w14:paraId="29984D69">
            <w:pPr>
              <w:spacing w:before="100" w:beforeAutospacing="1" w:after="100" w:afterAutospacing="1"/>
              <w:jc w:val="center"/>
              <w:rPr>
                <w:rFonts w:ascii="宋体" w:hAnsi="宋体"/>
                <w:color w:val="auto"/>
                <w:szCs w:val="21"/>
              </w:rPr>
            </w:pPr>
            <w:r>
              <w:rPr>
                <w:rFonts w:hint="eastAsia" w:ascii="宋体" w:hAnsi="宋体"/>
                <w:color w:val="auto"/>
                <w:szCs w:val="21"/>
              </w:rPr>
              <w:t>合计</w:t>
            </w:r>
          </w:p>
        </w:tc>
        <w:tc>
          <w:tcPr>
            <w:tcW w:w="920" w:type="dxa"/>
            <w:tcBorders>
              <w:tl2br w:val="nil"/>
              <w:tr2bl w:val="nil"/>
            </w:tcBorders>
            <w:vAlign w:val="center"/>
          </w:tcPr>
          <w:p w14:paraId="52DE816C">
            <w:pPr>
              <w:spacing w:before="100" w:beforeAutospacing="1" w:after="100" w:afterAutospacing="1"/>
              <w:jc w:val="center"/>
              <w:rPr>
                <w:rFonts w:ascii="宋体" w:hAnsi="宋体"/>
                <w:color w:val="auto"/>
                <w:szCs w:val="21"/>
              </w:rPr>
            </w:pPr>
            <w:r>
              <w:rPr>
                <w:rFonts w:hint="eastAsia" w:ascii="宋体" w:hAnsi="宋体"/>
                <w:color w:val="auto"/>
                <w:szCs w:val="21"/>
              </w:rPr>
              <w:t>备注</w:t>
            </w:r>
          </w:p>
        </w:tc>
      </w:tr>
      <w:tr w14:paraId="0D2FB4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6" w:type="dxa"/>
            <w:tcBorders>
              <w:tl2br w:val="nil"/>
              <w:tr2bl w:val="nil"/>
            </w:tcBorders>
            <w:vAlign w:val="center"/>
          </w:tcPr>
          <w:p w14:paraId="585DFE86">
            <w:pPr>
              <w:widowControl w:val="0"/>
              <w:adjustRightInd/>
              <w:snapToGrid/>
              <w:spacing w:before="100" w:beforeAutospacing="1" w:after="100" w:afterAutospacing="1"/>
              <w:jc w:val="center"/>
              <w:rPr>
                <w:rFonts w:ascii="宋体" w:hAnsi="宋体"/>
                <w:color w:val="auto"/>
                <w:szCs w:val="21"/>
              </w:rPr>
            </w:pPr>
          </w:p>
        </w:tc>
        <w:tc>
          <w:tcPr>
            <w:tcW w:w="1783" w:type="dxa"/>
            <w:tcBorders>
              <w:tl2br w:val="nil"/>
              <w:tr2bl w:val="nil"/>
            </w:tcBorders>
            <w:vAlign w:val="center"/>
          </w:tcPr>
          <w:p w14:paraId="28FA31D3">
            <w:pPr>
              <w:spacing w:before="100" w:beforeAutospacing="1" w:after="100" w:afterAutospacing="1"/>
              <w:rPr>
                <w:rFonts w:ascii="宋体" w:hAnsi="宋体"/>
                <w:color w:val="auto"/>
                <w:szCs w:val="21"/>
              </w:rPr>
            </w:pPr>
          </w:p>
        </w:tc>
        <w:tc>
          <w:tcPr>
            <w:tcW w:w="998" w:type="dxa"/>
            <w:tcBorders>
              <w:tl2br w:val="nil"/>
              <w:tr2bl w:val="nil"/>
            </w:tcBorders>
            <w:vAlign w:val="center"/>
          </w:tcPr>
          <w:p w14:paraId="215628A5">
            <w:pPr>
              <w:spacing w:before="100" w:beforeAutospacing="1" w:after="100" w:afterAutospacing="1"/>
              <w:rPr>
                <w:rFonts w:ascii="宋体" w:hAnsi="宋体"/>
                <w:color w:val="auto"/>
                <w:szCs w:val="21"/>
              </w:rPr>
            </w:pPr>
          </w:p>
        </w:tc>
        <w:tc>
          <w:tcPr>
            <w:tcW w:w="1237" w:type="dxa"/>
            <w:tcBorders>
              <w:tl2br w:val="nil"/>
              <w:tr2bl w:val="nil"/>
            </w:tcBorders>
            <w:vAlign w:val="center"/>
          </w:tcPr>
          <w:p w14:paraId="0162163D">
            <w:pPr>
              <w:spacing w:before="100" w:beforeAutospacing="1" w:after="100" w:afterAutospacing="1"/>
              <w:jc w:val="center"/>
              <w:rPr>
                <w:rFonts w:ascii="宋体" w:hAnsi="宋体"/>
                <w:color w:val="auto"/>
                <w:szCs w:val="21"/>
              </w:rPr>
            </w:pPr>
          </w:p>
        </w:tc>
        <w:tc>
          <w:tcPr>
            <w:tcW w:w="1011" w:type="dxa"/>
            <w:tcBorders>
              <w:tl2br w:val="nil"/>
              <w:tr2bl w:val="nil"/>
            </w:tcBorders>
            <w:vAlign w:val="center"/>
          </w:tcPr>
          <w:p w14:paraId="2AFBE2E6">
            <w:pPr>
              <w:spacing w:before="100" w:beforeAutospacing="1" w:after="100" w:afterAutospacing="1"/>
              <w:jc w:val="center"/>
              <w:rPr>
                <w:rFonts w:ascii="宋体" w:hAnsi="宋体"/>
                <w:color w:val="auto"/>
                <w:szCs w:val="21"/>
              </w:rPr>
            </w:pPr>
          </w:p>
        </w:tc>
        <w:tc>
          <w:tcPr>
            <w:tcW w:w="1117" w:type="dxa"/>
            <w:tcBorders>
              <w:tl2br w:val="nil"/>
              <w:tr2bl w:val="nil"/>
            </w:tcBorders>
            <w:vAlign w:val="center"/>
          </w:tcPr>
          <w:p w14:paraId="1C3C6900">
            <w:pPr>
              <w:spacing w:before="100" w:beforeAutospacing="1" w:after="100" w:afterAutospacing="1"/>
              <w:jc w:val="center"/>
              <w:rPr>
                <w:rFonts w:ascii="宋体" w:hAnsi="宋体"/>
                <w:color w:val="auto"/>
                <w:szCs w:val="21"/>
              </w:rPr>
            </w:pPr>
          </w:p>
        </w:tc>
        <w:tc>
          <w:tcPr>
            <w:tcW w:w="724" w:type="dxa"/>
            <w:tcBorders>
              <w:tl2br w:val="nil"/>
              <w:tr2bl w:val="nil"/>
            </w:tcBorders>
            <w:vAlign w:val="center"/>
          </w:tcPr>
          <w:p w14:paraId="5494E301">
            <w:pPr>
              <w:spacing w:before="100" w:beforeAutospacing="1" w:after="100" w:afterAutospacing="1"/>
              <w:jc w:val="center"/>
              <w:rPr>
                <w:rFonts w:ascii="宋体" w:hAnsi="宋体"/>
                <w:color w:val="auto"/>
                <w:szCs w:val="21"/>
              </w:rPr>
            </w:pPr>
          </w:p>
        </w:tc>
        <w:tc>
          <w:tcPr>
            <w:tcW w:w="920" w:type="dxa"/>
            <w:tcBorders>
              <w:tl2br w:val="nil"/>
              <w:tr2bl w:val="nil"/>
            </w:tcBorders>
            <w:vAlign w:val="center"/>
          </w:tcPr>
          <w:p w14:paraId="6ED56FD2">
            <w:pPr>
              <w:spacing w:before="100" w:beforeAutospacing="1" w:after="100" w:afterAutospacing="1"/>
              <w:jc w:val="center"/>
              <w:rPr>
                <w:rFonts w:ascii="宋体" w:hAnsi="宋体"/>
                <w:color w:val="auto"/>
                <w:szCs w:val="21"/>
              </w:rPr>
            </w:pPr>
          </w:p>
        </w:tc>
      </w:tr>
      <w:tr w14:paraId="5816B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6" w:type="dxa"/>
            <w:tcBorders>
              <w:tl2br w:val="nil"/>
              <w:tr2bl w:val="nil"/>
            </w:tcBorders>
            <w:vAlign w:val="center"/>
          </w:tcPr>
          <w:p w14:paraId="7A263A8E">
            <w:pPr>
              <w:widowControl w:val="0"/>
              <w:adjustRightInd/>
              <w:snapToGrid/>
              <w:spacing w:before="100" w:beforeAutospacing="1" w:after="100" w:afterAutospacing="1"/>
              <w:jc w:val="center"/>
              <w:rPr>
                <w:rFonts w:ascii="宋体" w:hAnsi="宋体"/>
                <w:color w:val="auto"/>
                <w:szCs w:val="21"/>
              </w:rPr>
            </w:pPr>
          </w:p>
        </w:tc>
        <w:tc>
          <w:tcPr>
            <w:tcW w:w="1783" w:type="dxa"/>
            <w:tcBorders>
              <w:tl2br w:val="nil"/>
              <w:tr2bl w:val="nil"/>
            </w:tcBorders>
            <w:vAlign w:val="center"/>
          </w:tcPr>
          <w:p w14:paraId="27A14855">
            <w:pPr>
              <w:spacing w:before="100" w:beforeAutospacing="1" w:after="100" w:afterAutospacing="1"/>
              <w:rPr>
                <w:rFonts w:ascii="宋体" w:hAnsi="宋体"/>
                <w:color w:val="auto"/>
                <w:szCs w:val="21"/>
              </w:rPr>
            </w:pPr>
          </w:p>
        </w:tc>
        <w:tc>
          <w:tcPr>
            <w:tcW w:w="998" w:type="dxa"/>
            <w:tcBorders>
              <w:tl2br w:val="nil"/>
              <w:tr2bl w:val="nil"/>
            </w:tcBorders>
            <w:vAlign w:val="center"/>
          </w:tcPr>
          <w:p w14:paraId="7160AA56">
            <w:pPr>
              <w:spacing w:before="100" w:beforeAutospacing="1" w:after="100" w:afterAutospacing="1"/>
              <w:rPr>
                <w:rFonts w:ascii="宋体" w:hAnsi="宋体"/>
                <w:color w:val="auto"/>
                <w:szCs w:val="21"/>
              </w:rPr>
            </w:pPr>
          </w:p>
        </w:tc>
        <w:tc>
          <w:tcPr>
            <w:tcW w:w="1237" w:type="dxa"/>
            <w:tcBorders>
              <w:tl2br w:val="nil"/>
              <w:tr2bl w:val="nil"/>
            </w:tcBorders>
            <w:vAlign w:val="center"/>
          </w:tcPr>
          <w:p w14:paraId="24738DB2">
            <w:pPr>
              <w:spacing w:before="100" w:beforeAutospacing="1" w:after="100" w:afterAutospacing="1"/>
              <w:jc w:val="center"/>
              <w:rPr>
                <w:rFonts w:ascii="宋体" w:hAnsi="宋体"/>
                <w:color w:val="auto"/>
                <w:szCs w:val="21"/>
              </w:rPr>
            </w:pPr>
          </w:p>
        </w:tc>
        <w:tc>
          <w:tcPr>
            <w:tcW w:w="1011" w:type="dxa"/>
            <w:tcBorders>
              <w:tl2br w:val="nil"/>
              <w:tr2bl w:val="nil"/>
            </w:tcBorders>
            <w:vAlign w:val="center"/>
          </w:tcPr>
          <w:p w14:paraId="000FA13C">
            <w:pPr>
              <w:spacing w:before="100" w:beforeAutospacing="1" w:after="100" w:afterAutospacing="1"/>
              <w:jc w:val="center"/>
              <w:rPr>
                <w:rFonts w:ascii="宋体" w:hAnsi="宋体"/>
                <w:color w:val="auto"/>
                <w:szCs w:val="21"/>
              </w:rPr>
            </w:pPr>
          </w:p>
        </w:tc>
        <w:tc>
          <w:tcPr>
            <w:tcW w:w="1117" w:type="dxa"/>
            <w:tcBorders>
              <w:tl2br w:val="nil"/>
              <w:tr2bl w:val="nil"/>
            </w:tcBorders>
            <w:vAlign w:val="center"/>
          </w:tcPr>
          <w:p w14:paraId="72A93DC8">
            <w:pPr>
              <w:spacing w:before="100" w:beforeAutospacing="1" w:after="100" w:afterAutospacing="1"/>
              <w:jc w:val="center"/>
              <w:rPr>
                <w:rFonts w:ascii="宋体" w:hAnsi="宋体"/>
                <w:color w:val="auto"/>
                <w:szCs w:val="21"/>
              </w:rPr>
            </w:pPr>
          </w:p>
        </w:tc>
        <w:tc>
          <w:tcPr>
            <w:tcW w:w="724" w:type="dxa"/>
            <w:tcBorders>
              <w:tl2br w:val="nil"/>
              <w:tr2bl w:val="nil"/>
            </w:tcBorders>
            <w:vAlign w:val="center"/>
          </w:tcPr>
          <w:p w14:paraId="61B40A55">
            <w:pPr>
              <w:spacing w:before="100" w:beforeAutospacing="1" w:after="100" w:afterAutospacing="1"/>
              <w:jc w:val="center"/>
              <w:rPr>
                <w:rFonts w:ascii="宋体" w:hAnsi="宋体"/>
                <w:color w:val="auto"/>
                <w:szCs w:val="21"/>
              </w:rPr>
            </w:pPr>
          </w:p>
        </w:tc>
        <w:tc>
          <w:tcPr>
            <w:tcW w:w="920" w:type="dxa"/>
            <w:tcBorders>
              <w:tl2br w:val="nil"/>
              <w:tr2bl w:val="nil"/>
            </w:tcBorders>
            <w:vAlign w:val="center"/>
          </w:tcPr>
          <w:p w14:paraId="52FD3CEA">
            <w:pPr>
              <w:spacing w:before="100" w:beforeAutospacing="1" w:after="100" w:afterAutospacing="1"/>
              <w:jc w:val="center"/>
              <w:rPr>
                <w:rFonts w:ascii="宋体" w:hAnsi="宋体"/>
                <w:color w:val="auto"/>
                <w:szCs w:val="21"/>
              </w:rPr>
            </w:pPr>
          </w:p>
        </w:tc>
      </w:tr>
      <w:tr w14:paraId="0BD1AE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6" w:type="dxa"/>
            <w:tcBorders>
              <w:tl2br w:val="nil"/>
              <w:tr2bl w:val="nil"/>
            </w:tcBorders>
            <w:vAlign w:val="center"/>
          </w:tcPr>
          <w:p w14:paraId="7A351737">
            <w:pPr>
              <w:widowControl w:val="0"/>
              <w:adjustRightInd/>
              <w:snapToGrid/>
              <w:spacing w:before="100" w:beforeAutospacing="1" w:after="100" w:afterAutospacing="1"/>
              <w:jc w:val="center"/>
              <w:rPr>
                <w:rFonts w:ascii="宋体" w:hAnsi="宋体"/>
                <w:color w:val="auto"/>
                <w:szCs w:val="21"/>
              </w:rPr>
            </w:pPr>
          </w:p>
        </w:tc>
        <w:tc>
          <w:tcPr>
            <w:tcW w:w="1783" w:type="dxa"/>
            <w:tcBorders>
              <w:tl2br w:val="nil"/>
              <w:tr2bl w:val="nil"/>
            </w:tcBorders>
            <w:vAlign w:val="center"/>
          </w:tcPr>
          <w:p w14:paraId="61C8A28C">
            <w:pPr>
              <w:spacing w:before="100" w:beforeAutospacing="1" w:after="100" w:afterAutospacing="1"/>
              <w:rPr>
                <w:rFonts w:ascii="宋体" w:hAnsi="宋体"/>
                <w:color w:val="auto"/>
                <w:szCs w:val="21"/>
              </w:rPr>
            </w:pPr>
          </w:p>
        </w:tc>
        <w:tc>
          <w:tcPr>
            <w:tcW w:w="998" w:type="dxa"/>
            <w:tcBorders>
              <w:tl2br w:val="nil"/>
              <w:tr2bl w:val="nil"/>
            </w:tcBorders>
            <w:vAlign w:val="center"/>
          </w:tcPr>
          <w:p w14:paraId="6910C194">
            <w:pPr>
              <w:spacing w:before="100" w:beforeAutospacing="1" w:after="100" w:afterAutospacing="1"/>
              <w:rPr>
                <w:rFonts w:ascii="宋体" w:hAnsi="宋体"/>
                <w:color w:val="auto"/>
                <w:szCs w:val="21"/>
              </w:rPr>
            </w:pPr>
          </w:p>
        </w:tc>
        <w:tc>
          <w:tcPr>
            <w:tcW w:w="1237" w:type="dxa"/>
            <w:tcBorders>
              <w:tl2br w:val="nil"/>
              <w:tr2bl w:val="nil"/>
            </w:tcBorders>
            <w:vAlign w:val="center"/>
          </w:tcPr>
          <w:p w14:paraId="42DF3A1C">
            <w:pPr>
              <w:spacing w:before="100" w:beforeAutospacing="1" w:after="100" w:afterAutospacing="1"/>
              <w:jc w:val="center"/>
              <w:rPr>
                <w:rFonts w:ascii="宋体" w:hAnsi="宋体"/>
                <w:color w:val="auto"/>
                <w:szCs w:val="21"/>
              </w:rPr>
            </w:pPr>
          </w:p>
        </w:tc>
        <w:tc>
          <w:tcPr>
            <w:tcW w:w="1011" w:type="dxa"/>
            <w:tcBorders>
              <w:tl2br w:val="nil"/>
              <w:tr2bl w:val="nil"/>
            </w:tcBorders>
            <w:vAlign w:val="center"/>
          </w:tcPr>
          <w:p w14:paraId="08C51ADE">
            <w:pPr>
              <w:spacing w:before="100" w:beforeAutospacing="1" w:after="100" w:afterAutospacing="1"/>
              <w:jc w:val="center"/>
              <w:rPr>
                <w:rFonts w:ascii="宋体" w:hAnsi="宋体"/>
                <w:color w:val="auto"/>
                <w:szCs w:val="21"/>
              </w:rPr>
            </w:pPr>
          </w:p>
        </w:tc>
        <w:tc>
          <w:tcPr>
            <w:tcW w:w="1117" w:type="dxa"/>
            <w:tcBorders>
              <w:tl2br w:val="nil"/>
              <w:tr2bl w:val="nil"/>
            </w:tcBorders>
            <w:vAlign w:val="center"/>
          </w:tcPr>
          <w:p w14:paraId="0CA47032">
            <w:pPr>
              <w:spacing w:before="100" w:beforeAutospacing="1" w:after="100" w:afterAutospacing="1"/>
              <w:jc w:val="center"/>
              <w:rPr>
                <w:rFonts w:ascii="宋体" w:hAnsi="宋体"/>
                <w:color w:val="auto"/>
                <w:szCs w:val="21"/>
              </w:rPr>
            </w:pPr>
          </w:p>
        </w:tc>
        <w:tc>
          <w:tcPr>
            <w:tcW w:w="724" w:type="dxa"/>
            <w:tcBorders>
              <w:tl2br w:val="nil"/>
              <w:tr2bl w:val="nil"/>
            </w:tcBorders>
            <w:vAlign w:val="center"/>
          </w:tcPr>
          <w:p w14:paraId="1B70F4D3">
            <w:pPr>
              <w:spacing w:before="100" w:beforeAutospacing="1" w:after="100" w:afterAutospacing="1"/>
              <w:jc w:val="center"/>
              <w:rPr>
                <w:rFonts w:ascii="宋体" w:hAnsi="宋体"/>
                <w:color w:val="auto"/>
                <w:szCs w:val="21"/>
              </w:rPr>
            </w:pPr>
          </w:p>
        </w:tc>
        <w:tc>
          <w:tcPr>
            <w:tcW w:w="920" w:type="dxa"/>
            <w:tcBorders>
              <w:tl2br w:val="nil"/>
              <w:tr2bl w:val="nil"/>
            </w:tcBorders>
            <w:vAlign w:val="center"/>
          </w:tcPr>
          <w:p w14:paraId="576D0124">
            <w:pPr>
              <w:spacing w:before="100" w:beforeAutospacing="1" w:after="100" w:afterAutospacing="1"/>
              <w:jc w:val="center"/>
              <w:rPr>
                <w:rFonts w:ascii="宋体" w:hAnsi="宋体"/>
                <w:color w:val="auto"/>
                <w:szCs w:val="21"/>
              </w:rPr>
            </w:pPr>
          </w:p>
        </w:tc>
      </w:tr>
      <w:tr w14:paraId="73D633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6" w:type="dxa"/>
            <w:tcBorders>
              <w:tl2br w:val="nil"/>
              <w:tr2bl w:val="nil"/>
            </w:tcBorders>
            <w:vAlign w:val="center"/>
          </w:tcPr>
          <w:p w14:paraId="0625F7B7">
            <w:pPr>
              <w:widowControl w:val="0"/>
              <w:adjustRightInd/>
              <w:snapToGrid/>
              <w:spacing w:before="100" w:beforeAutospacing="1" w:after="100" w:afterAutospacing="1"/>
              <w:jc w:val="center"/>
              <w:rPr>
                <w:rFonts w:ascii="宋体" w:hAnsi="宋体"/>
                <w:color w:val="auto"/>
                <w:szCs w:val="21"/>
              </w:rPr>
            </w:pPr>
          </w:p>
        </w:tc>
        <w:tc>
          <w:tcPr>
            <w:tcW w:w="1783" w:type="dxa"/>
            <w:tcBorders>
              <w:tl2br w:val="nil"/>
              <w:tr2bl w:val="nil"/>
            </w:tcBorders>
            <w:vAlign w:val="center"/>
          </w:tcPr>
          <w:p w14:paraId="799CE00C">
            <w:pPr>
              <w:spacing w:before="100" w:beforeAutospacing="1" w:after="100" w:afterAutospacing="1"/>
              <w:rPr>
                <w:rFonts w:ascii="宋体" w:hAnsi="宋体"/>
                <w:color w:val="auto"/>
                <w:szCs w:val="21"/>
              </w:rPr>
            </w:pPr>
          </w:p>
        </w:tc>
        <w:tc>
          <w:tcPr>
            <w:tcW w:w="998" w:type="dxa"/>
            <w:tcBorders>
              <w:tl2br w:val="nil"/>
              <w:tr2bl w:val="nil"/>
            </w:tcBorders>
            <w:vAlign w:val="center"/>
          </w:tcPr>
          <w:p w14:paraId="124C31E2">
            <w:pPr>
              <w:spacing w:before="100" w:beforeAutospacing="1" w:after="100" w:afterAutospacing="1"/>
              <w:rPr>
                <w:rFonts w:ascii="宋体" w:hAnsi="宋体"/>
                <w:color w:val="auto"/>
                <w:szCs w:val="21"/>
              </w:rPr>
            </w:pPr>
          </w:p>
        </w:tc>
        <w:tc>
          <w:tcPr>
            <w:tcW w:w="1237" w:type="dxa"/>
            <w:tcBorders>
              <w:tl2br w:val="nil"/>
              <w:tr2bl w:val="nil"/>
            </w:tcBorders>
            <w:vAlign w:val="center"/>
          </w:tcPr>
          <w:p w14:paraId="102278F5">
            <w:pPr>
              <w:spacing w:before="100" w:beforeAutospacing="1" w:after="100" w:afterAutospacing="1"/>
              <w:jc w:val="center"/>
              <w:rPr>
                <w:rFonts w:ascii="宋体" w:hAnsi="宋体"/>
                <w:color w:val="auto"/>
                <w:szCs w:val="21"/>
              </w:rPr>
            </w:pPr>
          </w:p>
        </w:tc>
        <w:tc>
          <w:tcPr>
            <w:tcW w:w="1011" w:type="dxa"/>
            <w:tcBorders>
              <w:tl2br w:val="nil"/>
              <w:tr2bl w:val="nil"/>
            </w:tcBorders>
            <w:vAlign w:val="center"/>
          </w:tcPr>
          <w:p w14:paraId="1586F7EB">
            <w:pPr>
              <w:spacing w:before="100" w:beforeAutospacing="1" w:after="100" w:afterAutospacing="1"/>
              <w:jc w:val="center"/>
              <w:rPr>
                <w:rFonts w:ascii="宋体" w:hAnsi="宋体"/>
                <w:color w:val="auto"/>
                <w:szCs w:val="21"/>
              </w:rPr>
            </w:pPr>
          </w:p>
        </w:tc>
        <w:tc>
          <w:tcPr>
            <w:tcW w:w="1117" w:type="dxa"/>
            <w:tcBorders>
              <w:tl2br w:val="nil"/>
              <w:tr2bl w:val="nil"/>
            </w:tcBorders>
            <w:vAlign w:val="center"/>
          </w:tcPr>
          <w:p w14:paraId="75E1AC96">
            <w:pPr>
              <w:spacing w:before="100" w:beforeAutospacing="1" w:after="100" w:afterAutospacing="1"/>
              <w:jc w:val="center"/>
              <w:rPr>
                <w:rFonts w:ascii="宋体" w:hAnsi="宋体"/>
                <w:color w:val="auto"/>
                <w:szCs w:val="21"/>
              </w:rPr>
            </w:pPr>
          </w:p>
        </w:tc>
        <w:tc>
          <w:tcPr>
            <w:tcW w:w="724" w:type="dxa"/>
            <w:tcBorders>
              <w:tl2br w:val="nil"/>
              <w:tr2bl w:val="nil"/>
            </w:tcBorders>
            <w:vAlign w:val="center"/>
          </w:tcPr>
          <w:p w14:paraId="6DA6FBDD">
            <w:pPr>
              <w:spacing w:before="100" w:beforeAutospacing="1" w:after="100" w:afterAutospacing="1"/>
              <w:jc w:val="center"/>
              <w:rPr>
                <w:rFonts w:ascii="宋体" w:hAnsi="宋体"/>
                <w:color w:val="auto"/>
                <w:szCs w:val="21"/>
              </w:rPr>
            </w:pPr>
          </w:p>
        </w:tc>
        <w:tc>
          <w:tcPr>
            <w:tcW w:w="920" w:type="dxa"/>
            <w:tcBorders>
              <w:tl2br w:val="nil"/>
              <w:tr2bl w:val="nil"/>
            </w:tcBorders>
            <w:vAlign w:val="center"/>
          </w:tcPr>
          <w:p w14:paraId="3A19336A">
            <w:pPr>
              <w:spacing w:before="100" w:beforeAutospacing="1" w:after="100" w:afterAutospacing="1"/>
              <w:jc w:val="center"/>
              <w:rPr>
                <w:rFonts w:ascii="宋体" w:hAnsi="宋体"/>
                <w:color w:val="auto"/>
                <w:szCs w:val="21"/>
              </w:rPr>
            </w:pPr>
          </w:p>
        </w:tc>
      </w:tr>
      <w:tr w14:paraId="7E0CA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6" w:type="dxa"/>
            <w:tcBorders>
              <w:tl2br w:val="nil"/>
              <w:tr2bl w:val="nil"/>
            </w:tcBorders>
            <w:vAlign w:val="center"/>
          </w:tcPr>
          <w:p w14:paraId="7B759AEF">
            <w:pPr>
              <w:widowControl w:val="0"/>
              <w:adjustRightInd/>
              <w:snapToGrid/>
              <w:spacing w:before="100" w:beforeAutospacing="1" w:after="100" w:afterAutospacing="1"/>
              <w:jc w:val="center"/>
              <w:rPr>
                <w:rFonts w:ascii="宋体" w:hAnsi="宋体"/>
                <w:color w:val="auto"/>
                <w:szCs w:val="21"/>
              </w:rPr>
            </w:pPr>
          </w:p>
        </w:tc>
        <w:tc>
          <w:tcPr>
            <w:tcW w:w="1783" w:type="dxa"/>
            <w:tcBorders>
              <w:tl2br w:val="nil"/>
              <w:tr2bl w:val="nil"/>
            </w:tcBorders>
            <w:vAlign w:val="center"/>
          </w:tcPr>
          <w:p w14:paraId="69C5CA84">
            <w:pPr>
              <w:spacing w:before="100" w:beforeAutospacing="1" w:after="100" w:afterAutospacing="1"/>
              <w:rPr>
                <w:rFonts w:ascii="宋体" w:hAnsi="宋体"/>
                <w:color w:val="auto"/>
                <w:szCs w:val="21"/>
              </w:rPr>
            </w:pPr>
          </w:p>
        </w:tc>
        <w:tc>
          <w:tcPr>
            <w:tcW w:w="998" w:type="dxa"/>
            <w:tcBorders>
              <w:tl2br w:val="nil"/>
              <w:tr2bl w:val="nil"/>
            </w:tcBorders>
            <w:vAlign w:val="center"/>
          </w:tcPr>
          <w:p w14:paraId="63F7285B">
            <w:pPr>
              <w:spacing w:before="100" w:beforeAutospacing="1" w:after="100" w:afterAutospacing="1"/>
              <w:rPr>
                <w:rFonts w:ascii="宋体" w:hAnsi="宋体"/>
                <w:color w:val="auto"/>
                <w:szCs w:val="21"/>
              </w:rPr>
            </w:pPr>
          </w:p>
        </w:tc>
        <w:tc>
          <w:tcPr>
            <w:tcW w:w="1237" w:type="dxa"/>
            <w:tcBorders>
              <w:tl2br w:val="nil"/>
              <w:tr2bl w:val="nil"/>
            </w:tcBorders>
            <w:vAlign w:val="center"/>
          </w:tcPr>
          <w:p w14:paraId="1BD4154F">
            <w:pPr>
              <w:spacing w:before="100" w:beforeAutospacing="1" w:after="100" w:afterAutospacing="1"/>
              <w:jc w:val="center"/>
              <w:rPr>
                <w:rFonts w:ascii="宋体" w:hAnsi="宋体"/>
                <w:color w:val="auto"/>
                <w:szCs w:val="21"/>
              </w:rPr>
            </w:pPr>
          </w:p>
        </w:tc>
        <w:tc>
          <w:tcPr>
            <w:tcW w:w="1011" w:type="dxa"/>
            <w:tcBorders>
              <w:tl2br w:val="nil"/>
              <w:tr2bl w:val="nil"/>
            </w:tcBorders>
            <w:vAlign w:val="center"/>
          </w:tcPr>
          <w:p w14:paraId="324240E8">
            <w:pPr>
              <w:spacing w:before="100" w:beforeAutospacing="1" w:after="100" w:afterAutospacing="1"/>
              <w:jc w:val="center"/>
              <w:rPr>
                <w:rFonts w:ascii="宋体" w:hAnsi="宋体"/>
                <w:color w:val="auto"/>
                <w:szCs w:val="21"/>
              </w:rPr>
            </w:pPr>
          </w:p>
        </w:tc>
        <w:tc>
          <w:tcPr>
            <w:tcW w:w="1117" w:type="dxa"/>
            <w:tcBorders>
              <w:tl2br w:val="nil"/>
              <w:tr2bl w:val="nil"/>
            </w:tcBorders>
            <w:vAlign w:val="center"/>
          </w:tcPr>
          <w:p w14:paraId="32C0C984">
            <w:pPr>
              <w:spacing w:before="100" w:beforeAutospacing="1" w:after="100" w:afterAutospacing="1"/>
              <w:jc w:val="center"/>
              <w:rPr>
                <w:rFonts w:ascii="宋体" w:hAnsi="宋体"/>
                <w:color w:val="auto"/>
                <w:szCs w:val="21"/>
              </w:rPr>
            </w:pPr>
          </w:p>
        </w:tc>
        <w:tc>
          <w:tcPr>
            <w:tcW w:w="724" w:type="dxa"/>
            <w:tcBorders>
              <w:tl2br w:val="nil"/>
              <w:tr2bl w:val="nil"/>
            </w:tcBorders>
            <w:vAlign w:val="center"/>
          </w:tcPr>
          <w:p w14:paraId="28FFA080">
            <w:pPr>
              <w:spacing w:before="100" w:beforeAutospacing="1" w:after="100" w:afterAutospacing="1"/>
              <w:jc w:val="center"/>
              <w:rPr>
                <w:rFonts w:ascii="宋体" w:hAnsi="宋体"/>
                <w:color w:val="auto"/>
                <w:szCs w:val="21"/>
              </w:rPr>
            </w:pPr>
          </w:p>
        </w:tc>
        <w:tc>
          <w:tcPr>
            <w:tcW w:w="920" w:type="dxa"/>
            <w:tcBorders>
              <w:tl2br w:val="nil"/>
              <w:tr2bl w:val="nil"/>
            </w:tcBorders>
            <w:vAlign w:val="center"/>
          </w:tcPr>
          <w:p w14:paraId="71BD1647">
            <w:pPr>
              <w:spacing w:before="100" w:beforeAutospacing="1" w:after="100" w:afterAutospacing="1"/>
              <w:jc w:val="center"/>
              <w:rPr>
                <w:rFonts w:ascii="宋体" w:hAnsi="宋体"/>
                <w:color w:val="auto"/>
                <w:szCs w:val="21"/>
              </w:rPr>
            </w:pPr>
          </w:p>
        </w:tc>
      </w:tr>
      <w:tr w14:paraId="1F879D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6" w:type="dxa"/>
            <w:tcBorders>
              <w:tl2br w:val="nil"/>
              <w:tr2bl w:val="nil"/>
            </w:tcBorders>
            <w:vAlign w:val="center"/>
          </w:tcPr>
          <w:p w14:paraId="45C0C49C">
            <w:pPr>
              <w:widowControl w:val="0"/>
              <w:adjustRightInd/>
              <w:snapToGrid/>
              <w:spacing w:before="100" w:beforeAutospacing="1" w:after="100" w:afterAutospacing="1"/>
              <w:jc w:val="center"/>
              <w:rPr>
                <w:rFonts w:ascii="宋体" w:hAnsi="宋体"/>
                <w:color w:val="auto"/>
                <w:szCs w:val="21"/>
              </w:rPr>
            </w:pPr>
          </w:p>
        </w:tc>
        <w:tc>
          <w:tcPr>
            <w:tcW w:w="1783" w:type="dxa"/>
            <w:tcBorders>
              <w:tl2br w:val="nil"/>
              <w:tr2bl w:val="nil"/>
            </w:tcBorders>
            <w:vAlign w:val="center"/>
          </w:tcPr>
          <w:p w14:paraId="0F435C62">
            <w:pPr>
              <w:spacing w:before="100" w:beforeAutospacing="1" w:after="100" w:afterAutospacing="1"/>
              <w:rPr>
                <w:rFonts w:ascii="宋体" w:hAnsi="宋体"/>
                <w:color w:val="auto"/>
                <w:szCs w:val="21"/>
              </w:rPr>
            </w:pPr>
          </w:p>
        </w:tc>
        <w:tc>
          <w:tcPr>
            <w:tcW w:w="998" w:type="dxa"/>
            <w:tcBorders>
              <w:tl2br w:val="nil"/>
              <w:tr2bl w:val="nil"/>
            </w:tcBorders>
            <w:vAlign w:val="center"/>
          </w:tcPr>
          <w:p w14:paraId="263BC88F">
            <w:pPr>
              <w:spacing w:before="100" w:beforeAutospacing="1" w:after="100" w:afterAutospacing="1"/>
              <w:rPr>
                <w:rFonts w:ascii="宋体" w:hAnsi="宋体"/>
                <w:color w:val="auto"/>
                <w:szCs w:val="21"/>
              </w:rPr>
            </w:pPr>
          </w:p>
        </w:tc>
        <w:tc>
          <w:tcPr>
            <w:tcW w:w="1237" w:type="dxa"/>
            <w:tcBorders>
              <w:tl2br w:val="nil"/>
              <w:tr2bl w:val="nil"/>
            </w:tcBorders>
            <w:vAlign w:val="center"/>
          </w:tcPr>
          <w:p w14:paraId="5E89EF30">
            <w:pPr>
              <w:spacing w:before="100" w:beforeAutospacing="1" w:after="100" w:afterAutospacing="1"/>
              <w:jc w:val="center"/>
              <w:rPr>
                <w:rFonts w:ascii="宋体" w:hAnsi="宋体"/>
                <w:color w:val="auto"/>
                <w:szCs w:val="21"/>
              </w:rPr>
            </w:pPr>
          </w:p>
        </w:tc>
        <w:tc>
          <w:tcPr>
            <w:tcW w:w="1011" w:type="dxa"/>
            <w:tcBorders>
              <w:tl2br w:val="nil"/>
              <w:tr2bl w:val="nil"/>
            </w:tcBorders>
            <w:vAlign w:val="center"/>
          </w:tcPr>
          <w:p w14:paraId="6CA9EB16">
            <w:pPr>
              <w:spacing w:before="100" w:beforeAutospacing="1" w:after="100" w:afterAutospacing="1"/>
              <w:jc w:val="center"/>
              <w:rPr>
                <w:rFonts w:ascii="宋体" w:hAnsi="宋体"/>
                <w:color w:val="auto"/>
                <w:szCs w:val="21"/>
              </w:rPr>
            </w:pPr>
          </w:p>
        </w:tc>
        <w:tc>
          <w:tcPr>
            <w:tcW w:w="1117" w:type="dxa"/>
            <w:tcBorders>
              <w:tl2br w:val="nil"/>
              <w:tr2bl w:val="nil"/>
            </w:tcBorders>
            <w:vAlign w:val="center"/>
          </w:tcPr>
          <w:p w14:paraId="4DACA559">
            <w:pPr>
              <w:spacing w:before="100" w:beforeAutospacing="1" w:after="100" w:afterAutospacing="1"/>
              <w:jc w:val="center"/>
              <w:rPr>
                <w:rFonts w:ascii="宋体" w:hAnsi="宋体"/>
                <w:color w:val="auto"/>
                <w:szCs w:val="21"/>
              </w:rPr>
            </w:pPr>
          </w:p>
        </w:tc>
        <w:tc>
          <w:tcPr>
            <w:tcW w:w="724" w:type="dxa"/>
            <w:tcBorders>
              <w:tl2br w:val="nil"/>
              <w:tr2bl w:val="nil"/>
            </w:tcBorders>
            <w:vAlign w:val="center"/>
          </w:tcPr>
          <w:p w14:paraId="735038FF">
            <w:pPr>
              <w:spacing w:before="100" w:beforeAutospacing="1" w:after="100" w:afterAutospacing="1"/>
              <w:jc w:val="center"/>
              <w:rPr>
                <w:rFonts w:ascii="宋体" w:hAnsi="宋体"/>
                <w:color w:val="auto"/>
                <w:szCs w:val="21"/>
              </w:rPr>
            </w:pPr>
          </w:p>
        </w:tc>
        <w:tc>
          <w:tcPr>
            <w:tcW w:w="920" w:type="dxa"/>
            <w:tcBorders>
              <w:tl2br w:val="nil"/>
              <w:tr2bl w:val="nil"/>
            </w:tcBorders>
            <w:vAlign w:val="center"/>
          </w:tcPr>
          <w:p w14:paraId="67A77D87">
            <w:pPr>
              <w:spacing w:before="100" w:beforeAutospacing="1" w:after="100" w:afterAutospacing="1"/>
              <w:jc w:val="center"/>
              <w:rPr>
                <w:rFonts w:ascii="宋体" w:hAnsi="宋体"/>
                <w:color w:val="auto"/>
                <w:szCs w:val="21"/>
              </w:rPr>
            </w:pPr>
          </w:p>
        </w:tc>
      </w:tr>
      <w:tr w14:paraId="0E45A5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6" w:type="dxa"/>
            <w:tcBorders>
              <w:tl2br w:val="nil"/>
              <w:tr2bl w:val="nil"/>
            </w:tcBorders>
            <w:vAlign w:val="center"/>
          </w:tcPr>
          <w:p w14:paraId="30B7E1F1">
            <w:pPr>
              <w:widowControl w:val="0"/>
              <w:adjustRightInd/>
              <w:snapToGrid/>
              <w:spacing w:before="100" w:beforeAutospacing="1" w:after="100" w:afterAutospacing="1"/>
              <w:jc w:val="center"/>
              <w:rPr>
                <w:rFonts w:ascii="宋体" w:hAnsi="宋体"/>
                <w:color w:val="auto"/>
                <w:szCs w:val="21"/>
              </w:rPr>
            </w:pPr>
          </w:p>
        </w:tc>
        <w:tc>
          <w:tcPr>
            <w:tcW w:w="1783" w:type="dxa"/>
            <w:tcBorders>
              <w:tl2br w:val="nil"/>
              <w:tr2bl w:val="nil"/>
            </w:tcBorders>
            <w:vAlign w:val="center"/>
          </w:tcPr>
          <w:p w14:paraId="19639EF7">
            <w:pPr>
              <w:spacing w:before="100" w:beforeAutospacing="1" w:after="100" w:afterAutospacing="1"/>
              <w:rPr>
                <w:rFonts w:ascii="宋体" w:hAnsi="宋体"/>
                <w:color w:val="auto"/>
                <w:szCs w:val="21"/>
              </w:rPr>
            </w:pPr>
          </w:p>
        </w:tc>
        <w:tc>
          <w:tcPr>
            <w:tcW w:w="998" w:type="dxa"/>
            <w:tcBorders>
              <w:tl2br w:val="nil"/>
              <w:tr2bl w:val="nil"/>
            </w:tcBorders>
            <w:vAlign w:val="center"/>
          </w:tcPr>
          <w:p w14:paraId="1DD616FD">
            <w:pPr>
              <w:spacing w:before="100" w:beforeAutospacing="1" w:after="100" w:afterAutospacing="1"/>
              <w:rPr>
                <w:rFonts w:ascii="宋体" w:hAnsi="宋体"/>
                <w:color w:val="auto"/>
                <w:szCs w:val="21"/>
              </w:rPr>
            </w:pPr>
          </w:p>
        </w:tc>
        <w:tc>
          <w:tcPr>
            <w:tcW w:w="1237" w:type="dxa"/>
            <w:tcBorders>
              <w:tl2br w:val="nil"/>
              <w:tr2bl w:val="nil"/>
            </w:tcBorders>
            <w:vAlign w:val="center"/>
          </w:tcPr>
          <w:p w14:paraId="393CB6A9">
            <w:pPr>
              <w:spacing w:before="100" w:beforeAutospacing="1" w:after="100" w:afterAutospacing="1"/>
              <w:jc w:val="center"/>
              <w:rPr>
                <w:rFonts w:ascii="宋体" w:hAnsi="宋体"/>
                <w:color w:val="auto"/>
                <w:szCs w:val="21"/>
              </w:rPr>
            </w:pPr>
          </w:p>
        </w:tc>
        <w:tc>
          <w:tcPr>
            <w:tcW w:w="1011" w:type="dxa"/>
            <w:tcBorders>
              <w:tl2br w:val="nil"/>
              <w:tr2bl w:val="nil"/>
            </w:tcBorders>
            <w:vAlign w:val="center"/>
          </w:tcPr>
          <w:p w14:paraId="6938478F">
            <w:pPr>
              <w:spacing w:before="100" w:beforeAutospacing="1" w:after="100" w:afterAutospacing="1"/>
              <w:jc w:val="center"/>
              <w:rPr>
                <w:rFonts w:ascii="宋体" w:hAnsi="宋体"/>
                <w:color w:val="auto"/>
                <w:szCs w:val="21"/>
              </w:rPr>
            </w:pPr>
          </w:p>
        </w:tc>
        <w:tc>
          <w:tcPr>
            <w:tcW w:w="1117" w:type="dxa"/>
            <w:tcBorders>
              <w:tl2br w:val="nil"/>
              <w:tr2bl w:val="nil"/>
            </w:tcBorders>
            <w:vAlign w:val="center"/>
          </w:tcPr>
          <w:p w14:paraId="2F1E34CF">
            <w:pPr>
              <w:spacing w:before="100" w:beforeAutospacing="1" w:after="100" w:afterAutospacing="1"/>
              <w:jc w:val="center"/>
              <w:rPr>
                <w:rFonts w:ascii="宋体" w:hAnsi="宋体"/>
                <w:color w:val="auto"/>
                <w:szCs w:val="21"/>
              </w:rPr>
            </w:pPr>
          </w:p>
        </w:tc>
        <w:tc>
          <w:tcPr>
            <w:tcW w:w="724" w:type="dxa"/>
            <w:tcBorders>
              <w:tl2br w:val="nil"/>
              <w:tr2bl w:val="nil"/>
            </w:tcBorders>
            <w:vAlign w:val="center"/>
          </w:tcPr>
          <w:p w14:paraId="34DCA657">
            <w:pPr>
              <w:spacing w:before="100" w:beforeAutospacing="1" w:after="100" w:afterAutospacing="1"/>
              <w:jc w:val="center"/>
              <w:rPr>
                <w:rFonts w:ascii="宋体" w:hAnsi="宋体"/>
                <w:color w:val="auto"/>
                <w:szCs w:val="21"/>
              </w:rPr>
            </w:pPr>
          </w:p>
        </w:tc>
        <w:tc>
          <w:tcPr>
            <w:tcW w:w="920" w:type="dxa"/>
            <w:tcBorders>
              <w:tl2br w:val="nil"/>
              <w:tr2bl w:val="nil"/>
            </w:tcBorders>
            <w:vAlign w:val="center"/>
          </w:tcPr>
          <w:p w14:paraId="0FE639D7">
            <w:pPr>
              <w:spacing w:before="100" w:beforeAutospacing="1" w:after="100" w:afterAutospacing="1"/>
              <w:jc w:val="center"/>
              <w:rPr>
                <w:rFonts w:ascii="宋体" w:hAnsi="宋体"/>
                <w:color w:val="auto"/>
                <w:szCs w:val="21"/>
              </w:rPr>
            </w:pPr>
          </w:p>
        </w:tc>
      </w:tr>
      <w:tr w14:paraId="6323D0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6" w:type="dxa"/>
            <w:tcBorders>
              <w:tl2br w:val="nil"/>
              <w:tr2bl w:val="nil"/>
            </w:tcBorders>
            <w:vAlign w:val="center"/>
          </w:tcPr>
          <w:p w14:paraId="20EEDD23">
            <w:pPr>
              <w:widowControl w:val="0"/>
              <w:adjustRightInd/>
              <w:snapToGrid/>
              <w:spacing w:before="100" w:beforeAutospacing="1" w:after="100" w:afterAutospacing="1"/>
              <w:jc w:val="center"/>
              <w:rPr>
                <w:rFonts w:ascii="宋体" w:hAnsi="宋体"/>
                <w:color w:val="auto"/>
                <w:szCs w:val="21"/>
              </w:rPr>
            </w:pPr>
          </w:p>
        </w:tc>
        <w:tc>
          <w:tcPr>
            <w:tcW w:w="1783" w:type="dxa"/>
            <w:tcBorders>
              <w:tl2br w:val="nil"/>
              <w:tr2bl w:val="nil"/>
            </w:tcBorders>
            <w:vAlign w:val="center"/>
          </w:tcPr>
          <w:p w14:paraId="06A6598A">
            <w:pPr>
              <w:spacing w:before="100" w:beforeAutospacing="1" w:after="100" w:afterAutospacing="1"/>
              <w:rPr>
                <w:rFonts w:ascii="宋体" w:hAnsi="宋体"/>
                <w:color w:val="auto"/>
                <w:szCs w:val="21"/>
              </w:rPr>
            </w:pPr>
          </w:p>
        </w:tc>
        <w:tc>
          <w:tcPr>
            <w:tcW w:w="998" w:type="dxa"/>
            <w:tcBorders>
              <w:tl2br w:val="nil"/>
              <w:tr2bl w:val="nil"/>
            </w:tcBorders>
            <w:vAlign w:val="center"/>
          </w:tcPr>
          <w:p w14:paraId="36C5C419">
            <w:pPr>
              <w:spacing w:before="100" w:beforeAutospacing="1" w:after="100" w:afterAutospacing="1"/>
              <w:rPr>
                <w:rFonts w:ascii="宋体" w:hAnsi="宋体"/>
                <w:color w:val="auto"/>
                <w:szCs w:val="21"/>
              </w:rPr>
            </w:pPr>
          </w:p>
        </w:tc>
        <w:tc>
          <w:tcPr>
            <w:tcW w:w="1237" w:type="dxa"/>
            <w:tcBorders>
              <w:tl2br w:val="nil"/>
              <w:tr2bl w:val="nil"/>
            </w:tcBorders>
            <w:vAlign w:val="center"/>
          </w:tcPr>
          <w:p w14:paraId="5C00B910">
            <w:pPr>
              <w:spacing w:before="100" w:beforeAutospacing="1" w:after="100" w:afterAutospacing="1"/>
              <w:jc w:val="center"/>
              <w:rPr>
                <w:rFonts w:ascii="宋体" w:hAnsi="宋体"/>
                <w:color w:val="auto"/>
                <w:szCs w:val="21"/>
              </w:rPr>
            </w:pPr>
          </w:p>
        </w:tc>
        <w:tc>
          <w:tcPr>
            <w:tcW w:w="1011" w:type="dxa"/>
            <w:tcBorders>
              <w:tl2br w:val="nil"/>
              <w:tr2bl w:val="nil"/>
            </w:tcBorders>
            <w:vAlign w:val="center"/>
          </w:tcPr>
          <w:p w14:paraId="22C88DAE">
            <w:pPr>
              <w:spacing w:before="100" w:beforeAutospacing="1" w:after="100" w:afterAutospacing="1"/>
              <w:jc w:val="center"/>
              <w:rPr>
                <w:rFonts w:ascii="宋体" w:hAnsi="宋体"/>
                <w:color w:val="auto"/>
                <w:szCs w:val="21"/>
              </w:rPr>
            </w:pPr>
          </w:p>
        </w:tc>
        <w:tc>
          <w:tcPr>
            <w:tcW w:w="1117" w:type="dxa"/>
            <w:tcBorders>
              <w:tl2br w:val="nil"/>
              <w:tr2bl w:val="nil"/>
            </w:tcBorders>
            <w:vAlign w:val="center"/>
          </w:tcPr>
          <w:p w14:paraId="02F01126">
            <w:pPr>
              <w:spacing w:before="100" w:beforeAutospacing="1" w:after="100" w:afterAutospacing="1"/>
              <w:jc w:val="center"/>
              <w:rPr>
                <w:rFonts w:ascii="宋体" w:hAnsi="宋体"/>
                <w:color w:val="auto"/>
                <w:szCs w:val="21"/>
              </w:rPr>
            </w:pPr>
          </w:p>
        </w:tc>
        <w:tc>
          <w:tcPr>
            <w:tcW w:w="724" w:type="dxa"/>
            <w:tcBorders>
              <w:tl2br w:val="nil"/>
              <w:tr2bl w:val="nil"/>
            </w:tcBorders>
            <w:vAlign w:val="center"/>
          </w:tcPr>
          <w:p w14:paraId="4ECE967A">
            <w:pPr>
              <w:spacing w:before="100" w:beforeAutospacing="1" w:after="100" w:afterAutospacing="1"/>
              <w:jc w:val="center"/>
              <w:rPr>
                <w:rFonts w:ascii="宋体" w:hAnsi="宋体"/>
                <w:color w:val="auto"/>
                <w:szCs w:val="21"/>
              </w:rPr>
            </w:pPr>
          </w:p>
        </w:tc>
        <w:tc>
          <w:tcPr>
            <w:tcW w:w="920" w:type="dxa"/>
            <w:tcBorders>
              <w:tl2br w:val="nil"/>
              <w:tr2bl w:val="nil"/>
            </w:tcBorders>
            <w:vAlign w:val="center"/>
          </w:tcPr>
          <w:p w14:paraId="666F9E96">
            <w:pPr>
              <w:spacing w:before="100" w:beforeAutospacing="1" w:after="100" w:afterAutospacing="1"/>
              <w:jc w:val="center"/>
              <w:rPr>
                <w:rFonts w:ascii="宋体" w:hAnsi="宋体"/>
                <w:color w:val="auto"/>
                <w:szCs w:val="21"/>
              </w:rPr>
            </w:pPr>
          </w:p>
        </w:tc>
      </w:tr>
      <w:tr w14:paraId="4B5333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6" w:type="dxa"/>
            <w:tcBorders>
              <w:tl2br w:val="nil"/>
              <w:tr2bl w:val="nil"/>
            </w:tcBorders>
            <w:vAlign w:val="center"/>
          </w:tcPr>
          <w:p w14:paraId="6FFA5AA8">
            <w:pPr>
              <w:widowControl w:val="0"/>
              <w:adjustRightInd/>
              <w:snapToGrid/>
              <w:spacing w:before="100" w:beforeAutospacing="1" w:after="100" w:afterAutospacing="1"/>
              <w:jc w:val="center"/>
              <w:rPr>
                <w:rFonts w:ascii="宋体" w:hAnsi="宋体"/>
                <w:color w:val="auto"/>
                <w:szCs w:val="21"/>
              </w:rPr>
            </w:pPr>
          </w:p>
        </w:tc>
        <w:tc>
          <w:tcPr>
            <w:tcW w:w="1783" w:type="dxa"/>
            <w:tcBorders>
              <w:tl2br w:val="nil"/>
              <w:tr2bl w:val="nil"/>
            </w:tcBorders>
            <w:vAlign w:val="center"/>
          </w:tcPr>
          <w:p w14:paraId="7274CC93">
            <w:pPr>
              <w:spacing w:before="100" w:beforeAutospacing="1" w:after="100" w:afterAutospacing="1"/>
              <w:rPr>
                <w:rFonts w:ascii="宋体" w:hAnsi="宋体"/>
                <w:color w:val="auto"/>
                <w:szCs w:val="21"/>
              </w:rPr>
            </w:pPr>
          </w:p>
        </w:tc>
        <w:tc>
          <w:tcPr>
            <w:tcW w:w="998" w:type="dxa"/>
            <w:tcBorders>
              <w:tl2br w:val="nil"/>
              <w:tr2bl w:val="nil"/>
            </w:tcBorders>
            <w:vAlign w:val="center"/>
          </w:tcPr>
          <w:p w14:paraId="05D912D3">
            <w:pPr>
              <w:spacing w:before="100" w:beforeAutospacing="1" w:after="100" w:afterAutospacing="1"/>
              <w:rPr>
                <w:rFonts w:ascii="宋体" w:hAnsi="宋体"/>
                <w:color w:val="auto"/>
                <w:szCs w:val="21"/>
              </w:rPr>
            </w:pPr>
          </w:p>
        </w:tc>
        <w:tc>
          <w:tcPr>
            <w:tcW w:w="1237" w:type="dxa"/>
            <w:tcBorders>
              <w:tl2br w:val="nil"/>
              <w:tr2bl w:val="nil"/>
            </w:tcBorders>
            <w:vAlign w:val="center"/>
          </w:tcPr>
          <w:p w14:paraId="73B3E006">
            <w:pPr>
              <w:spacing w:before="100" w:beforeAutospacing="1" w:after="100" w:afterAutospacing="1"/>
              <w:jc w:val="center"/>
              <w:rPr>
                <w:rFonts w:ascii="宋体" w:hAnsi="宋体"/>
                <w:color w:val="auto"/>
                <w:szCs w:val="21"/>
              </w:rPr>
            </w:pPr>
          </w:p>
        </w:tc>
        <w:tc>
          <w:tcPr>
            <w:tcW w:w="1011" w:type="dxa"/>
            <w:tcBorders>
              <w:tl2br w:val="nil"/>
              <w:tr2bl w:val="nil"/>
            </w:tcBorders>
            <w:vAlign w:val="center"/>
          </w:tcPr>
          <w:p w14:paraId="56A628EF">
            <w:pPr>
              <w:spacing w:before="100" w:beforeAutospacing="1" w:after="100" w:afterAutospacing="1"/>
              <w:jc w:val="center"/>
              <w:rPr>
                <w:rFonts w:ascii="宋体" w:hAnsi="宋体"/>
                <w:color w:val="auto"/>
                <w:szCs w:val="21"/>
              </w:rPr>
            </w:pPr>
          </w:p>
        </w:tc>
        <w:tc>
          <w:tcPr>
            <w:tcW w:w="1117" w:type="dxa"/>
            <w:tcBorders>
              <w:tl2br w:val="nil"/>
              <w:tr2bl w:val="nil"/>
            </w:tcBorders>
            <w:vAlign w:val="center"/>
          </w:tcPr>
          <w:p w14:paraId="3F7D4240">
            <w:pPr>
              <w:spacing w:before="100" w:beforeAutospacing="1" w:after="100" w:afterAutospacing="1"/>
              <w:jc w:val="center"/>
              <w:rPr>
                <w:rFonts w:ascii="宋体" w:hAnsi="宋体"/>
                <w:color w:val="auto"/>
                <w:szCs w:val="21"/>
              </w:rPr>
            </w:pPr>
          </w:p>
        </w:tc>
        <w:tc>
          <w:tcPr>
            <w:tcW w:w="724" w:type="dxa"/>
            <w:tcBorders>
              <w:tl2br w:val="nil"/>
              <w:tr2bl w:val="nil"/>
            </w:tcBorders>
            <w:vAlign w:val="center"/>
          </w:tcPr>
          <w:p w14:paraId="43635A88">
            <w:pPr>
              <w:spacing w:before="100" w:beforeAutospacing="1" w:after="100" w:afterAutospacing="1"/>
              <w:jc w:val="center"/>
              <w:rPr>
                <w:rFonts w:ascii="宋体" w:hAnsi="宋体"/>
                <w:color w:val="auto"/>
                <w:szCs w:val="21"/>
              </w:rPr>
            </w:pPr>
          </w:p>
        </w:tc>
        <w:tc>
          <w:tcPr>
            <w:tcW w:w="920" w:type="dxa"/>
            <w:tcBorders>
              <w:tl2br w:val="nil"/>
              <w:tr2bl w:val="nil"/>
            </w:tcBorders>
            <w:vAlign w:val="center"/>
          </w:tcPr>
          <w:p w14:paraId="5594DF9B">
            <w:pPr>
              <w:spacing w:before="100" w:beforeAutospacing="1" w:after="100" w:afterAutospacing="1"/>
              <w:jc w:val="center"/>
              <w:rPr>
                <w:rFonts w:ascii="宋体" w:hAnsi="宋体"/>
                <w:color w:val="auto"/>
                <w:szCs w:val="21"/>
              </w:rPr>
            </w:pPr>
          </w:p>
        </w:tc>
      </w:tr>
      <w:tr w14:paraId="3CFACF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6" w:type="dxa"/>
            <w:tcBorders>
              <w:tl2br w:val="nil"/>
              <w:tr2bl w:val="nil"/>
            </w:tcBorders>
            <w:vAlign w:val="center"/>
          </w:tcPr>
          <w:p w14:paraId="51DC0E3D">
            <w:pPr>
              <w:widowControl w:val="0"/>
              <w:adjustRightInd/>
              <w:snapToGrid/>
              <w:spacing w:before="100" w:beforeAutospacing="1" w:after="100" w:afterAutospacing="1"/>
              <w:jc w:val="center"/>
              <w:rPr>
                <w:rFonts w:ascii="宋体" w:hAnsi="宋体"/>
                <w:color w:val="auto"/>
                <w:szCs w:val="21"/>
              </w:rPr>
            </w:pPr>
          </w:p>
        </w:tc>
        <w:tc>
          <w:tcPr>
            <w:tcW w:w="1783" w:type="dxa"/>
            <w:tcBorders>
              <w:tl2br w:val="nil"/>
              <w:tr2bl w:val="nil"/>
            </w:tcBorders>
            <w:vAlign w:val="center"/>
          </w:tcPr>
          <w:p w14:paraId="021B10EE">
            <w:pPr>
              <w:spacing w:before="100" w:beforeAutospacing="1" w:after="100" w:afterAutospacing="1"/>
              <w:rPr>
                <w:rFonts w:ascii="宋体" w:hAnsi="宋体"/>
                <w:color w:val="auto"/>
                <w:szCs w:val="21"/>
              </w:rPr>
            </w:pPr>
          </w:p>
        </w:tc>
        <w:tc>
          <w:tcPr>
            <w:tcW w:w="998" w:type="dxa"/>
            <w:tcBorders>
              <w:tl2br w:val="nil"/>
              <w:tr2bl w:val="nil"/>
            </w:tcBorders>
            <w:vAlign w:val="center"/>
          </w:tcPr>
          <w:p w14:paraId="63653AF9">
            <w:pPr>
              <w:spacing w:before="100" w:beforeAutospacing="1" w:after="100" w:afterAutospacing="1"/>
              <w:rPr>
                <w:rFonts w:ascii="宋体" w:hAnsi="宋体"/>
                <w:color w:val="auto"/>
                <w:szCs w:val="21"/>
              </w:rPr>
            </w:pPr>
          </w:p>
        </w:tc>
        <w:tc>
          <w:tcPr>
            <w:tcW w:w="1237" w:type="dxa"/>
            <w:tcBorders>
              <w:tl2br w:val="nil"/>
              <w:tr2bl w:val="nil"/>
            </w:tcBorders>
            <w:vAlign w:val="center"/>
          </w:tcPr>
          <w:p w14:paraId="3D944B5C">
            <w:pPr>
              <w:spacing w:before="100" w:beforeAutospacing="1" w:after="100" w:afterAutospacing="1"/>
              <w:jc w:val="center"/>
              <w:rPr>
                <w:rFonts w:ascii="宋体" w:hAnsi="宋体"/>
                <w:color w:val="auto"/>
                <w:szCs w:val="21"/>
              </w:rPr>
            </w:pPr>
          </w:p>
        </w:tc>
        <w:tc>
          <w:tcPr>
            <w:tcW w:w="1011" w:type="dxa"/>
            <w:tcBorders>
              <w:tl2br w:val="nil"/>
              <w:tr2bl w:val="nil"/>
            </w:tcBorders>
            <w:vAlign w:val="center"/>
          </w:tcPr>
          <w:p w14:paraId="7D1BDE49">
            <w:pPr>
              <w:spacing w:before="100" w:beforeAutospacing="1" w:after="100" w:afterAutospacing="1"/>
              <w:jc w:val="center"/>
              <w:rPr>
                <w:rFonts w:ascii="宋体" w:hAnsi="宋体"/>
                <w:color w:val="auto"/>
                <w:szCs w:val="21"/>
              </w:rPr>
            </w:pPr>
          </w:p>
        </w:tc>
        <w:tc>
          <w:tcPr>
            <w:tcW w:w="1117" w:type="dxa"/>
            <w:tcBorders>
              <w:tl2br w:val="nil"/>
              <w:tr2bl w:val="nil"/>
            </w:tcBorders>
            <w:vAlign w:val="center"/>
          </w:tcPr>
          <w:p w14:paraId="312B9CDE">
            <w:pPr>
              <w:spacing w:before="100" w:beforeAutospacing="1" w:after="100" w:afterAutospacing="1"/>
              <w:jc w:val="center"/>
              <w:rPr>
                <w:rFonts w:ascii="宋体" w:hAnsi="宋体"/>
                <w:color w:val="auto"/>
                <w:szCs w:val="21"/>
              </w:rPr>
            </w:pPr>
          </w:p>
        </w:tc>
        <w:tc>
          <w:tcPr>
            <w:tcW w:w="724" w:type="dxa"/>
            <w:tcBorders>
              <w:tl2br w:val="nil"/>
              <w:tr2bl w:val="nil"/>
            </w:tcBorders>
            <w:vAlign w:val="center"/>
          </w:tcPr>
          <w:p w14:paraId="712DBE59">
            <w:pPr>
              <w:spacing w:before="100" w:beforeAutospacing="1" w:after="100" w:afterAutospacing="1"/>
              <w:jc w:val="center"/>
              <w:rPr>
                <w:rFonts w:ascii="宋体" w:hAnsi="宋体"/>
                <w:color w:val="auto"/>
                <w:szCs w:val="21"/>
              </w:rPr>
            </w:pPr>
          </w:p>
        </w:tc>
        <w:tc>
          <w:tcPr>
            <w:tcW w:w="920" w:type="dxa"/>
            <w:tcBorders>
              <w:tl2br w:val="nil"/>
              <w:tr2bl w:val="nil"/>
            </w:tcBorders>
            <w:vAlign w:val="center"/>
          </w:tcPr>
          <w:p w14:paraId="02EC4409">
            <w:pPr>
              <w:spacing w:before="100" w:beforeAutospacing="1" w:after="100" w:afterAutospacing="1"/>
              <w:jc w:val="center"/>
              <w:rPr>
                <w:rFonts w:ascii="宋体" w:hAnsi="宋体"/>
                <w:color w:val="auto"/>
                <w:szCs w:val="21"/>
              </w:rPr>
            </w:pPr>
          </w:p>
        </w:tc>
      </w:tr>
      <w:tr w14:paraId="3CF8F8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6" w:type="dxa"/>
            <w:tcBorders>
              <w:tl2br w:val="nil"/>
              <w:tr2bl w:val="nil"/>
            </w:tcBorders>
            <w:vAlign w:val="center"/>
          </w:tcPr>
          <w:p w14:paraId="7D001731">
            <w:pPr>
              <w:widowControl w:val="0"/>
              <w:adjustRightInd/>
              <w:snapToGrid/>
              <w:spacing w:before="100" w:beforeAutospacing="1" w:after="100" w:afterAutospacing="1"/>
              <w:jc w:val="center"/>
              <w:rPr>
                <w:rFonts w:ascii="宋体" w:hAnsi="宋体"/>
                <w:color w:val="auto"/>
                <w:szCs w:val="21"/>
              </w:rPr>
            </w:pPr>
          </w:p>
        </w:tc>
        <w:tc>
          <w:tcPr>
            <w:tcW w:w="1783" w:type="dxa"/>
            <w:tcBorders>
              <w:tl2br w:val="nil"/>
              <w:tr2bl w:val="nil"/>
            </w:tcBorders>
            <w:vAlign w:val="center"/>
          </w:tcPr>
          <w:p w14:paraId="0786B6FA">
            <w:pPr>
              <w:spacing w:before="100" w:beforeAutospacing="1" w:after="100" w:afterAutospacing="1"/>
              <w:rPr>
                <w:rFonts w:ascii="宋体" w:hAnsi="宋体"/>
                <w:color w:val="auto"/>
                <w:szCs w:val="21"/>
              </w:rPr>
            </w:pPr>
          </w:p>
        </w:tc>
        <w:tc>
          <w:tcPr>
            <w:tcW w:w="998" w:type="dxa"/>
            <w:tcBorders>
              <w:tl2br w:val="nil"/>
              <w:tr2bl w:val="nil"/>
            </w:tcBorders>
            <w:vAlign w:val="center"/>
          </w:tcPr>
          <w:p w14:paraId="5626582E">
            <w:pPr>
              <w:spacing w:before="100" w:beforeAutospacing="1" w:after="100" w:afterAutospacing="1"/>
              <w:rPr>
                <w:rFonts w:ascii="宋体" w:hAnsi="宋体"/>
                <w:color w:val="auto"/>
                <w:szCs w:val="21"/>
              </w:rPr>
            </w:pPr>
          </w:p>
        </w:tc>
        <w:tc>
          <w:tcPr>
            <w:tcW w:w="1237" w:type="dxa"/>
            <w:tcBorders>
              <w:tl2br w:val="nil"/>
              <w:tr2bl w:val="nil"/>
            </w:tcBorders>
            <w:vAlign w:val="center"/>
          </w:tcPr>
          <w:p w14:paraId="1811C1DE">
            <w:pPr>
              <w:spacing w:before="100" w:beforeAutospacing="1" w:after="100" w:afterAutospacing="1"/>
              <w:jc w:val="center"/>
              <w:rPr>
                <w:rFonts w:ascii="宋体" w:hAnsi="宋体"/>
                <w:color w:val="auto"/>
                <w:szCs w:val="21"/>
              </w:rPr>
            </w:pPr>
          </w:p>
        </w:tc>
        <w:tc>
          <w:tcPr>
            <w:tcW w:w="1011" w:type="dxa"/>
            <w:tcBorders>
              <w:tl2br w:val="nil"/>
              <w:tr2bl w:val="nil"/>
            </w:tcBorders>
            <w:vAlign w:val="center"/>
          </w:tcPr>
          <w:p w14:paraId="7C471D5D">
            <w:pPr>
              <w:spacing w:before="100" w:beforeAutospacing="1" w:after="100" w:afterAutospacing="1"/>
              <w:jc w:val="center"/>
              <w:rPr>
                <w:rFonts w:ascii="宋体" w:hAnsi="宋体"/>
                <w:color w:val="auto"/>
                <w:szCs w:val="21"/>
              </w:rPr>
            </w:pPr>
          </w:p>
        </w:tc>
        <w:tc>
          <w:tcPr>
            <w:tcW w:w="1117" w:type="dxa"/>
            <w:tcBorders>
              <w:tl2br w:val="nil"/>
              <w:tr2bl w:val="nil"/>
            </w:tcBorders>
            <w:vAlign w:val="center"/>
          </w:tcPr>
          <w:p w14:paraId="4F3E7012">
            <w:pPr>
              <w:spacing w:before="100" w:beforeAutospacing="1" w:after="100" w:afterAutospacing="1"/>
              <w:jc w:val="center"/>
              <w:rPr>
                <w:rFonts w:ascii="宋体" w:hAnsi="宋体"/>
                <w:color w:val="auto"/>
                <w:szCs w:val="21"/>
              </w:rPr>
            </w:pPr>
          </w:p>
        </w:tc>
        <w:tc>
          <w:tcPr>
            <w:tcW w:w="724" w:type="dxa"/>
            <w:tcBorders>
              <w:tl2br w:val="nil"/>
              <w:tr2bl w:val="nil"/>
            </w:tcBorders>
            <w:vAlign w:val="center"/>
          </w:tcPr>
          <w:p w14:paraId="295E42F9">
            <w:pPr>
              <w:spacing w:before="100" w:beforeAutospacing="1" w:after="100" w:afterAutospacing="1"/>
              <w:jc w:val="center"/>
              <w:rPr>
                <w:rFonts w:ascii="宋体" w:hAnsi="宋体"/>
                <w:color w:val="auto"/>
                <w:szCs w:val="21"/>
              </w:rPr>
            </w:pPr>
          </w:p>
        </w:tc>
        <w:tc>
          <w:tcPr>
            <w:tcW w:w="920" w:type="dxa"/>
            <w:tcBorders>
              <w:tl2br w:val="nil"/>
              <w:tr2bl w:val="nil"/>
            </w:tcBorders>
            <w:vAlign w:val="center"/>
          </w:tcPr>
          <w:p w14:paraId="203C1B88">
            <w:pPr>
              <w:spacing w:before="100" w:beforeAutospacing="1" w:after="100" w:afterAutospacing="1"/>
              <w:jc w:val="center"/>
              <w:rPr>
                <w:rFonts w:ascii="宋体" w:hAnsi="宋体"/>
                <w:color w:val="auto"/>
                <w:szCs w:val="21"/>
              </w:rPr>
            </w:pPr>
          </w:p>
        </w:tc>
      </w:tr>
      <w:tr w14:paraId="39DAE1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6" w:type="dxa"/>
            <w:tcBorders>
              <w:tl2br w:val="nil"/>
              <w:tr2bl w:val="nil"/>
            </w:tcBorders>
            <w:vAlign w:val="center"/>
          </w:tcPr>
          <w:p w14:paraId="365EC357">
            <w:pPr>
              <w:widowControl w:val="0"/>
              <w:adjustRightInd/>
              <w:snapToGrid/>
              <w:spacing w:before="100" w:beforeAutospacing="1" w:after="100" w:afterAutospacing="1"/>
              <w:jc w:val="center"/>
              <w:rPr>
                <w:rFonts w:ascii="宋体" w:hAnsi="宋体"/>
                <w:color w:val="auto"/>
                <w:szCs w:val="21"/>
              </w:rPr>
            </w:pPr>
          </w:p>
        </w:tc>
        <w:tc>
          <w:tcPr>
            <w:tcW w:w="1783" w:type="dxa"/>
            <w:tcBorders>
              <w:tl2br w:val="nil"/>
              <w:tr2bl w:val="nil"/>
            </w:tcBorders>
            <w:vAlign w:val="center"/>
          </w:tcPr>
          <w:p w14:paraId="6C78A95C">
            <w:pPr>
              <w:spacing w:before="100" w:beforeAutospacing="1" w:after="100" w:afterAutospacing="1"/>
              <w:rPr>
                <w:rFonts w:ascii="宋体" w:hAnsi="宋体"/>
                <w:color w:val="auto"/>
                <w:szCs w:val="21"/>
              </w:rPr>
            </w:pPr>
          </w:p>
        </w:tc>
        <w:tc>
          <w:tcPr>
            <w:tcW w:w="998" w:type="dxa"/>
            <w:tcBorders>
              <w:tl2br w:val="nil"/>
              <w:tr2bl w:val="nil"/>
            </w:tcBorders>
            <w:vAlign w:val="center"/>
          </w:tcPr>
          <w:p w14:paraId="6C061692">
            <w:pPr>
              <w:spacing w:before="100" w:beforeAutospacing="1" w:after="100" w:afterAutospacing="1"/>
              <w:rPr>
                <w:rFonts w:ascii="宋体" w:hAnsi="宋体"/>
                <w:color w:val="auto"/>
                <w:szCs w:val="21"/>
              </w:rPr>
            </w:pPr>
          </w:p>
        </w:tc>
        <w:tc>
          <w:tcPr>
            <w:tcW w:w="1237" w:type="dxa"/>
            <w:tcBorders>
              <w:tl2br w:val="nil"/>
              <w:tr2bl w:val="nil"/>
            </w:tcBorders>
            <w:vAlign w:val="center"/>
          </w:tcPr>
          <w:p w14:paraId="409CCB76">
            <w:pPr>
              <w:spacing w:before="100" w:beforeAutospacing="1" w:after="100" w:afterAutospacing="1"/>
              <w:jc w:val="center"/>
              <w:rPr>
                <w:rFonts w:ascii="宋体" w:hAnsi="宋体"/>
                <w:color w:val="auto"/>
                <w:szCs w:val="21"/>
              </w:rPr>
            </w:pPr>
          </w:p>
        </w:tc>
        <w:tc>
          <w:tcPr>
            <w:tcW w:w="1011" w:type="dxa"/>
            <w:tcBorders>
              <w:tl2br w:val="nil"/>
              <w:tr2bl w:val="nil"/>
            </w:tcBorders>
            <w:vAlign w:val="center"/>
          </w:tcPr>
          <w:p w14:paraId="5A364169">
            <w:pPr>
              <w:spacing w:before="100" w:beforeAutospacing="1" w:after="100" w:afterAutospacing="1"/>
              <w:jc w:val="center"/>
              <w:rPr>
                <w:rFonts w:ascii="宋体" w:hAnsi="宋体"/>
                <w:color w:val="auto"/>
                <w:szCs w:val="21"/>
              </w:rPr>
            </w:pPr>
          </w:p>
        </w:tc>
        <w:tc>
          <w:tcPr>
            <w:tcW w:w="1117" w:type="dxa"/>
            <w:tcBorders>
              <w:tl2br w:val="nil"/>
              <w:tr2bl w:val="nil"/>
            </w:tcBorders>
            <w:vAlign w:val="center"/>
          </w:tcPr>
          <w:p w14:paraId="6E784749">
            <w:pPr>
              <w:spacing w:before="100" w:beforeAutospacing="1" w:after="100" w:afterAutospacing="1"/>
              <w:jc w:val="center"/>
              <w:rPr>
                <w:rFonts w:ascii="宋体" w:hAnsi="宋体"/>
                <w:color w:val="auto"/>
                <w:szCs w:val="21"/>
              </w:rPr>
            </w:pPr>
          </w:p>
        </w:tc>
        <w:tc>
          <w:tcPr>
            <w:tcW w:w="724" w:type="dxa"/>
            <w:tcBorders>
              <w:tl2br w:val="nil"/>
              <w:tr2bl w:val="nil"/>
            </w:tcBorders>
            <w:vAlign w:val="center"/>
          </w:tcPr>
          <w:p w14:paraId="1753BC2D">
            <w:pPr>
              <w:spacing w:before="100" w:beforeAutospacing="1" w:after="100" w:afterAutospacing="1"/>
              <w:jc w:val="center"/>
              <w:rPr>
                <w:rFonts w:ascii="宋体" w:hAnsi="宋体"/>
                <w:color w:val="auto"/>
                <w:szCs w:val="21"/>
              </w:rPr>
            </w:pPr>
          </w:p>
        </w:tc>
        <w:tc>
          <w:tcPr>
            <w:tcW w:w="920" w:type="dxa"/>
            <w:tcBorders>
              <w:tl2br w:val="nil"/>
              <w:tr2bl w:val="nil"/>
            </w:tcBorders>
            <w:vAlign w:val="center"/>
          </w:tcPr>
          <w:p w14:paraId="0266B92F">
            <w:pPr>
              <w:spacing w:before="100" w:beforeAutospacing="1" w:after="100" w:afterAutospacing="1"/>
              <w:jc w:val="center"/>
              <w:rPr>
                <w:rFonts w:ascii="宋体" w:hAnsi="宋体"/>
                <w:color w:val="auto"/>
                <w:szCs w:val="21"/>
              </w:rPr>
            </w:pPr>
          </w:p>
        </w:tc>
      </w:tr>
      <w:tr w14:paraId="40F37C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32" w:type="dxa"/>
            <w:gridSpan w:val="6"/>
            <w:tcBorders>
              <w:tl2br w:val="nil"/>
              <w:tr2bl w:val="nil"/>
            </w:tcBorders>
            <w:vAlign w:val="center"/>
          </w:tcPr>
          <w:p w14:paraId="1D03B953">
            <w:pPr>
              <w:spacing w:before="100" w:beforeAutospacing="1" w:after="100" w:afterAutospacing="1"/>
              <w:jc w:val="center"/>
              <w:rPr>
                <w:rFonts w:ascii="宋体" w:hAnsi="宋体"/>
                <w:color w:val="auto"/>
                <w:szCs w:val="21"/>
              </w:rPr>
            </w:pPr>
            <w:r>
              <w:rPr>
                <w:rFonts w:hint="eastAsia" w:ascii="宋体" w:hAnsi="宋体"/>
                <w:color w:val="auto"/>
                <w:szCs w:val="21"/>
              </w:rPr>
              <w:t>合计投标总价</w:t>
            </w:r>
          </w:p>
        </w:tc>
        <w:tc>
          <w:tcPr>
            <w:tcW w:w="1644" w:type="dxa"/>
            <w:gridSpan w:val="2"/>
            <w:tcBorders>
              <w:tl2br w:val="nil"/>
              <w:tr2bl w:val="nil"/>
            </w:tcBorders>
            <w:vAlign w:val="center"/>
          </w:tcPr>
          <w:p w14:paraId="32E97327">
            <w:pPr>
              <w:spacing w:before="100" w:beforeAutospacing="1" w:after="100" w:afterAutospacing="1"/>
              <w:jc w:val="center"/>
              <w:rPr>
                <w:rFonts w:ascii="宋体" w:hAnsi="宋体"/>
                <w:color w:val="auto"/>
                <w:szCs w:val="21"/>
              </w:rPr>
            </w:pPr>
          </w:p>
        </w:tc>
      </w:tr>
    </w:tbl>
    <w:p w14:paraId="57F76D94">
      <w:pPr>
        <w:rPr>
          <w:color w:val="auto"/>
        </w:rPr>
      </w:pPr>
    </w:p>
    <w:p w14:paraId="4A33A686">
      <w:pPr>
        <w:rPr>
          <w:rFonts w:ascii="宋体" w:hAnsi="宋体"/>
          <w:color w:val="auto"/>
          <w:szCs w:val="21"/>
        </w:rPr>
      </w:pPr>
      <w:r>
        <w:rPr>
          <w:rFonts w:hint="eastAsia" w:ascii="宋体" w:hAnsi="宋体"/>
          <w:color w:val="auto"/>
          <w:szCs w:val="21"/>
        </w:rPr>
        <w:t>投标人代表签字：</w:t>
      </w:r>
    </w:p>
    <w:p w14:paraId="3A8841C4">
      <w:pPr>
        <w:rPr>
          <w:rFonts w:ascii="宋体" w:hAnsi="宋体"/>
          <w:color w:val="auto"/>
          <w:szCs w:val="21"/>
        </w:rPr>
      </w:pPr>
      <w:r>
        <w:rPr>
          <w:rFonts w:hint="eastAsia" w:ascii="宋体" w:hAnsi="宋体"/>
          <w:color w:val="auto"/>
          <w:szCs w:val="21"/>
        </w:rPr>
        <w:t>投标人盖章：</w:t>
      </w:r>
    </w:p>
    <w:p w14:paraId="184FC2F0">
      <w:pPr>
        <w:rPr>
          <w:rFonts w:ascii="宋体" w:hAnsi="宋体"/>
          <w:color w:val="auto"/>
          <w:szCs w:val="21"/>
        </w:rPr>
      </w:pPr>
      <w:r>
        <w:rPr>
          <w:rFonts w:hint="eastAsia" w:ascii="宋体" w:hAnsi="宋体"/>
          <w:color w:val="auto"/>
          <w:szCs w:val="21"/>
        </w:rPr>
        <w:t>日期：</w:t>
      </w:r>
    </w:p>
    <w:p w14:paraId="46F636A5">
      <w:pPr>
        <w:pStyle w:val="24"/>
        <w:ind w:left="0" w:leftChars="0"/>
        <w:rPr>
          <w:rFonts w:ascii="宋体" w:hAnsi="宋体"/>
          <w:color w:val="auto"/>
          <w:szCs w:val="21"/>
        </w:rPr>
      </w:pPr>
    </w:p>
    <w:bookmarkEnd w:id="347"/>
    <w:bookmarkEnd w:id="348"/>
    <w:p w14:paraId="6E9B4064">
      <w:pPr>
        <w:rPr>
          <w:color w:val="auto"/>
          <w:sz w:val="52"/>
          <w:szCs w:val="52"/>
        </w:rPr>
      </w:pPr>
    </w:p>
    <w:p w14:paraId="55021E1C">
      <w:pPr>
        <w:pStyle w:val="3"/>
        <w:spacing w:before="0" w:after="0" w:line="360" w:lineRule="auto"/>
        <w:jc w:val="center"/>
        <w:rPr>
          <w:color w:val="auto"/>
          <w:sz w:val="72"/>
          <w:szCs w:val="72"/>
        </w:rPr>
      </w:pPr>
      <w:bookmarkStart w:id="353" w:name="_Toc25663"/>
      <w:bookmarkStart w:id="354" w:name="_Toc20754"/>
      <w:bookmarkStart w:id="355" w:name="_Toc15247"/>
      <w:bookmarkStart w:id="356" w:name="_Toc3616"/>
      <w:r>
        <w:rPr>
          <w:rFonts w:hint="eastAsia"/>
          <w:color w:val="auto"/>
          <w:sz w:val="72"/>
          <w:szCs w:val="72"/>
        </w:rPr>
        <w:t>商务文件</w:t>
      </w:r>
      <w:bookmarkEnd w:id="353"/>
      <w:bookmarkEnd w:id="354"/>
      <w:bookmarkEnd w:id="355"/>
      <w:bookmarkEnd w:id="356"/>
    </w:p>
    <w:p w14:paraId="4D49F3A9">
      <w:pPr>
        <w:jc w:val="center"/>
        <w:rPr>
          <w:rFonts w:ascii="兰米黑体" w:eastAsia="兰米黑体"/>
          <w:color w:val="auto"/>
          <w:sz w:val="72"/>
          <w:szCs w:val="72"/>
        </w:rPr>
      </w:pPr>
      <w:r>
        <w:rPr>
          <w:rFonts w:hint="eastAsia" w:ascii="兰米黑体" w:eastAsia="兰米黑体"/>
          <w:color w:val="auto"/>
          <w:sz w:val="72"/>
          <w:szCs w:val="72"/>
        </w:rPr>
        <w:t>（单独装订成册）</w:t>
      </w:r>
    </w:p>
    <w:p w14:paraId="29156BEB">
      <w:pPr>
        <w:rPr>
          <w:color w:val="auto"/>
        </w:rPr>
      </w:pPr>
    </w:p>
    <w:p w14:paraId="35D9E1D3">
      <w:pPr>
        <w:pStyle w:val="11"/>
        <w:rPr>
          <w:color w:val="auto"/>
        </w:rPr>
      </w:pPr>
    </w:p>
    <w:p w14:paraId="02B93220">
      <w:pPr>
        <w:pStyle w:val="30"/>
        <w:ind w:firstLine="240"/>
        <w:rPr>
          <w:color w:val="auto"/>
        </w:rPr>
      </w:pPr>
    </w:p>
    <w:p w14:paraId="15C49A45">
      <w:pPr>
        <w:rPr>
          <w:rFonts w:ascii="宋体" w:hAnsi="宋体" w:cs="宋体"/>
          <w:b/>
          <w:bCs/>
          <w:color w:val="auto"/>
          <w:spacing w:val="-6"/>
          <w:sz w:val="32"/>
          <w:szCs w:val="32"/>
        </w:rPr>
      </w:pPr>
      <w:r>
        <w:rPr>
          <w:rFonts w:hint="eastAsia" w:ascii="宋体" w:hAnsi="宋体" w:cs="宋体"/>
          <w:b/>
          <w:bCs/>
          <w:color w:val="auto"/>
          <w:spacing w:val="106"/>
          <w:kern w:val="0"/>
          <w:sz w:val="32"/>
          <w:szCs w:val="32"/>
          <w:fitText w:val="1600" w:id="4"/>
        </w:rPr>
        <w:t>项目名</w:t>
      </w:r>
      <w:r>
        <w:rPr>
          <w:rFonts w:hint="eastAsia" w:ascii="宋体" w:hAnsi="宋体" w:cs="宋体"/>
          <w:b/>
          <w:bCs/>
          <w:color w:val="auto"/>
          <w:spacing w:val="2"/>
          <w:kern w:val="0"/>
          <w:sz w:val="32"/>
          <w:szCs w:val="32"/>
          <w:fitText w:val="1600" w:id="4"/>
        </w:rPr>
        <w:t>称</w:t>
      </w:r>
      <w:r>
        <w:rPr>
          <w:rFonts w:hint="eastAsia" w:ascii="宋体" w:hAnsi="宋体" w:cs="宋体"/>
          <w:b/>
          <w:bCs/>
          <w:color w:val="auto"/>
          <w:spacing w:val="-6"/>
          <w:sz w:val="32"/>
          <w:szCs w:val="32"/>
        </w:rPr>
        <w:t>：</w:t>
      </w:r>
    </w:p>
    <w:p w14:paraId="325EF5BA">
      <w:pPr>
        <w:rPr>
          <w:rFonts w:ascii="宋体" w:hAnsi="宋体" w:cs="宋体"/>
          <w:b/>
          <w:bCs/>
          <w:color w:val="auto"/>
          <w:sz w:val="32"/>
          <w:szCs w:val="32"/>
        </w:rPr>
      </w:pPr>
      <w:r>
        <w:rPr>
          <w:rFonts w:hint="eastAsia" w:ascii="宋体" w:hAnsi="宋体" w:cs="宋体"/>
          <w:b/>
          <w:bCs/>
          <w:color w:val="auto"/>
          <w:spacing w:val="106"/>
          <w:kern w:val="0"/>
          <w:sz w:val="32"/>
          <w:szCs w:val="32"/>
          <w:fitText w:val="1600" w:id="5"/>
        </w:rPr>
        <w:t>项目编</w:t>
      </w:r>
      <w:r>
        <w:rPr>
          <w:rFonts w:hint="eastAsia" w:ascii="宋体" w:hAnsi="宋体" w:cs="宋体"/>
          <w:b/>
          <w:bCs/>
          <w:color w:val="auto"/>
          <w:spacing w:val="2"/>
          <w:kern w:val="0"/>
          <w:sz w:val="32"/>
          <w:szCs w:val="32"/>
          <w:fitText w:val="1600" w:id="5"/>
        </w:rPr>
        <w:t>号</w:t>
      </w:r>
      <w:r>
        <w:rPr>
          <w:rFonts w:hint="eastAsia" w:ascii="宋体" w:hAnsi="宋体" w:cs="宋体"/>
          <w:b/>
          <w:bCs/>
          <w:color w:val="auto"/>
          <w:sz w:val="32"/>
          <w:szCs w:val="32"/>
        </w:rPr>
        <w:t>：</w:t>
      </w:r>
    </w:p>
    <w:p w14:paraId="0005B4F2">
      <w:pPr>
        <w:pStyle w:val="11"/>
        <w:ind w:left="0"/>
        <w:rPr>
          <w:b/>
          <w:color w:val="auto"/>
          <w:spacing w:val="1280"/>
          <w:sz w:val="32"/>
          <w:szCs w:val="32"/>
        </w:rPr>
      </w:pPr>
      <w:r>
        <w:rPr>
          <w:b/>
          <w:color w:val="auto"/>
          <w:spacing w:val="106"/>
          <w:sz w:val="32"/>
          <w:szCs w:val="32"/>
          <w:lang w:val="en-US" w:bidi="ar-SA"/>
        </w:rPr>
        <w:t>包组号（如有）：</w:t>
      </w:r>
    </w:p>
    <w:p w14:paraId="75FB4941">
      <w:pPr>
        <w:rPr>
          <w:rFonts w:ascii="宋体" w:hAnsi="宋体" w:cs="宋体"/>
          <w:b/>
          <w:color w:val="auto"/>
          <w:sz w:val="32"/>
          <w:szCs w:val="32"/>
        </w:rPr>
      </w:pPr>
      <w:r>
        <w:rPr>
          <w:rFonts w:hint="eastAsia" w:ascii="宋体" w:hAnsi="宋体" w:cs="宋体"/>
          <w:b/>
          <w:color w:val="auto"/>
          <w:spacing w:val="0"/>
          <w:kern w:val="0"/>
          <w:sz w:val="32"/>
          <w:szCs w:val="32"/>
          <w:fitText w:val="1600" w:id="6"/>
        </w:rPr>
        <w:t>投标人名称</w:t>
      </w:r>
      <w:r>
        <w:rPr>
          <w:rFonts w:hint="eastAsia" w:ascii="宋体" w:hAnsi="宋体" w:cs="宋体"/>
          <w:b/>
          <w:color w:val="auto"/>
          <w:sz w:val="32"/>
          <w:szCs w:val="32"/>
        </w:rPr>
        <w:t>：</w:t>
      </w:r>
    </w:p>
    <w:p w14:paraId="44363C4C">
      <w:pPr>
        <w:rPr>
          <w:rFonts w:ascii="宋体" w:hAnsi="宋体" w:cs="宋体"/>
          <w:b/>
          <w:color w:val="auto"/>
          <w:sz w:val="32"/>
          <w:szCs w:val="32"/>
        </w:rPr>
      </w:pPr>
      <w:r>
        <w:rPr>
          <w:rFonts w:hint="eastAsia" w:ascii="宋体" w:hAnsi="宋体" w:cs="宋体"/>
          <w:b/>
          <w:color w:val="auto"/>
          <w:spacing w:val="64"/>
          <w:kern w:val="0"/>
          <w:sz w:val="32"/>
          <w:szCs w:val="32"/>
          <w:fitText w:val="1600" w:id="7"/>
        </w:rPr>
        <w:t xml:space="preserve">日    </w:t>
      </w:r>
      <w:r>
        <w:rPr>
          <w:rFonts w:hint="eastAsia" w:ascii="宋体" w:hAnsi="宋体" w:cs="宋体"/>
          <w:b/>
          <w:color w:val="auto"/>
          <w:spacing w:val="0"/>
          <w:kern w:val="0"/>
          <w:sz w:val="32"/>
          <w:szCs w:val="32"/>
          <w:fitText w:val="1600" w:id="7"/>
        </w:rPr>
        <w:t>期</w:t>
      </w:r>
      <w:r>
        <w:rPr>
          <w:rFonts w:hint="eastAsia" w:ascii="宋体" w:hAnsi="宋体" w:cs="宋体"/>
          <w:b/>
          <w:color w:val="auto"/>
          <w:sz w:val="32"/>
          <w:szCs w:val="32"/>
        </w:rPr>
        <w:t>：</w:t>
      </w:r>
    </w:p>
    <w:p w14:paraId="6FB416C8">
      <w:pPr>
        <w:pStyle w:val="11"/>
        <w:rPr>
          <w:b/>
          <w:color w:val="auto"/>
          <w:sz w:val="32"/>
          <w:szCs w:val="32"/>
        </w:rPr>
      </w:pPr>
    </w:p>
    <w:p w14:paraId="6ADAFB6D">
      <w:pPr>
        <w:pStyle w:val="30"/>
        <w:ind w:firstLine="321"/>
        <w:rPr>
          <w:b/>
          <w:color w:val="auto"/>
          <w:sz w:val="32"/>
          <w:szCs w:val="32"/>
        </w:rPr>
      </w:pPr>
    </w:p>
    <w:p w14:paraId="6DEC7FB4">
      <w:pPr>
        <w:pStyle w:val="23"/>
        <w:rPr>
          <w:rFonts w:ascii="宋体" w:hAnsi="宋体" w:cs="宋体"/>
          <w:b/>
          <w:color w:val="auto"/>
          <w:sz w:val="32"/>
          <w:szCs w:val="32"/>
        </w:rPr>
      </w:pPr>
    </w:p>
    <w:p w14:paraId="24EC0704">
      <w:pPr>
        <w:rPr>
          <w:rFonts w:ascii="宋体" w:hAnsi="宋体" w:cs="宋体"/>
          <w:b/>
          <w:color w:val="auto"/>
          <w:sz w:val="32"/>
          <w:szCs w:val="32"/>
        </w:rPr>
      </w:pPr>
    </w:p>
    <w:p w14:paraId="0DD5EA37">
      <w:pPr>
        <w:pStyle w:val="11"/>
        <w:rPr>
          <w:b/>
          <w:color w:val="auto"/>
          <w:sz w:val="32"/>
          <w:szCs w:val="32"/>
        </w:rPr>
      </w:pPr>
    </w:p>
    <w:p w14:paraId="6286F793">
      <w:pPr>
        <w:rPr>
          <w:color w:val="auto"/>
        </w:rPr>
      </w:pPr>
    </w:p>
    <w:p w14:paraId="6ED4BA0F">
      <w:pPr>
        <w:rPr>
          <w:rFonts w:ascii="宋体" w:hAnsi="宋体"/>
          <w:color w:val="auto"/>
          <w:szCs w:val="21"/>
        </w:rPr>
      </w:pPr>
      <w:r>
        <w:rPr>
          <w:rFonts w:hint="eastAsia" w:ascii="宋体" w:hAnsi="宋体"/>
          <w:color w:val="auto"/>
          <w:szCs w:val="21"/>
        </w:rPr>
        <w:br w:type="page"/>
      </w:r>
    </w:p>
    <w:p w14:paraId="71F2D4B9">
      <w:pPr>
        <w:pStyle w:val="5"/>
        <w:widowControl w:val="0"/>
        <w:overflowPunct w:val="0"/>
        <w:spacing w:line="240" w:lineRule="auto"/>
        <w:rPr>
          <w:color w:val="auto"/>
        </w:rPr>
      </w:pPr>
      <w:bookmarkStart w:id="357" w:name="_Toc23223"/>
      <w:bookmarkStart w:id="358" w:name="_Toc15134"/>
      <w:bookmarkStart w:id="359" w:name="_Toc11624"/>
      <w:bookmarkStart w:id="360" w:name="_Toc4378"/>
      <w:r>
        <w:rPr>
          <w:rFonts w:hint="eastAsia" w:ascii="宋体" w:hAnsi="宋体"/>
          <w:color w:val="auto"/>
          <w:sz w:val="21"/>
          <w:szCs w:val="21"/>
        </w:rPr>
        <w:t>附件4.投标书格式</w:t>
      </w:r>
      <w:bookmarkEnd w:id="357"/>
      <w:bookmarkEnd w:id="358"/>
      <w:bookmarkEnd w:id="359"/>
      <w:bookmarkEnd w:id="360"/>
    </w:p>
    <w:p w14:paraId="0BD7A00A">
      <w:pPr>
        <w:jc w:val="center"/>
        <w:rPr>
          <w:rFonts w:ascii="宋体" w:hAnsi="宋体"/>
          <w:color w:val="auto"/>
          <w:szCs w:val="21"/>
        </w:rPr>
      </w:pPr>
      <w:r>
        <w:rPr>
          <w:rFonts w:hint="eastAsia" w:ascii="兰米黑体" w:eastAsia="兰米黑体"/>
          <w:color w:val="auto"/>
          <w:sz w:val="32"/>
          <w:szCs w:val="32"/>
        </w:rPr>
        <w:t>投标书</w:t>
      </w:r>
    </w:p>
    <w:p w14:paraId="6A236996">
      <w:pPr>
        <w:rPr>
          <w:rFonts w:ascii="宋体" w:hAnsi="宋体"/>
          <w:color w:val="auto"/>
          <w:szCs w:val="21"/>
        </w:rPr>
      </w:pPr>
      <w:r>
        <w:rPr>
          <w:rFonts w:hint="eastAsia" w:ascii="宋体" w:hAnsi="宋体"/>
          <w:color w:val="auto"/>
          <w:szCs w:val="21"/>
        </w:rPr>
        <w:t>致：广东志正招标有限公司东莞分公司：</w:t>
      </w:r>
    </w:p>
    <w:p w14:paraId="6B96840B">
      <w:pPr>
        <w:rPr>
          <w:rFonts w:ascii="宋体" w:hAnsi="宋体"/>
          <w:color w:val="auto"/>
          <w:szCs w:val="21"/>
        </w:rPr>
      </w:pPr>
    </w:p>
    <w:p w14:paraId="08549110">
      <w:pPr>
        <w:ind w:firstLine="420" w:firstLineChars="200"/>
        <w:rPr>
          <w:rFonts w:ascii="宋体" w:hAnsi="宋体"/>
          <w:color w:val="auto"/>
          <w:szCs w:val="21"/>
        </w:rPr>
      </w:pPr>
      <w:r>
        <w:rPr>
          <w:rFonts w:hint="eastAsia" w:ascii="宋体" w:hAnsi="宋体"/>
          <w:color w:val="auto"/>
          <w:szCs w:val="21"/>
        </w:rPr>
        <w:t>根据贵方为</w:t>
      </w:r>
      <w:r>
        <w:rPr>
          <w:rFonts w:hint="eastAsia" w:ascii="宋体" w:hAnsi="宋体"/>
          <w:color w:val="auto"/>
          <w:szCs w:val="21"/>
          <w:u w:val="single"/>
        </w:rPr>
        <w:t>（项目名称）（采购项目编号）</w:t>
      </w:r>
      <w:r>
        <w:rPr>
          <w:rFonts w:hint="eastAsia" w:ascii="宋体" w:hAnsi="宋体"/>
          <w:color w:val="auto"/>
          <w:szCs w:val="21"/>
        </w:rPr>
        <w:t>项目采购公告/采购邀请，签字代表</w:t>
      </w:r>
      <w:r>
        <w:rPr>
          <w:rFonts w:hint="eastAsia" w:ascii="宋体" w:hAnsi="宋体"/>
          <w:color w:val="auto"/>
          <w:szCs w:val="21"/>
          <w:u w:val="single"/>
        </w:rPr>
        <w:t>（姓名、职务）</w:t>
      </w:r>
      <w:r>
        <w:rPr>
          <w:rFonts w:hint="eastAsia" w:ascii="宋体" w:hAnsi="宋体"/>
          <w:color w:val="auto"/>
          <w:szCs w:val="21"/>
        </w:rPr>
        <w:t>经正式授权并代表投标人</w:t>
      </w:r>
      <w:r>
        <w:rPr>
          <w:rFonts w:hint="eastAsia" w:ascii="宋体" w:hAnsi="宋体"/>
          <w:color w:val="auto"/>
          <w:szCs w:val="21"/>
          <w:u w:val="single"/>
        </w:rPr>
        <w:t>（投标人名称、地址）</w:t>
      </w:r>
      <w:r>
        <w:rPr>
          <w:rFonts w:hint="eastAsia" w:ascii="宋体" w:hAnsi="宋体"/>
          <w:color w:val="auto"/>
          <w:szCs w:val="21"/>
        </w:rPr>
        <w:t>提交投标文件及“唱标信封”：</w:t>
      </w:r>
    </w:p>
    <w:p w14:paraId="2F4DB80E">
      <w:pPr>
        <w:ind w:firstLine="420" w:firstLineChars="200"/>
        <w:rPr>
          <w:rFonts w:ascii="宋体" w:hAnsi="宋体"/>
          <w:color w:val="auto"/>
          <w:szCs w:val="21"/>
        </w:rPr>
      </w:pPr>
      <w:r>
        <w:rPr>
          <w:rFonts w:hint="eastAsia" w:ascii="宋体" w:hAnsi="宋体"/>
          <w:color w:val="auto"/>
          <w:szCs w:val="21"/>
        </w:rPr>
        <w:t xml:space="preserve">在此，签字代表宣布同意如下： </w:t>
      </w:r>
    </w:p>
    <w:p w14:paraId="539AAF20">
      <w:pPr>
        <w:widowControl w:val="0"/>
        <w:numPr>
          <w:ilvl w:val="0"/>
          <w:numId w:val="10"/>
        </w:numPr>
        <w:adjustRightInd/>
        <w:snapToGrid/>
        <w:jc w:val="both"/>
        <w:outlineLvl w:val="1"/>
        <w:rPr>
          <w:rFonts w:ascii="宋体" w:hAnsi="宋体"/>
          <w:color w:val="auto"/>
          <w:szCs w:val="21"/>
        </w:rPr>
      </w:pPr>
      <w:bookmarkStart w:id="361" w:name="_Toc15339"/>
      <w:r>
        <w:rPr>
          <w:rFonts w:hint="eastAsia" w:ascii="宋体" w:hAnsi="宋体"/>
          <w:color w:val="auto"/>
          <w:szCs w:val="21"/>
        </w:rPr>
        <w:t>我方将按采购文件的规定履行合同责任和义务。</w:t>
      </w:r>
      <w:bookmarkEnd w:id="361"/>
      <w:r>
        <w:rPr>
          <w:rFonts w:hint="eastAsia" w:ascii="宋体" w:hAnsi="宋体"/>
          <w:color w:val="auto"/>
          <w:szCs w:val="21"/>
        </w:rPr>
        <w:t xml:space="preserve"> </w:t>
      </w:r>
    </w:p>
    <w:p w14:paraId="703D47BF">
      <w:pPr>
        <w:widowControl w:val="0"/>
        <w:numPr>
          <w:ilvl w:val="0"/>
          <w:numId w:val="10"/>
        </w:numPr>
        <w:adjustRightInd/>
        <w:snapToGrid/>
        <w:jc w:val="both"/>
        <w:rPr>
          <w:rFonts w:ascii="宋体" w:hAnsi="宋体"/>
          <w:color w:val="auto"/>
          <w:szCs w:val="21"/>
        </w:rPr>
      </w:pPr>
      <w:r>
        <w:rPr>
          <w:rFonts w:hint="eastAsia" w:ascii="宋体" w:hAnsi="宋体"/>
          <w:b/>
          <w:color w:val="auto"/>
          <w:szCs w:val="21"/>
        </w:rPr>
        <w:t>我方已完整阅读了本项目采购文件的所有内容（包括澄清，以及所有已提供的参考资料和有关附件），并完全理解上述文件所表达的意思，该项目递交投标文件时间截止后，我方承诺不再对上述文件内容进行异议。</w:t>
      </w:r>
    </w:p>
    <w:p w14:paraId="79F66484">
      <w:pPr>
        <w:widowControl w:val="0"/>
        <w:numPr>
          <w:ilvl w:val="0"/>
          <w:numId w:val="10"/>
        </w:numPr>
        <w:adjustRightInd/>
        <w:snapToGrid/>
        <w:jc w:val="both"/>
        <w:rPr>
          <w:rFonts w:ascii="宋体" w:hAnsi="宋体"/>
          <w:color w:val="auto"/>
          <w:szCs w:val="21"/>
        </w:rPr>
      </w:pPr>
      <w:r>
        <w:rPr>
          <w:rFonts w:hint="eastAsia" w:ascii="宋体" w:hAnsi="宋体"/>
          <w:color w:val="auto"/>
          <w:szCs w:val="21"/>
        </w:rPr>
        <w:t>本投标有效期为自开标日起</w:t>
      </w:r>
      <w:r>
        <w:rPr>
          <w:rFonts w:hint="eastAsia" w:ascii="宋体" w:hAnsi="宋体"/>
          <w:color w:val="auto"/>
          <w:szCs w:val="21"/>
          <w:u w:val="single"/>
        </w:rPr>
        <w:t>90</w:t>
      </w:r>
      <w:r>
        <w:rPr>
          <w:rFonts w:hint="eastAsia" w:ascii="宋体" w:hAnsi="宋体"/>
          <w:color w:val="auto"/>
          <w:szCs w:val="21"/>
        </w:rPr>
        <w:t xml:space="preserve">个日历日。 </w:t>
      </w:r>
    </w:p>
    <w:p w14:paraId="7C7B1F26">
      <w:pPr>
        <w:widowControl w:val="0"/>
        <w:numPr>
          <w:ilvl w:val="0"/>
          <w:numId w:val="10"/>
        </w:numPr>
        <w:adjustRightInd/>
        <w:snapToGrid/>
        <w:jc w:val="both"/>
        <w:rPr>
          <w:rFonts w:ascii="宋体" w:hAnsi="宋体"/>
          <w:color w:val="auto"/>
          <w:szCs w:val="21"/>
        </w:rPr>
      </w:pPr>
      <w:r>
        <w:rPr>
          <w:rFonts w:hint="eastAsia" w:ascii="宋体" w:hAnsi="宋体"/>
          <w:color w:val="auto"/>
          <w:szCs w:val="21"/>
        </w:rPr>
        <w:t>我方保证遵守投标人须知中关于没收投标保证金的规定。</w:t>
      </w:r>
    </w:p>
    <w:p w14:paraId="1A66F71C">
      <w:pPr>
        <w:widowControl w:val="0"/>
        <w:numPr>
          <w:ilvl w:val="0"/>
          <w:numId w:val="10"/>
        </w:numPr>
        <w:adjustRightInd/>
        <w:snapToGrid/>
        <w:jc w:val="both"/>
        <w:rPr>
          <w:rFonts w:ascii="宋体" w:hAnsi="宋体"/>
          <w:color w:val="auto"/>
          <w:szCs w:val="21"/>
        </w:rPr>
      </w:pPr>
      <w:r>
        <w:rPr>
          <w:rFonts w:hint="eastAsia" w:ascii="宋体" w:hAnsi="宋体"/>
          <w:color w:val="auto"/>
          <w:szCs w:val="21"/>
        </w:rPr>
        <w:t xml:space="preserve">我方承诺，与买方聘请的为此项目提供咨询服务的公司及任何附属机构均无关联，我方不是买方的附属机构。 </w:t>
      </w:r>
    </w:p>
    <w:p w14:paraId="7B229BD9">
      <w:pPr>
        <w:widowControl w:val="0"/>
        <w:numPr>
          <w:ilvl w:val="0"/>
          <w:numId w:val="10"/>
        </w:numPr>
        <w:adjustRightInd/>
        <w:snapToGrid/>
        <w:jc w:val="both"/>
        <w:rPr>
          <w:rFonts w:ascii="宋体" w:hAnsi="宋体"/>
          <w:color w:val="auto"/>
          <w:szCs w:val="21"/>
        </w:rPr>
      </w:pPr>
      <w:r>
        <w:rPr>
          <w:rFonts w:hint="eastAsia" w:ascii="宋体" w:hAnsi="宋体"/>
          <w:color w:val="auto"/>
          <w:szCs w:val="21"/>
        </w:rPr>
        <w:t>我方承诺，我方具备投标人邀请中所要求的资格条件，已清楚采购文件所有要求及有关规定；并承诺参加本次采购活动中，如有违法、违规、弄虚作假行为，所造成的损失、不良后果及法律责任，一律由我方承担；</w:t>
      </w:r>
    </w:p>
    <w:p w14:paraId="79C1DA40">
      <w:pPr>
        <w:widowControl w:val="0"/>
        <w:numPr>
          <w:ilvl w:val="0"/>
          <w:numId w:val="10"/>
        </w:numPr>
        <w:adjustRightInd/>
        <w:snapToGrid/>
        <w:jc w:val="both"/>
        <w:rPr>
          <w:rFonts w:ascii="宋体" w:hAnsi="宋体"/>
          <w:color w:val="auto"/>
          <w:szCs w:val="21"/>
        </w:rPr>
      </w:pPr>
      <w:r>
        <w:rPr>
          <w:rFonts w:hint="eastAsia" w:ascii="宋体" w:hAnsi="宋体"/>
          <w:color w:val="auto"/>
          <w:szCs w:val="21"/>
        </w:rPr>
        <w:t>我方同意提供按照贵方可能要求的与其投标有关的一切数据或资料。</w:t>
      </w:r>
    </w:p>
    <w:p w14:paraId="1CDEC45C">
      <w:pPr>
        <w:widowControl w:val="0"/>
        <w:numPr>
          <w:ilvl w:val="0"/>
          <w:numId w:val="10"/>
        </w:numPr>
        <w:adjustRightInd/>
        <w:snapToGrid/>
        <w:jc w:val="both"/>
        <w:outlineLvl w:val="1"/>
        <w:rPr>
          <w:rFonts w:ascii="宋体" w:hAnsi="宋体"/>
          <w:color w:val="auto"/>
          <w:szCs w:val="21"/>
        </w:rPr>
      </w:pPr>
      <w:bookmarkStart w:id="362" w:name="_Toc14571"/>
      <w:r>
        <w:rPr>
          <w:rFonts w:hint="eastAsia" w:ascii="宋体" w:hAnsi="宋体"/>
          <w:color w:val="auto"/>
          <w:szCs w:val="21"/>
        </w:rPr>
        <w:t>与本投标有关的一切正式信函请寄：</w:t>
      </w:r>
      <w:bookmarkEnd w:id="362"/>
    </w:p>
    <w:p w14:paraId="291FC1AF">
      <w:pPr>
        <w:rPr>
          <w:rFonts w:ascii="宋体" w:hAnsi="宋体"/>
          <w:color w:val="auto"/>
          <w:szCs w:val="21"/>
        </w:rPr>
      </w:pPr>
      <w:r>
        <w:rPr>
          <w:rFonts w:hint="eastAsia" w:ascii="宋体" w:hAnsi="宋体"/>
          <w:color w:val="auto"/>
          <w:szCs w:val="21"/>
        </w:rPr>
        <w:t>地址：　　　　　　　　　　　　　　　电子邮箱：　　　　</w:t>
      </w:r>
    </w:p>
    <w:p w14:paraId="42561C42">
      <w:pPr>
        <w:rPr>
          <w:rFonts w:ascii="宋体" w:hAnsi="宋体"/>
          <w:color w:val="auto"/>
          <w:szCs w:val="21"/>
        </w:rPr>
      </w:pPr>
      <w:r>
        <w:rPr>
          <w:rFonts w:hint="eastAsia" w:ascii="宋体" w:hAnsi="宋体"/>
          <w:color w:val="auto"/>
          <w:szCs w:val="21"/>
        </w:rPr>
        <w:t>电话/移动电话：</w:t>
      </w:r>
    </w:p>
    <w:p w14:paraId="7C86E6F7">
      <w:pPr>
        <w:rPr>
          <w:rFonts w:ascii="宋体" w:hAnsi="宋体"/>
          <w:color w:val="auto"/>
          <w:szCs w:val="21"/>
        </w:rPr>
      </w:pPr>
      <w:r>
        <w:rPr>
          <w:rFonts w:hint="eastAsia" w:ascii="宋体" w:hAnsi="宋体"/>
          <w:color w:val="auto"/>
          <w:szCs w:val="21"/>
        </w:rPr>
        <w:t xml:space="preserve">投标人法定代表人（或其授权代表）签字：                  </w:t>
      </w:r>
    </w:p>
    <w:p w14:paraId="5E578D83">
      <w:pPr>
        <w:rPr>
          <w:rFonts w:ascii="宋体" w:hAnsi="宋体"/>
          <w:color w:val="auto"/>
          <w:szCs w:val="21"/>
        </w:rPr>
      </w:pPr>
      <w:r>
        <w:rPr>
          <w:rFonts w:hint="eastAsia" w:ascii="宋体" w:hAnsi="宋体"/>
          <w:color w:val="auto"/>
          <w:szCs w:val="21"/>
        </w:rPr>
        <w:t xml:space="preserve">投标人名称（全称）： </w:t>
      </w:r>
    </w:p>
    <w:p w14:paraId="5FDCB720">
      <w:pPr>
        <w:rPr>
          <w:rFonts w:ascii="宋体" w:hAnsi="宋体"/>
          <w:color w:val="auto"/>
          <w:szCs w:val="21"/>
        </w:rPr>
      </w:pPr>
      <w:r>
        <w:rPr>
          <w:rFonts w:hint="eastAsia" w:ascii="宋体" w:hAnsi="宋体"/>
          <w:color w:val="auto"/>
          <w:szCs w:val="21"/>
        </w:rPr>
        <w:t xml:space="preserve">投标人盖章： </w:t>
      </w:r>
    </w:p>
    <w:p w14:paraId="316A2CFA">
      <w:pPr>
        <w:rPr>
          <w:color w:val="auto"/>
        </w:rPr>
      </w:pPr>
      <w:r>
        <w:rPr>
          <w:rFonts w:hint="eastAsia" w:ascii="宋体" w:hAnsi="宋体"/>
          <w:color w:val="auto"/>
          <w:szCs w:val="21"/>
        </w:rPr>
        <w:t>日期：</w:t>
      </w:r>
      <w:r>
        <w:rPr>
          <w:color w:val="auto"/>
        </w:rPr>
        <w:br w:type="page"/>
      </w:r>
    </w:p>
    <w:p w14:paraId="514C514E">
      <w:pPr>
        <w:pStyle w:val="5"/>
        <w:widowControl w:val="0"/>
        <w:overflowPunct w:val="0"/>
        <w:spacing w:line="240" w:lineRule="auto"/>
        <w:rPr>
          <w:rFonts w:ascii="宋体" w:hAnsi="宋体"/>
          <w:color w:val="auto"/>
          <w:sz w:val="21"/>
          <w:szCs w:val="21"/>
        </w:rPr>
      </w:pPr>
      <w:bookmarkStart w:id="363" w:name="_Toc4877"/>
      <w:bookmarkStart w:id="364" w:name="_Toc2411"/>
      <w:bookmarkStart w:id="365" w:name="_Toc2628"/>
      <w:bookmarkStart w:id="366" w:name="_Toc22473"/>
      <w:r>
        <w:rPr>
          <w:rFonts w:hint="eastAsia" w:ascii="宋体" w:hAnsi="宋体"/>
          <w:color w:val="auto"/>
          <w:sz w:val="21"/>
          <w:szCs w:val="21"/>
        </w:rPr>
        <w:t>附件5. 法定代表人证明书格式</w:t>
      </w:r>
      <w:bookmarkEnd w:id="363"/>
      <w:bookmarkEnd w:id="364"/>
      <w:bookmarkEnd w:id="365"/>
      <w:bookmarkEnd w:id="366"/>
    </w:p>
    <w:p w14:paraId="77D7F90C">
      <w:pPr>
        <w:rPr>
          <w:color w:val="auto"/>
        </w:rPr>
      </w:pPr>
    </w:p>
    <w:p w14:paraId="337A27CA">
      <w:pPr>
        <w:jc w:val="center"/>
        <w:rPr>
          <w:rFonts w:ascii="兰米黑体" w:eastAsia="兰米黑体"/>
          <w:color w:val="auto"/>
          <w:sz w:val="28"/>
          <w:szCs w:val="28"/>
        </w:rPr>
      </w:pPr>
      <w:r>
        <w:rPr>
          <w:rFonts w:hint="eastAsia" w:ascii="兰米黑体" w:eastAsia="兰米黑体"/>
          <w:color w:val="auto"/>
          <w:sz w:val="28"/>
          <w:szCs w:val="28"/>
        </w:rPr>
        <w:t>法定代表人证明书</w:t>
      </w:r>
    </w:p>
    <w:p w14:paraId="70552F8B">
      <w:pPr>
        <w:pStyle w:val="50"/>
        <w:spacing w:line="420" w:lineRule="atLeast"/>
        <w:ind w:firstLine="0" w:firstLineChars="0"/>
        <w:rPr>
          <w:rFonts w:ascii="宋体" w:eastAsia="宋体"/>
          <w:color w:val="auto"/>
          <w:sz w:val="21"/>
          <w:szCs w:val="21"/>
        </w:rPr>
      </w:pPr>
      <w:r>
        <w:rPr>
          <w:rFonts w:hint="eastAsia" w:ascii="宋体" w:eastAsia="宋体"/>
          <w:color w:val="auto"/>
          <w:sz w:val="21"/>
          <w:szCs w:val="21"/>
        </w:rPr>
        <w:t>致：广东志正招标有限公司东莞分公司</w:t>
      </w:r>
    </w:p>
    <w:p w14:paraId="0F0DEC6C">
      <w:pPr>
        <w:pStyle w:val="50"/>
        <w:spacing w:line="420" w:lineRule="atLeast"/>
        <w:ind w:firstLine="433"/>
        <w:rPr>
          <w:rFonts w:ascii="宋体" w:eastAsia="宋体"/>
          <w:color w:val="auto"/>
          <w:sz w:val="21"/>
          <w:szCs w:val="21"/>
        </w:rPr>
      </w:pPr>
    </w:p>
    <w:p w14:paraId="2433A7B4">
      <w:pPr>
        <w:pStyle w:val="50"/>
        <w:spacing w:line="420" w:lineRule="atLeast"/>
        <w:ind w:firstLine="433"/>
        <w:rPr>
          <w:rFonts w:ascii="宋体" w:eastAsia="宋体"/>
          <w:color w:val="auto"/>
          <w:sz w:val="21"/>
          <w:szCs w:val="21"/>
          <w:u w:val="single"/>
        </w:rPr>
      </w:pPr>
      <w:r>
        <w:rPr>
          <w:rFonts w:hint="eastAsia" w:ascii="宋体" w:eastAsia="宋体"/>
          <w:color w:val="auto"/>
          <w:sz w:val="21"/>
          <w:szCs w:val="21"/>
        </w:rPr>
        <w:t>投标人名称:</w:t>
      </w:r>
    </w:p>
    <w:p w14:paraId="6CB56E44">
      <w:pPr>
        <w:pStyle w:val="50"/>
        <w:spacing w:line="420" w:lineRule="atLeast"/>
        <w:ind w:firstLine="433"/>
        <w:rPr>
          <w:rFonts w:ascii="宋体" w:eastAsia="宋体"/>
          <w:color w:val="auto"/>
          <w:sz w:val="21"/>
          <w:szCs w:val="21"/>
          <w:u w:val="single"/>
        </w:rPr>
      </w:pPr>
      <w:r>
        <w:rPr>
          <w:rFonts w:hint="eastAsia" w:ascii="宋体" w:eastAsia="宋体"/>
          <w:color w:val="auto"/>
          <w:sz w:val="21"/>
          <w:szCs w:val="21"/>
        </w:rPr>
        <w:t>单 位 性质：</w:t>
      </w:r>
    </w:p>
    <w:p w14:paraId="07542AA8">
      <w:pPr>
        <w:pStyle w:val="50"/>
        <w:spacing w:line="420" w:lineRule="atLeast"/>
        <w:ind w:firstLine="433"/>
        <w:rPr>
          <w:rFonts w:ascii="宋体" w:eastAsia="宋体"/>
          <w:color w:val="auto"/>
          <w:sz w:val="21"/>
          <w:szCs w:val="21"/>
          <w:u w:val="single"/>
        </w:rPr>
      </w:pPr>
      <w:r>
        <w:rPr>
          <w:rFonts w:hint="eastAsia" w:ascii="宋体" w:eastAsia="宋体"/>
          <w:color w:val="auto"/>
          <w:sz w:val="21"/>
          <w:szCs w:val="21"/>
        </w:rPr>
        <w:t>地      址：</w:t>
      </w:r>
    </w:p>
    <w:p w14:paraId="42F51D90">
      <w:pPr>
        <w:pStyle w:val="50"/>
        <w:spacing w:line="420" w:lineRule="atLeast"/>
        <w:ind w:firstLine="433"/>
        <w:rPr>
          <w:rFonts w:ascii="宋体" w:eastAsia="宋体"/>
          <w:color w:val="auto"/>
          <w:sz w:val="21"/>
          <w:szCs w:val="21"/>
        </w:rPr>
      </w:pPr>
      <w:r>
        <w:rPr>
          <w:rFonts w:hint="eastAsia" w:ascii="宋体" w:eastAsia="宋体"/>
          <w:color w:val="auto"/>
          <w:sz w:val="21"/>
          <w:szCs w:val="21"/>
        </w:rPr>
        <w:t>成 立 时间：年月日</w:t>
      </w:r>
    </w:p>
    <w:p w14:paraId="507BEF6F">
      <w:pPr>
        <w:pStyle w:val="50"/>
        <w:spacing w:line="420" w:lineRule="atLeast"/>
        <w:ind w:firstLine="433"/>
        <w:rPr>
          <w:rFonts w:ascii="宋体" w:eastAsia="宋体"/>
          <w:color w:val="auto"/>
          <w:sz w:val="21"/>
          <w:szCs w:val="21"/>
        </w:rPr>
      </w:pPr>
      <w:r>
        <w:rPr>
          <w:rFonts w:hint="eastAsia" w:ascii="宋体" w:eastAsia="宋体"/>
          <w:color w:val="auto"/>
          <w:sz w:val="21"/>
          <w:szCs w:val="21"/>
        </w:rPr>
        <w:t>经 营 期限：</w:t>
      </w:r>
    </w:p>
    <w:p w14:paraId="3D9D5229">
      <w:pPr>
        <w:pStyle w:val="50"/>
        <w:spacing w:line="420" w:lineRule="atLeast"/>
        <w:ind w:firstLine="433"/>
        <w:rPr>
          <w:rFonts w:ascii="宋体" w:eastAsia="宋体"/>
          <w:color w:val="auto"/>
          <w:sz w:val="21"/>
          <w:szCs w:val="21"/>
        </w:rPr>
      </w:pPr>
      <w:r>
        <w:rPr>
          <w:rFonts w:hint="eastAsia" w:ascii="宋体" w:eastAsia="宋体"/>
          <w:color w:val="auto"/>
          <w:sz w:val="21"/>
          <w:szCs w:val="21"/>
        </w:rPr>
        <w:t>姓名：性别：年龄：职务：</w:t>
      </w:r>
    </w:p>
    <w:p w14:paraId="5765CAC1">
      <w:pPr>
        <w:pStyle w:val="50"/>
        <w:spacing w:line="420" w:lineRule="atLeast"/>
        <w:ind w:firstLine="433"/>
        <w:rPr>
          <w:rFonts w:ascii="宋体" w:eastAsia="宋体"/>
          <w:color w:val="auto"/>
          <w:sz w:val="21"/>
          <w:szCs w:val="21"/>
        </w:rPr>
      </w:pPr>
      <w:r>
        <w:rPr>
          <w:rFonts w:hint="eastAsia" w:ascii="宋体" w:eastAsia="宋体"/>
          <w:color w:val="auto"/>
          <w:sz w:val="21"/>
          <w:szCs w:val="21"/>
        </w:rPr>
        <w:t>系（投标人名称）的法定代表人。</w:t>
      </w:r>
    </w:p>
    <w:p w14:paraId="77204279">
      <w:pPr>
        <w:spacing w:line="420" w:lineRule="atLeast"/>
        <w:ind w:firstLine="420" w:firstLineChars="200"/>
        <w:rPr>
          <w:rFonts w:ascii="宋体" w:hAnsi="宋体"/>
          <w:color w:val="auto"/>
          <w:szCs w:val="21"/>
        </w:rPr>
      </w:pPr>
      <w:r>
        <w:rPr>
          <w:rFonts w:hint="eastAsia" w:ascii="宋体" w:hAnsi="宋体"/>
          <w:color w:val="auto"/>
          <w:szCs w:val="21"/>
        </w:rPr>
        <w:t>特此证明。</w:t>
      </w:r>
    </w:p>
    <w:p w14:paraId="2BA31F88">
      <w:pPr>
        <w:pStyle w:val="50"/>
        <w:spacing w:line="500" w:lineRule="atLeast"/>
        <w:ind w:firstLine="3517" w:firstLineChars="1675"/>
        <w:rPr>
          <w:rFonts w:ascii="宋体" w:eastAsia="宋体"/>
          <w:color w:val="auto"/>
          <w:sz w:val="21"/>
          <w:szCs w:val="21"/>
        </w:rPr>
      </w:pPr>
    </w:p>
    <w:p w14:paraId="2BFD7CC0">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投标人名称（加盖公章）：</w:t>
      </w:r>
    </w:p>
    <w:p w14:paraId="36A78B25">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法定代表人（签名或盖私章）：</w:t>
      </w:r>
    </w:p>
    <w:p w14:paraId="5491E986">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法定代表人联系方式：</w:t>
      </w:r>
    </w:p>
    <w:p w14:paraId="7CB8A6C6">
      <w:pPr>
        <w:pStyle w:val="50"/>
        <w:spacing w:line="500" w:lineRule="atLeast"/>
        <w:ind w:firstLine="3517" w:firstLineChars="1675"/>
        <w:rPr>
          <w:rFonts w:ascii="宋体" w:eastAsia="宋体"/>
          <w:color w:val="auto"/>
          <w:sz w:val="21"/>
          <w:szCs w:val="21"/>
          <w:u w:val="single"/>
        </w:rPr>
      </w:pPr>
      <w:r>
        <w:rPr>
          <w:rFonts w:hint="eastAsia" w:ascii="宋体" w:eastAsia="宋体"/>
          <w:color w:val="auto"/>
          <w:sz w:val="21"/>
          <w:szCs w:val="21"/>
        </w:rPr>
        <w:t>身份证号码：</w:t>
      </w:r>
    </w:p>
    <w:p w14:paraId="52E2E5C0">
      <w:pPr>
        <w:pStyle w:val="50"/>
        <w:spacing w:line="500" w:lineRule="atLeast"/>
        <w:ind w:firstLine="3507" w:firstLineChars="1670"/>
        <w:rPr>
          <w:rFonts w:ascii="宋体" w:eastAsia="宋体"/>
          <w:color w:val="auto"/>
          <w:sz w:val="21"/>
          <w:szCs w:val="21"/>
        </w:rPr>
      </w:pPr>
      <w:r>
        <w:rPr>
          <w:rFonts w:hint="eastAsia" w:ascii="宋体" w:eastAsia="宋体"/>
          <w:color w:val="auto"/>
          <w:sz w:val="21"/>
          <w:szCs w:val="21"/>
        </w:rPr>
        <w:t>日     期：  年  月  日</w:t>
      </w:r>
    </w:p>
    <w:p w14:paraId="6594DF46">
      <w:pPr>
        <w:ind w:firstLine="420" w:firstLineChars="200"/>
        <w:rPr>
          <w:rFonts w:ascii="宋体" w:hAnsi="宋体"/>
          <w:color w:val="auto"/>
          <w:szCs w:val="21"/>
        </w:rPr>
      </w:pPr>
    </w:p>
    <w:p w14:paraId="1B46692F">
      <w:pPr>
        <w:ind w:firstLine="420" w:firstLineChars="200"/>
        <w:rPr>
          <w:rFonts w:ascii="宋体" w:hAnsi="宋体"/>
          <w:color w:val="auto"/>
          <w:szCs w:val="21"/>
        </w:rPr>
      </w:pPr>
      <w:r>
        <w:rPr>
          <w:rFonts w:hint="eastAsia" w:ascii="宋体" w:hAnsi="宋体"/>
          <w:color w:val="auto"/>
          <w:szCs w:val="21"/>
        </w:rPr>
        <w:t>注：法定代表人身份证明书需附法人代表身份证复印件。</w:t>
      </w:r>
    </w:p>
    <w:tbl>
      <w:tblPr>
        <w:tblStyle w:val="32"/>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08443F4D">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14:paraId="773DE100">
            <w:pPr>
              <w:pStyle w:val="50"/>
              <w:spacing w:line="460" w:lineRule="exact"/>
              <w:ind w:firstLine="0" w:firstLineChars="0"/>
              <w:jc w:val="center"/>
              <w:rPr>
                <w:rFonts w:ascii="宋体" w:eastAsia="宋体"/>
                <w:color w:val="auto"/>
                <w:sz w:val="22"/>
              </w:rPr>
            </w:pPr>
            <w:r>
              <w:rPr>
                <w:rFonts w:hint="eastAsia" w:ascii="宋体" w:eastAsia="宋体"/>
                <w:color w:val="auto"/>
                <w:sz w:val="22"/>
              </w:rPr>
              <w:t>正面</w:t>
            </w:r>
          </w:p>
        </w:tc>
        <w:tc>
          <w:tcPr>
            <w:tcW w:w="4182" w:type="dxa"/>
            <w:vAlign w:val="center"/>
          </w:tcPr>
          <w:p w14:paraId="1BEDAE4B">
            <w:pPr>
              <w:pStyle w:val="50"/>
              <w:spacing w:line="460" w:lineRule="exact"/>
              <w:ind w:firstLine="0" w:firstLineChars="0"/>
              <w:jc w:val="center"/>
              <w:rPr>
                <w:rFonts w:ascii="宋体" w:eastAsia="宋体"/>
                <w:color w:val="auto"/>
                <w:sz w:val="22"/>
              </w:rPr>
            </w:pPr>
            <w:r>
              <w:rPr>
                <w:rFonts w:hint="eastAsia" w:ascii="宋体" w:eastAsia="宋体"/>
                <w:color w:val="auto"/>
                <w:sz w:val="22"/>
              </w:rPr>
              <w:t>背面</w:t>
            </w:r>
          </w:p>
        </w:tc>
      </w:tr>
    </w:tbl>
    <w:p w14:paraId="3D3D2E76">
      <w:pPr>
        <w:rPr>
          <w:color w:val="auto"/>
        </w:rPr>
      </w:pPr>
    </w:p>
    <w:p w14:paraId="6F2C3543">
      <w:pPr>
        <w:adjustRightInd/>
        <w:snapToGrid/>
        <w:spacing w:line="276" w:lineRule="auto"/>
        <w:rPr>
          <w:rFonts w:ascii="方正楷体_GB2312" w:eastAsia="方正楷体_GB2312" w:hAnsiTheme="majorHAnsi" w:cstheme="majorBidi"/>
          <w:b/>
          <w:bCs/>
          <w:color w:val="auto"/>
          <w:sz w:val="24"/>
          <w:szCs w:val="28"/>
        </w:rPr>
      </w:pPr>
      <w:r>
        <w:rPr>
          <w:rFonts w:ascii="方正楷体_GB2312" w:eastAsia="方正楷体_GB2312"/>
          <w:color w:val="auto"/>
          <w:sz w:val="24"/>
        </w:rPr>
        <w:br w:type="page"/>
      </w:r>
    </w:p>
    <w:p w14:paraId="0E0447B9">
      <w:pPr>
        <w:pStyle w:val="5"/>
        <w:widowControl w:val="0"/>
        <w:overflowPunct w:val="0"/>
        <w:spacing w:line="240" w:lineRule="auto"/>
        <w:rPr>
          <w:color w:val="auto"/>
        </w:rPr>
      </w:pPr>
      <w:bookmarkStart w:id="367" w:name="_Toc18029"/>
      <w:bookmarkStart w:id="368" w:name="_Toc29112"/>
      <w:bookmarkStart w:id="369" w:name="_Toc14173"/>
      <w:bookmarkStart w:id="370" w:name="_Toc11350"/>
      <w:r>
        <w:rPr>
          <w:rFonts w:hint="eastAsia" w:ascii="宋体" w:hAnsi="宋体"/>
          <w:color w:val="auto"/>
          <w:sz w:val="21"/>
          <w:szCs w:val="21"/>
        </w:rPr>
        <w:t>附件6.法定代表人授权书格式</w:t>
      </w:r>
      <w:bookmarkEnd w:id="367"/>
      <w:bookmarkEnd w:id="368"/>
      <w:bookmarkEnd w:id="369"/>
      <w:bookmarkEnd w:id="370"/>
    </w:p>
    <w:p w14:paraId="55404BC3">
      <w:pPr>
        <w:jc w:val="center"/>
        <w:rPr>
          <w:rFonts w:ascii="兰米黑体" w:eastAsia="兰米黑体"/>
          <w:color w:val="auto"/>
          <w:sz w:val="28"/>
          <w:szCs w:val="28"/>
        </w:rPr>
      </w:pPr>
      <w:r>
        <w:rPr>
          <w:rFonts w:hint="eastAsia" w:ascii="兰米黑体" w:eastAsia="兰米黑体"/>
          <w:color w:val="auto"/>
          <w:sz w:val="28"/>
          <w:szCs w:val="28"/>
        </w:rPr>
        <w:t>法定代表人授权书</w:t>
      </w:r>
    </w:p>
    <w:p w14:paraId="1EA76397">
      <w:pPr>
        <w:pStyle w:val="50"/>
        <w:spacing w:line="420" w:lineRule="atLeast"/>
        <w:ind w:firstLine="0" w:firstLineChars="0"/>
        <w:rPr>
          <w:rFonts w:ascii="宋体" w:eastAsia="宋体"/>
          <w:color w:val="auto"/>
          <w:sz w:val="21"/>
          <w:szCs w:val="21"/>
        </w:rPr>
      </w:pPr>
      <w:r>
        <w:rPr>
          <w:rFonts w:hint="eastAsia" w:ascii="宋体" w:eastAsia="宋体"/>
          <w:color w:val="auto"/>
          <w:sz w:val="21"/>
          <w:szCs w:val="21"/>
        </w:rPr>
        <w:t>致：广东志正招标有限公司东莞分公司</w:t>
      </w:r>
    </w:p>
    <w:p w14:paraId="16A452FA">
      <w:pPr>
        <w:pStyle w:val="50"/>
        <w:spacing w:line="420" w:lineRule="atLeast"/>
        <w:ind w:firstLine="433"/>
        <w:rPr>
          <w:rFonts w:ascii="宋体" w:eastAsia="宋体"/>
          <w:color w:val="auto"/>
          <w:sz w:val="21"/>
          <w:szCs w:val="21"/>
        </w:rPr>
      </w:pPr>
    </w:p>
    <w:p w14:paraId="3910005C">
      <w:pPr>
        <w:ind w:firstLine="420" w:firstLineChars="200"/>
        <w:rPr>
          <w:rFonts w:ascii="宋体" w:hAnsi="宋体" w:cs="Times New Roman"/>
          <w:color w:val="auto"/>
          <w:szCs w:val="21"/>
        </w:rPr>
      </w:pPr>
      <w:r>
        <w:rPr>
          <w:rFonts w:hint="eastAsia" w:ascii="宋体" w:hAnsi="宋体" w:cs="Times New Roman"/>
          <w:color w:val="auto"/>
          <w:szCs w:val="21"/>
        </w:rPr>
        <w:t>本授权书声明：注册于</w:t>
      </w:r>
      <w:r>
        <w:rPr>
          <w:rFonts w:hint="eastAsia" w:ascii="宋体" w:hAnsi="宋体" w:cs="Times New Roman"/>
          <w:color w:val="auto"/>
          <w:szCs w:val="21"/>
          <w:u w:val="single"/>
        </w:rPr>
        <w:t>（国家或地区的名称）</w:t>
      </w:r>
      <w:r>
        <w:rPr>
          <w:rFonts w:hint="eastAsia" w:ascii="宋体" w:hAnsi="宋体" w:cs="Times New Roman"/>
          <w:color w:val="auto"/>
          <w:szCs w:val="21"/>
        </w:rPr>
        <w:t>的</w:t>
      </w:r>
      <w:r>
        <w:rPr>
          <w:rFonts w:hint="eastAsia" w:ascii="宋体" w:hAnsi="宋体" w:cs="Times New Roman"/>
          <w:color w:val="auto"/>
          <w:szCs w:val="21"/>
          <w:u w:val="single"/>
        </w:rPr>
        <w:t>（单位名称）</w:t>
      </w:r>
      <w:r>
        <w:rPr>
          <w:rFonts w:hint="eastAsia" w:ascii="宋体" w:hAnsi="宋体" w:cs="Times New Roman"/>
          <w:color w:val="auto"/>
          <w:szCs w:val="21"/>
        </w:rPr>
        <w:t>的在下面签字的</w:t>
      </w:r>
      <w:r>
        <w:rPr>
          <w:rFonts w:hint="eastAsia" w:ascii="宋体" w:hAnsi="宋体" w:cs="Times New Roman"/>
          <w:color w:val="auto"/>
          <w:szCs w:val="21"/>
          <w:u w:val="single"/>
        </w:rPr>
        <w:t>（法定代表人姓名、职务）</w:t>
      </w:r>
      <w:r>
        <w:rPr>
          <w:rFonts w:hint="eastAsia" w:ascii="宋体" w:hAnsi="宋体" w:cs="Times New Roman"/>
          <w:color w:val="auto"/>
          <w:szCs w:val="21"/>
        </w:rPr>
        <w:t>代表本单位授权</w:t>
      </w:r>
      <w:r>
        <w:rPr>
          <w:rFonts w:hint="eastAsia" w:ascii="宋体" w:hAnsi="宋体" w:cs="Times New Roman"/>
          <w:color w:val="auto"/>
          <w:szCs w:val="21"/>
          <w:u w:val="single"/>
        </w:rPr>
        <w:t>（单位名称）</w:t>
      </w:r>
      <w:r>
        <w:rPr>
          <w:rFonts w:hint="eastAsia" w:ascii="宋体" w:hAnsi="宋体" w:cs="Times New Roman"/>
          <w:color w:val="auto"/>
          <w:szCs w:val="21"/>
        </w:rPr>
        <w:t>的在下面签字的</w:t>
      </w:r>
      <w:r>
        <w:rPr>
          <w:rFonts w:hint="eastAsia" w:ascii="宋体" w:hAnsi="宋体" w:cs="Times New Roman"/>
          <w:color w:val="auto"/>
          <w:szCs w:val="21"/>
          <w:u w:val="single"/>
        </w:rPr>
        <w:t>（被授权人的姓名、职务）</w:t>
      </w:r>
      <w:r>
        <w:rPr>
          <w:rFonts w:hint="eastAsia" w:ascii="宋体" w:hAnsi="宋体" w:cs="Times New Roman"/>
          <w:color w:val="auto"/>
          <w:szCs w:val="21"/>
        </w:rPr>
        <w:t>为本单位的合法代理人，就</w:t>
      </w:r>
      <w:r>
        <w:rPr>
          <w:rFonts w:hint="eastAsia" w:ascii="宋体" w:hAnsi="宋体" w:cs="Times New Roman"/>
          <w:color w:val="auto"/>
          <w:szCs w:val="21"/>
          <w:u w:val="single"/>
        </w:rPr>
        <w:t>（项目名称）</w:t>
      </w:r>
      <w:r>
        <w:rPr>
          <w:rFonts w:hint="eastAsia" w:ascii="宋体" w:hAnsi="宋体" w:cs="Times New Roman"/>
          <w:color w:val="auto"/>
          <w:szCs w:val="21"/>
        </w:rPr>
        <w:t>投标及参加项目谈判，以本单位名义处理一切与之有关的事务。</w:t>
      </w:r>
    </w:p>
    <w:p w14:paraId="35EAA476">
      <w:pPr>
        <w:ind w:firstLine="315" w:firstLineChars="150"/>
        <w:rPr>
          <w:rFonts w:ascii="宋体" w:hAnsi="宋体" w:cs="Times New Roman"/>
          <w:color w:val="auto"/>
          <w:szCs w:val="21"/>
        </w:rPr>
      </w:pPr>
      <w:r>
        <w:rPr>
          <w:rFonts w:hint="eastAsia" w:ascii="宋体" w:hAnsi="宋体" w:cs="Times New Roman"/>
          <w:color w:val="auto"/>
          <w:szCs w:val="21"/>
        </w:rPr>
        <w:t>本授权书于</w:t>
      </w:r>
      <w:r>
        <w:rPr>
          <w:rFonts w:hint="eastAsia" w:ascii="宋体" w:hAnsi="宋体" w:cs="Times New Roman"/>
          <w:color w:val="auto"/>
          <w:szCs w:val="21"/>
          <w:u w:val="single"/>
        </w:rPr>
        <w:t>　　</w:t>
      </w:r>
      <w:r>
        <w:rPr>
          <w:rFonts w:hint="eastAsia" w:ascii="宋体" w:hAnsi="宋体" w:cs="Times New Roman"/>
          <w:color w:val="auto"/>
          <w:szCs w:val="21"/>
        </w:rPr>
        <w:t>年</w:t>
      </w:r>
      <w:r>
        <w:rPr>
          <w:rFonts w:hint="eastAsia" w:ascii="宋体" w:hAnsi="宋体" w:cs="Times New Roman"/>
          <w:color w:val="auto"/>
          <w:szCs w:val="21"/>
          <w:u w:val="single"/>
        </w:rPr>
        <w:t>　　</w:t>
      </w:r>
      <w:r>
        <w:rPr>
          <w:rFonts w:hint="eastAsia" w:ascii="宋体" w:hAnsi="宋体" w:cs="Times New Roman"/>
          <w:color w:val="auto"/>
          <w:szCs w:val="21"/>
        </w:rPr>
        <w:t>月</w:t>
      </w:r>
      <w:r>
        <w:rPr>
          <w:rFonts w:hint="eastAsia" w:ascii="宋体" w:hAnsi="宋体" w:cs="Times New Roman"/>
          <w:color w:val="auto"/>
          <w:szCs w:val="21"/>
          <w:u w:val="single"/>
        </w:rPr>
        <w:t>　　</w:t>
      </w:r>
      <w:r>
        <w:rPr>
          <w:rFonts w:hint="eastAsia" w:ascii="宋体" w:hAnsi="宋体" w:cs="Times New Roman"/>
          <w:color w:val="auto"/>
          <w:szCs w:val="21"/>
        </w:rPr>
        <w:t>日签字生效，特此声明。</w:t>
      </w:r>
    </w:p>
    <w:p w14:paraId="05B410F2">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投标人名称（加盖公章）：</w:t>
      </w:r>
    </w:p>
    <w:p w14:paraId="67FAD1BA">
      <w:pPr>
        <w:pStyle w:val="50"/>
        <w:spacing w:line="500" w:lineRule="atLeast"/>
        <w:ind w:firstLine="3517" w:firstLineChars="1675"/>
        <w:rPr>
          <w:rFonts w:ascii="宋体" w:eastAsia="宋体"/>
          <w:color w:val="auto"/>
          <w:sz w:val="21"/>
          <w:szCs w:val="21"/>
          <w:u w:val="single"/>
        </w:rPr>
      </w:pPr>
      <w:r>
        <w:rPr>
          <w:rFonts w:hint="eastAsia" w:ascii="宋体" w:eastAsia="宋体"/>
          <w:color w:val="auto"/>
          <w:sz w:val="21"/>
          <w:szCs w:val="21"/>
        </w:rPr>
        <w:t>法定代表人签字（签名或盖私章）：</w:t>
      </w:r>
    </w:p>
    <w:p w14:paraId="1C4CC728">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被授权人签字：</w:t>
      </w:r>
    </w:p>
    <w:p w14:paraId="4881034D">
      <w:pPr>
        <w:pStyle w:val="50"/>
        <w:spacing w:line="500" w:lineRule="atLeast"/>
        <w:ind w:firstLine="3517" w:firstLineChars="1675"/>
        <w:rPr>
          <w:rFonts w:ascii="宋体" w:eastAsia="宋体"/>
          <w:color w:val="auto"/>
          <w:sz w:val="21"/>
          <w:szCs w:val="21"/>
          <w:u w:val="single"/>
        </w:rPr>
      </w:pPr>
      <w:r>
        <w:rPr>
          <w:rFonts w:hint="eastAsia" w:ascii="宋体" w:eastAsia="宋体"/>
          <w:color w:val="auto"/>
          <w:sz w:val="21"/>
          <w:szCs w:val="21"/>
        </w:rPr>
        <w:t>职务：</w:t>
      </w:r>
    </w:p>
    <w:p w14:paraId="18687C8A">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 xml:space="preserve">移动电话： </w:t>
      </w:r>
    </w:p>
    <w:p w14:paraId="7B7E6C42">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详细通讯地址：</w:t>
      </w:r>
    </w:p>
    <w:p w14:paraId="3C0C0DAC">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 xml:space="preserve">邮箱：                          </w:t>
      </w:r>
    </w:p>
    <w:p w14:paraId="35755654">
      <w:pPr>
        <w:pStyle w:val="50"/>
        <w:spacing w:line="500" w:lineRule="atLeast"/>
        <w:ind w:firstLine="3507" w:firstLineChars="1670"/>
        <w:rPr>
          <w:rFonts w:ascii="宋体" w:eastAsia="宋体"/>
          <w:color w:val="auto"/>
          <w:sz w:val="21"/>
          <w:szCs w:val="21"/>
        </w:rPr>
      </w:pPr>
      <w:r>
        <w:rPr>
          <w:rFonts w:hint="eastAsia" w:ascii="宋体" w:eastAsia="宋体"/>
          <w:color w:val="auto"/>
          <w:sz w:val="21"/>
          <w:szCs w:val="21"/>
        </w:rPr>
        <w:t>日     期：  年  月  日</w:t>
      </w:r>
    </w:p>
    <w:p w14:paraId="717D9BFF">
      <w:pPr>
        <w:pStyle w:val="50"/>
        <w:spacing w:line="460" w:lineRule="exact"/>
        <w:ind w:firstLine="433"/>
        <w:rPr>
          <w:rFonts w:ascii="宋体" w:eastAsia="宋体"/>
          <w:color w:val="auto"/>
          <w:sz w:val="21"/>
          <w:szCs w:val="21"/>
        </w:rPr>
      </w:pPr>
    </w:p>
    <w:p w14:paraId="7AD66A69">
      <w:pPr>
        <w:ind w:firstLine="420" w:firstLineChars="200"/>
        <w:rPr>
          <w:color w:val="auto"/>
        </w:rPr>
      </w:pPr>
      <w:r>
        <w:rPr>
          <w:rFonts w:hint="eastAsia" w:ascii="宋体" w:hAnsi="宋体"/>
          <w:color w:val="auto"/>
          <w:szCs w:val="21"/>
        </w:rPr>
        <w:t>须附：被授权人身份证复印件。</w:t>
      </w:r>
    </w:p>
    <w:tbl>
      <w:tblPr>
        <w:tblStyle w:val="32"/>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7051705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14:paraId="0EBD4A30">
            <w:pPr>
              <w:pStyle w:val="50"/>
              <w:spacing w:line="460" w:lineRule="exact"/>
              <w:ind w:firstLine="0" w:firstLineChars="0"/>
              <w:jc w:val="center"/>
              <w:rPr>
                <w:rFonts w:ascii="宋体" w:eastAsia="宋体"/>
                <w:color w:val="auto"/>
                <w:sz w:val="22"/>
              </w:rPr>
            </w:pPr>
            <w:r>
              <w:rPr>
                <w:rFonts w:hint="eastAsia" w:ascii="宋体" w:eastAsia="宋体"/>
                <w:color w:val="auto"/>
                <w:sz w:val="22"/>
              </w:rPr>
              <w:t>正面</w:t>
            </w:r>
          </w:p>
        </w:tc>
        <w:tc>
          <w:tcPr>
            <w:tcW w:w="4232" w:type="dxa"/>
            <w:vAlign w:val="center"/>
          </w:tcPr>
          <w:p w14:paraId="0ED3D9A6">
            <w:pPr>
              <w:pStyle w:val="50"/>
              <w:spacing w:line="460" w:lineRule="exact"/>
              <w:ind w:firstLine="0" w:firstLineChars="0"/>
              <w:jc w:val="center"/>
              <w:rPr>
                <w:rFonts w:ascii="宋体" w:eastAsia="宋体"/>
                <w:color w:val="auto"/>
                <w:sz w:val="22"/>
              </w:rPr>
            </w:pPr>
            <w:r>
              <w:rPr>
                <w:rFonts w:hint="eastAsia" w:ascii="宋体" w:eastAsia="宋体"/>
                <w:color w:val="auto"/>
                <w:sz w:val="22"/>
              </w:rPr>
              <w:t>背面</w:t>
            </w:r>
          </w:p>
        </w:tc>
      </w:tr>
    </w:tbl>
    <w:p w14:paraId="7F4FE543">
      <w:pPr>
        <w:adjustRightInd/>
        <w:snapToGrid/>
        <w:spacing w:line="276" w:lineRule="auto"/>
        <w:rPr>
          <w:color w:val="auto"/>
        </w:rPr>
      </w:pPr>
      <w:bookmarkStart w:id="371" w:name="_Toc22486"/>
      <w:r>
        <w:rPr>
          <w:rFonts w:hint="eastAsia" w:ascii="宋体" w:hAnsi="宋体"/>
          <w:color w:val="auto"/>
          <w:szCs w:val="21"/>
        </w:rPr>
        <w:t>注：</w:t>
      </w:r>
      <w:r>
        <w:rPr>
          <w:rFonts w:hint="eastAsia" w:ascii="宋体" w:hAnsi="宋体"/>
          <w:b/>
          <w:bCs/>
          <w:color w:val="auto"/>
          <w:szCs w:val="21"/>
          <w:u w:val="single"/>
        </w:rPr>
        <w:t>授权代表务必携带有效身份证明出席开标会</w:t>
      </w:r>
      <w:r>
        <w:rPr>
          <w:rFonts w:hint="eastAsia" w:ascii="宋体" w:hAnsi="宋体"/>
          <w:bCs/>
          <w:color w:val="auto"/>
          <w:szCs w:val="21"/>
          <w:u w:val="single"/>
        </w:rPr>
        <w:t>。</w:t>
      </w:r>
      <w:r>
        <w:rPr>
          <w:rFonts w:hint="eastAsia" w:ascii="宋体" w:hAnsi="宋体"/>
          <w:b/>
          <w:bCs/>
          <w:color w:val="auto"/>
          <w:szCs w:val="21"/>
          <w:u w:val="single"/>
        </w:rPr>
        <w:t>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r>
        <w:rPr>
          <w:rFonts w:hint="eastAsia" w:ascii="宋体" w:hAnsi="宋体"/>
          <w:color w:val="auto"/>
          <w:szCs w:val="21"/>
        </w:rPr>
        <w:br w:type="page"/>
      </w:r>
    </w:p>
    <w:p w14:paraId="371B40F0">
      <w:pPr>
        <w:pStyle w:val="5"/>
        <w:widowControl w:val="0"/>
        <w:overflowPunct w:val="0"/>
        <w:spacing w:line="240" w:lineRule="auto"/>
        <w:rPr>
          <w:rFonts w:ascii="宋体" w:hAnsi="宋体"/>
          <w:color w:val="auto"/>
          <w:sz w:val="21"/>
          <w:szCs w:val="21"/>
        </w:rPr>
      </w:pPr>
      <w:bookmarkStart w:id="372" w:name="_Toc7697"/>
      <w:bookmarkStart w:id="373" w:name="_Toc26686"/>
      <w:bookmarkStart w:id="374" w:name="_Toc24698"/>
      <w:bookmarkStart w:id="375" w:name="_Toc17364"/>
      <w:r>
        <w:rPr>
          <w:rFonts w:hint="eastAsia" w:ascii="宋体" w:hAnsi="宋体"/>
          <w:color w:val="auto"/>
          <w:sz w:val="21"/>
          <w:szCs w:val="21"/>
        </w:rPr>
        <w:t>附件7.资格申明</w:t>
      </w:r>
      <w:bookmarkEnd w:id="372"/>
      <w:bookmarkEnd w:id="373"/>
      <w:bookmarkEnd w:id="374"/>
      <w:bookmarkEnd w:id="375"/>
    </w:p>
    <w:p w14:paraId="2B970BEF">
      <w:pPr>
        <w:jc w:val="center"/>
        <w:rPr>
          <w:rFonts w:ascii="兰米黑体" w:eastAsia="兰米黑体"/>
          <w:color w:val="auto"/>
          <w:sz w:val="28"/>
          <w:szCs w:val="28"/>
        </w:rPr>
      </w:pPr>
      <w:r>
        <w:rPr>
          <w:rFonts w:hint="eastAsia" w:ascii="兰米黑体" w:eastAsia="兰米黑体"/>
          <w:color w:val="auto"/>
          <w:sz w:val="28"/>
          <w:szCs w:val="28"/>
        </w:rPr>
        <w:t>资格申明</w:t>
      </w:r>
    </w:p>
    <w:p w14:paraId="5CB19402">
      <w:pPr>
        <w:pStyle w:val="50"/>
        <w:spacing w:line="420" w:lineRule="atLeast"/>
        <w:ind w:firstLine="0" w:firstLineChars="0"/>
        <w:rPr>
          <w:rFonts w:ascii="宋体" w:eastAsia="宋体"/>
          <w:color w:val="auto"/>
          <w:sz w:val="21"/>
          <w:szCs w:val="21"/>
        </w:rPr>
      </w:pPr>
      <w:r>
        <w:rPr>
          <w:rFonts w:hint="eastAsia" w:ascii="宋体" w:eastAsia="宋体"/>
          <w:color w:val="auto"/>
          <w:sz w:val="21"/>
          <w:szCs w:val="21"/>
        </w:rPr>
        <w:t>广东志正招标有限公司东莞分公司：</w:t>
      </w:r>
    </w:p>
    <w:p w14:paraId="2387F5CF">
      <w:pPr>
        <w:ind w:firstLine="420" w:firstLineChars="200"/>
        <w:rPr>
          <w:rFonts w:ascii="宋体" w:hAnsi="宋体"/>
          <w:color w:val="auto"/>
          <w:szCs w:val="21"/>
        </w:rPr>
      </w:pPr>
    </w:p>
    <w:p w14:paraId="31EDBAF3">
      <w:pPr>
        <w:ind w:firstLine="420" w:firstLineChars="200"/>
        <w:rPr>
          <w:rFonts w:ascii="宋体" w:hAnsi="宋体"/>
          <w:color w:val="auto"/>
          <w:szCs w:val="21"/>
        </w:rPr>
      </w:pPr>
      <w:r>
        <w:rPr>
          <w:rFonts w:hint="eastAsia" w:ascii="宋体" w:hAnsi="宋体"/>
          <w:color w:val="auto"/>
          <w:szCs w:val="21"/>
        </w:rPr>
        <w:t>我方</w:t>
      </w:r>
      <w:r>
        <w:rPr>
          <w:rFonts w:ascii="宋体" w:hAnsi="宋体"/>
          <w:color w:val="auto"/>
          <w:szCs w:val="21"/>
        </w:rPr>
        <w:t>愿响应</w:t>
      </w:r>
      <w:r>
        <w:rPr>
          <w:rFonts w:hint="eastAsia" w:ascii="宋体" w:hAnsi="宋体"/>
          <w:color w:val="auto"/>
          <w:szCs w:val="21"/>
        </w:rPr>
        <w:t>贵</w:t>
      </w:r>
      <w:r>
        <w:rPr>
          <w:rFonts w:ascii="宋体" w:hAnsi="宋体"/>
          <w:color w:val="auto"/>
          <w:szCs w:val="21"/>
        </w:rPr>
        <w:t>方</w:t>
      </w:r>
      <w:r>
        <w:rPr>
          <w:rFonts w:hint="eastAsia" w:ascii="宋体" w:hAnsi="宋体"/>
          <w:color w:val="auto"/>
          <w:szCs w:val="21"/>
        </w:rPr>
        <w:t>关于（项目名称：</w:t>
      </w:r>
      <w:r>
        <w:rPr>
          <w:rFonts w:hint="eastAsia" w:ascii="宋体" w:hAnsi="宋体"/>
          <w:color w:val="auto"/>
          <w:szCs w:val="21"/>
          <w:u w:val="single"/>
        </w:rPr>
        <w:t xml:space="preserve">         </w:t>
      </w:r>
      <w:r>
        <w:rPr>
          <w:rFonts w:hint="eastAsia" w:ascii="宋体" w:hAnsi="宋体"/>
          <w:color w:val="auto"/>
          <w:szCs w:val="21"/>
        </w:rPr>
        <w:t>）</w:t>
      </w:r>
      <w:r>
        <w:rPr>
          <w:rFonts w:ascii="宋体" w:hAnsi="宋体"/>
          <w:color w:val="auto"/>
          <w:szCs w:val="21"/>
        </w:rPr>
        <w:t>（</w:t>
      </w:r>
      <w:r>
        <w:rPr>
          <w:rFonts w:hint="eastAsia" w:ascii="宋体" w:hAnsi="宋体"/>
          <w:color w:val="auto"/>
          <w:szCs w:val="21"/>
        </w:rPr>
        <w:t>采购项目编号：</w:t>
      </w:r>
      <w:r>
        <w:rPr>
          <w:rFonts w:hint="eastAsia" w:ascii="宋体" w:hAnsi="宋体"/>
          <w:color w:val="auto"/>
          <w:szCs w:val="21"/>
          <w:u w:val="single"/>
        </w:rPr>
        <w:t xml:space="preserve">        </w:t>
      </w:r>
      <w:r>
        <w:rPr>
          <w:rFonts w:ascii="宋体" w:hAnsi="宋体"/>
          <w:color w:val="auto"/>
          <w:szCs w:val="21"/>
        </w:rPr>
        <w:t>）</w:t>
      </w:r>
      <w:r>
        <w:rPr>
          <w:rFonts w:hint="eastAsia" w:ascii="宋体" w:hAnsi="宋体"/>
          <w:color w:val="auto"/>
          <w:szCs w:val="21"/>
        </w:rPr>
        <w:t>的</w:t>
      </w:r>
      <w:r>
        <w:rPr>
          <w:rFonts w:ascii="宋体" w:hAnsi="宋体"/>
          <w:color w:val="auto"/>
          <w:szCs w:val="21"/>
        </w:rPr>
        <w:t>投标邀请，参与投标，提供用户需求书中规定的</w:t>
      </w:r>
      <w:r>
        <w:rPr>
          <w:rFonts w:hint="eastAsia" w:ascii="宋体" w:hAnsi="宋体"/>
          <w:color w:val="auto"/>
          <w:szCs w:val="21"/>
        </w:rPr>
        <w:t>货物及相关服务</w:t>
      </w:r>
      <w:r>
        <w:rPr>
          <w:rFonts w:ascii="宋体" w:hAnsi="宋体"/>
          <w:color w:val="auto"/>
          <w:szCs w:val="21"/>
        </w:rPr>
        <w:t>，并按</w:t>
      </w:r>
      <w:r>
        <w:rPr>
          <w:rFonts w:hint="eastAsia" w:ascii="宋体" w:hAnsi="宋体"/>
          <w:color w:val="auto"/>
          <w:szCs w:val="21"/>
        </w:rPr>
        <w:t>采购</w:t>
      </w:r>
      <w:r>
        <w:rPr>
          <w:rFonts w:ascii="宋体" w:hAnsi="宋体"/>
          <w:color w:val="auto"/>
          <w:szCs w:val="21"/>
        </w:rPr>
        <w:t>文件要求提交所附资格文件且声明和保证如下：</w:t>
      </w:r>
    </w:p>
    <w:p w14:paraId="0829D153">
      <w:pPr>
        <w:ind w:firstLine="420" w:firstLineChars="200"/>
        <w:rPr>
          <w:rFonts w:ascii="宋体" w:hAnsi="宋体"/>
          <w:color w:val="auto"/>
          <w:szCs w:val="21"/>
        </w:rPr>
      </w:pPr>
      <w:r>
        <w:rPr>
          <w:rFonts w:hint="eastAsia" w:ascii="宋体" w:hAnsi="宋体"/>
          <w:color w:val="auto"/>
          <w:szCs w:val="21"/>
        </w:rPr>
        <w:t>一、我方具备投标人邀请中所要求得资格条件，已清楚采购文件所有要求及有关规定；并承诺参加本次采购活动中，如有违法、违规、弄虚作假行为，所造成的损失、不良后果及法律责任，一律由我方承担；</w:t>
      </w:r>
    </w:p>
    <w:p w14:paraId="475016D9">
      <w:pPr>
        <w:ind w:firstLine="420" w:firstLineChars="200"/>
        <w:rPr>
          <w:rFonts w:ascii="宋体" w:hAnsi="宋体"/>
          <w:color w:val="auto"/>
          <w:szCs w:val="21"/>
        </w:rPr>
      </w:pPr>
      <w:r>
        <w:rPr>
          <w:rFonts w:hint="eastAsia" w:ascii="宋体" w:hAnsi="宋体"/>
          <w:color w:val="auto"/>
          <w:szCs w:val="21"/>
        </w:rPr>
        <w:t>二、</w:t>
      </w:r>
      <w:r>
        <w:rPr>
          <w:rFonts w:ascii="宋体" w:hAnsi="宋体"/>
          <w:color w:val="auto"/>
          <w:szCs w:val="21"/>
        </w:rPr>
        <w:t>我方依法注册，在法律上、财务上和运作上完全独立于</w:t>
      </w:r>
      <w:r>
        <w:rPr>
          <w:rFonts w:hint="eastAsia" w:ascii="宋体" w:hAnsi="宋体"/>
          <w:color w:val="auto"/>
          <w:szCs w:val="21"/>
          <w:u w:val="single"/>
        </w:rPr>
        <w:t xml:space="preserve">  xxxx   </w:t>
      </w:r>
      <w:r>
        <w:rPr>
          <w:rFonts w:hint="eastAsia" w:ascii="宋体" w:hAnsi="宋体"/>
          <w:color w:val="auto"/>
          <w:szCs w:val="21"/>
        </w:rPr>
        <w:t>公司</w:t>
      </w:r>
      <w:r>
        <w:rPr>
          <w:rFonts w:ascii="宋体" w:hAnsi="宋体"/>
          <w:color w:val="auto"/>
          <w:szCs w:val="21"/>
        </w:rPr>
        <w:t>（</w:t>
      </w:r>
      <w:r>
        <w:rPr>
          <w:rFonts w:hint="eastAsia" w:ascii="宋体" w:hAnsi="宋体"/>
          <w:color w:val="auto"/>
          <w:szCs w:val="21"/>
        </w:rPr>
        <w:t>采购人</w:t>
      </w:r>
      <w:r>
        <w:rPr>
          <w:rFonts w:ascii="宋体" w:hAnsi="宋体"/>
          <w:color w:val="auto"/>
          <w:szCs w:val="21"/>
        </w:rPr>
        <w:t>）及</w:t>
      </w:r>
      <w:r>
        <w:rPr>
          <w:rFonts w:hint="eastAsia" w:ascii="宋体" w:hAnsi="宋体"/>
          <w:color w:val="auto"/>
          <w:szCs w:val="21"/>
          <w:u w:val="single"/>
        </w:rPr>
        <w:t xml:space="preserve">    xxx   </w:t>
      </w:r>
      <w:r>
        <w:rPr>
          <w:rFonts w:hint="eastAsia" w:ascii="宋体" w:hAnsi="宋体"/>
          <w:color w:val="auto"/>
          <w:szCs w:val="21"/>
        </w:rPr>
        <w:t>公司</w:t>
      </w:r>
      <w:r>
        <w:rPr>
          <w:rFonts w:ascii="宋体" w:hAnsi="宋体"/>
          <w:color w:val="auto"/>
          <w:szCs w:val="21"/>
        </w:rPr>
        <w:t>（采购代理机构）</w:t>
      </w:r>
      <w:r>
        <w:rPr>
          <w:rFonts w:hint="eastAsia" w:ascii="宋体" w:hAnsi="宋体"/>
          <w:color w:val="auto"/>
          <w:szCs w:val="21"/>
        </w:rPr>
        <w:t>。</w:t>
      </w:r>
    </w:p>
    <w:p w14:paraId="6689576D">
      <w:pPr>
        <w:pStyle w:val="50"/>
        <w:spacing w:line="500" w:lineRule="atLeast"/>
        <w:ind w:firstLine="3517" w:firstLineChars="1675"/>
        <w:rPr>
          <w:rFonts w:ascii="宋体" w:eastAsia="宋体"/>
          <w:color w:val="auto"/>
          <w:sz w:val="21"/>
          <w:szCs w:val="21"/>
        </w:rPr>
      </w:pPr>
    </w:p>
    <w:p w14:paraId="3DEBCD36">
      <w:pPr>
        <w:pStyle w:val="50"/>
        <w:spacing w:line="500" w:lineRule="atLeast"/>
        <w:ind w:firstLine="3517" w:firstLineChars="1675"/>
        <w:rPr>
          <w:rFonts w:ascii="宋体" w:eastAsia="宋体"/>
          <w:color w:val="auto"/>
          <w:sz w:val="21"/>
          <w:szCs w:val="21"/>
        </w:rPr>
      </w:pPr>
    </w:p>
    <w:p w14:paraId="1A2C5794">
      <w:pPr>
        <w:pStyle w:val="50"/>
        <w:spacing w:line="500" w:lineRule="atLeast"/>
        <w:ind w:firstLine="433"/>
        <w:rPr>
          <w:rFonts w:ascii="宋体" w:eastAsia="宋体"/>
          <w:color w:val="auto"/>
          <w:sz w:val="21"/>
          <w:szCs w:val="21"/>
        </w:rPr>
      </w:pPr>
      <w:r>
        <w:rPr>
          <w:rFonts w:hint="eastAsia" w:ascii="宋体" w:eastAsia="宋体"/>
          <w:color w:val="auto"/>
          <w:sz w:val="21"/>
          <w:szCs w:val="21"/>
        </w:rPr>
        <w:t>投标人名称（加盖公章）：</w:t>
      </w:r>
    </w:p>
    <w:p w14:paraId="32287CC4">
      <w:pPr>
        <w:pStyle w:val="50"/>
        <w:spacing w:line="500" w:lineRule="atLeast"/>
        <w:ind w:firstLine="433"/>
        <w:rPr>
          <w:rFonts w:ascii="宋体" w:eastAsia="宋体"/>
          <w:color w:val="auto"/>
          <w:sz w:val="21"/>
          <w:szCs w:val="21"/>
        </w:rPr>
      </w:pPr>
      <w:r>
        <w:rPr>
          <w:rFonts w:hint="eastAsia" w:ascii="宋体" w:eastAsia="宋体"/>
          <w:color w:val="auto"/>
          <w:sz w:val="21"/>
          <w:szCs w:val="21"/>
        </w:rPr>
        <w:t>法定代表人签字（签名或盖私章）：</w:t>
      </w:r>
    </w:p>
    <w:p w14:paraId="5647474A">
      <w:pPr>
        <w:pStyle w:val="50"/>
        <w:spacing w:line="500" w:lineRule="atLeast"/>
        <w:ind w:firstLine="433"/>
        <w:rPr>
          <w:rFonts w:ascii="宋体" w:eastAsia="宋体"/>
          <w:color w:val="auto"/>
          <w:sz w:val="21"/>
          <w:szCs w:val="21"/>
        </w:rPr>
      </w:pPr>
      <w:r>
        <w:rPr>
          <w:rFonts w:hint="eastAsia" w:ascii="宋体" w:eastAsia="宋体"/>
          <w:color w:val="auto"/>
          <w:sz w:val="21"/>
          <w:szCs w:val="21"/>
        </w:rPr>
        <w:t>日     期：年月日</w:t>
      </w:r>
    </w:p>
    <w:p w14:paraId="0786C4CB">
      <w:pPr>
        <w:pStyle w:val="50"/>
        <w:spacing w:line="500" w:lineRule="atLeast"/>
        <w:ind w:firstLine="433"/>
        <w:rPr>
          <w:rFonts w:ascii="宋体" w:eastAsia="宋体"/>
          <w:color w:val="auto"/>
          <w:sz w:val="21"/>
          <w:szCs w:val="21"/>
        </w:rPr>
      </w:pPr>
      <w:r>
        <w:rPr>
          <w:rFonts w:hint="eastAsia" w:ascii="宋体" w:eastAsia="宋体"/>
          <w:color w:val="auto"/>
          <w:sz w:val="21"/>
          <w:szCs w:val="21"/>
        </w:rPr>
        <w:br w:type="page"/>
      </w:r>
    </w:p>
    <w:p w14:paraId="58384A3B">
      <w:pPr>
        <w:pStyle w:val="5"/>
        <w:widowControl w:val="0"/>
        <w:overflowPunct w:val="0"/>
        <w:spacing w:line="240" w:lineRule="auto"/>
        <w:rPr>
          <w:rFonts w:ascii="宋体" w:hAnsi="宋体"/>
          <w:color w:val="auto"/>
          <w:sz w:val="21"/>
          <w:szCs w:val="21"/>
        </w:rPr>
      </w:pPr>
      <w:bookmarkStart w:id="376" w:name="_Toc15178"/>
      <w:bookmarkStart w:id="377" w:name="_Toc27561"/>
      <w:bookmarkStart w:id="378" w:name="_Toc5273"/>
      <w:bookmarkStart w:id="379" w:name="_Toc5702"/>
      <w:r>
        <w:rPr>
          <w:rFonts w:hint="eastAsia" w:ascii="宋体" w:hAnsi="宋体"/>
          <w:color w:val="auto"/>
          <w:sz w:val="21"/>
          <w:szCs w:val="21"/>
        </w:rPr>
        <w:t>附件8.营业执照</w:t>
      </w:r>
      <w:bookmarkEnd w:id="376"/>
      <w:bookmarkEnd w:id="377"/>
      <w:bookmarkEnd w:id="378"/>
      <w:bookmarkEnd w:id="379"/>
    </w:p>
    <w:p w14:paraId="028492E7">
      <w:pPr>
        <w:jc w:val="center"/>
        <w:rPr>
          <w:rFonts w:ascii="兰米黑体" w:eastAsia="兰米黑体"/>
          <w:color w:val="auto"/>
          <w:sz w:val="28"/>
          <w:szCs w:val="28"/>
        </w:rPr>
      </w:pPr>
      <w:bookmarkStart w:id="380" w:name="_Toc17470"/>
      <w:bookmarkStart w:id="381" w:name="_Toc1511"/>
      <w:bookmarkStart w:id="382" w:name="_Toc24210"/>
      <w:bookmarkStart w:id="383" w:name="_Toc5919"/>
      <w:bookmarkStart w:id="384" w:name="_Toc4926"/>
      <w:r>
        <w:rPr>
          <w:rFonts w:hint="eastAsia" w:ascii="兰米黑体" w:eastAsia="兰米黑体"/>
          <w:color w:val="auto"/>
          <w:sz w:val="28"/>
          <w:szCs w:val="28"/>
        </w:rPr>
        <w:t>营业执照</w:t>
      </w:r>
      <w:bookmarkEnd w:id="380"/>
      <w:bookmarkEnd w:id="381"/>
      <w:bookmarkEnd w:id="382"/>
      <w:bookmarkEnd w:id="383"/>
      <w:bookmarkEnd w:id="384"/>
    </w:p>
    <w:p w14:paraId="330456C0">
      <w:pPr>
        <w:jc w:val="center"/>
        <w:rPr>
          <w:rFonts w:ascii="兰米黑体" w:eastAsia="兰米黑体"/>
          <w:color w:val="auto"/>
          <w:sz w:val="28"/>
          <w:szCs w:val="28"/>
        </w:rPr>
      </w:pPr>
      <w:r>
        <w:rPr>
          <w:rFonts w:hint="eastAsia" w:ascii="兰米黑体" w:eastAsia="兰米黑体"/>
          <w:color w:val="auto"/>
          <w:sz w:val="28"/>
          <w:szCs w:val="28"/>
        </w:rPr>
        <w:br w:type="page"/>
      </w:r>
    </w:p>
    <w:p w14:paraId="4880CB62">
      <w:pPr>
        <w:pStyle w:val="5"/>
        <w:widowControl w:val="0"/>
        <w:overflowPunct w:val="0"/>
        <w:spacing w:line="240" w:lineRule="auto"/>
        <w:rPr>
          <w:rFonts w:ascii="宋体" w:hAnsi="宋体"/>
          <w:color w:val="auto"/>
          <w:sz w:val="21"/>
          <w:szCs w:val="21"/>
        </w:rPr>
      </w:pPr>
      <w:bookmarkStart w:id="385" w:name="_Toc17271"/>
      <w:bookmarkStart w:id="386" w:name="_Toc23225"/>
      <w:bookmarkStart w:id="387" w:name="_Toc6272"/>
      <w:bookmarkStart w:id="388" w:name="_Toc5052"/>
      <w:r>
        <w:rPr>
          <w:rFonts w:hint="eastAsia" w:ascii="宋体" w:hAnsi="宋体"/>
          <w:color w:val="auto"/>
          <w:sz w:val="21"/>
          <w:szCs w:val="21"/>
        </w:rPr>
        <w:t>附件9.相关资质证明文件</w:t>
      </w:r>
      <w:bookmarkEnd w:id="385"/>
      <w:bookmarkEnd w:id="386"/>
      <w:bookmarkEnd w:id="387"/>
      <w:bookmarkEnd w:id="388"/>
    </w:p>
    <w:p w14:paraId="100751F6">
      <w:pPr>
        <w:rPr>
          <w:color w:val="auto"/>
        </w:rPr>
      </w:pPr>
    </w:p>
    <w:p w14:paraId="03DFF84D">
      <w:pPr>
        <w:jc w:val="center"/>
        <w:rPr>
          <w:rFonts w:ascii="兰米黑体" w:eastAsia="兰米黑体"/>
          <w:color w:val="auto"/>
          <w:sz w:val="28"/>
          <w:szCs w:val="28"/>
        </w:rPr>
      </w:pPr>
      <w:bookmarkStart w:id="389" w:name="_Toc13458"/>
      <w:bookmarkStart w:id="390" w:name="_Toc9592"/>
      <w:bookmarkStart w:id="391" w:name="_Toc16233"/>
      <w:bookmarkStart w:id="392" w:name="_Toc16698"/>
      <w:bookmarkStart w:id="393" w:name="_Toc30307"/>
      <w:r>
        <w:rPr>
          <w:rFonts w:hint="eastAsia" w:ascii="兰米黑体" w:eastAsia="兰米黑体"/>
          <w:color w:val="auto"/>
          <w:sz w:val="28"/>
          <w:szCs w:val="28"/>
        </w:rPr>
        <w:t>相关资质证明文件</w:t>
      </w:r>
      <w:bookmarkEnd w:id="371"/>
      <w:bookmarkEnd w:id="389"/>
      <w:bookmarkEnd w:id="390"/>
      <w:bookmarkEnd w:id="391"/>
      <w:bookmarkEnd w:id="392"/>
      <w:bookmarkEnd w:id="393"/>
    </w:p>
    <w:p w14:paraId="424562B6">
      <w:pPr>
        <w:numPr>
          <w:ilvl w:val="0"/>
          <w:numId w:val="11"/>
        </w:numPr>
        <w:tabs>
          <w:tab w:val="left" w:pos="1680"/>
        </w:tabs>
        <w:jc w:val="both"/>
        <w:rPr>
          <w:rFonts w:ascii="宋体" w:hAnsi="宋体" w:cs="宋体"/>
          <w:b/>
          <w:bCs/>
          <w:color w:val="auto"/>
          <w:szCs w:val="21"/>
        </w:rPr>
      </w:pPr>
      <w:r>
        <w:rPr>
          <w:rFonts w:hint="eastAsia" w:ascii="宋体" w:hAnsi="宋体" w:cs="宋体"/>
          <w:b/>
          <w:bCs/>
          <w:color w:val="auto"/>
          <w:szCs w:val="21"/>
        </w:rPr>
        <w:t>符合投标邀请书“投标人资格要求”其他要求对应的证明文件；</w:t>
      </w:r>
    </w:p>
    <w:p w14:paraId="7AE8B78E">
      <w:pPr>
        <w:numPr>
          <w:ilvl w:val="0"/>
          <w:numId w:val="11"/>
        </w:numPr>
        <w:tabs>
          <w:tab w:val="left" w:pos="1680"/>
        </w:tabs>
        <w:jc w:val="both"/>
        <w:outlineLvl w:val="2"/>
        <w:rPr>
          <w:rFonts w:ascii="宋体" w:hAnsi="宋体" w:cs="宋体"/>
          <w:b/>
          <w:bCs/>
          <w:color w:val="auto"/>
          <w:szCs w:val="21"/>
        </w:rPr>
      </w:pPr>
      <w:bookmarkStart w:id="394" w:name="_Toc12079"/>
      <w:r>
        <w:rPr>
          <w:rFonts w:hint="eastAsia" w:ascii="宋体" w:hAnsi="宋体" w:cs="宋体"/>
          <w:b/>
          <w:bCs/>
          <w:color w:val="auto"/>
          <w:szCs w:val="21"/>
        </w:rPr>
        <w:t>投标人认为必要的文件。</w:t>
      </w:r>
      <w:r>
        <w:rPr>
          <w:rFonts w:hint="eastAsia" w:ascii="宋体" w:hAnsi="宋体" w:cs="宋体"/>
          <w:b/>
          <w:bCs/>
          <w:color w:val="auto"/>
          <w:szCs w:val="21"/>
        </w:rPr>
        <w:br w:type="page"/>
      </w:r>
      <w:bookmarkEnd w:id="394"/>
    </w:p>
    <w:p w14:paraId="4CD6C1D0">
      <w:pPr>
        <w:pStyle w:val="5"/>
        <w:widowControl w:val="0"/>
        <w:overflowPunct w:val="0"/>
        <w:spacing w:line="240" w:lineRule="auto"/>
        <w:rPr>
          <w:rFonts w:ascii="方正楷体_GB2312" w:eastAsia="方正楷体_GB2312"/>
          <w:color w:val="auto"/>
        </w:rPr>
      </w:pPr>
      <w:bookmarkStart w:id="395" w:name="_Toc4426"/>
      <w:bookmarkStart w:id="396" w:name="_Toc215"/>
      <w:bookmarkStart w:id="397" w:name="_Toc30039"/>
      <w:bookmarkStart w:id="398" w:name="_Toc13914"/>
      <w:r>
        <w:rPr>
          <w:rFonts w:hint="eastAsia" w:ascii="宋体" w:hAnsi="宋体"/>
          <w:color w:val="auto"/>
          <w:sz w:val="21"/>
          <w:szCs w:val="21"/>
        </w:rPr>
        <w:t>附件10.在经营活动中没有重大违法记录的书面声明格式</w:t>
      </w:r>
      <w:bookmarkEnd w:id="395"/>
      <w:bookmarkEnd w:id="396"/>
      <w:bookmarkEnd w:id="397"/>
      <w:bookmarkEnd w:id="398"/>
    </w:p>
    <w:p w14:paraId="65D632E2">
      <w:pPr>
        <w:rPr>
          <w:color w:val="auto"/>
        </w:rPr>
      </w:pPr>
    </w:p>
    <w:p w14:paraId="656AFEA3">
      <w:pPr>
        <w:jc w:val="center"/>
        <w:rPr>
          <w:rFonts w:ascii="兰米黑体" w:eastAsia="兰米黑体"/>
          <w:color w:val="auto"/>
          <w:sz w:val="28"/>
          <w:szCs w:val="28"/>
        </w:rPr>
      </w:pPr>
      <w:r>
        <w:rPr>
          <w:rFonts w:hint="eastAsia" w:ascii="兰米黑体" w:eastAsia="兰米黑体"/>
          <w:color w:val="auto"/>
          <w:sz w:val="28"/>
          <w:szCs w:val="28"/>
        </w:rPr>
        <w:t>投标人在经营活动中前三年内未有重大违法记录、没有不良信用记录的声明函</w:t>
      </w:r>
    </w:p>
    <w:p w14:paraId="54B79AB1">
      <w:pPr>
        <w:ind w:firstLine="420" w:firstLineChars="200"/>
        <w:rPr>
          <w:rFonts w:ascii="宋体" w:hAnsi="宋体" w:cs="宋体"/>
          <w:color w:val="auto"/>
          <w:szCs w:val="21"/>
        </w:rPr>
      </w:pPr>
    </w:p>
    <w:p w14:paraId="22B64C39">
      <w:pPr>
        <w:spacing w:line="480" w:lineRule="auto"/>
        <w:rPr>
          <w:rFonts w:ascii="宋体" w:hAnsi="宋体" w:cs="宋体"/>
          <w:color w:val="auto"/>
          <w:szCs w:val="21"/>
        </w:rPr>
      </w:pPr>
      <w:r>
        <w:rPr>
          <w:rFonts w:hint="eastAsia" w:ascii="宋体" w:hAnsi="宋体" w:cs="宋体"/>
          <w:color w:val="auto"/>
          <w:szCs w:val="21"/>
        </w:rPr>
        <w:t>东莞市安居建设投资有限公司、广东志正招标有限公司东莞分公司：</w:t>
      </w:r>
    </w:p>
    <w:p w14:paraId="4696EAF7">
      <w:pPr>
        <w:spacing w:line="480" w:lineRule="auto"/>
        <w:ind w:firstLine="420" w:firstLineChars="200"/>
        <w:rPr>
          <w:rFonts w:ascii="宋体" w:hAnsi="宋体" w:cs="宋体"/>
          <w:color w:val="auto"/>
          <w:szCs w:val="21"/>
        </w:rPr>
      </w:pPr>
      <w:r>
        <w:rPr>
          <w:rFonts w:hint="eastAsia" w:ascii="宋体" w:hAnsi="宋体" w:cs="宋体"/>
          <w:color w:val="auto"/>
          <w:szCs w:val="21"/>
        </w:rPr>
        <w:t>我公司郑重承诺：在参加“</w:t>
      </w:r>
      <w:r>
        <w:rPr>
          <w:rFonts w:hint="eastAsia" w:ascii="宋体" w:hAnsi="宋体" w:cs="宋体"/>
          <w:color w:val="auto"/>
          <w:szCs w:val="21"/>
          <w:u w:val="single"/>
        </w:rPr>
        <w:t xml:space="preserve">       （采购项目名称）</w:t>
      </w:r>
      <w:r>
        <w:rPr>
          <w:rFonts w:hint="eastAsia" w:ascii="宋体" w:hAnsi="宋体" w:cs="宋体"/>
          <w:color w:val="auto"/>
          <w:szCs w:val="21"/>
        </w:rPr>
        <w:t>” （项目编号:XX）采购活动前三年内（设立不满三年的从设立之日计算），在经营活动中没有重大违法记录；至本项目提交投标文件截止时间止未被列入“信用中国”网站失信被执行人、重大税收违法失信主体、政府采购严重违法失信行为记录名单。</w:t>
      </w:r>
    </w:p>
    <w:p w14:paraId="26C0F1C7">
      <w:pPr>
        <w:spacing w:line="480" w:lineRule="auto"/>
        <w:ind w:firstLine="420" w:firstLineChars="200"/>
        <w:rPr>
          <w:rFonts w:ascii="宋体" w:hAnsi="宋体" w:cs="宋体"/>
          <w:color w:val="auto"/>
          <w:szCs w:val="21"/>
        </w:rPr>
      </w:pPr>
      <w:r>
        <w:rPr>
          <w:rFonts w:hint="eastAsia" w:ascii="宋体" w:hAnsi="宋体" w:cs="宋体"/>
          <w:color w:val="auto"/>
          <w:szCs w:val="21"/>
        </w:rPr>
        <w:t>我公司以上承诺均为真实有效，绝无任何虚假、伪造的成份，否则，愿承担相应的后果和法律责任。</w:t>
      </w:r>
    </w:p>
    <w:p w14:paraId="53083649">
      <w:pPr>
        <w:ind w:firstLine="420" w:firstLineChars="200"/>
        <w:rPr>
          <w:rFonts w:ascii="宋体" w:hAnsi="宋体" w:cs="宋体"/>
          <w:color w:val="auto"/>
          <w:szCs w:val="21"/>
        </w:rPr>
      </w:pPr>
    </w:p>
    <w:p w14:paraId="7D1763EF">
      <w:pPr>
        <w:rPr>
          <w:rFonts w:ascii="宋体" w:hAnsi="宋体" w:cs="宋体"/>
          <w:color w:val="auto"/>
          <w:szCs w:val="21"/>
        </w:rPr>
      </w:pPr>
    </w:p>
    <w:p w14:paraId="0561CABA">
      <w:pPr>
        <w:ind w:firstLine="420" w:firstLineChars="200"/>
        <w:rPr>
          <w:rFonts w:ascii="宋体" w:hAnsi="宋体" w:cs="宋体"/>
          <w:color w:val="auto"/>
          <w:szCs w:val="21"/>
        </w:rPr>
      </w:pPr>
      <w:r>
        <w:rPr>
          <w:rFonts w:hint="eastAsia" w:ascii="宋体" w:hAnsi="宋体" w:cs="宋体"/>
          <w:color w:val="auto"/>
          <w:szCs w:val="21"/>
        </w:rPr>
        <w:t>投标人名称（盖章）：</w:t>
      </w:r>
    </w:p>
    <w:p w14:paraId="13AB01A3">
      <w:pPr>
        <w:rPr>
          <w:rFonts w:ascii="宋体" w:hAnsi="宋体" w:cs="宋体"/>
          <w:color w:val="auto"/>
          <w:szCs w:val="21"/>
        </w:rPr>
      </w:pPr>
    </w:p>
    <w:p w14:paraId="226A894E">
      <w:pPr>
        <w:ind w:firstLine="420" w:firstLineChars="200"/>
        <w:rPr>
          <w:rFonts w:ascii="宋体" w:hAnsi="宋体" w:cs="宋体"/>
          <w:color w:val="auto"/>
          <w:szCs w:val="21"/>
        </w:rPr>
      </w:pPr>
      <w:r>
        <w:rPr>
          <w:rFonts w:hint="eastAsia" w:ascii="宋体" w:hAnsi="宋体" w:cs="宋体"/>
          <w:color w:val="auto"/>
          <w:szCs w:val="21"/>
        </w:rPr>
        <w:t>日期：</w:t>
      </w:r>
    </w:p>
    <w:p w14:paraId="6C224CED">
      <w:pPr>
        <w:rPr>
          <w:color w:val="auto"/>
        </w:rPr>
      </w:pPr>
    </w:p>
    <w:p w14:paraId="7AEE06E5">
      <w:pPr>
        <w:rPr>
          <w:rFonts w:ascii="宋体" w:hAnsi="宋体"/>
          <w:color w:val="auto"/>
          <w:szCs w:val="21"/>
        </w:rPr>
      </w:pPr>
    </w:p>
    <w:p w14:paraId="188B877D">
      <w:pPr>
        <w:pStyle w:val="11"/>
        <w:rPr>
          <w:color w:val="auto"/>
          <w:sz w:val="21"/>
          <w:szCs w:val="21"/>
        </w:rPr>
      </w:pPr>
    </w:p>
    <w:p w14:paraId="3BD98979">
      <w:pPr>
        <w:rPr>
          <w:rFonts w:ascii="宋体" w:hAnsi="宋体"/>
          <w:color w:val="auto"/>
          <w:szCs w:val="21"/>
        </w:rPr>
      </w:pPr>
    </w:p>
    <w:p w14:paraId="237BB03D">
      <w:pPr>
        <w:pStyle w:val="11"/>
        <w:rPr>
          <w:color w:val="auto"/>
          <w:sz w:val="21"/>
          <w:szCs w:val="21"/>
        </w:rPr>
      </w:pPr>
    </w:p>
    <w:p w14:paraId="5B24E05C">
      <w:pPr>
        <w:rPr>
          <w:color w:val="auto"/>
          <w:szCs w:val="21"/>
        </w:rPr>
      </w:pPr>
    </w:p>
    <w:p w14:paraId="30C01F36">
      <w:pPr>
        <w:pStyle w:val="30"/>
        <w:ind w:firstLine="210"/>
        <w:rPr>
          <w:color w:val="auto"/>
          <w:sz w:val="21"/>
        </w:rPr>
      </w:pPr>
    </w:p>
    <w:p w14:paraId="557A22C6">
      <w:pPr>
        <w:rPr>
          <w:color w:val="auto"/>
        </w:rPr>
      </w:pPr>
    </w:p>
    <w:p w14:paraId="4994DCB2">
      <w:pPr>
        <w:rPr>
          <w:rFonts w:ascii="宋体" w:hAnsi="宋体"/>
          <w:color w:val="auto"/>
          <w:szCs w:val="21"/>
        </w:rPr>
      </w:pPr>
    </w:p>
    <w:p w14:paraId="6EE37F8A">
      <w:pPr>
        <w:pStyle w:val="11"/>
        <w:rPr>
          <w:color w:val="auto"/>
          <w:sz w:val="21"/>
          <w:szCs w:val="21"/>
        </w:rPr>
      </w:pPr>
    </w:p>
    <w:p w14:paraId="28A0BA09">
      <w:pPr>
        <w:rPr>
          <w:rFonts w:ascii="宋体" w:hAnsi="宋体"/>
          <w:color w:val="auto"/>
          <w:szCs w:val="21"/>
        </w:rPr>
      </w:pPr>
    </w:p>
    <w:p w14:paraId="390DAA23">
      <w:pPr>
        <w:pStyle w:val="11"/>
        <w:rPr>
          <w:color w:val="auto"/>
          <w:sz w:val="21"/>
          <w:szCs w:val="21"/>
        </w:rPr>
      </w:pPr>
    </w:p>
    <w:p w14:paraId="5C44C366">
      <w:pPr>
        <w:pStyle w:val="5"/>
        <w:widowControl w:val="0"/>
        <w:overflowPunct w:val="0"/>
        <w:spacing w:line="240" w:lineRule="auto"/>
        <w:rPr>
          <w:rFonts w:ascii="宋体" w:hAnsi="宋体"/>
          <w:color w:val="auto"/>
          <w:sz w:val="21"/>
          <w:szCs w:val="21"/>
        </w:rPr>
      </w:pPr>
      <w:bookmarkStart w:id="399" w:name="_Toc16179"/>
      <w:bookmarkStart w:id="400" w:name="_Toc31629"/>
      <w:bookmarkStart w:id="401" w:name="_Toc10190"/>
      <w:r>
        <w:rPr>
          <w:rFonts w:hint="eastAsia" w:ascii="宋体" w:hAnsi="宋体"/>
          <w:color w:val="auto"/>
          <w:sz w:val="21"/>
          <w:szCs w:val="21"/>
        </w:rPr>
        <w:t>附件11.未被列入“信用中国”记录失信被执行人或重大税收违法失信主体或政府采购严重违法失信行为记录名单的证明资料</w:t>
      </w:r>
      <w:bookmarkEnd w:id="399"/>
      <w:bookmarkEnd w:id="400"/>
      <w:bookmarkEnd w:id="401"/>
    </w:p>
    <w:p w14:paraId="55091338">
      <w:pPr>
        <w:rPr>
          <w:rFonts w:ascii="宋体" w:hAnsi="宋体"/>
          <w:color w:val="auto"/>
          <w:szCs w:val="21"/>
        </w:rPr>
      </w:pPr>
    </w:p>
    <w:p w14:paraId="58332C26">
      <w:pPr>
        <w:pStyle w:val="11"/>
        <w:rPr>
          <w:color w:val="auto"/>
          <w:sz w:val="21"/>
          <w:szCs w:val="21"/>
        </w:rPr>
      </w:pPr>
    </w:p>
    <w:p w14:paraId="3E31A1B8">
      <w:pPr>
        <w:rPr>
          <w:color w:val="auto"/>
          <w:szCs w:val="21"/>
        </w:rPr>
      </w:pPr>
    </w:p>
    <w:p w14:paraId="1115E99C">
      <w:pPr>
        <w:pStyle w:val="30"/>
        <w:ind w:firstLine="210"/>
        <w:rPr>
          <w:color w:val="auto"/>
          <w:sz w:val="21"/>
        </w:rPr>
      </w:pPr>
    </w:p>
    <w:p w14:paraId="10AFD061">
      <w:pPr>
        <w:rPr>
          <w:color w:val="auto"/>
          <w:szCs w:val="21"/>
        </w:rPr>
      </w:pPr>
    </w:p>
    <w:p w14:paraId="43D9D063">
      <w:pPr>
        <w:pStyle w:val="30"/>
        <w:ind w:firstLine="210"/>
        <w:rPr>
          <w:color w:val="auto"/>
          <w:sz w:val="21"/>
        </w:rPr>
      </w:pPr>
    </w:p>
    <w:p w14:paraId="161C33D1">
      <w:pPr>
        <w:rPr>
          <w:color w:val="auto"/>
          <w:szCs w:val="21"/>
        </w:rPr>
      </w:pPr>
    </w:p>
    <w:p w14:paraId="52FCA833">
      <w:pPr>
        <w:pStyle w:val="30"/>
        <w:ind w:firstLine="210"/>
        <w:rPr>
          <w:color w:val="auto"/>
          <w:sz w:val="21"/>
        </w:rPr>
      </w:pPr>
    </w:p>
    <w:p w14:paraId="41CD8D1C">
      <w:pPr>
        <w:rPr>
          <w:color w:val="auto"/>
          <w:szCs w:val="21"/>
        </w:rPr>
      </w:pPr>
    </w:p>
    <w:p w14:paraId="05AB4A2F">
      <w:pPr>
        <w:pStyle w:val="30"/>
        <w:ind w:firstLine="210"/>
        <w:rPr>
          <w:color w:val="auto"/>
          <w:sz w:val="21"/>
        </w:rPr>
      </w:pPr>
    </w:p>
    <w:p w14:paraId="1749ACD7">
      <w:pPr>
        <w:rPr>
          <w:color w:val="auto"/>
          <w:szCs w:val="21"/>
        </w:rPr>
      </w:pPr>
    </w:p>
    <w:p w14:paraId="00787DB0">
      <w:pPr>
        <w:pStyle w:val="30"/>
        <w:ind w:firstLine="210"/>
        <w:rPr>
          <w:color w:val="auto"/>
          <w:sz w:val="21"/>
        </w:rPr>
      </w:pPr>
    </w:p>
    <w:p w14:paraId="297A8AA7">
      <w:pPr>
        <w:rPr>
          <w:color w:val="auto"/>
          <w:szCs w:val="21"/>
        </w:rPr>
      </w:pPr>
    </w:p>
    <w:p w14:paraId="5D25E79C">
      <w:pPr>
        <w:pStyle w:val="30"/>
        <w:ind w:firstLine="210"/>
        <w:rPr>
          <w:color w:val="auto"/>
          <w:sz w:val="21"/>
        </w:rPr>
      </w:pPr>
    </w:p>
    <w:p w14:paraId="123320D5">
      <w:pPr>
        <w:rPr>
          <w:color w:val="auto"/>
          <w:szCs w:val="21"/>
        </w:rPr>
      </w:pPr>
    </w:p>
    <w:p w14:paraId="4E7F3C62">
      <w:pPr>
        <w:pStyle w:val="30"/>
        <w:ind w:firstLine="210"/>
        <w:rPr>
          <w:color w:val="auto"/>
          <w:sz w:val="21"/>
        </w:rPr>
      </w:pPr>
    </w:p>
    <w:p w14:paraId="023C4D81">
      <w:pPr>
        <w:rPr>
          <w:color w:val="auto"/>
          <w:szCs w:val="21"/>
        </w:rPr>
      </w:pPr>
    </w:p>
    <w:p w14:paraId="5E75EF6E">
      <w:pPr>
        <w:pStyle w:val="30"/>
        <w:ind w:firstLine="210"/>
        <w:rPr>
          <w:color w:val="auto"/>
          <w:sz w:val="21"/>
        </w:rPr>
      </w:pPr>
    </w:p>
    <w:p w14:paraId="6D6F3730">
      <w:pPr>
        <w:rPr>
          <w:color w:val="auto"/>
          <w:szCs w:val="21"/>
        </w:rPr>
      </w:pPr>
    </w:p>
    <w:p w14:paraId="5EA51051">
      <w:pPr>
        <w:pStyle w:val="30"/>
        <w:ind w:firstLine="210"/>
        <w:rPr>
          <w:color w:val="auto"/>
          <w:sz w:val="21"/>
        </w:rPr>
      </w:pPr>
    </w:p>
    <w:p w14:paraId="7D6FD235">
      <w:pPr>
        <w:rPr>
          <w:color w:val="auto"/>
          <w:szCs w:val="21"/>
        </w:rPr>
      </w:pPr>
    </w:p>
    <w:p w14:paraId="45E032D7">
      <w:pPr>
        <w:pStyle w:val="30"/>
        <w:ind w:firstLine="210"/>
        <w:rPr>
          <w:color w:val="auto"/>
          <w:sz w:val="21"/>
        </w:rPr>
      </w:pPr>
    </w:p>
    <w:p w14:paraId="450B380C">
      <w:pPr>
        <w:rPr>
          <w:color w:val="auto"/>
          <w:szCs w:val="21"/>
        </w:rPr>
      </w:pPr>
    </w:p>
    <w:p w14:paraId="5A720B4F">
      <w:pPr>
        <w:pStyle w:val="30"/>
        <w:ind w:firstLine="240"/>
        <w:rPr>
          <w:color w:val="auto"/>
        </w:rPr>
      </w:pPr>
    </w:p>
    <w:p w14:paraId="6428C591">
      <w:pPr>
        <w:rPr>
          <w:color w:val="auto"/>
        </w:rPr>
      </w:pPr>
    </w:p>
    <w:p w14:paraId="0B302CC9">
      <w:pPr>
        <w:pStyle w:val="5"/>
        <w:widowControl w:val="0"/>
        <w:overflowPunct w:val="0"/>
        <w:spacing w:line="240" w:lineRule="auto"/>
        <w:rPr>
          <w:rFonts w:ascii="方正楷体_GB2312" w:eastAsia="方正楷体_GB2312"/>
          <w:color w:val="auto"/>
        </w:rPr>
      </w:pPr>
      <w:bookmarkStart w:id="402" w:name="_Toc19411"/>
      <w:bookmarkStart w:id="403" w:name="_Toc8381"/>
      <w:bookmarkStart w:id="404" w:name="_Toc15716"/>
      <w:bookmarkStart w:id="405" w:name="_Toc12444"/>
      <w:r>
        <w:rPr>
          <w:rFonts w:hint="eastAsia" w:ascii="宋体" w:hAnsi="宋体"/>
          <w:color w:val="auto"/>
          <w:sz w:val="21"/>
          <w:szCs w:val="21"/>
        </w:rPr>
        <w:t>附件12.承诺书格式</w:t>
      </w:r>
      <w:bookmarkEnd w:id="402"/>
      <w:bookmarkEnd w:id="403"/>
      <w:bookmarkEnd w:id="404"/>
      <w:bookmarkEnd w:id="405"/>
    </w:p>
    <w:p w14:paraId="5232DE14">
      <w:pPr>
        <w:jc w:val="center"/>
        <w:rPr>
          <w:rFonts w:ascii="兰米黑体" w:eastAsia="兰米黑体"/>
          <w:color w:val="auto"/>
          <w:sz w:val="28"/>
          <w:szCs w:val="28"/>
        </w:rPr>
      </w:pPr>
      <w:r>
        <w:rPr>
          <w:rFonts w:hint="eastAsia" w:ascii="兰米黑体" w:eastAsia="兰米黑体"/>
          <w:color w:val="auto"/>
          <w:sz w:val="28"/>
          <w:szCs w:val="28"/>
        </w:rPr>
        <w:t>承诺书</w:t>
      </w:r>
    </w:p>
    <w:p w14:paraId="047E94EA">
      <w:pPr>
        <w:pStyle w:val="50"/>
        <w:spacing w:line="420" w:lineRule="atLeast"/>
        <w:ind w:firstLine="0" w:firstLineChars="0"/>
        <w:rPr>
          <w:rFonts w:ascii="宋体" w:eastAsia="宋体" w:cs="宋体"/>
          <w:color w:val="auto"/>
          <w:sz w:val="21"/>
          <w:szCs w:val="21"/>
        </w:rPr>
      </w:pPr>
      <w:r>
        <w:rPr>
          <w:rFonts w:hint="eastAsia" w:ascii="宋体" w:eastAsia="宋体" w:cs="宋体"/>
          <w:color w:val="auto"/>
          <w:sz w:val="21"/>
          <w:szCs w:val="21"/>
        </w:rPr>
        <w:t>致广东志正招标有限公司东莞分公司：</w:t>
      </w:r>
    </w:p>
    <w:p w14:paraId="07237ADA">
      <w:pPr>
        <w:jc w:val="center"/>
        <w:rPr>
          <w:rFonts w:ascii="宋体" w:hAnsi="宋体" w:cs="宋体"/>
          <w:color w:val="auto"/>
          <w:szCs w:val="21"/>
        </w:rPr>
      </w:pPr>
    </w:p>
    <w:p w14:paraId="772CA641">
      <w:pPr>
        <w:pStyle w:val="50"/>
        <w:spacing w:line="420" w:lineRule="exact"/>
        <w:ind w:firstLine="433"/>
        <w:rPr>
          <w:rFonts w:ascii="宋体" w:eastAsia="宋体" w:cs="宋体"/>
          <w:color w:val="auto"/>
          <w:sz w:val="21"/>
          <w:szCs w:val="21"/>
        </w:rPr>
      </w:pPr>
      <w:r>
        <w:rPr>
          <w:rFonts w:hint="eastAsia" w:ascii="宋体" w:eastAsia="宋体" w:cs="宋体"/>
          <w:color w:val="auto"/>
          <w:sz w:val="21"/>
          <w:szCs w:val="21"/>
        </w:rPr>
        <w:t>我方已完整阅读了</w:t>
      </w:r>
      <w:r>
        <w:rPr>
          <w:rFonts w:hint="eastAsia" w:ascii="宋体" w:eastAsia="宋体" w:cs="宋体"/>
          <w:color w:val="auto"/>
          <w:sz w:val="21"/>
          <w:szCs w:val="21"/>
          <w:u w:val="single"/>
        </w:rPr>
        <w:t xml:space="preserve">  （项目名称）     </w:t>
      </w:r>
      <w:r>
        <w:rPr>
          <w:rFonts w:hint="eastAsia" w:ascii="宋体" w:eastAsia="宋体" w:cs="宋体"/>
          <w:color w:val="auto"/>
          <w:sz w:val="21"/>
          <w:szCs w:val="21"/>
        </w:rPr>
        <w:t>项目（项目编号：</w:t>
      </w:r>
      <w:r>
        <w:rPr>
          <w:rFonts w:hint="eastAsia" w:ascii="宋体" w:eastAsia="宋体" w:cs="宋体"/>
          <w:color w:val="auto"/>
          <w:sz w:val="21"/>
          <w:szCs w:val="21"/>
          <w:u w:val="single"/>
        </w:rPr>
        <w:t xml:space="preserve">            </w:t>
      </w:r>
      <w:r>
        <w:rPr>
          <w:rFonts w:hint="eastAsia" w:ascii="宋体" w:eastAsia="宋体" w:cs="宋体"/>
          <w:color w:val="auto"/>
          <w:sz w:val="21"/>
          <w:szCs w:val="21"/>
        </w:rPr>
        <w:t>）采购文件的所有内容（包括澄清，以及所有已提供的参考资料和有关附件），并完全理解上述文件所表达的意思，该项目递交投标文件时间截止后，我方承诺不再对上述文件内容有异议。</w:t>
      </w:r>
      <w:r>
        <w:rPr>
          <w:rFonts w:hint="eastAsia" w:ascii="宋体" w:eastAsia="宋体" w:cs="宋体"/>
          <w:color w:val="auto"/>
          <w:sz w:val="21"/>
          <w:szCs w:val="21"/>
        </w:rPr>
        <w:cr/>
      </w:r>
    </w:p>
    <w:p w14:paraId="06F2FA23">
      <w:pPr>
        <w:pStyle w:val="50"/>
        <w:spacing w:line="420" w:lineRule="exact"/>
        <w:ind w:firstLine="433"/>
        <w:rPr>
          <w:rFonts w:ascii="宋体" w:eastAsia="宋体" w:cs="宋体"/>
          <w:color w:val="auto"/>
          <w:sz w:val="21"/>
          <w:szCs w:val="21"/>
        </w:rPr>
      </w:pPr>
    </w:p>
    <w:p w14:paraId="3272C132">
      <w:pPr>
        <w:ind w:right="561" w:firstLine="420" w:firstLineChars="200"/>
        <w:rPr>
          <w:rFonts w:ascii="宋体" w:hAnsi="宋体" w:cs="宋体"/>
          <w:color w:val="auto"/>
          <w:szCs w:val="21"/>
        </w:rPr>
      </w:pPr>
      <w:r>
        <w:rPr>
          <w:rFonts w:hint="eastAsia" w:ascii="宋体" w:hAnsi="宋体" w:cs="宋体"/>
          <w:color w:val="auto"/>
          <w:szCs w:val="21"/>
        </w:rPr>
        <w:t>投标人名称（加盖公章）：</w:t>
      </w:r>
    </w:p>
    <w:p w14:paraId="776A62A5">
      <w:pPr>
        <w:ind w:right="561" w:firstLine="420" w:firstLineChars="200"/>
        <w:rPr>
          <w:rFonts w:ascii="宋体" w:hAnsi="宋体" w:cs="宋体"/>
          <w:color w:val="auto"/>
          <w:szCs w:val="21"/>
        </w:rPr>
      </w:pPr>
      <w:r>
        <w:rPr>
          <w:rFonts w:hint="eastAsia" w:ascii="宋体" w:hAnsi="宋体" w:cs="宋体"/>
          <w:color w:val="auto"/>
          <w:szCs w:val="21"/>
        </w:rPr>
        <w:t>法定代表人或被授权人（签名或盖私章）：</w:t>
      </w:r>
    </w:p>
    <w:p w14:paraId="475738B8">
      <w:pPr>
        <w:ind w:right="561" w:firstLine="420" w:firstLineChars="200"/>
        <w:rPr>
          <w:rFonts w:ascii="宋体" w:hAnsi="宋体" w:cs="宋体"/>
          <w:color w:val="auto"/>
          <w:szCs w:val="21"/>
        </w:rPr>
      </w:pPr>
      <w:r>
        <w:rPr>
          <w:rFonts w:hint="eastAsia" w:ascii="宋体" w:hAnsi="宋体" w:cs="宋体"/>
          <w:color w:val="auto"/>
          <w:szCs w:val="21"/>
        </w:rPr>
        <w:t>日      期：</w:t>
      </w:r>
    </w:p>
    <w:p w14:paraId="7827D085">
      <w:pPr>
        <w:rPr>
          <w:color w:val="auto"/>
        </w:rPr>
      </w:pPr>
    </w:p>
    <w:p w14:paraId="2A776AD0">
      <w:pPr>
        <w:rPr>
          <w:rFonts w:ascii="宋体" w:hAnsi="宋体"/>
          <w:color w:val="auto"/>
          <w:szCs w:val="21"/>
        </w:rPr>
      </w:pPr>
    </w:p>
    <w:p w14:paraId="42498800">
      <w:pPr>
        <w:pStyle w:val="11"/>
        <w:rPr>
          <w:color w:val="auto"/>
          <w:sz w:val="21"/>
          <w:szCs w:val="21"/>
        </w:rPr>
      </w:pPr>
    </w:p>
    <w:p w14:paraId="19F34B0F">
      <w:pPr>
        <w:rPr>
          <w:rFonts w:ascii="宋体" w:hAnsi="宋体"/>
          <w:color w:val="auto"/>
          <w:szCs w:val="21"/>
        </w:rPr>
      </w:pPr>
    </w:p>
    <w:p w14:paraId="259336DF">
      <w:pPr>
        <w:pStyle w:val="11"/>
        <w:rPr>
          <w:color w:val="auto"/>
          <w:sz w:val="21"/>
          <w:szCs w:val="21"/>
        </w:rPr>
      </w:pPr>
    </w:p>
    <w:p w14:paraId="1BACDA3D">
      <w:pPr>
        <w:rPr>
          <w:rFonts w:ascii="宋体" w:hAnsi="宋体"/>
          <w:color w:val="auto"/>
          <w:szCs w:val="21"/>
        </w:rPr>
      </w:pPr>
    </w:p>
    <w:p w14:paraId="513D05BD">
      <w:pPr>
        <w:pStyle w:val="11"/>
        <w:rPr>
          <w:color w:val="auto"/>
          <w:sz w:val="21"/>
          <w:szCs w:val="21"/>
        </w:rPr>
      </w:pPr>
    </w:p>
    <w:p w14:paraId="2D120A9D">
      <w:pPr>
        <w:rPr>
          <w:rFonts w:ascii="宋体" w:hAnsi="宋体"/>
          <w:color w:val="auto"/>
          <w:szCs w:val="21"/>
        </w:rPr>
      </w:pPr>
    </w:p>
    <w:p w14:paraId="282DF28B">
      <w:pPr>
        <w:pStyle w:val="11"/>
        <w:rPr>
          <w:color w:val="auto"/>
          <w:sz w:val="21"/>
          <w:szCs w:val="21"/>
        </w:rPr>
      </w:pPr>
    </w:p>
    <w:p w14:paraId="05BE793E">
      <w:pPr>
        <w:rPr>
          <w:rFonts w:ascii="宋体" w:hAnsi="宋体"/>
          <w:color w:val="auto"/>
          <w:szCs w:val="21"/>
        </w:rPr>
      </w:pPr>
    </w:p>
    <w:p w14:paraId="773E0295">
      <w:pPr>
        <w:pStyle w:val="11"/>
        <w:rPr>
          <w:color w:val="auto"/>
          <w:sz w:val="21"/>
          <w:szCs w:val="21"/>
        </w:rPr>
      </w:pPr>
    </w:p>
    <w:p w14:paraId="20F5FDC6">
      <w:pPr>
        <w:rPr>
          <w:rFonts w:ascii="宋体" w:hAnsi="宋体"/>
          <w:color w:val="auto"/>
          <w:szCs w:val="21"/>
        </w:rPr>
      </w:pPr>
    </w:p>
    <w:p w14:paraId="18156149">
      <w:pPr>
        <w:pStyle w:val="11"/>
        <w:rPr>
          <w:color w:val="auto"/>
          <w:sz w:val="21"/>
          <w:szCs w:val="21"/>
        </w:rPr>
      </w:pPr>
    </w:p>
    <w:p w14:paraId="0741E485">
      <w:pPr>
        <w:rPr>
          <w:rFonts w:ascii="宋体" w:hAnsi="宋体"/>
          <w:color w:val="auto"/>
          <w:szCs w:val="21"/>
        </w:rPr>
      </w:pPr>
    </w:p>
    <w:p w14:paraId="05E8823C">
      <w:pPr>
        <w:pStyle w:val="11"/>
        <w:rPr>
          <w:color w:val="auto"/>
          <w:sz w:val="21"/>
          <w:szCs w:val="21"/>
        </w:rPr>
      </w:pPr>
    </w:p>
    <w:p w14:paraId="43D8E8F3">
      <w:pPr>
        <w:rPr>
          <w:rFonts w:ascii="宋体" w:hAnsi="宋体"/>
          <w:color w:val="auto"/>
          <w:szCs w:val="21"/>
        </w:rPr>
      </w:pPr>
    </w:p>
    <w:p w14:paraId="736D921C">
      <w:pPr>
        <w:pStyle w:val="11"/>
        <w:rPr>
          <w:color w:val="auto"/>
          <w:sz w:val="21"/>
          <w:szCs w:val="21"/>
        </w:rPr>
      </w:pPr>
    </w:p>
    <w:p w14:paraId="4D8B2239">
      <w:pPr>
        <w:rPr>
          <w:color w:val="auto"/>
        </w:rPr>
      </w:pPr>
    </w:p>
    <w:p w14:paraId="6DACCDD4">
      <w:pPr>
        <w:pStyle w:val="5"/>
        <w:widowControl w:val="0"/>
        <w:overflowPunct w:val="0"/>
        <w:spacing w:line="240" w:lineRule="auto"/>
        <w:rPr>
          <w:rFonts w:ascii="宋体" w:hAnsi="宋体"/>
          <w:color w:val="auto"/>
          <w:sz w:val="21"/>
          <w:szCs w:val="21"/>
        </w:rPr>
      </w:pPr>
      <w:bookmarkStart w:id="406" w:name="_Toc15294"/>
      <w:bookmarkStart w:id="407" w:name="_Toc12922"/>
      <w:bookmarkStart w:id="408" w:name="_Toc8279"/>
      <w:bookmarkStart w:id="409" w:name="_Toc17024"/>
      <w:bookmarkStart w:id="410" w:name="_Toc14972"/>
      <w:r>
        <w:rPr>
          <w:rFonts w:hint="eastAsia" w:ascii="宋体" w:hAnsi="宋体"/>
          <w:color w:val="auto"/>
          <w:sz w:val="21"/>
          <w:szCs w:val="21"/>
        </w:rPr>
        <w:t>附件13.商务需求条款偏离表格式</w:t>
      </w:r>
      <w:bookmarkEnd w:id="406"/>
      <w:bookmarkEnd w:id="407"/>
      <w:bookmarkEnd w:id="408"/>
      <w:bookmarkEnd w:id="409"/>
      <w:bookmarkEnd w:id="410"/>
    </w:p>
    <w:p w14:paraId="19613827">
      <w:pPr>
        <w:jc w:val="center"/>
        <w:rPr>
          <w:rFonts w:ascii="兰米黑体" w:eastAsia="兰米黑体"/>
          <w:color w:val="auto"/>
          <w:sz w:val="28"/>
          <w:szCs w:val="28"/>
        </w:rPr>
      </w:pPr>
    </w:p>
    <w:p w14:paraId="41B3E6A4">
      <w:pPr>
        <w:jc w:val="center"/>
        <w:rPr>
          <w:rFonts w:ascii="兰米黑体" w:eastAsia="兰米黑体"/>
          <w:color w:val="auto"/>
          <w:sz w:val="28"/>
          <w:szCs w:val="28"/>
        </w:rPr>
      </w:pPr>
      <w:r>
        <w:rPr>
          <w:rFonts w:hint="eastAsia" w:ascii="兰米黑体" w:eastAsia="兰米黑体"/>
          <w:color w:val="auto"/>
          <w:sz w:val="28"/>
          <w:szCs w:val="28"/>
        </w:rPr>
        <w:t>商务需求条款偏离表</w:t>
      </w:r>
    </w:p>
    <w:tbl>
      <w:tblPr>
        <w:tblStyle w:val="32"/>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14:paraId="3AEA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14:paraId="2DA3FD71">
            <w:pPr>
              <w:jc w:val="center"/>
              <w:rPr>
                <w:rFonts w:ascii="宋体" w:hAnsi="宋体"/>
                <w:color w:val="auto"/>
                <w:szCs w:val="21"/>
              </w:rPr>
            </w:pPr>
            <w:r>
              <w:rPr>
                <w:rFonts w:hint="eastAsia" w:ascii="宋体" w:hAnsi="宋体"/>
                <w:color w:val="auto"/>
                <w:szCs w:val="21"/>
              </w:rPr>
              <w:t>序号</w:t>
            </w:r>
          </w:p>
        </w:tc>
        <w:tc>
          <w:tcPr>
            <w:tcW w:w="1620" w:type="dxa"/>
            <w:vAlign w:val="center"/>
          </w:tcPr>
          <w:p w14:paraId="073EA60E">
            <w:pPr>
              <w:jc w:val="center"/>
              <w:rPr>
                <w:rFonts w:ascii="宋体" w:hAnsi="宋体"/>
                <w:color w:val="auto"/>
                <w:szCs w:val="21"/>
              </w:rPr>
            </w:pPr>
            <w:r>
              <w:rPr>
                <w:rFonts w:hint="eastAsia" w:ascii="宋体" w:hAnsi="宋体"/>
                <w:color w:val="auto"/>
                <w:szCs w:val="21"/>
              </w:rPr>
              <w:t>服务项目名称</w:t>
            </w:r>
          </w:p>
        </w:tc>
        <w:tc>
          <w:tcPr>
            <w:tcW w:w="1360" w:type="dxa"/>
            <w:vAlign w:val="center"/>
          </w:tcPr>
          <w:p w14:paraId="09751DF0">
            <w:pPr>
              <w:jc w:val="center"/>
              <w:rPr>
                <w:rFonts w:ascii="宋体" w:hAnsi="宋体"/>
                <w:color w:val="auto"/>
                <w:szCs w:val="21"/>
              </w:rPr>
            </w:pPr>
            <w:r>
              <w:rPr>
                <w:rFonts w:hint="eastAsia" w:ascii="宋体" w:hAnsi="宋体"/>
                <w:color w:val="auto"/>
                <w:szCs w:val="21"/>
              </w:rPr>
              <w:t>采购要求</w:t>
            </w:r>
          </w:p>
        </w:tc>
        <w:tc>
          <w:tcPr>
            <w:tcW w:w="1587" w:type="dxa"/>
            <w:vAlign w:val="center"/>
          </w:tcPr>
          <w:p w14:paraId="6D0A322A">
            <w:pPr>
              <w:jc w:val="center"/>
              <w:rPr>
                <w:rFonts w:ascii="宋体" w:hAnsi="宋体"/>
                <w:color w:val="auto"/>
                <w:szCs w:val="21"/>
              </w:rPr>
            </w:pPr>
            <w:r>
              <w:rPr>
                <w:rFonts w:hint="eastAsia" w:ascii="宋体" w:hAnsi="宋体"/>
                <w:color w:val="auto"/>
                <w:szCs w:val="21"/>
              </w:rPr>
              <w:t>投标实际响应</w:t>
            </w:r>
          </w:p>
        </w:tc>
        <w:tc>
          <w:tcPr>
            <w:tcW w:w="1133" w:type="dxa"/>
            <w:vAlign w:val="center"/>
          </w:tcPr>
          <w:p w14:paraId="3B335504">
            <w:pPr>
              <w:jc w:val="center"/>
              <w:rPr>
                <w:rFonts w:ascii="宋体" w:hAnsi="宋体"/>
                <w:color w:val="auto"/>
                <w:szCs w:val="21"/>
              </w:rPr>
            </w:pPr>
            <w:r>
              <w:rPr>
                <w:rFonts w:hint="eastAsia" w:ascii="宋体" w:hAnsi="宋体"/>
                <w:color w:val="auto"/>
                <w:szCs w:val="21"/>
              </w:rPr>
              <w:t>是否偏离</w:t>
            </w:r>
          </w:p>
        </w:tc>
        <w:tc>
          <w:tcPr>
            <w:tcW w:w="1730" w:type="dxa"/>
            <w:vAlign w:val="center"/>
          </w:tcPr>
          <w:p w14:paraId="3B5159B0">
            <w:pPr>
              <w:jc w:val="center"/>
              <w:rPr>
                <w:rFonts w:ascii="宋体" w:hAnsi="宋体"/>
                <w:color w:val="auto"/>
                <w:szCs w:val="21"/>
              </w:rPr>
            </w:pPr>
            <w:r>
              <w:rPr>
                <w:rFonts w:hint="eastAsia" w:ascii="宋体" w:hAnsi="宋体"/>
                <w:color w:val="auto"/>
                <w:szCs w:val="21"/>
              </w:rPr>
              <w:t>说明</w:t>
            </w:r>
          </w:p>
        </w:tc>
      </w:tr>
      <w:tr w14:paraId="1BD0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2ADE2E3">
            <w:pPr>
              <w:jc w:val="center"/>
              <w:rPr>
                <w:rFonts w:ascii="宋体" w:hAnsi="宋体"/>
                <w:color w:val="auto"/>
                <w:szCs w:val="21"/>
              </w:rPr>
            </w:pPr>
          </w:p>
        </w:tc>
        <w:tc>
          <w:tcPr>
            <w:tcW w:w="1620" w:type="dxa"/>
            <w:vAlign w:val="center"/>
          </w:tcPr>
          <w:p w14:paraId="73E607A9">
            <w:pPr>
              <w:jc w:val="center"/>
              <w:rPr>
                <w:rFonts w:ascii="宋体" w:hAnsi="宋体"/>
                <w:color w:val="auto"/>
                <w:szCs w:val="21"/>
              </w:rPr>
            </w:pPr>
          </w:p>
        </w:tc>
        <w:tc>
          <w:tcPr>
            <w:tcW w:w="1360" w:type="dxa"/>
            <w:vAlign w:val="center"/>
          </w:tcPr>
          <w:p w14:paraId="5AC0DF7F">
            <w:pPr>
              <w:jc w:val="center"/>
              <w:rPr>
                <w:rFonts w:ascii="宋体" w:hAnsi="宋体"/>
                <w:color w:val="auto"/>
                <w:szCs w:val="21"/>
              </w:rPr>
            </w:pPr>
          </w:p>
        </w:tc>
        <w:tc>
          <w:tcPr>
            <w:tcW w:w="1587" w:type="dxa"/>
            <w:vAlign w:val="center"/>
          </w:tcPr>
          <w:p w14:paraId="344AE3C7">
            <w:pPr>
              <w:jc w:val="center"/>
              <w:rPr>
                <w:rFonts w:ascii="宋体" w:hAnsi="宋体"/>
                <w:color w:val="auto"/>
                <w:szCs w:val="21"/>
              </w:rPr>
            </w:pPr>
          </w:p>
        </w:tc>
        <w:tc>
          <w:tcPr>
            <w:tcW w:w="1133" w:type="dxa"/>
            <w:vAlign w:val="center"/>
          </w:tcPr>
          <w:p w14:paraId="38111E90">
            <w:pPr>
              <w:jc w:val="center"/>
              <w:rPr>
                <w:rFonts w:ascii="宋体" w:hAnsi="宋体"/>
                <w:color w:val="auto"/>
                <w:szCs w:val="21"/>
              </w:rPr>
            </w:pPr>
          </w:p>
        </w:tc>
        <w:tc>
          <w:tcPr>
            <w:tcW w:w="1730" w:type="dxa"/>
            <w:vAlign w:val="center"/>
          </w:tcPr>
          <w:p w14:paraId="03CE48EB">
            <w:pPr>
              <w:jc w:val="center"/>
              <w:rPr>
                <w:rFonts w:ascii="宋体" w:hAnsi="宋体"/>
                <w:color w:val="auto"/>
                <w:szCs w:val="21"/>
              </w:rPr>
            </w:pPr>
          </w:p>
        </w:tc>
      </w:tr>
      <w:tr w14:paraId="1DEEF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5CC5EE6">
            <w:pPr>
              <w:jc w:val="center"/>
              <w:rPr>
                <w:rFonts w:ascii="宋体" w:hAnsi="宋体"/>
                <w:color w:val="auto"/>
                <w:szCs w:val="21"/>
              </w:rPr>
            </w:pPr>
          </w:p>
        </w:tc>
        <w:tc>
          <w:tcPr>
            <w:tcW w:w="1620" w:type="dxa"/>
            <w:vAlign w:val="center"/>
          </w:tcPr>
          <w:p w14:paraId="5C6159F2">
            <w:pPr>
              <w:jc w:val="center"/>
              <w:rPr>
                <w:rFonts w:ascii="宋体" w:hAnsi="宋体"/>
                <w:color w:val="auto"/>
                <w:szCs w:val="21"/>
              </w:rPr>
            </w:pPr>
          </w:p>
        </w:tc>
        <w:tc>
          <w:tcPr>
            <w:tcW w:w="1360" w:type="dxa"/>
            <w:vAlign w:val="center"/>
          </w:tcPr>
          <w:p w14:paraId="1DC48231">
            <w:pPr>
              <w:jc w:val="center"/>
              <w:rPr>
                <w:rFonts w:ascii="宋体" w:hAnsi="宋体"/>
                <w:color w:val="auto"/>
                <w:szCs w:val="21"/>
              </w:rPr>
            </w:pPr>
          </w:p>
        </w:tc>
        <w:tc>
          <w:tcPr>
            <w:tcW w:w="1587" w:type="dxa"/>
            <w:vAlign w:val="center"/>
          </w:tcPr>
          <w:p w14:paraId="16C34D26">
            <w:pPr>
              <w:jc w:val="center"/>
              <w:rPr>
                <w:rFonts w:ascii="宋体" w:hAnsi="宋体"/>
                <w:color w:val="auto"/>
                <w:szCs w:val="21"/>
              </w:rPr>
            </w:pPr>
          </w:p>
        </w:tc>
        <w:tc>
          <w:tcPr>
            <w:tcW w:w="1133" w:type="dxa"/>
            <w:vAlign w:val="center"/>
          </w:tcPr>
          <w:p w14:paraId="5D7358E2">
            <w:pPr>
              <w:jc w:val="center"/>
              <w:rPr>
                <w:rFonts w:ascii="宋体" w:hAnsi="宋体"/>
                <w:color w:val="auto"/>
                <w:szCs w:val="21"/>
              </w:rPr>
            </w:pPr>
          </w:p>
        </w:tc>
        <w:tc>
          <w:tcPr>
            <w:tcW w:w="1730" w:type="dxa"/>
            <w:vAlign w:val="center"/>
          </w:tcPr>
          <w:p w14:paraId="2D25CB24">
            <w:pPr>
              <w:jc w:val="center"/>
              <w:rPr>
                <w:rFonts w:ascii="宋体" w:hAnsi="宋体"/>
                <w:color w:val="auto"/>
                <w:szCs w:val="21"/>
              </w:rPr>
            </w:pPr>
          </w:p>
        </w:tc>
      </w:tr>
      <w:tr w14:paraId="0B55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2F7C468">
            <w:pPr>
              <w:jc w:val="center"/>
              <w:rPr>
                <w:rFonts w:ascii="宋体" w:hAnsi="宋体"/>
                <w:color w:val="auto"/>
                <w:szCs w:val="21"/>
              </w:rPr>
            </w:pPr>
          </w:p>
        </w:tc>
        <w:tc>
          <w:tcPr>
            <w:tcW w:w="1620" w:type="dxa"/>
            <w:vAlign w:val="center"/>
          </w:tcPr>
          <w:p w14:paraId="2636ACEA">
            <w:pPr>
              <w:jc w:val="center"/>
              <w:rPr>
                <w:rFonts w:ascii="宋体" w:hAnsi="宋体"/>
                <w:color w:val="auto"/>
                <w:szCs w:val="21"/>
              </w:rPr>
            </w:pPr>
          </w:p>
        </w:tc>
        <w:tc>
          <w:tcPr>
            <w:tcW w:w="1360" w:type="dxa"/>
            <w:vAlign w:val="center"/>
          </w:tcPr>
          <w:p w14:paraId="1A944C7A">
            <w:pPr>
              <w:jc w:val="center"/>
              <w:rPr>
                <w:rFonts w:ascii="宋体" w:hAnsi="宋体"/>
                <w:color w:val="auto"/>
                <w:szCs w:val="21"/>
              </w:rPr>
            </w:pPr>
          </w:p>
        </w:tc>
        <w:tc>
          <w:tcPr>
            <w:tcW w:w="1587" w:type="dxa"/>
            <w:vAlign w:val="center"/>
          </w:tcPr>
          <w:p w14:paraId="46469207">
            <w:pPr>
              <w:jc w:val="center"/>
              <w:rPr>
                <w:rFonts w:ascii="宋体" w:hAnsi="宋体"/>
                <w:color w:val="auto"/>
                <w:szCs w:val="21"/>
              </w:rPr>
            </w:pPr>
          </w:p>
        </w:tc>
        <w:tc>
          <w:tcPr>
            <w:tcW w:w="1133" w:type="dxa"/>
            <w:vAlign w:val="center"/>
          </w:tcPr>
          <w:p w14:paraId="1C5CE8BE">
            <w:pPr>
              <w:jc w:val="center"/>
              <w:rPr>
                <w:rFonts w:ascii="宋体" w:hAnsi="宋体"/>
                <w:color w:val="auto"/>
                <w:szCs w:val="21"/>
              </w:rPr>
            </w:pPr>
          </w:p>
        </w:tc>
        <w:tc>
          <w:tcPr>
            <w:tcW w:w="1730" w:type="dxa"/>
            <w:vAlign w:val="center"/>
          </w:tcPr>
          <w:p w14:paraId="33597E77">
            <w:pPr>
              <w:jc w:val="center"/>
              <w:rPr>
                <w:rFonts w:ascii="宋体" w:hAnsi="宋体"/>
                <w:color w:val="auto"/>
                <w:szCs w:val="21"/>
              </w:rPr>
            </w:pPr>
          </w:p>
        </w:tc>
      </w:tr>
      <w:tr w14:paraId="5C5C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82888D4">
            <w:pPr>
              <w:jc w:val="center"/>
              <w:rPr>
                <w:rFonts w:ascii="宋体" w:hAnsi="宋体"/>
                <w:color w:val="auto"/>
                <w:szCs w:val="21"/>
              </w:rPr>
            </w:pPr>
          </w:p>
        </w:tc>
        <w:tc>
          <w:tcPr>
            <w:tcW w:w="1620" w:type="dxa"/>
            <w:vAlign w:val="center"/>
          </w:tcPr>
          <w:p w14:paraId="76162D11">
            <w:pPr>
              <w:jc w:val="center"/>
              <w:rPr>
                <w:rFonts w:ascii="宋体" w:hAnsi="宋体"/>
                <w:color w:val="auto"/>
                <w:szCs w:val="21"/>
              </w:rPr>
            </w:pPr>
          </w:p>
        </w:tc>
        <w:tc>
          <w:tcPr>
            <w:tcW w:w="1360" w:type="dxa"/>
            <w:vAlign w:val="center"/>
          </w:tcPr>
          <w:p w14:paraId="4BCBCF46">
            <w:pPr>
              <w:jc w:val="center"/>
              <w:rPr>
                <w:rFonts w:ascii="宋体" w:hAnsi="宋体"/>
                <w:color w:val="auto"/>
                <w:szCs w:val="21"/>
              </w:rPr>
            </w:pPr>
          </w:p>
        </w:tc>
        <w:tc>
          <w:tcPr>
            <w:tcW w:w="1587" w:type="dxa"/>
            <w:vAlign w:val="center"/>
          </w:tcPr>
          <w:p w14:paraId="64DB920F">
            <w:pPr>
              <w:jc w:val="center"/>
              <w:rPr>
                <w:rFonts w:ascii="宋体" w:hAnsi="宋体"/>
                <w:color w:val="auto"/>
                <w:szCs w:val="21"/>
              </w:rPr>
            </w:pPr>
          </w:p>
        </w:tc>
        <w:tc>
          <w:tcPr>
            <w:tcW w:w="1133" w:type="dxa"/>
            <w:vAlign w:val="center"/>
          </w:tcPr>
          <w:p w14:paraId="567F3D4A">
            <w:pPr>
              <w:jc w:val="center"/>
              <w:rPr>
                <w:rFonts w:ascii="宋体" w:hAnsi="宋体"/>
                <w:color w:val="auto"/>
                <w:szCs w:val="21"/>
              </w:rPr>
            </w:pPr>
          </w:p>
        </w:tc>
        <w:tc>
          <w:tcPr>
            <w:tcW w:w="1730" w:type="dxa"/>
            <w:vAlign w:val="center"/>
          </w:tcPr>
          <w:p w14:paraId="6A5F12AD">
            <w:pPr>
              <w:jc w:val="center"/>
              <w:rPr>
                <w:rFonts w:ascii="宋体" w:hAnsi="宋体"/>
                <w:color w:val="auto"/>
                <w:szCs w:val="21"/>
              </w:rPr>
            </w:pPr>
          </w:p>
        </w:tc>
      </w:tr>
      <w:tr w14:paraId="77C2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0A97267">
            <w:pPr>
              <w:jc w:val="center"/>
              <w:rPr>
                <w:rFonts w:ascii="宋体" w:hAnsi="宋体"/>
                <w:color w:val="auto"/>
                <w:szCs w:val="21"/>
              </w:rPr>
            </w:pPr>
          </w:p>
        </w:tc>
        <w:tc>
          <w:tcPr>
            <w:tcW w:w="1620" w:type="dxa"/>
            <w:vAlign w:val="center"/>
          </w:tcPr>
          <w:p w14:paraId="5F96D127">
            <w:pPr>
              <w:jc w:val="center"/>
              <w:rPr>
                <w:rFonts w:ascii="宋体" w:hAnsi="宋体"/>
                <w:color w:val="auto"/>
                <w:szCs w:val="21"/>
              </w:rPr>
            </w:pPr>
          </w:p>
        </w:tc>
        <w:tc>
          <w:tcPr>
            <w:tcW w:w="1360" w:type="dxa"/>
            <w:vAlign w:val="center"/>
          </w:tcPr>
          <w:p w14:paraId="37E2A90C">
            <w:pPr>
              <w:jc w:val="center"/>
              <w:rPr>
                <w:rFonts w:ascii="宋体" w:hAnsi="宋体"/>
                <w:color w:val="auto"/>
                <w:szCs w:val="21"/>
              </w:rPr>
            </w:pPr>
          </w:p>
        </w:tc>
        <w:tc>
          <w:tcPr>
            <w:tcW w:w="1587" w:type="dxa"/>
            <w:vAlign w:val="center"/>
          </w:tcPr>
          <w:p w14:paraId="0D7C1012">
            <w:pPr>
              <w:jc w:val="center"/>
              <w:rPr>
                <w:rFonts w:ascii="宋体" w:hAnsi="宋体"/>
                <w:color w:val="auto"/>
                <w:szCs w:val="21"/>
              </w:rPr>
            </w:pPr>
          </w:p>
        </w:tc>
        <w:tc>
          <w:tcPr>
            <w:tcW w:w="1133" w:type="dxa"/>
            <w:vAlign w:val="center"/>
          </w:tcPr>
          <w:p w14:paraId="6B814CCA">
            <w:pPr>
              <w:jc w:val="center"/>
              <w:rPr>
                <w:rFonts w:ascii="宋体" w:hAnsi="宋体"/>
                <w:color w:val="auto"/>
                <w:szCs w:val="21"/>
              </w:rPr>
            </w:pPr>
          </w:p>
        </w:tc>
        <w:tc>
          <w:tcPr>
            <w:tcW w:w="1730" w:type="dxa"/>
            <w:vAlign w:val="center"/>
          </w:tcPr>
          <w:p w14:paraId="5A6BE1CF">
            <w:pPr>
              <w:jc w:val="center"/>
              <w:rPr>
                <w:rFonts w:ascii="宋体" w:hAnsi="宋体"/>
                <w:color w:val="auto"/>
                <w:szCs w:val="21"/>
              </w:rPr>
            </w:pPr>
          </w:p>
        </w:tc>
      </w:tr>
      <w:tr w14:paraId="5159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1D76711">
            <w:pPr>
              <w:jc w:val="center"/>
              <w:rPr>
                <w:rFonts w:ascii="宋体" w:hAnsi="宋体"/>
                <w:color w:val="auto"/>
                <w:szCs w:val="21"/>
              </w:rPr>
            </w:pPr>
          </w:p>
        </w:tc>
        <w:tc>
          <w:tcPr>
            <w:tcW w:w="1620" w:type="dxa"/>
            <w:vAlign w:val="center"/>
          </w:tcPr>
          <w:p w14:paraId="3F999812">
            <w:pPr>
              <w:jc w:val="center"/>
              <w:rPr>
                <w:rFonts w:ascii="宋体" w:hAnsi="宋体"/>
                <w:color w:val="auto"/>
                <w:szCs w:val="21"/>
              </w:rPr>
            </w:pPr>
          </w:p>
        </w:tc>
        <w:tc>
          <w:tcPr>
            <w:tcW w:w="1360" w:type="dxa"/>
            <w:vAlign w:val="center"/>
          </w:tcPr>
          <w:p w14:paraId="026BBA6B">
            <w:pPr>
              <w:jc w:val="center"/>
              <w:rPr>
                <w:rFonts w:ascii="宋体" w:hAnsi="宋体"/>
                <w:color w:val="auto"/>
                <w:szCs w:val="21"/>
              </w:rPr>
            </w:pPr>
          </w:p>
        </w:tc>
        <w:tc>
          <w:tcPr>
            <w:tcW w:w="1587" w:type="dxa"/>
            <w:vAlign w:val="center"/>
          </w:tcPr>
          <w:p w14:paraId="79DB571C">
            <w:pPr>
              <w:jc w:val="center"/>
              <w:rPr>
                <w:rFonts w:ascii="宋体" w:hAnsi="宋体"/>
                <w:color w:val="auto"/>
                <w:szCs w:val="21"/>
              </w:rPr>
            </w:pPr>
          </w:p>
        </w:tc>
        <w:tc>
          <w:tcPr>
            <w:tcW w:w="1133" w:type="dxa"/>
            <w:vAlign w:val="center"/>
          </w:tcPr>
          <w:p w14:paraId="6EA9CEDF">
            <w:pPr>
              <w:jc w:val="center"/>
              <w:rPr>
                <w:rFonts w:ascii="宋体" w:hAnsi="宋体"/>
                <w:color w:val="auto"/>
                <w:szCs w:val="21"/>
              </w:rPr>
            </w:pPr>
          </w:p>
        </w:tc>
        <w:tc>
          <w:tcPr>
            <w:tcW w:w="1730" w:type="dxa"/>
            <w:vAlign w:val="center"/>
          </w:tcPr>
          <w:p w14:paraId="037241F8">
            <w:pPr>
              <w:jc w:val="center"/>
              <w:rPr>
                <w:rFonts w:ascii="宋体" w:hAnsi="宋体"/>
                <w:color w:val="auto"/>
                <w:szCs w:val="21"/>
              </w:rPr>
            </w:pPr>
          </w:p>
        </w:tc>
      </w:tr>
      <w:tr w14:paraId="1A5C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E7B5ED5">
            <w:pPr>
              <w:jc w:val="center"/>
              <w:rPr>
                <w:rFonts w:ascii="宋体" w:hAnsi="宋体"/>
                <w:color w:val="auto"/>
                <w:szCs w:val="21"/>
              </w:rPr>
            </w:pPr>
          </w:p>
        </w:tc>
        <w:tc>
          <w:tcPr>
            <w:tcW w:w="1620" w:type="dxa"/>
            <w:vAlign w:val="center"/>
          </w:tcPr>
          <w:p w14:paraId="0DF20599">
            <w:pPr>
              <w:jc w:val="center"/>
              <w:rPr>
                <w:rFonts w:ascii="宋体" w:hAnsi="宋体"/>
                <w:color w:val="auto"/>
                <w:szCs w:val="21"/>
              </w:rPr>
            </w:pPr>
          </w:p>
        </w:tc>
        <w:tc>
          <w:tcPr>
            <w:tcW w:w="1360" w:type="dxa"/>
            <w:vAlign w:val="center"/>
          </w:tcPr>
          <w:p w14:paraId="18CD6792">
            <w:pPr>
              <w:jc w:val="center"/>
              <w:rPr>
                <w:rFonts w:ascii="宋体" w:hAnsi="宋体"/>
                <w:color w:val="auto"/>
                <w:szCs w:val="21"/>
              </w:rPr>
            </w:pPr>
          </w:p>
        </w:tc>
        <w:tc>
          <w:tcPr>
            <w:tcW w:w="1587" w:type="dxa"/>
            <w:vAlign w:val="center"/>
          </w:tcPr>
          <w:p w14:paraId="1B0B0D3B">
            <w:pPr>
              <w:jc w:val="center"/>
              <w:rPr>
                <w:rFonts w:ascii="宋体" w:hAnsi="宋体"/>
                <w:color w:val="auto"/>
                <w:szCs w:val="21"/>
              </w:rPr>
            </w:pPr>
          </w:p>
        </w:tc>
        <w:tc>
          <w:tcPr>
            <w:tcW w:w="1133" w:type="dxa"/>
            <w:vAlign w:val="center"/>
          </w:tcPr>
          <w:p w14:paraId="120744F6">
            <w:pPr>
              <w:jc w:val="center"/>
              <w:rPr>
                <w:rFonts w:ascii="宋体" w:hAnsi="宋体"/>
                <w:color w:val="auto"/>
                <w:szCs w:val="21"/>
              </w:rPr>
            </w:pPr>
          </w:p>
        </w:tc>
        <w:tc>
          <w:tcPr>
            <w:tcW w:w="1730" w:type="dxa"/>
            <w:vAlign w:val="center"/>
          </w:tcPr>
          <w:p w14:paraId="3BED5182">
            <w:pPr>
              <w:jc w:val="center"/>
              <w:rPr>
                <w:rFonts w:ascii="宋体" w:hAnsi="宋体"/>
                <w:color w:val="auto"/>
                <w:szCs w:val="21"/>
              </w:rPr>
            </w:pPr>
          </w:p>
        </w:tc>
      </w:tr>
      <w:tr w14:paraId="06B2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096F9FD">
            <w:pPr>
              <w:jc w:val="center"/>
              <w:rPr>
                <w:rFonts w:ascii="宋体" w:hAnsi="宋体"/>
                <w:color w:val="auto"/>
                <w:szCs w:val="21"/>
              </w:rPr>
            </w:pPr>
          </w:p>
        </w:tc>
        <w:tc>
          <w:tcPr>
            <w:tcW w:w="1620" w:type="dxa"/>
            <w:vAlign w:val="center"/>
          </w:tcPr>
          <w:p w14:paraId="6B014616">
            <w:pPr>
              <w:jc w:val="center"/>
              <w:rPr>
                <w:rFonts w:ascii="宋体" w:hAnsi="宋体"/>
                <w:color w:val="auto"/>
                <w:szCs w:val="21"/>
              </w:rPr>
            </w:pPr>
          </w:p>
        </w:tc>
        <w:tc>
          <w:tcPr>
            <w:tcW w:w="1360" w:type="dxa"/>
            <w:vAlign w:val="center"/>
          </w:tcPr>
          <w:p w14:paraId="2AEA987A">
            <w:pPr>
              <w:jc w:val="center"/>
              <w:rPr>
                <w:rFonts w:ascii="宋体" w:hAnsi="宋体"/>
                <w:color w:val="auto"/>
                <w:szCs w:val="21"/>
              </w:rPr>
            </w:pPr>
          </w:p>
        </w:tc>
        <w:tc>
          <w:tcPr>
            <w:tcW w:w="1587" w:type="dxa"/>
            <w:vAlign w:val="center"/>
          </w:tcPr>
          <w:p w14:paraId="04E85C1D">
            <w:pPr>
              <w:jc w:val="center"/>
              <w:rPr>
                <w:rFonts w:ascii="宋体" w:hAnsi="宋体"/>
                <w:color w:val="auto"/>
                <w:szCs w:val="21"/>
              </w:rPr>
            </w:pPr>
          </w:p>
        </w:tc>
        <w:tc>
          <w:tcPr>
            <w:tcW w:w="1133" w:type="dxa"/>
            <w:vAlign w:val="center"/>
          </w:tcPr>
          <w:p w14:paraId="61226534">
            <w:pPr>
              <w:jc w:val="center"/>
              <w:rPr>
                <w:rFonts w:ascii="宋体" w:hAnsi="宋体"/>
                <w:color w:val="auto"/>
                <w:szCs w:val="21"/>
              </w:rPr>
            </w:pPr>
          </w:p>
        </w:tc>
        <w:tc>
          <w:tcPr>
            <w:tcW w:w="1730" w:type="dxa"/>
            <w:vAlign w:val="center"/>
          </w:tcPr>
          <w:p w14:paraId="7F915D38">
            <w:pPr>
              <w:jc w:val="center"/>
              <w:rPr>
                <w:rFonts w:ascii="宋体" w:hAnsi="宋体"/>
                <w:color w:val="auto"/>
                <w:szCs w:val="21"/>
              </w:rPr>
            </w:pPr>
          </w:p>
        </w:tc>
      </w:tr>
      <w:tr w14:paraId="437F6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C4248E9">
            <w:pPr>
              <w:jc w:val="center"/>
              <w:rPr>
                <w:rFonts w:ascii="宋体" w:hAnsi="宋体"/>
                <w:color w:val="auto"/>
                <w:szCs w:val="21"/>
              </w:rPr>
            </w:pPr>
          </w:p>
        </w:tc>
        <w:tc>
          <w:tcPr>
            <w:tcW w:w="1620" w:type="dxa"/>
            <w:vAlign w:val="center"/>
          </w:tcPr>
          <w:p w14:paraId="15F41446">
            <w:pPr>
              <w:jc w:val="center"/>
              <w:rPr>
                <w:rFonts w:ascii="宋体" w:hAnsi="宋体"/>
                <w:color w:val="auto"/>
                <w:szCs w:val="21"/>
              </w:rPr>
            </w:pPr>
          </w:p>
        </w:tc>
        <w:tc>
          <w:tcPr>
            <w:tcW w:w="1360" w:type="dxa"/>
            <w:vAlign w:val="center"/>
          </w:tcPr>
          <w:p w14:paraId="4FBA7E32">
            <w:pPr>
              <w:jc w:val="center"/>
              <w:rPr>
                <w:rFonts w:ascii="宋体" w:hAnsi="宋体"/>
                <w:color w:val="auto"/>
                <w:szCs w:val="21"/>
              </w:rPr>
            </w:pPr>
          </w:p>
        </w:tc>
        <w:tc>
          <w:tcPr>
            <w:tcW w:w="1587" w:type="dxa"/>
            <w:vAlign w:val="center"/>
          </w:tcPr>
          <w:p w14:paraId="408829EB">
            <w:pPr>
              <w:jc w:val="center"/>
              <w:rPr>
                <w:rFonts w:ascii="宋体" w:hAnsi="宋体"/>
                <w:color w:val="auto"/>
                <w:szCs w:val="21"/>
              </w:rPr>
            </w:pPr>
          </w:p>
        </w:tc>
        <w:tc>
          <w:tcPr>
            <w:tcW w:w="1133" w:type="dxa"/>
            <w:vAlign w:val="center"/>
          </w:tcPr>
          <w:p w14:paraId="42BCE979">
            <w:pPr>
              <w:jc w:val="center"/>
              <w:rPr>
                <w:rFonts w:ascii="宋体" w:hAnsi="宋体"/>
                <w:color w:val="auto"/>
                <w:szCs w:val="21"/>
              </w:rPr>
            </w:pPr>
          </w:p>
        </w:tc>
        <w:tc>
          <w:tcPr>
            <w:tcW w:w="1730" w:type="dxa"/>
            <w:vAlign w:val="center"/>
          </w:tcPr>
          <w:p w14:paraId="64559D46">
            <w:pPr>
              <w:jc w:val="center"/>
              <w:rPr>
                <w:rFonts w:ascii="宋体" w:hAnsi="宋体"/>
                <w:color w:val="auto"/>
                <w:szCs w:val="21"/>
              </w:rPr>
            </w:pPr>
          </w:p>
        </w:tc>
      </w:tr>
      <w:tr w14:paraId="6974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A0CF830">
            <w:pPr>
              <w:jc w:val="center"/>
              <w:rPr>
                <w:rFonts w:ascii="宋体" w:hAnsi="宋体"/>
                <w:color w:val="auto"/>
                <w:szCs w:val="21"/>
              </w:rPr>
            </w:pPr>
          </w:p>
        </w:tc>
        <w:tc>
          <w:tcPr>
            <w:tcW w:w="1620" w:type="dxa"/>
            <w:vAlign w:val="center"/>
          </w:tcPr>
          <w:p w14:paraId="2E9A060E">
            <w:pPr>
              <w:jc w:val="center"/>
              <w:rPr>
                <w:rFonts w:ascii="宋体" w:hAnsi="宋体"/>
                <w:color w:val="auto"/>
                <w:szCs w:val="21"/>
              </w:rPr>
            </w:pPr>
          </w:p>
        </w:tc>
        <w:tc>
          <w:tcPr>
            <w:tcW w:w="1360" w:type="dxa"/>
            <w:vAlign w:val="center"/>
          </w:tcPr>
          <w:p w14:paraId="65E71EE6">
            <w:pPr>
              <w:jc w:val="center"/>
              <w:rPr>
                <w:rFonts w:ascii="宋体" w:hAnsi="宋体"/>
                <w:color w:val="auto"/>
                <w:szCs w:val="21"/>
              </w:rPr>
            </w:pPr>
          </w:p>
        </w:tc>
        <w:tc>
          <w:tcPr>
            <w:tcW w:w="1587" w:type="dxa"/>
            <w:vAlign w:val="center"/>
          </w:tcPr>
          <w:p w14:paraId="6E995942">
            <w:pPr>
              <w:jc w:val="center"/>
              <w:rPr>
                <w:rFonts w:ascii="宋体" w:hAnsi="宋体"/>
                <w:color w:val="auto"/>
                <w:szCs w:val="21"/>
              </w:rPr>
            </w:pPr>
          </w:p>
        </w:tc>
        <w:tc>
          <w:tcPr>
            <w:tcW w:w="1133" w:type="dxa"/>
            <w:vAlign w:val="center"/>
          </w:tcPr>
          <w:p w14:paraId="0C0234E9">
            <w:pPr>
              <w:jc w:val="center"/>
              <w:rPr>
                <w:rFonts w:ascii="宋体" w:hAnsi="宋体"/>
                <w:color w:val="auto"/>
                <w:szCs w:val="21"/>
              </w:rPr>
            </w:pPr>
          </w:p>
        </w:tc>
        <w:tc>
          <w:tcPr>
            <w:tcW w:w="1730" w:type="dxa"/>
            <w:vAlign w:val="center"/>
          </w:tcPr>
          <w:p w14:paraId="4BB492E7">
            <w:pPr>
              <w:jc w:val="center"/>
              <w:rPr>
                <w:rFonts w:ascii="宋体" w:hAnsi="宋体"/>
                <w:color w:val="auto"/>
                <w:szCs w:val="21"/>
              </w:rPr>
            </w:pPr>
          </w:p>
        </w:tc>
      </w:tr>
    </w:tbl>
    <w:p w14:paraId="385D41B9">
      <w:pPr>
        <w:rPr>
          <w:rFonts w:ascii="宋体" w:hAnsi="宋体"/>
          <w:color w:val="auto"/>
          <w:szCs w:val="21"/>
        </w:rPr>
      </w:pPr>
    </w:p>
    <w:p w14:paraId="6CAF2B9F">
      <w:pPr>
        <w:rPr>
          <w:rFonts w:ascii="宋体" w:hAnsi="宋体"/>
          <w:color w:val="auto"/>
          <w:szCs w:val="21"/>
        </w:rPr>
      </w:pPr>
      <w:r>
        <w:rPr>
          <w:rFonts w:hint="eastAsia" w:ascii="宋体" w:hAnsi="宋体"/>
          <w:color w:val="auto"/>
          <w:szCs w:val="21"/>
        </w:rPr>
        <w:t>投标人代表签字：</w:t>
      </w:r>
    </w:p>
    <w:p w14:paraId="172975AA">
      <w:pPr>
        <w:rPr>
          <w:rFonts w:ascii="宋体" w:hAnsi="宋体"/>
          <w:color w:val="auto"/>
          <w:szCs w:val="21"/>
        </w:rPr>
      </w:pPr>
      <w:r>
        <w:rPr>
          <w:rFonts w:hint="eastAsia" w:ascii="宋体" w:hAnsi="宋体"/>
          <w:color w:val="auto"/>
          <w:szCs w:val="21"/>
        </w:rPr>
        <w:t>投标人盖章：</w:t>
      </w:r>
    </w:p>
    <w:p w14:paraId="2C93BAD3">
      <w:pPr>
        <w:rPr>
          <w:rFonts w:ascii="宋体" w:hAnsi="宋体"/>
          <w:color w:val="auto"/>
          <w:szCs w:val="21"/>
        </w:rPr>
      </w:pPr>
    </w:p>
    <w:p w14:paraId="3A72EFBE">
      <w:pPr>
        <w:ind w:left="718" w:hanging="718" w:hangingChars="342"/>
        <w:rPr>
          <w:rFonts w:ascii="宋体" w:hAnsi="宋体"/>
          <w:color w:val="auto"/>
          <w:szCs w:val="21"/>
        </w:rPr>
      </w:pPr>
      <w:r>
        <w:rPr>
          <w:rFonts w:hint="eastAsia" w:ascii="宋体" w:hAnsi="宋体"/>
          <w:color w:val="auto"/>
          <w:szCs w:val="21"/>
        </w:rPr>
        <w:t>注：</w:t>
      </w:r>
    </w:p>
    <w:p w14:paraId="6664239D">
      <w:pPr>
        <w:rPr>
          <w:rFonts w:ascii="宋体" w:hAnsi="宋体"/>
          <w:color w:val="auto"/>
          <w:szCs w:val="21"/>
        </w:rPr>
      </w:pPr>
      <w:r>
        <w:rPr>
          <w:rFonts w:hint="eastAsia" w:ascii="宋体" w:hAnsi="宋体"/>
          <w:color w:val="auto"/>
          <w:szCs w:val="21"/>
        </w:rPr>
        <w:t>1、投标人应对照采购文件商务需求书中商务要求，说明已对采购文件的商务内容做出了实质性的响应。</w:t>
      </w:r>
    </w:p>
    <w:p w14:paraId="2AB724D7">
      <w:pPr>
        <w:rPr>
          <w:rFonts w:ascii="宋体" w:hAnsi="宋体"/>
          <w:color w:val="auto"/>
          <w:szCs w:val="21"/>
        </w:rPr>
      </w:pPr>
      <w:r>
        <w:rPr>
          <w:rFonts w:hint="eastAsia" w:ascii="宋体" w:hAnsi="宋体"/>
          <w:color w:val="auto"/>
          <w:szCs w:val="21"/>
        </w:rPr>
        <w:t>2、</w:t>
      </w:r>
      <w:r>
        <w:rPr>
          <w:rFonts w:hint="eastAsia" w:hAnsi="宋体" w:cs="宋体"/>
          <w:color w:val="auto"/>
          <w:szCs w:val="21"/>
        </w:rPr>
        <w:t>不论出于何种原因此表未填写</w:t>
      </w:r>
      <w:r>
        <w:rPr>
          <w:rFonts w:hint="eastAsia" w:ascii="宋体" w:hAnsi="宋体"/>
          <w:color w:val="auto"/>
          <w:szCs w:val="21"/>
        </w:rPr>
        <w:t>完整</w:t>
      </w:r>
      <w:r>
        <w:rPr>
          <w:rFonts w:hint="eastAsia" w:hAnsi="宋体" w:cs="宋体"/>
          <w:color w:val="auto"/>
          <w:szCs w:val="21"/>
        </w:rPr>
        <w:t>，投标人都被认为已清楚了解采购文件“</w:t>
      </w:r>
      <w:r>
        <w:rPr>
          <w:rFonts w:hint="eastAsia" w:ascii="宋体" w:hAnsi="宋体"/>
          <w:color w:val="auto"/>
          <w:szCs w:val="21"/>
        </w:rPr>
        <w:t>商务</w:t>
      </w:r>
      <w:r>
        <w:rPr>
          <w:rFonts w:hint="eastAsia" w:hAnsi="宋体" w:cs="宋体"/>
          <w:color w:val="auto"/>
          <w:szCs w:val="21"/>
        </w:rPr>
        <w:t>需求书”的内容并对采购人所需的服务要求作全面响应，投标人必须承担完成“</w:t>
      </w:r>
      <w:r>
        <w:rPr>
          <w:rFonts w:hint="eastAsia" w:ascii="宋体" w:hAnsi="宋体"/>
          <w:color w:val="auto"/>
          <w:szCs w:val="21"/>
        </w:rPr>
        <w:t>商务</w:t>
      </w:r>
      <w:r>
        <w:rPr>
          <w:rFonts w:hint="eastAsia" w:hAnsi="宋体" w:cs="宋体"/>
          <w:color w:val="auto"/>
          <w:szCs w:val="21"/>
        </w:rPr>
        <w:t>需求书”所描述内容的义务</w:t>
      </w:r>
      <w:r>
        <w:rPr>
          <w:rFonts w:hint="eastAsia" w:ascii="宋体" w:hAnsi="宋体"/>
          <w:color w:val="auto"/>
          <w:szCs w:val="21"/>
        </w:rPr>
        <w:t>，因此对投标人投标产生负面影响的，投标人自行承担后果。</w:t>
      </w:r>
    </w:p>
    <w:p w14:paraId="4F0D07AC">
      <w:pPr>
        <w:rPr>
          <w:rFonts w:ascii="宋体" w:hAnsi="宋体"/>
          <w:color w:val="auto"/>
          <w:szCs w:val="21"/>
        </w:rPr>
      </w:pPr>
      <w:r>
        <w:rPr>
          <w:rFonts w:hint="eastAsia" w:ascii="宋体" w:hAnsi="宋体"/>
          <w:color w:val="auto"/>
          <w:szCs w:val="21"/>
        </w:rPr>
        <w:t>3、</w:t>
      </w:r>
      <w:r>
        <w:rPr>
          <w:rFonts w:hint="eastAsia" w:hAnsi="宋体" w:cs="宋体"/>
          <w:color w:val="auto"/>
          <w:szCs w:val="21"/>
        </w:rPr>
        <w:t>如有偏离，应在“偏离情况”栏内注明“正”、“负”或“无”，并在“说明”栏内予以说明。</w:t>
      </w:r>
    </w:p>
    <w:p w14:paraId="41EC3AD5">
      <w:pPr>
        <w:outlineLvl w:val="1"/>
        <w:rPr>
          <w:rFonts w:ascii="宋体" w:hAnsi="宋体"/>
          <w:color w:val="auto"/>
          <w:szCs w:val="21"/>
        </w:rPr>
      </w:pPr>
      <w:bookmarkStart w:id="411" w:name="_Toc12670"/>
      <w:r>
        <w:rPr>
          <w:rFonts w:hint="eastAsia" w:ascii="宋体" w:hAnsi="宋体"/>
          <w:color w:val="auto"/>
          <w:szCs w:val="21"/>
        </w:rPr>
        <w:t>4、</w:t>
      </w:r>
      <w:r>
        <w:rPr>
          <w:rFonts w:hint="eastAsia" w:hAnsi="宋体" w:cs="宋体"/>
          <w:color w:val="auto"/>
          <w:szCs w:val="21"/>
        </w:rPr>
        <w:t>如投标人差异内容较多可另附页说明。</w:t>
      </w:r>
      <w:bookmarkEnd w:id="411"/>
    </w:p>
    <w:p w14:paraId="1E99E60E">
      <w:pPr>
        <w:rPr>
          <w:rFonts w:ascii="宋体" w:hAnsi="宋体"/>
          <w:color w:val="auto"/>
          <w:szCs w:val="21"/>
        </w:rPr>
      </w:pPr>
      <w:r>
        <w:rPr>
          <w:rFonts w:hint="eastAsia" w:ascii="宋体" w:hAnsi="宋体"/>
          <w:color w:val="auto"/>
          <w:szCs w:val="21"/>
        </w:rPr>
        <w:t>5、</w:t>
      </w:r>
      <w:r>
        <w:rPr>
          <w:rFonts w:hint="eastAsia" w:hAnsi="宋体" w:cs="宋体"/>
          <w:color w:val="auto"/>
          <w:szCs w:val="21"/>
        </w:rPr>
        <w:t>如投标人对用户需求书商务要求的条款全部响应的，也可以在表格下面用文字总括性的说明。</w:t>
      </w:r>
    </w:p>
    <w:p w14:paraId="111B776A">
      <w:pPr>
        <w:rPr>
          <w:rFonts w:ascii="宋体" w:hAnsi="宋体"/>
          <w:color w:val="auto"/>
          <w:szCs w:val="21"/>
        </w:rPr>
      </w:pPr>
      <w:r>
        <w:rPr>
          <w:rFonts w:hint="eastAsia" w:ascii="宋体" w:hAnsi="宋体"/>
          <w:color w:val="auto"/>
          <w:szCs w:val="21"/>
        </w:rPr>
        <w:br w:type="page"/>
      </w:r>
    </w:p>
    <w:p w14:paraId="65C0C631">
      <w:pPr>
        <w:pStyle w:val="5"/>
        <w:widowControl w:val="0"/>
        <w:overflowPunct w:val="0"/>
        <w:spacing w:line="240" w:lineRule="auto"/>
        <w:rPr>
          <w:rFonts w:ascii="宋体" w:hAnsi="宋体"/>
          <w:color w:val="auto"/>
          <w:sz w:val="30"/>
          <w:szCs w:val="30"/>
        </w:rPr>
      </w:pPr>
      <w:bookmarkStart w:id="412" w:name="_Toc28178"/>
      <w:bookmarkStart w:id="413" w:name="_Toc22157"/>
      <w:bookmarkStart w:id="414" w:name="_Toc12642"/>
      <w:bookmarkStart w:id="415" w:name="_Toc3065"/>
      <w:r>
        <w:rPr>
          <w:rFonts w:hint="eastAsia" w:ascii="宋体" w:hAnsi="宋体"/>
          <w:color w:val="auto"/>
          <w:sz w:val="21"/>
          <w:szCs w:val="21"/>
        </w:rPr>
        <w:t>附件14.业绩表</w:t>
      </w:r>
      <w:bookmarkEnd w:id="412"/>
      <w:bookmarkEnd w:id="413"/>
      <w:bookmarkEnd w:id="414"/>
      <w:bookmarkEnd w:id="415"/>
    </w:p>
    <w:p w14:paraId="2F8037D8">
      <w:pPr>
        <w:jc w:val="center"/>
        <w:rPr>
          <w:rFonts w:ascii="兰米黑体" w:eastAsia="兰米黑体"/>
          <w:color w:val="auto"/>
          <w:sz w:val="28"/>
          <w:szCs w:val="28"/>
        </w:rPr>
      </w:pPr>
      <w:r>
        <w:rPr>
          <w:rFonts w:hint="eastAsia" w:ascii="兰米黑体" w:eastAsia="兰米黑体"/>
          <w:color w:val="auto"/>
          <w:sz w:val="28"/>
          <w:szCs w:val="28"/>
        </w:rPr>
        <w:t>业绩表</w:t>
      </w:r>
    </w:p>
    <w:tbl>
      <w:tblPr>
        <w:tblStyle w:val="33"/>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14:paraId="1400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64EB1E7A">
            <w:pPr>
              <w:adjustRightInd/>
              <w:snapToGrid/>
              <w:jc w:val="center"/>
              <w:rPr>
                <w:rFonts w:ascii="宋体" w:hAnsi="宋体"/>
                <w:color w:val="auto"/>
                <w:szCs w:val="21"/>
              </w:rPr>
            </w:pPr>
            <w:r>
              <w:rPr>
                <w:rFonts w:hint="eastAsia" w:ascii="宋体" w:hAnsi="宋体"/>
                <w:color w:val="auto"/>
                <w:szCs w:val="21"/>
              </w:rPr>
              <w:t>序号</w:t>
            </w:r>
          </w:p>
        </w:tc>
        <w:tc>
          <w:tcPr>
            <w:tcW w:w="1705" w:type="dxa"/>
            <w:vAlign w:val="center"/>
          </w:tcPr>
          <w:p w14:paraId="2AFD1353">
            <w:pPr>
              <w:adjustRightInd/>
              <w:snapToGrid/>
              <w:jc w:val="center"/>
              <w:rPr>
                <w:rFonts w:ascii="宋体" w:hAnsi="宋体"/>
                <w:color w:val="auto"/>
                <w:szCs w:val="21"/>
              </w:rPr>
            </w:pPr>
            <w:r>
              <w:rPr>
                <w:rFonts w:hint="eastAsia" w:ascii="宋体" w:hAnsi="宋体"/>
                <w:color w:val="auto"/>
                <w:szCs w:val="21"/>
              </w:rPr>
              <w:t>项目名称</w:t>
            </w:r>
          </w:p>
        </w:tc>
        <w:tc>
          <w:tcPr>
            <w:tcW w:w="1706" w:type="dxa"/>
            <w:vAlign w:val="center"/>
          </w:tcPr>
          <w:p w14:paraId="49DB2B4C">
            <w:pPr>
              <w:adjustRightInd/>
              <w:snapToGrid/>
              <w:jc w:val="center"/>
              <w:rPr>
                <w:rFonts w:ascii="宋体" w:hAnsi="宋体"/>
                <w:color w:val="auto"/>
                <w:szCs w:val="21"/>
              </w:rPr>
            </w:pPr>
            <w:r>
              <w:rPr>
                <w:rFonts w:hint="eastAsia" w:ascii="宋体" w:hAnsi="宋体"/>
                <w:color w:val="auto"/>
                <w:szCs w:val="21"/>
              </w:rPr>
              <w:t>项目金额</w:t>
            </w:r>
          </w:p>
        </w:tc>
        <w:tc>
          <w:tcPr>
            <w:tcW w:w="1705" w:type="dxa"/>
            <w:vAlign w:val="center"/>
          </w:tcPr>
          <w:p w14:paraId="7818DBC5">
            <w:pPr>
              <w:adjustRightInd/>
              <w:snapToGrid/>
              <w:jc w:val="center"/>
              <w:rPr>
                <w:rFonts w:ascii="宋体" w:hAnsi="宋体"/>
                <w:color w:val="auto"/>
                <w:szCs w:val="21"/>
              </w:rPr>
            </w:pPr>
            <w:r>
              <w:rPr>
                <w:rFonts w:hint="eastAsia" w:ascii="宋体" w:hAnsi="宋体"/>
                <w:color w:val="auto"/>
                <w:szCs w:val="21"/>
              </w:rPr>
              <w:t>项目合同</w:t>
            </w:r>
          </w:p>
          <w:p w14:paraId="6CB41A9C">
            <w:pPr>
              <w:adjustRightInd/>
              <w:snapToGrid/>
              <w:jc w:val="center"/>
              <w:rPr>
                <w:rFonts w:ascii="宋体" w:hAnsi="宋体"/>
                <w:color w:val="auto"/>
                <w:szCs w:val="21"/>
              </w:rPr>
            </w:pPr>
            <w:r>
              <w:rPr>
                <w:rFonts w:hint="eastAsia" w:ascii="宋体" w:hAnsi="宋体"/>
                <w:color w:val="auto"/>
                <w:szCs w:val="21"/>
              </w:rPr>
              <w:t>签订时间</w:t>
            </w:r>
          </w:p>
        </w:tc>
        <w:tc>
          <w:tcPr>
            <w:tcW w:w="1697" w:type="dxa"/>
            <w:vAlign w:val="center"/>
          </w:tcPr>
          <w:p w14:paraId="546DD13A">
            <w:pPr>
              <w:adjustRightInd/>
              <w:snapToGrid/>
              <w:jc w:val="center"/>
              <w:rPr>
                <w:rFonts w:ascii="宋体" w:hAnsi="宋体"/>
                <w:color w:val="auto"/>
                <w:szCs w:val="21"/>
              </w:rPr>
            </w:pPr>
            <w:r>
              <w:rPr>
                <w:rFonts w:hint="eastAsia" w:ascii="宋体" w:hAnsi="宋体"/>
                <w:color w:val="auto"/>
                <w:szCs w:val="21"/>
              </w:rPr>
              <w:t>备注</w:t>
            </w:r>
          </w:p>
        </w:tc>
      </w:tr>
      <w:tr w14:paraId="0613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6FD44506">
            <w:pPr>
              <w:adjustRightInd/>
              <w:snapToGrid/>
              <w:jc w:val="center"/>
              <w:rPr>
                <w:rFonts w:ascii="宋体" w:hAnsi="宋体"/>
                <w:color w:val="auto"/>
                <w:szCs w:val="21"/>
              </w:rPr>
            </w:pPr>
          </w:p>
        </w:tc>
        <w:tc>
          <w:tcPr>
            <w:tcW w:w="1705" w:type="dxa"/>
            <w:vAlign w:val="center"/>
          </w:tcPr>
          <w:p w14:paraId="3D68DF68">
            <w:pPr>
              <w:adjustRightInd/>
              <w:snapToGrid/>
              <w:jc w:val="center"/>
              <w:rPr>
                <w:rFonts w:ascii="宋体" w:hAnsi="宋体"/>
                <w:color w:val="auto"/>
                <w:szCs w:val="21"/>
              </w:rPr>
            </w:pPr>
          </w:p>
        </w:tc>
        <w:tc>
          <w:tcPr>
            <w:tcW w:w="1706" w:type="dxa"/>
            <w:vAlign w:val="center"/>
          </w:tcPr>
          <w:p w14:paraId="7B4F65BB">
            <w:pPr>
              <w:adjustRightInd/>
              <w:snapToGrid/>
              <w:jc w:val="center"/>
              <w:rPr>
                <w:rFonts w:ascii="宋体" w:hAnsi="宋体"/>
                <w:color w:val="auto"/>
                <w:szCs w:val="21"/>
              </w:rPr>
            </w:pPr>
          </w:p>
        </w:tc>
        <w:tc>
          <w:tcPr>
            <w:tcW w:w="1705" w:type="dxa"/>
            <w:vAlign w:val="center"/>
          </w:tcPr>
          <w:p w14:paraId="2FFEA5AE">
            <w:pPr>
              <w:adjustRightInd/>
              <w:snapToGrid/>
              <w:jc w:val="center"/>
              <w:rPr>
                <w:rFonts w:ascii="宋体" w:hAnsi="宋体"/>
                <w:color w:val="auto"/>
                <w:szCs w:val="21"/>
              </w:rPr>
            </w:pPr>
          </w:p>
        </w:tc>
        <w:tc>
          <w:tcPr>
            <w:tcW w:w="1697" w:type="dxa"/>
            <w:vAlign w:val="center"/>
          </w:tcPr>
          <w:p w14:paraId="5726C9AB">
            <w:pPr>
              <w:adjustRightInd/>
              <w:snapToGrid/>
              <w:jc w:val="center"/>
              <w:rPr>
                <w:rFonts w:ascii="宋体" w:hAnsi="宋体"/>
                <w:color w:val="auto"/>
                <w:szCs w:val="21"/>
              </w:rPr>
            </w:pPr>
          </w:p>
        </w:tc>
      </w:tr>
      <w:tr w14:paraId="597E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372AFBD2">
            <w:pPr>
              <w:adjustRightInd/>
              <w:snapToGrid/>
              <w:rPr>
                <w:rFonts w:ascii="宋体" w:hAnsi="宋体"/>
                <w:color w:val="auto"/>
                <w:szCs w:val="21"/>
              </w:rPr>
            </w:pPr>
          </w:p>
        </w:tc>
        <w:tc>
          <w:tcPr>
            <w:tcW w:w="1705" w:type="dxa"/>
          </w:tcPr>
          <w:p w14:paraId="070B82B5">
            <w:pPr>
              <w:adjustRightInd/>
              <w:snapToGrid/>
              <w:rPr>
                <w:rFonts w:ascii="宋体" w:hAnsi="宋体"/>
                <w:color w:val="auto"/>
                <w:szCs w:val="21"/>
              </w:rPr>
            </w:pPr>
          </w:p>
        </w:tc>
        <w:tc>
          <w:tcPr>
            <w:tcW w:w="1706" w:type="dxa"/>
          </w:tcPr>
          <w:p w14:paraId="5FA1FDF1">
            <w:pPr>
              <w:adjustRightInd/>
              <w:snapToGrid/>
              <w:rPr>
                <w:rFonts w:ascii="宋体" w:hAnsi="宋体"/>
                <w:color w:val="auto"/>
                <w:szCs w:val="21"/>
              </w:rPr>
            </w:pPr>
          </w:p>
        </w:tc>
        <w:tc>
          <w:tcPr>
            <w:tcW w:w="1705" w:type="dxa"/>
          </w:tcPr>
          <w:p w14:paraId="6497FC7C">
            <w:pPr>
              <w:adjustRightInd/>
              <w:snapToGrid/>
              <w:rPr>
                <w:rFonts w:ascii="宋体" w:hAnsi="宋体"/>
                <w:color w:val="auto"/>
                <w:szCs w:val="21"/>
              </w:rPr>
            </w:pPr>
          </w:p>
        </w:tc>
        <w:tc>
          <w:tcPr>
            <w:tcW w:w="1697" w:type="dxa"/>
          </w:tcPr>
          <w:p w14:paraId="35BE1D81">
            <w:pPr>
              <w:adjustRightInd/>
              <w:snapToGrid/>
              <w:rPr>
                <w:rFonts w:ascii="宋体" w:hAnsi="宋体"/>
                <w:color w:val="auto"/>
                <w:szCs w:val="21"/>
              </w:rPr>
            </w:pPr>
          </w:p>
        </w:tc>
      </w:tr>
      <w:tr w14:paraId="2C5A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6BA83997">
            <w:pPr>
              <w:adjustRightInd/>
              <w:snapToGrid/>
              <w:rPr>
                <w:rFonts w:ascii="宋体" w:hAnsi="宋体"/>
                <w:color w:val="auto"/>
                <w:szCs w:val="21"/>
              </w:rPr>
            </w:pPr>
          </w:p>
        </w:tc>
        <w:tc>
          <w:tcPr>
            <w:tcW w:w="1705" w:type="dxa"/>
          </w:tcPr>
          <w:p w14:paraId="2FB637B7">
            <w:pPr>
              <w:adjustRightInd/>
              <w:snapToGrid/>
              <w:rPr>
                <w:rFonts w:ascii="宋体" w:hAnsi="宋体"/>
                <w:color w:val="auto"/>
                <w:szCs w:val="21"/>
              </w:rPr>
            </w:pPr>
          </w:p>
        </w:tc>
        <w:tc>
          <w:tcPr>
            <w:tcW w:w="1706" w:type="dxa"/>
          </w:tcPr>
          <w:p w14:paraId="7C8423A5">
            <w:pPr>
              <w:adjustRightInd/>
              <w:snapToGrid/>
              <w:rPr>
                <w:rFonts w:ascii="宋体" w:hAnsi="宋体"/>
                <w:color w:val="auto"/>
                <w:szCs w:val="21"/>
              </w:rPr>
            </w:pPr>
          </w:p>
        </w:tc>
        <w:tc>
          <w:tcPr>
            <w:tcW w:w="1705" w:type="dxa"/>
          </w:tcPr>
          <w:p w14:paraId="74586BAC">
            <w:pPr>
              <w:adjustRightInd/>
              <w:snapToGrid/>
              <w:rPr>
                <w:rFonts w:ascii="宋体" w:hAnsi="宋体"/>
                <w:color w:val="auto"/>
                <w:szCs w:val="21"/>
              </w:rPr>
            </w:pPr>
          </w:p>
        </w:tc>
        <w:tc>
          <w:tcPr>
            <w:tcW w:w="1697" w:type="dxa"/>
          </w:tcPr>
          <w:p w14:paraId="7F2793B3">
            <w:pPr>
              <w:adjustRightInd/>
              <w:snapToGrid/>
              <w:rPr>
                <w:rFonts w:ascii="宋体" w:hAnsi="宋体"/>
                <w:color w:val="auto"/>
                <w:szCs w:val="21"/>
              </w:rPr>
            </w:pPr>
          </w:p>
        </w:tc>
      </w:tr>
      <w:tr w14:paraId="5F61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1D982E40">
            <w:pPr>
              <w:adjustRightInd/>
              <w:snapToGrid/>
              <w:rPr>
                <w:rFonts w:ascii="宋体" w:hAnsi="宋体"/>
                <w:color w:val="auto"/>
                <w:szCs w:val="21"/>
              </w:rPr>
            </w:pPr>
          </w:p>
        </w:tc>
        <w:tc>
          <w:tcPr>
            <w:tcW w:w="1705" w:type="dxa"/>
          </w:tcPr>
          <w:p w14:paraId="72331122">
            <w:pPr>
              <w:adjustRightInd/>
              <w:snapToGrid/>
              <w:rPr>
                <w:rFonts w:ascii="宋体" w:hAnsi="宋体"/>
                <w:color w:val="auto"/>
                <w:szCs w:val="21"/>
              </w:rPr>
            </w:pPr>
          </w:p>
        </w:tc>
        <w:tc>
          <w:tcPr>
            <w:tcW w:w="1706" w:type="dxa"/>
          </w:tcPr>
          <w:p w14:paraId="2C2534EC">
            <w:pPr>
              <w:adjustRightInd/>
              <w:snapToGrid/>
              <w:rPr>
                <w:rFonts w:ascii="宋体" w:hAnsi="宋体"/>
                <w:color w:val="auto"/>
                <w:szCs w:val="21"/>
              </w:rPr>
            </w:pPr>
          </w:p>
        </w:tc>
        <w:tc>
          <w:tcPr>
            <w:tcW w:w="1705" w:type="dxa"/>
          </w:tcPr>
          <w:p w14:paraId="2A6C070B">
            <w:pPr>
              <w:adjustRightInd/>
              <w:snapToGrid/>
              <w:rPr>
                <w:rFonts w:ascii="宋体" w:hAnsi="宋体"/>
                <w:color w:val="auto"/>
                <w:szCs w:val="21"/>
              </w:rPr>
            </w:pPr>
          </w:p>
        </w:tc>
        <w:tc>
          <w:tcPr>
            <w:tcW w:w="1697" w:type="dxa"/>
          </w:tcPr>
          <w:p w14:paraId="0D570B83">
            <w:pPr>
              <w:adjustRightInd/>
              <w:snapToGrid/>
              <w:rPr>
                <w:rFonts w:ascii="宋体" w:hAnsi="宋体"/>
                <w:color w:val="auto"/>
                <w:szCs w:val="21"/>
              </w:rPr>
            </w:pPr>
          </w:p>
        </w:tc>
      </w:tr>
      <w:tr w14:paraId="22F9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364FC5EA">
            <w:pPr>
              <w:adjustRightInd/>
              <w:snapToGrid/>
              <w:rPr>
                <w:rFonts w:ascii="宋体" w:hAnsi="宋体"/>
                <w:color w:val="auto"/>
                <w:szCs w:val="21"/>
              </w:rPr>
            </w:pPr>
          </w:p>
        </w:tc>
        <w:tc>
          <w:tcPr>
            <w:tcW w:w="1705" w:type="dxa"/>
          </w:tcPr>
          <w:p w14:paraId="2D68739B">
            <w:pPr>
              <w:adjustRightInd/>
              <w:snapToGrid/>
              <w:rPr>
                <w:rFonts w:ascii="宋体" w:hAnsi="宋体"/>
                <w:color w:val="auto"/>
                <w:szCs w:val="21"/>
              </w:rPr>
            </w:pPr>
          </w:p>
        </w:tc>
        <w:tc>
          <w:tcPr>
            <w:tcW w:w="1706" w:type="dxa"/>
          </w:tcPr>
          <w:p w14:paraId="1B27D3BB">
            <w:pPr>
              <w:adjustRightInd/>
              <w:snapToGrid/>
              <w:rPr>
                <w:rFonts w:ascii="宋体" w:hAnsi="宋体"/>
                <w:color w:val="auto"/>
                <w:szCs w:val="21"/>
              </w:rPr>
            </w:pPr>
          </w:p>
        </w:tc>
        <w:tc>
          <w:tcPr>
            <w:tcW w:w="1705" w:type="dxa"/>
          </w:tcPr>
          <w:p w14:paraId="61F27F47">
            <w:pPr>
              <w:adjustRightInd/>
              <w:snapToGrid/>
              <w:rPr>
                <w:rFonts w:ascii="宋体" w:hAnsi="宋体"/>
                <w:color w:val="auto"/>
                <w:szCs w:val="21"/>
              </w:rPr>
            </w:pPr>
          </w:p>
        </w:tc>
        <w:tc>
          <w:tcPr>
            <w:tcW w:w="1697" w:type="dxa"/>
          </w:tcPr>
          <w:p w14:paraId="2F09B889">
            <w:pPr>
              <w:adjustRightInd/>
              <w:snapToGrid/>
              <w:rPr>
                <w:rFonts w:ascii="宋体" w:hAnsi="宋体"/>
                <w:color w:val="auto"/>
                <w:szCs w:val="21"/>
              </w:rPr>
            </w:pPr>
          </w:p>
        </w:tc>
      </w:tr>
      <w:tr w14:paraId="79D4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4C973931">
            <w:pPr>
              <w:adjustRightInd/>
              <w:snapToGrid/>
              <w:rPr>
                <w:rFonts w:ascii="宋体" w:hAnsi="宋体"/>
                <w:color w:val="auto"/>
                <w:szCs w:val="21"/>
              </w:rPr>
            </w:pPr>
          </w:p>
        </w:tc>
        <w:tc>
          <w:tcPr>
            <w:tcW w:w="1705" w:type="dxa"/>
          </w:tcPr>
          <w:p w14:paraId="6079DF72">
            <w:pPr>
              <w:adjustRightInd/>
              <w:snapToGrid/>
              <w:rPr>
                <w:rFonts w:ascii="宋体" w:hAnsi="宋体"/>
                <w:color w:val="auto"/>
                <w:szCs w:val="21"/>
              </w:rPr>
            </w:pPr>
          </w:p>
        </w:tc>
        <w:tc>
          <w:tcPr>
            <w:tcW w:w="1706" w:type="dxa"/>
          </w:tcPr>
          <w:p w14:paraId="3E7DFFAA">
            <w:pPr>
              <w:adjustRightInd/>
              <w:snapToGrid/>
              <w:rPr>
                <w:rFonts w:ascii="宋体" w:hAnsi="宋体"/>
                <w:color w:val="auto"/>
                <w:szCs w:val="21"/>
              </w:rPr>
            </w:pPr>
          </w:p>
        </w:tc>
        <w:tc>
          <w:tcPr>
            <w:tcW w:w="1705" w:type="dxa"/>
          </w:tcPr>
          <w:p w14:paraId="02C60224">
            <w:pPr>
              <w:adjustRightInd/>
              <w:snapToGrid/>
              <w:rPr>
                <w:rFonts w:ascii="宋体" w:hAnsi="宋体"/>
                <w:color w:val="auto"/>
                <w:szCs w:val="21"/>
              </w:rPr>
            </w:pPr>
          </w:p>
        </w:tc>
        <w:tc>
          <w:tcPr>
            <w:tcW w:w="1697" w:type="dxa"/>
          </w:tcPr>
          <w:p w14:paraId="014CC958">
            <w:pPr>
              <w:adjustRightInd/>
              <w:snapToGrid/>
              <w:rPr>
                <w:rFonts w:ascii="宋体" w:hAnsi="宋体"/>
                <w:color w:val="auto"/>
                <w:szCs w:val="21"/>
              </w:rPr>
            </w:pPr>
          </w:p>
        </w:tc>
      </w:tr>
    </w:tbl>
    <w:p w14:paraId="74B5EACF">
      <w:pPr>
        <w:pStyle w:val="47"/>
        <w:rPr>
          <w:rFonts w:ascii="宋体" w:hAnsi="宋体"/>
          <w:color w:val="auto"/>
          <w:szCs w:val="21"/>
        </w:rPr>
      </w:pPr>
    </w:p>
    <w:p w14:paraId="01FDFE44">
      <w:pPr>
        <w:pStyle w:val="47"/>
        <w:rPr>
          <w:rFonts w:ascii="宋体" w:hAnsi="宋体"/>
          <w:color w:val="auto"/>
          <w:szCs w:val="21"/>
        </w:rPr>
      </w:pPr>
      <w:r>
        <w:rPr>
          <w:rFonts w:hint="eastAsia" w:ascii="宋体" w:hAnsi="宋体"/>
          <w:color w:val="auto"/>
          <w:szCs w:val="21"/>
        </w:rPr>
        <w:t>注：</w:t>
      </w:r>
    </w:p>
    <w:p w14:paraId="08101BF2">
      <w:pPr>
        <w:pStyle w:val="47"/>
        <w:numPr>
          <w:ilvl w:val="0"/>
          <w:numId w:val="12"/>
        </w:numPr>
        <w:outlineLvl w:val="1"/>
        <w:rPr>
          <w:rFonts w:ascii="宋体" w:hAnsi="宋体"/>
          <w:color w:val="auto"/>
          <w:szCs w:val="21"/>
        </w:rPr>
      </w:pPr>
      <w:bookmarkStart w:id="416" w:name="_Toc11793"/>
      <w:r>
        <w:rPr>
          <w:rFonts w:hint="eastAsia" w:ascii="宋体" w:hAnsi="宋体"/>
          <w:color w:val="auto"/>
          <w:szCs w:val="21"/>
        </w:rPr>
        <w:t>该表格为参考格式，投标人可按实际情况自行制订。</w:t>
      </w:r>
      <w:bookmarkEnd w:id="416"/>
    </w:p>
    <w:p w14:paraId="6D0CD0F4">
      <w:pPr>
        <w:pStyle w:val="47"/>
        <w:numPr>
          <w:ilvl w:val="0"/>
          <w:numId w:val="12"/>
        </w:numPr>
        <w:rPr>
          <w:rFonts w:ascii="宋体" w:hAnsi="宋体"/>
          <w:color w:val="auto"/>
          <w:szCs w:val="21"/>
        </w:rPr>
      </w:pPr>
      <w:r>
        <w:rPr>
          <w:rFonts w:hint="eastAsia" w:ascii="宋体" w:hAnsi="宋体"/>
          <w:color w:val="auto"/>
          <w:szCs w:val="21"/>
        </w:rPr>
        <w:t>业绩表所列出的材料应为真实准确的，并应提供相关证明材料复印件加盖公章。请勿提供虚假、过期材料，否则将依据相关规定严肃处理。</w:t>
      </w:r>
    </w:p>
    <w:p w14:paraId="1FB920C3">
      <w:pPr>
        <w:rPr>
          <w:rFonts w:ascii="宋体" w:hAnsi="宋体"/>
          <w:color w:val="auto"/>
          <w:szCs w:val="21"/>
        </w:rPr>
      </w:pPr>
      <w:r>
        <w:rPr>
          <w:rFonts w:hint="eastAsia" w:ascii="宋体" w:hAnsi="宋体"/>
          <w:color w:val="auto"/>
          <w:szCs w:val="21"/>
        </w:rPr>
        <w:br w:type="page"/>
      </w:r>
    </w:p>
    <w:p w14:paraId="1C2A9469">
      <w:pPr>
        <w:pStyle w:val="5"/>
        <w:widowControl w:val="0"/>
        <w:overflowPunct w:val="0"/>
        <w:spacing w:line="240" w:lineRule="auto"/>
        <w:rPr>
          <w:color w:val="auto"/>
        </w:rPr>
      </w:pPr>
      <w:bookmarkStart w:id="417" w:name="_Toc1959"/>
      <w:bookmarkStart w:id="418" w:name="_Toc23072"/>
      <w:bookmarkStart w:id="419" w:name="_Toc3346"/>
      <w:bookmarkStart w:id="420" w:name="_Toc30098"/>
      <w:bookmarkStart w:id="421" w:name="_Toc30399"/>
      <w:r>
        <w:rPr>
          <w:rFonts w:hint="eastAsia" w:ascii="宋体" w:hAnsi="宋体"/>
          <w:color w:val="auto"/>
          <w:sz w:val="21"/>
          <w:szCs w:val="21"/>
        </w:rPr>
        <w:t>附件15.联合体协议书</w:t>
      </w:r>
      <w:r>
        <w:rPr>
          <w:rFonts w:hint="eastAsia"/>
          <w:color w:val="auto"/>
        </w:rPr>
        <w:t>（如有）</w:t>
      </w:r>
      <w:bookmarkEnd w:id="417"/>
      <w:bookmarkEnd w:id="418"/>
      <w:bookmarkEnd w:id="419"/>
      <w:bookmarkEnd w:id="420"/>
      <w:bookmarkEnd w:id="421"/>
    </w:p>
    <w:p w14:paraId="288C4322">
      <w:pPr>
        <w:rPr>
          <w:color w:val="auto"/>
        </w:rPr>
      </w:pPr>
    </w:p>
    <w:p w14:paraId="27F831AA">
      <w:pPr>
        <w:jc w:val="center"/>
        <w:rPr>
          <w:rFonts w:hAnsi="宋体" w:cs="宋体"/>
          <w:color w:val="auto"/>
        </w:rPr>
      </w:pPr>
      <w:r>
        <w:rPr>
          <w:rFonts w:hint="eastAsia" w:hAnsi="宋体" w:cs="宋体"/>
          <w:b/>
          <w:bCs/>
          <w:color w:val="auto"/>
        </w:rPr>
        <w:t>联合体共同投标协议书</w:t>
      </w:r>
    </w:p>
    <w:p w14:paraId="77961714">
      <w:pPr>
        <w:jc w:val="center"/>
        <w:rPr>
          <w:rFonts w:hAnsi="宋体" w:cs="宋体"/>
          <w:color w:val="auto"/>
        </w:rPr>
      </w:pPr>
    </w:p>
    <w:p w14:paraId="54004FAD">
      <w:pPr>
        <w:rPr>
          <w:rFonts w:hAnsi="宋体" w:cs="宋体"/>
          <w:color w:val="auto"/>
          <w:szCs w:val="21"/>
        </w:rPr>
      </w:pPr>
      <w:r>
        <w:rPr>
          <w:rFonts w:hint="eastAsia" w:hAnsi="宋体" w:cs="宋体"/>
          <w:color w:val="auto"/>
          <w:szCs w:val="21"/>
        </w:rPr>
        <w:t>立约方：（甲公司全称）</w:t>
      </w:r>
    </w:p>
    <w:p w14:paraId="2AFD91F7">
      <w:pPr>
        <w:rPr>
          <w:rFonts w:hAnsi="宋体" w:cs="宋体"/>
          <w:color w:val="auto"/>
          <w:szCs w:val="21"/>
        </w:rPr>
      </w:pPr>
      <w:r>
        <w:rPr>
          <w:rFonts w:hint="eastAsia" w:hAnsi="宋体" w:cs="宋体"/>
          <w:color w:val="auto"/>
          <w:szCs w:val="21"/>
        </w:rPr>
        <w:t>（乙公司全称）</w:t>
      </w:r>
    </w:p>
    <w:p w14:paraId="5CD57CB5">
      <w:pPr>
        <w:rPr>
          <w:rFonts w:hAnsi="宋体" w:cs="宋体"/>
          <w:color w:val="auto"/>
          <w:szCs w:val="21"/>
        </w:rPr>
      </w:pPr>
      <w:r>
        <w:rPr>
          <w:rFonts w:hint="eastAsia" w:hAnsi="宋体" w:cs="宋体"/>
          <w:color w:val="auto"/>
          <w:szCs w:val="21"/>
        </w:rPr>
        <w:t>（……公司全称）</w:t>
      </w:r>
    </w:p>
    <w:p w14:paraId="051E0CA4">
      <w:pPr>
        <w:rPr>
          <w:rFonts w:hAnsi="宋体" w:cs="宋体"/>
          <w:color w:val="auto"/>
          <w:szCs w:val="21"/>
        </w:rPr>
      </w:pPr>
      <w:r>
        <w:rPr>
          <w:rFonts w:hint="eastAsia" w:hAnsi="宋体" w:cs="宋体"/>
          <w:color w:val="auto"/>
          <w:szCs w:val="21"/>
          <w:u w:val="single"/>
        </w:rPr>
        <w:t>（甲公司全称）、（乙公司全称）、（……公司全称）</w:t>
      </w:r>
      <w:r>
        <w:rPr>
          <w:rFonts w:hint="eastAsia" w:hAnsi="宋体" w:cs="宋体"/>
          <w:color w:val="auto"/>
          <w:szCs w:val="21"/>
        </w:rPr>
        <w:t>自愿组成联合体，以一个投标人的身份共同参加</w:t>
      </w:r>
      <w:r>
        <w:rPr>
          <w:rFonts w:hint="eastAsia" w:hAnsi="宋体" w:cs="宋体"/>
          <w:color w:val="auto"/>
          <w:szCs w:val="21"/>
          <w:u w:val="single"/>
        </w:rPr>
        <w:t>（xxxx项目） （项目编号：xxxx）</w:t>
      </w:r>
      <w:r>
        <w:rPr>
          <w:rFonts w:hint="eastAsia" w:hAnsi="宋体" w:cs="宋体"/>
          <w:color w:val="auto"/>
          <w:szCs w:val="21"/>
        </w:rPr>
        <w:t>的招标活动。经各方充分协商一致，就项目的投标和合同实施阶段的有关事务协商一致订立协议如下：</w:t>
      </w:r>
    </w:p>
    <w:p w14:paraId="6CD79DBB">
      <w:pPr>
        <w:outlineLvl w:val="2"/>
        <w:rPr>
          <w:rFonts w:hAnsi="宋体" w:cs="宋体"/>
          <w:color w:val="auto"/>
          <w:szCs w:val="21"/>
        </w:rPr>
      </w:pPr>
      <w:bookmarkStart w:id="422" w:name="_Toc27150"/>
      <w:r>
        <w:rPr>
          <w:rFonts w:hint="eastAsia" w:hAnsi="宋体" w:cs="宋体"/>
          <w:color w:val="auto"/>
          <w:szCs w:val="21"/>
        </w:rPr>
        <w:t>一、联合体各方关系</w:t>
      </w:r>
      <w:bookmarkEnd w:id="422"/>
    </w:p>
    <w:p w14:paraId="26CB0AF1">
      <w:pPr>
        <w:rPr>
          <w:rFonts w:hAnsi="宋体" w:cs="宋体"/>
          <w:color w:val="auto"/>
          <w:szCs w:val="21"/>
        </w:rPr>
      </w:pPr>
      <w:r>
        <w:rPr>
          <w:rFonts w:hint="eastAsia" w:hAnsi="宋体" w:cs="宋体"/>
          <w:color w:val="auto"/>
          <w:szCs w:val="21"/>
          <w:u w:val="single"/>
        </w:rPr>
        <w:t>1.（甲公司全称）、（乙公司全称）、（……公司全称）</w:t>
      </w:r>
      <w:r>
        <w:rPr>
          <w:rFonts w:hint="eastAsia" w:hAnsi="宋体" w:cs="宋体"/>
          <w:color w:val="auto"/>
          <w:szCs w:val="21"/>
        </w:rPr>
        <w:t>共同组成一个联合体，以一个投标人的身份共同参加本项目的投标。</w:t>
      </w:r>
      <w:r>
        <w:rPr>
          <w:rFonts w:hint="eastAsia" w:hAnsi="宋体" w:cs="宋体"/>
          <w:color w:val="auto"/>
          <w:szCs w:val="21"/>
          <w:u w:val="single"/>
        </w:rPr>
        <w:t>（甲公司全称）、（乙公司全称）、（……公司全称）</w:t>
      </w:r>
      <w:r>
        <w:rPr>
          <w:rFonts w:hint="eastAsia" w:hAnsi="宋体" w:cs="宋体"/>
          <w:color w:val="auto"/>
          <w:szCs w:val="21"/>
        </w:rPr>
        <w:t>作为联合体成员，若中标，联合体各方共同与</w:t>
      </w:r>
      <w:r>
        <w:rPr>
          <w:rFonts w:hint="eastAsia" w:hAnsi="宋体" w:cs="宋体"/>
          <w:color w:val="auto"/>
          <w:szCs w:val="21"/>
          <w:u w:val="single"/>
        </w:rPr>
        <w:t>（采购人）</w:t>
      </w:r>
      <w:r>
        <w:rPr>
          <w:rFonts w:hint="eastAsia" w:hAnsi="宋体" w:cs="宋体"/>
          <w:color w:val="auto"/>
          <w:szCs w:val="21"/>
        </w:rPr>
        <w:t>签订合同。</w:t>
      </w:r>
    </w:p>
    <w:p w14:paraId="566F8AB4">
      <w:pPr>
        <w:outlineLvl w:val="1"/>
        <w:rPr>
          <w:rFonts w:hAnsi="宋体" w:cs="宋体"/>
          <w:color w:val="auto"/>
          <w:szCs w:val="21"/>
        </w:rPr>
      </w:pPr>
      <w:bookmarkStart w:id="423" w:name="_Toc20128"/>
      <w:r>
        <w:rPr>
          <w:rFonts w:hint="eastAsia" w:hAnsi="宋体" w:cs="宋体"/>
          <w:color w:val="auto"/>
          <w:szCs w:val="21"/>
        </w:rPr>
        <w:t>2.本次投标中，以</w:t>
      </w:r>
      <w:r>
        <w:rPr>
          <w:rFonts w:hint="eastAsia" w:hAnsi="宋体" w:cs="宋体"/>
          <w:color w:val="auto"/>
          <w:szCs w:val="21"/>
          <w:u w:val="single"/>
        </w:rPr>
        <w:t>（公司全称）</w:t>
      </w:r>
      <w:r>
        <w:rPr>
          <w:rFonts w:hint="eastAsia" w:hAnsi="宋体" w:cs="宋体"/>
          <w:color w:val="auto"/>
          <w:szCs w:val="21"/>
        </w:rPr>
        <w:t>为联合体牵头人。</w:t>
      </w:r>
      <w:bookmarkEnd w:id="423"/>
    </w:p>
    <w:p w14:paraId="1028FC5A">
      <w:pPr>
        <w:outlineLvl w:val="2"/>
        <w:rPr>
          <w:rFonts w:hAnsi="宋体" w:cs="宋体"/>
          <w:color w:val="auto"/>
          <w:szCs w:val="21"/>
        </w:rPr>
      </w:pPr>
      <w:bookmarkStart w:id="424" w:name="_Toc12745"/>
      <w:r>
        <w:rPr>
          <w:rFonts w:hint="eastAsia" w:hAnsi="宋体" w:cs="宋体"/>
          <w:color w:val="auto"/>
          <w:szCs w:val="21"/>
        </w:rPr>
        <w:t>二、联合体内部有关事项约定如下：</w:t>
      </w:r>
      <w:bookmarkEnd w:id="424"/>
    </w:p>
    <w:p w14:paraId="0F65BDD3">
      <w:pPr>
        <w:rPr>
          <w:rFonts w:hAnsi="宋体" w:cs="宋体"/>
          <w:color w:val="auto"/>
          <w:szCs w:val="21"/>
        </w:rPr>
      </w:pPr>
      <w:r>
        <w:rPr>
          <w:rFonts w:hint="eastAsia" w:hAnsi="宋体"/>
          <w:color w:val="auto"/>
          <w:szCs w:val="21"/>
        </w:rPr>
        <w:t>1.联合体牵头人合法代表联合体各成员，负责本项目投标文件编制和投标工作，并代表联合体成员递交和接受相关的资料、信息及指示，并处理与之有关的一切事务，负责合同实施阶段的主办、组织和协调工作。</w:t>
      </w:r>
    </w:p>
    <w:p w14:paraId="4D2FF2D0">
      <w:pPr>
        <w:rPr>
          <w:rFonts w:hAnsi="宋体" w:cs="宋体"/>
          <w:color w:val="auto"/>
          <w:szCs w:val="21"/>
        </w:rPr>
      </w:pPr>
      <w:r>
        <w:rPr>
          <w:rFonts w:hint="eastAsia" w:hAnsi="宋体" w:cs="宋体"/>
          <w:color w:val="auto"/>
          <w:szCs w:val="21"/>
        </w:rPr>
        <w:t>2.联合体将严格按照文件的各项要求，递交投标文件，切实执行一切合同文件，共同承担合同规定的一切义务和责任，同时按照内部职责的划分，承担自身所负的责任和风险，在法律上承担连带责任。</w:t>
      </w:r>
    </w:p>
    <w:p w14:paraId="4382E104">
      <w:pPr>
        <w:rPr>
          <w:rFonts w:hAnsi="宋体" w:cs="宋体"/>
          <w:color w:val="auto"/>
          <w:szCs w:val="21"/>
        </w:rPr>
      </w:pPr>
      <w:r>
        <w:rPr>
          <w:rFonts w:hint="eastAsia" w:hAnsi="宋体" w:cs="宋体"/>
          <w:color w:val="auto"/>
          <w:szCs w:val="21"/>
        </w:rPr>
        <w:t>3.如中标，联合体各方共同与（采购人）签订合同书，并就中标项目向采购人负有连带的和各自的法律责任；</w:t>
      </w:r>
    </w:p>
    <w:p w14:paraId="0EFF2CEC">
      <w:pPr>
        <w:outlineLvl w:val="1"/>
        <w:rPr>
          <w:rFonts w:hAnsi="宋体" w:cs="宋体"/>
          <w:color w:val="auto"/>
          <w:szCs w:val="21"/>
        </w:rPr>
      </w:pPr>
      <w:bookmarkStart w:id="425" w:name="_Toc11231"/>
      <w:r>
        <w:rPr>
          <w:rFonts w:hint="eastAsia" w:hAnsi="宋体" w:cs="宋体"/>
          <w:color w:val="auto"/>
          <w:szCs w:val="21"/>
        </w:rPr>
        <w:t>4.联合体各成员单位内部的职责分工如下：</w:t>
      </w:r>
      <w:bookmarkEnd w:id="425"/>
    </w:p>
    <w:p w14:paraId="6E6B24BC">
      <w:pPr>
        <w:rPr>
          <w:rFonts w:hAnsi="宋体" w:cs="宋体"/>
          <w:color w:val="auto"/>
          <w:szCs w:val="21"/>
        </w:rPr>
      </w:pPr>
      <w:r>
        <w:rPr>
          <w:rFonts w:hint="eastAsia" w:hAnsi="宋体" w:cs="宋体"/>
          <w:color w:val="auto"/>
          <w:szCs w:val="21"/>
        </w:rPr>
        <w:t>（1）</w:t>
      </w:r>
    </w:p>
    <w:p w14:paraId="1F6D39AF">
      <w:pPr>
        <w:rPr>
          <w:color w:val="auto"/>
        </w:rPr>
      </w:pPr>
      <w:r>
        <w:rPr>
          <w:rFonts w:hint="eastAsia" w:hAnsi="宋体" w:cs="宋体"/>
          <w:color w:val="auto"/>
          <w:szCs w:val="21"/>
        </w:rPr>
        <w:t>（2）</w:t>
      </w:r>
    </w:p>
    <w:p w14:paraId="3C4AABF1">
      <w:pPr>
        <w:rPr>
          <w:rFonts w:hAnsi="宋体" w:cs="宋体"/>
          <w:color w:val="auto"/>
          <w:szCs w:val="21"/>
        </w:rPr>
      </w:pPr>
      <w:r>
        <w:rPr>
          <w:rFonts w:hint="eastAsia" w:hAnsi="宋体" w:cs="宋体"/>
          <w:color w:val="auto"/>
          <w:szCs w:val="21"/>
        </w:rPr>
        <w:t>三、联合体各方不得再以自己名义参与本项目投标，联合体各方不能作为其它联合体或单独投标单位的项目组成员参加本项目投标。因发生上述问题导致联合体成为无效投标，联合体的其他成员可追究其违约责任和经济损失。</w:t>
      </w:r>
    </w:p>
    <w:p w14:paraId="17B30D54">
      <w:pPr>
        <w:rPr>
          <w:rFonts w:hAnsi="宋体" w:cs="宋体"/>
          <w:color w:val="auto"/>
          <w:szCs w:val="21"/>
        </w:rPr>
      </w:pPr>
      <w:r>
        <w:rPr>
          <w:rFonts w:hint="eastAsia" w:hAnsi="宋体" w:cs="宋体"/>
          <w:color w:val="auto"/>
          <w:szCs w:val="21"/>
        </w:rPr>
        <w:t>四、联合体如因违约过失责任而导致采购人经济损失或被索赔时，本联合体任何一方均同意无条件优先清偿采购人的一切债务和经济赔偿。</w:t>
      </w:r>
    </w:p>
    <w:p w14:paraId="4B12FBA6">
      <w:pPr>
        <w:rPr>
          <w:rFonts w:hAnsi="宋体" w:cs="宋体"/>
          <w:color w:val="auto"/>
          <w:szCs w:val="21"/>
        </w:rPr>
      </w:pPr>
      <w:r>
        <w:rPr>
          <w:rFonts w:hint="eastAsia"/>
          <w:color w:val="auto"/>
          <w:szCs w:val="21"/>
        </w:rPr>
        <w:t>五、联合体中标后，本联合体协议是合同的附件，对联合体各成员单位有合同约束力。</w:t>
      </w:r>
    </w:p>
    <w:p w14:paraId="324CE89F">
      <w:pPr>
        <w:rPr>
          <w:rFonts w:hAnsi="宋体" w:cs="宋体"/>
          <w:color w:val="auto"/>
          <w:szCs w:val="21"/>
        </w:rPr>
      </w:pPr>
      <w:r>
        <w:rPr>
          <w:rFonts w:hint="eastAsia" w:hAnsi="宋体" w:cs="宋体"/>
          <w:color w:val="auto"/>
          <w:szCs w:val="21"/>
        </w:rPr>
        <w:t>六、本协议在自签署之日起生效，投标有效期内有效，如获中标资格，本协议有效期延续至合同履行完毕之日。</w:t>
      </w:r>
    </w:p>
    <w:p w14:paraId="4B84E305">
      <w:pPr>
        <w:outlineLvl w:val="2"/>
        <w:rPr>
          <w:rFonts w:hAnsi="宋体" w:cs="宋体"/>
          <w:color w:val="auto"/>
          <w:szCs w:val="21"/>
        </w:rPr>
      </w:pPr>
      <w:bookmarkStart w:id="426" w:name="_Toc4189"/>
      <w:r>
        <w:rPr>
          <w:rFonts w:hint="eastAsia" w:hAnsi="宋体" w:cs="宋体"/>
          <w:color w:val="auto"/>
          <w:szCs w:val="21"/>
        </w:rPr>
        <w:t>七、本协议书一式____份，联合体成员和采购人各执一份。</w:t>
      </w:r>
      <w:bookmarkEnd w:id="426"/>
      <w:r>
        <w:rPr>
          <w:rFonts w:hint="eastAsia" w:hAnsi="宋体" w:cs="宋体"/>
          <w:color w:val="auto"/>
          <w:szCs w:val="21"/>
        </w:rPr>
        <w:t xml:space="preserve"> </w:t>
      </w:r>
    </w:p>
    <w:p w14:paraId="440606B1">
      <w:pPr>
        <w:rPr>
          <w:rFonts w:hAnsi="宋体" w:cs="宋体"/>
          <w:color w:val="auto"/>
          <w:szCs w:val="21"/>
        </w:rPr>
      </w:pPr>
    </w:p>
    <w:p w14:paraId="363B7FE8">
      <w:pPr>
        <w:pStyle w:val="11"/>
        <w:rPr>
          <w:color w:val="auto"/>
          <w:sz w:val="21"/>
          <w:szCs w:val="21"/>
        </w:rPr>
      </w:pPr>
      <w:r>
        <w:rPr>
          <w:rFonts w:hint="eastAsia"/>
          <w:color w:val="auto"/>
          <w:sz w:val="21"/>
          <w:szCs w:val="21"/>
        </w:rPr>
        <w:t>注：本协议书由委托人签字的，应附法定代表人签字的授权委托书。</w:t>
      </w:r>
    </w:p>
    <w:p w14:paraId="23A6A553">
      <w:pPr>
        <w:pStyle w:val="11"/>
        <w:rPr>
          <w:color w:val="auto"/>
          <w:sz w:val="21"/>
          <w:szCs w:val="21"/>
        </w:rPr>
      </w:pPr>
      <w:r>
        <w:rPr>
          <w:rFonts w:hint="eastAsia"/>
          <w:color w:val="auto"/>
          <w:sz w:val="21"/>
          <w:szCs w:val="21"/>
        </w:rPr>
        <w:t>牵头人名称：_______________________（盖单位公章）</w:t>
      </w:r>
    </w:p>
    <w:p w14:paraId="4B2123EA">
      <w:pPr>
        <w:pStyle w:val="11"/>
        <w:rPr>
          <w:color w:val="auto"/>
          <w:sz w:val="21"/>
          <w:szCs w:val="21"/>
        </w:rPr>
      </w:pPr>
      <w:r>
        <w:rPr>
          <w:rFonts w:hint="eastAsia"/>
          <w:color w:val="auto"/>
          <w:sz w:val="21"/>
          <w:szCs w:val="21"/>
        </w:rPr>
        <w:t>法定代表人或其委托代理人：_____________（签字）</w:t>
      </w:r>
    </w:p>
    <w:p w14:paraId="516B9BC7">
      <w:pPr>
        <w:pStyle w:val="11"/>
        <w:rPr>
          <w:color w:val="auto"/>
          <w:sz w:val="21"/>
          <w:szCs w:val="21"/>
        </w:rPr>
      </w:pPr>
    </w:p>
    <w:p w14:paraId="2843FDFB">
      <w:pPr>
        <w:pStyle w:val="11"/>
        <w:rPr>
          <w:color w:val="auto"/>
          <w:sz w:val="21"/>
          <w:szCs w:val="21"/>
        </w:rPr>
      </w:pPr>
      <w:r>
        <w:rPr>
          <w:rFonts w:hint="eastAsia"/>
          <w:color w:val="auto"/>
          <w:sz w:val="21"/>
          <w:szCs w:val="21"/>
        </w:rPr>
        <w:t>成员一名称：_______________________（盖单位公章）</w:t>
      </w:r>
    </w:p>
    <w:p w14:paraId="5373541C">
      <w:pPr>
        <w:pStyle w:val="11"/>
        <w:rPr>
          <w:color w:val="auto"/>
          <w:sz w:val="21"/>
          <w:szCs w:val="21"/>
        </w:rPr>
      </w:pPr>
      <w:r>
        <w:rPr>
          <w:rFonts w:hint="eastAsia"/>
          <w:color w:val="auto"/>
          <w:sz w:val="21"/>
          <w:szCs w:val="21"/>
        </w:rPr>
        <w:t>法定代表人或其委托代理人：_____________（签字）</w:t>
      </w:r>
    </w:p>
    <w:p w14:paraId="0A6E8C6B">
      <w:pPr>
        <w:pStyle w:val="11"/>
        <w:rPr>
          <w:color w:val="auto"/>
          <w:sz w:val="21"/>
          <w:szCs w:val="21"/>
        </w:rPr>
      </w:pPr>
    </w:p>
    <w:p w14:paraId="4E0D9AF8">
      <w:pPr>
        <w:pStyle w:val="11"/>
        <w:rPr>
          <w:color w:val="auto"/>
          <w:sz w:val="21"/>
          <w:szCs w:val="21"/>
        </w:rPr>
      </w:pPr>
      <w:r>
        <w:rPr>
          <w:rFonts w:hint="eastAsia"/>
          <w:color w:val="auto"/>
          <w:sz w:val="21"/>
          <w:szCs w:val="21"/>
        </w:rPr>
        <w:t>成员二名称：_______________________（盖单位公章）</w:t>
      </w:r>
    </w:p>
    <w:p w14:paraId="7AFEFB79">
      <w:pPr>
        <w:pStyle w:val="11"/>
        <w:rPr>
          <w:color w:val="auto"/>
          <w:sz w:val="21"/>
          <w:szCs w:val="21"/>
        </w:rPr>
      </w:pPr>
      <w:r>
        <w:rPr>
          <w:rFonts w:hint="eastAsia"/>
          <w:color w:val="auto"/>
          <w:sz w:val="21"/>
          <w:szCs w:val="21"/>
        </w:rPr>
        <w:t>法定代表人或其委托代理人：_____________（签字）</w:t>
      </w:r>
    </w:p>
    <w:p w14:paraId="230259EE">
      <w:pPr>
        <w:pStyle w:val="11"/>
        <w:ind w:firstLine="210" w:firstLineChars="100"/>
        <w:jc w:val="both"/>
        <w:rPr>
          <w:color w:val="auto"/>
          <w:sz w:val="21"/>
          <w:szCs w:val="21"/>
        </w:rPr>
      </w:pPr>
      <w:r>
        <w:rPr>
          <w:rFonts w:hint="eastAsia"/>
          <w:color w:val="auto"/>
          <w:sz w:val="21"/>
          <w:szCs w:val="21"/>
        </w:rPr>
        <w:t>……</w:t>
      </w:r>
    </w:p>
    <w:p w14:paraId="2C40B470">
      <w:pPr>
        <w:pStyle w:val="11"/>
        <w:rPr>
          <w:color w:val="auto"/>
          <w:sz w:val="21"/>
          <w:szCs w:val="21"/>
        </w:rPr>
      </w:pPr>
      <w:r>
        <w:rPr>
          <w:rFonts w:hint="eastAsia"/>
          <w:color w:val="auto"/>
          <w:sz w:val="21"/>
          <w:szCs w:val="21"/>
        </w:rPr>
        <w:t xml:space="preserve">        年     月     日</w:t>
      </w:r>
    </w:p>
    <w:p w14:paraId="4956F046">
      <w:pPr>
        <w:rPr>
          <w:color w:val="auto"/>
          <w:szCs w:val="21"/>
        </w:rPr>
      </w:pPr>
    </w:p>
    <w:p w14:paraId="274C8120">
      <w:pPr>
        <w:pStyle w:val="30"/>
        <w:ind w:firstLine="210"/>
        <w:rPr>
          <w:color w:val="auto"/>
          <w:sz w:val="21"/>
        </w:rPr>
      </w:pPr>
    </w:p>
    <w:p w14:paraId="3D027E58">
      <w:pPr>
        <w:rPr>
          <w:color w:val="auto"/>
          <w:szCs w:val="21"/>
        </w:rPr>
      </w:pPr>
    </w:p>
    <w:p w14:paraId="23B5C804">
      <w:pPr>
        <w:pStyle w:val="30"/>
        <w:ind w:firstLine="210"/>
        <w:rPr>
          <w:color w:val="auto"/>
          <w:sz w:val="21"/>
        </w:rPr>
      </w:pPr>
    </w:p>
    <w:p w14:paraId="0FC71753">
      <w:pPr>
        <w:rPr>
          <w:color w:val="auto"/>
          <w:szCs w:val="21"/>
        </w:rPr>
      </w:pPr>
    </w:p>
    <w:p w14:paraId="63D684C5">
      <w:pPr>
        <w:pStyle w:val="30"/>
        <w:ind w:firstLine="210"/>
        <w:rPr>
          <w:color w:val="auto"/>
          <w:sz w:val="21"/>
        </w:rPr>
      </w:pPr>
    </w:p>
    <w:p w14:paraId="37B06D8E">
      <w:pPr>
        <w:rPr>
          <w:color w:val="auto"/>
          <w:szCs w:val="21"/>
        </w:rPr>
      </w:pPr>
    </w:p>
    <w:p w14:paraId="0667C152">
      <w:pPr>
        <w:pStyle w:val="30"/>
        <w:ind w:firstLine="210"/>
        <w:rPr>
          <w:color w:val="auto"/>
          <w:sz w:val="21"/>
        </w:rPr>
      </w:pPr>
    </w:p>
    <w:p w14:paraId="55702D5F">
      <w:pPr>
        <w:rPr>
          <w:color w:val="auto"/>
          <w:szCs w:val="21"/>
        </w:rPr>
      </w:pPr>
    </w:p>
    <w:p w14:paraId="4B897366">
      <w:pPr>
        <w:pStyle w:val="30"/>
        <w:ind w:firstLine="240"/>
        <w:rPr>
          <w:color w:val="auto"/>
        </w:rPr>
      </w:pPr>
    </w:p>
    <w:p w14:paraId="731CDA61">
      <w:pPr>
        <w:pStyle w:val="5"/>
        <w:widowControl w:val="0"/>
        <w:overflowPunct w:val="0"/>
        <w:spacing w:line="240" w:lineRule="auto"/>
        <w:rPr>
          <w:rFonts w:ascii="宋体" w:hAnsi="宋体"/>
          <w:color w:val="auto"/>
          <w:sz w:val="21"/>
          <w:szCs w:val="21"/>
        </w:rPr>
      </w:pPr>
      <w:bookmarkStart w:id="427" w:name="_Toc29272"/>
      <w:bookmarkStart w:id="428" w:name="_Toc21868"/>
      <w:bookmarkStart w:id="429" w:name="_Toc28073"/>
      <w:r>
        <w:rPr>
          <w:rFonts w:hint="eastAsia" w:ascii="宋体" w:hAnsi="宋体"/>
          <w:color w:val="auto"/>
          <w:sz w:val="21"/>
          <w:szCs w:val="21"/>
        </w:rPr>
        <w:t>附件16.体系认证资料</w:t>
      </w:r>
      <w:bookmarkEnd w:id="427"/>
      <w:bookmarkEnd w:id="428"/>
      <w:bookmarkEnd w:id="429"/>
    </w:p>
    <w:p w14:paraId="34F2C2A2">
      <w:pPr>
        <w:pStyle w:val="5"/>
        <w:widowControl w:val="0"/>
        <w:overflowPunct w:val="0"/>
        <w:spacing w:line="240" w:lineRule="auto"/>
        <w:rPr>
          <w:rFonts w:ascii="宋体" w:hAnsi="宋体"/>
          <w:color w:val="auto"/>
          <w:sz w:val="21"/>
          <w:szCs w:val="21"/>
        </w:rPr>
      </w:pPr>
      <w:bookmarkStart w:id="430" w:name="_Toc9308"/>
      <w:bookmarkStart w:id="431" w:name="_Toc18165"/>
      <w:bookmarkStart w:id="432" w:name="_Toc9025"/>
      <w:r>
        <w:rPr>
          <w:rFonts w:hint="eastAsia" w:ascii="宋体" w:hAnsi="宋体"/>
          <w:color w:val="auto"/>
          <w:sz w:val="21"/>
          <w:szCs w:val="21"/>
        </w:rPr>
        <w:t>附件17.财务资料</w:t>
      </w:r>
      <w:bookmarkEnd w:id="430"/>
      <w:bookmarkEnd w:id="431"/>
      <w:bookmarkEnd w:id="432"/>
    </w:p>
    <w:p w14:paraId="6021A361">
      <w:pPr>
        <w:pStyle w:val="5"/>
        <w:widowControl w:val="0"/>
        <w:overflowPunct w:val="0"/>
        <w:spacing w:line="240" w:lineRule="auto"/>
        <w:rPr>
          <w:rFonts w:ascii="宋体" w:hAnsi="宋体"/>
          <w:color w:val="auto"/>
          <w:sz w:val="21"/>
          <w:szCs w:val="21"/>
        </w:rPr>
      </w:pPr>
      <w:bookmarkStart w:id="433" w:name="_Toc19134"/>
      <w:bookmarkStart w:id="434" w:name="_Toc2079"/>
      <w:bookmarkStart w:id="435" w:name="_Toc7839"/>
      <w:bookmarkStart w:id="436" w:name="_Toc16454"/>
      <w:r>
        <w:rPr>
          <w:rFonts w:hint="eastAsia" w:ascii="宋体" w:hAnsi="宋体"/>
          <w:color w:val="auto"/>
          <w:sz w:val="21"/>
          <w:szCs w:val="21"/>
        </w:rPr>
        <w:t>附件18.实施本项目的有关人员资料表格式</w:t>
      </w:r>
      <w:bookmarkEnd w:id="433"/>
      <w:bookmarkEnd w:id="434"/>
      <w:bookmarkEnd w:id="435"/>
      <w:bookmarkEnd w:id="436"/>
    </w:p>
    <w:p w14:paraId="0585BAFA">
      <w:pPr>
        <w:jc w:val="center"/>
        <w:rPr>
          <w:rFonts w:ascii="宋体" w:hAnsi="宋体"/>
          <w:color w:val="auto"/>
          <w:szCs w:val="21"/>
        </w:rPr>
      </w:pPr>
    </w:p>
    <w:p w14:paraId="7662AA29">
      <w:pPr>
        <w:jc w:val="center"/>
        <w:rPr>
          <w:rFonts w:ascii="兰米黑体" w:eastAsia="兰米黑体"/>
          <w:color w:val="auto"/>
          <w:sz w:val="32"/>
          <w:szCs w:val="32"/>
        </w:rPr>
      </w:pPr>
      <w:r>
        <w:rPr>
          <w:rFonts w:hint="eastAsia" w:ascii="兰米黑体" w:eastAsia="兰米黑体"/>
          <w:color w:val="auto"/>
          <w:sz w:val="32"/>
          <w:szCs w:val="32"/>
        </w:rPr>
        <w:t>实施本项目的有关人员资料表</w:t>
      </w:r>
    </w:p>
    <w:tbl>
      <w:tblPr>
        <w:tblStyle w:val="32"/>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702"/>
        <w:gridCol w:w="1861"/>
        <w:gridCol w:w="702"/>
        <w:gridCol w:w="702"/>
        <w:gridCol w:w="1164"/>
        <w:gridCol w:w="818"/>
        <w:gridCol w:w="1165"/>
        <w:gridCol w:w="703"/>
      </w:tblGrid>
      <w:tr w14:paraId="6D21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4226E094">
            <w:pPr>
              <w:jc w:val="center"/>
              <w:rPr>
                <w:rFonts w:ascii="宋体" w:hAnsi="宋体"/>
                <w:color w:val="auto"/>
                <w:szCs w:val="21"/>
              </w:rPr>
            </w:pPr>
            <w:r>
              <w:rPr>
                <w:rFonts w:hint="eastAsia" w:ascii="宋体" w:hAnsi="宋体"/>
                <w:color w:val="auto"/>
                <w:szCs w:val="21"/>
              </w:rPr>
              <w:t>序号</w:t>
            </w:r>
          </w:p>
        </w:tc>
        <w:tc>
          <w:tcPr>
            <w:tcW w:w="702" w:type="dxa"/>
            <w:vAlign w:val="center"/>
          </w:tcPr>
          <w:p w14:paraId="68826701">
            <w:pPr>
              <w:jc w:val="center"/>
              <w:rPr>
                <w:rFonts w:ascii="宋体" w:hAnsi="宋体"/>
                <w:color w:val="auto"/>
                <w:szCs w:val="21"/>
              </w:rPr>
            </w:pPr>
            <w:r>
              <w:rPr>
                <w:rFonts w:hint="eastAsia" w:ascii="宋体" w:hAnsi="宋体"/>
                <w:color w:val="auto"/>
                <w:szCs w:val="21"/>
              </w:rPr>
              <w:t>姓名</w:t>
            </w:r>
          </w:p>
        </w:tc>
        <w:tc>
          <w:tcPr>
            <w:tcW w:w="1861" w:type="dxa"/>
            <w:vAlign w:val="center"/>
          </w:tcPr>
          <w:p w14:paraId="6DB67803">
            <w:pPr>
              <w:jc w:val="center"/>
              <w:rPr>
                <w:rFonts w:ascii="宋体" w:hAnsi="宋体"/>
                <w:color w:val="auto"/>
                <w:szCs w:val="21"/>
              </w:rPr>
            </w:pPr>
            <w:r>
              <w:rPr>
                <w:rFonts w:hint="eastAsia" w:ascii="宋体" w:hAnsi="宋体"/>
                <w:color w:val="auto"/>
                <w:szCs w:val="21"/>
              </w:rPr>
              <w:t>本项目拟任岗位</w:t>
            </w:r>
          </w:p>
        </w:tc>
        <w:tc>
          <w:tcPr>
            <w:tcW w:w="702" w:type="dxa"/>
            <w:vAlign w:val="center"/>
          </w:tcPr>
          <w:p w14:paraId="0C270574">
            <w:pPr>
              <w:jc w:val="center"/>
              <w:rPr>
                <w:rFonts w:ascii="宋体" w:hAnsi="宋体"/>
                <w:color w:val="auto"/>
                <w:szCs w:val="21"/>
              </w:rPr>
            </w:pPr>
            <w:r>
              <w:rPr>
                <w:rFonts w:hint="eastAsia" w:ascii="宋体" w:hAnsi="宋体"/>
                <w:color w:val="auto"/>
                <w:szCs w:val="21"/>
              </w:rPr>
              <w:t>性别</w:t>
            </w:r>
          </w:p>
        </w:tc>
        <w:tc>
          <w:tcPr>
            <w:tcW w:w="702" w:type="dxa"/>
            <w:vAlign w:val="center"/>
          </w:tcPr>
          <w:p w14:paraId="5008D814">
            <w:pPr>
              <w:jc w:val="center"/>
              <w:rPr>
                <w:rFonts w:ascii="宋体" w:hAnsi="宋体"/>
                <w:color w:val="auto"/>
                <w:szCs w:val="21"/>
              </w:rPr>
            </w:pPr>
            <w:r>
              <w:rPr>
                <w:rFonts w:hint="eastAsia" w:ascii="宋体" w:hAnsi="宋体"/>
                <w:color w:val="auto"/>
                <w:szCs w:val="21"/>
              </w:rPr>
              <w:t>年龄</w:t>
            </w:r>
          </w:p>
        </w:tc>
        <w:tc>
          <w:tcPr>
            <w:tcW w:w="1164" w:type="dxa"/>
            <w:vAlign w:val="center"/>
          </w:tcPr>
          <w:p w14:paraId="7E566628">
            <w:pPr>
              <w:jc w:val="center"/>
              <w:rPr>
                <w:rFonts w:ascii="宋体" w:hAnsi="宋体"/>
                <w:color w:val="auto"/>
                <w:szCs w:val="21"/>
              </w:rPr>
            </w:pPr>
            <w:r>
              <w:rPr>
                <w:rFonts w:hint="eastAsia" w:ascii="宋体" w:hAnsi="宋体"/>
                <w:color w:val="auto"/>
                <w:szCs w:val="21"/>
              </w:rPr>
              <w:t>技术职称</w:t>
            </w:r>
          </w:p>
        </w:tc>
        <w:tc>
          <w:tcPr>
            <w:tcW w:w="818" w:type="dxa"/>
            <w:vAlign w:val="center"/>
          </w:tcPr>
          <w:p w14:paraId="539A0624">
            <w:pPr>
              <w:jc w:val="center"/>
              <w:rPr>
                <w:rFonts w:ascii="宋体" w:hAnsi="宋体"/>
                <w:color w:val="auto"/>
                <w:szCs w:val="21"/>
              </w:rPr>
            </w:pPr>
            <w:r>
              <w:rPr>
                <w:rFonts w:hint="eastAsia" w:ascii="宋体" w:hAnsi="宋体"/>
                <w:color w:val="auto"/>
                <w:szCs w:val="21"/>
              </w:rPr>
              <w:t>专 业</w:t>
            </w:r>
          </w:p>
        </w:tc>
        <w:tc>
          <w:tcPr>
            <w:tcW w:w="1165" w:type="dxa"/>
            <w:vAlign w:val="center"/>
          </w:tcPr>
          <w:p w14:paraId="56EA656C">
            <w:pPr>
              <w:jc w:val="center"/>
              <w:rPr>
                <w:rFonts w:ascii="宋体" w:hAnsi="宋体"/>
                <w:color w:val="auto"/>
                <w:szCs w:val="21"/>
              </w:rPr>
            </w:pPr>
            <w:r>
              <w:rPr>
                <w:rFonts w:hint="eastAsia" w:ascii="宋体" w:hAnsi="宋体"/>
                <w:color w:val="auto"/>
                <w:szCs w:val="21"/>
              </w:rPr>
              <w:t>资质证书</w:t>
            </w:r>
          </w:p>
        </w:tc>
        <w:tc>
          <w:tcPr>
            <w:tcW w:w="703" w:type="dxa"/>
            <w:tcBorders>
              <w:right w:val="single" w:color="auto" w:sz="6" w:space="0"/>
            </w:tcBorders>
            <w:vAlign w:val="center"/>
          </w:tcPr>
          <w:p w14:paraId="7941D1F9">
            <w:pPr>
              <w:jc w:val="center"/>
              <w:rPr>
                <w:rFonts w:ascii="宋体" w:hAnsi="宋体"/>
                <w:color w:val="auto"/>
                <w:szCs w:val="21"/>
              </w:rPr>
            </w:pPr>
            <w:r>
              <w:rPr>
                <w:rFonts w:hint="eastAsia" w:ascii="宋体" w:hAnsi="宋体"/>
                <w:color w:val="auto"/>
                <w:szCs w:val="21"/>
              </w:rPr>
              <w:t>备注</w:t>
            </w:r>
          </w:p>
        </w:tc>
      </w:tr>
      <w:tr w14:paraId="3467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2DBA9FFD">
            <w:pPr>
              <w:spacing w:line="288" w:lineRule="auto"/>
              <w:jc w:val="center"/>
              <w:rPr>
                <w:rFonts w:ascii="宋体" w:hAnsi="宋体"/>
                <w:color w:val="auto"/>
                <w:szCs w:val="21"/>
              </w:rPr>
            </w:pPr>
          </w:p>
        </w:tc>
        <w:tc>
          <w:tcPr>
            <w:tcW w:w="702" w:type="dxa"/>
            <w:vAlign w:val="center"/>
          </w:tcPr>
          <w:p w14:paraId="6B988699">
            <w:pPr>
              <w:spacing w:line="288" w:lineRule="auto"/>
              <w:jc w:val="center"/>
              <w:rPr>
                <w:rFonts w:ascii="宋体" w:hAnsi="宋体"/>
                <w:color w:val="auto"/>
                <w:szCs w:val="21"/>
              </w:rPr>
            </w:pPr>
          </w:p>
        </w:tc>
        <w:tc>
          <w:tcPr>
            <w:tcW w:w="1861" w:type="dxa"/>
            <w:vAlign w:val="center"/>
          </w:tcPr>
          <w:p w14:paraId="557085AE">
            <w:pPr>
              <w:spacing w:line="288" w:lineRule="auto"/>
              <w:jc w:val="center"/>
              <w:rPr>
                <w:rFonts w:ascii="宋体" w:hAnsi="宋体"/>
                <w:color w:val="auto"/>
                <w:szCs w:val="21"/>
              </w:rPr>
            </w:pPr>
          </w:p>
        </w:tc>
        <w:tc>
          <w:tcPr>
            <w:tcW w:w="702" w:type="dxa"/>
            <w:vAlign w:val="center"/>
          </w:tcPr>
          <w:p w14:paraId="58C545D7">
            <w:pPr>
              <w:spacing w:line="288" w:lineRule="auto"/>
              <w:jc w:val="center"/>
              <w:rPr>
                <w:rFonts w:ascii="宋体" w:hAnsi="宋体"/>
                <w:color w:val="auto"/>
                <w:szCs w:val="21"/>
              </w:rPr>
            </w:pPr>
          </w:p>
        </w:tc>
        <w:tc>
          <w:tcPr>
            <w:tcW w:w="702" w:type="dxa"/>
            <w:vAlign w:val="center"/>
          </w:tcPr>
          <w:p w14:paraId="23153CF2">
            <w:pPr>
              <w:spacing w:line="288" w:lineRule="auto"/>
              <w:jc w:val="center"/>
              <w:rPr>
                <w:rFonts w:ascii="宋体" w:hAnsi="宋体"/>
                <w:color w:val="auto"/>
                <w:szCs w:val="21"/>
              </w:rPr>
            </w:pPr>
          </w:p>
        </w:tc>
        <w:tc>
          <w:tcPr>
            <w:tcW w:w="1164" w:type="dxa"/>
            <w:vAlign w:val="center"/>
          </w:tcPr>
          <w:p w14:paraId="00CFE2B7">
            <w:pPr>
              <w:spacing w:line="288" w:lineRule="auto"/>
              <w:jc w:val="center"/>
              <w:rPr>
                <w:rFonts w:ascii="宋体" w:hAnsi="宋体"/>
                <w:color w:val="auto"/>
                <w:szCs w:val="21"/>
              </w:rPr>
            </w:pPr>
          </w:p>
        </w:tc>
        <w:tc>
          <w:tcPr>
            <w:tcW w:w="818" w:type="dxa"/>
            <w:vAlign w:val="center"/>
          </w:tcPr>
          <w:p w14:paraId="42392EF1">
            <w:pPr>
              <w:spacing w:line="288" w:lineRule="auto"/>
              <w:jc w:val="center"/>
              <w:rPr>
                <w:rFonts w:ascii="宋体" w:hAnsi="宋体"/>
                <w:color w:val="auto"/>
                <w:szCs w:val="21"/>
              </w:rPr>
            </w:pPr>
          </w:p>
        </w:tc>
        <w:tc>
          <w:tcPr>
            <w:tcW w:w="1165" w:type="dxa"/>
            <w:vAlign w:val="center"/>
          </w:tcPr>
          <w:p w14:paraId="26CAB0B1">
            <w:pPr>
              <w:spacing w:line="288" w:lineRule="auto"/>
              <w:jc w:val="center"/>
              <w:rPr>
                <w:rFonts w:ascii="宋体" w:hAnsi="宋体"/>
                <w:color w:val="auto"/>
                <w:szCs w:val="21"/>
              </w:rPr>
            </w:pPr>
          </w:p>
        </w:tc>
        <w:tc>
          <w:tcPr>
            <w:tcW w:w="703" w:type="dxa"/>
            <w:tcBorders>
              <w:right w:val="single" w:color="auto" w:sz="6" w:space="0"/>
            </w:tcBorders>
            <w:vAlign w:val="center"/>
          </w:tcPr>
          <w:p w14:paraId="48E92CC6">
            <w:pPr>
              <w:spacing w:line="288" w:lineRule="auto"/>
              <w:jc w:val="center"/>
              <w:rPr>
                <w:rFonts w:ascii="宋体" w:hAnsi="宋体"/>
                <w:color w:val="auto"/>
                <w:szCs w:val="21"/>
              </w:rPr>
            </w:pPr>
          </w:p>
        </w:tc>
      </w:tr>
      <w:tr w14:paraId="378A5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0237D0C0">
            <w:pPr>
              <w:spacing w:line="288" w:lineRule="auto"/>
              <w:jc w:val="center"/>
              <w:rPr>
                <w:rFonts w:ascii="宋体" w:hAnsi="宋体"/>
                <w:color w:val="auto"/>
                <w:szCs w:val="21"/>
              </w:rPr>
            </w:pPr>
          </w:p>
        </w:tc>
        <w:tc>
          <w:tcPr>
            <w:tcW w:w="702" w:type="dxa"/>
            <w:vAlign w:val="center"/>
          </w:tcPr>
          <w:p w14:paraId="32500C99">
            <w:pPr>
              <w:spacing w:line="288" w:lineRule="auto"/>
              <w:jc w:val="center"/>
              <w:rPr>
                <w:rFonts w:ascii="宋体" w:hAnsi="宋体"/>
                <w:color w:val="auto"/>
                <w:szCs w:val="21"/>
              </w:rPr>
            </w:pPr>
          </w:p>
        </w:tc>
        <w:tc>
          <w:tcPr>
            <w:tcW w:w="1861" w:type="dxa"/>
            <w:vAlign w:val="center"/>
          </w:tcPr>
          <w:p w14:paraId="440021ED">
            <w:pPr>
              <w:spacing w:line="288" w:lineRule="auto"/>
              <w:jc w:val="center"/>
              <w:rPr>
                <w:rFonts w:ascii="宋体" w:hAnsi="宋体"/>
                <w:color w:val="auto"/>
                <w:szCs w:val="21"/>
              </w:rPr>
            </w:pPr>
          </w:p>
        </w:tc>
        <w:tc>
          <w:tcPr>
            <w:tcW w:w="702" w:type="dxa"/>
            <w:vAlign w:val="center"/>
          </w:tcPr>
          <w:p w14:paraId="5422517F">
            <w:pPr>
              <w:spacing w:line="288" w:lineRule="auto"/>
              <w:jc w:val="center"/>
              <w:rPr>
                <w:rFonts w:ascii="宋体" w:hAnsi="宋体"/>
                <w:color w:val="auto"/>
                <w:szCs w:val="21"/>
              </w:rPr>
            </w:pPr>
          </w:p>
        </w:tc>
        <w:tc>
          <w:tcPr>
            <w:tcW w:w="702" w:type="dxa"/>
            <w:vAlign w:val="center"/>
          </w:tcPr>
          <w:p w14:paraId="439D4B28">
            <w:pPr>
              <w:spacing w:line="288" w:lineRule="auto"/>
              <w:jc w:val="center"/>
              <w:rPr>
                <w:rFonts w:ascii="宋体" w:hAnsi="宋体"/>
                <w:color w:val="auto"/>
                <w:szCs w:val="21"/>
              </w:rPr>
            </w:pPr>
          </w:p>
        </w:tc>
        <w:tc>
          <w:tcPr>
            <w:tcW w:w="1164" w:type="dxa"/>
            <w:vAlign w:val="center"/>
          </w:tcPr>
          <w:p w14:paraId="04590517">
            <w:pPr>
              <w:spacing w:line="288" w:lineRule="auto"/>
              <w:jc w:val="center"/>
              <w:rPr>
                <w:rFonts w:ascii="宋体" w:hAnsi="宋体"/>
                <w:color w:val="auto"/>
                <w:szCs w:val="21"/>
              </w:rPr>
            </w:pPr>
          </w:p>
        </w:tc>
        <w:tc>
          <w:tcPr>
            <w:tcW w:w="818" w:type="dxa"/>
            <w:vAlign w:val="center"/>
          </w:tcPr>
          <w:p w14:paraId="662508BD">
            <w:pPr>
              <w:spacing w:line="288" w:lineRule="auto"/>
              <w:jc w:val="center"/>
              <w:rPr>
                <w:rFonts w:ascii="宋体" w:hAnsi="宋体"/>
                <w:color w:val="auto"/>
                <w:szCs w:val="21"/>
              </w:rPr>
            </w:pPr>
          </w:p>
        </w:tc>
        <w:tc>
          <w:tcPr>
            <w:tcW w:w="1165" w:type="dxa"/>
            <w:vAlign w:val="center"/>
          </w:tcPr>
          <w:p w14:paraId="35CD1C25">
            <w:pPr>
              <w:spacing w:line="288" w:lineRule="auto"/>
              <w:jc w:val="center"/>
              <w:rPr>
                <w:rFonts w:ascii="宋体" w:hAnsi="宋体"/>
                <w:color w:val="auto"/>
                <w:szCs w:val="21"/>
              </w:rPr>
            </w:pPr>
          </w:p>
        </w:tc>
        <w:tc>
          <w:tcPr>
            <w:tcW w:w="703" w:type="dxa"/>
            <w:tcBorders>
              <w:right w:val="single" w:color="auto" w:sz="6" w:space="0"/>
            </w:tcBorders>
            <w:vAlign w:val="center"/>
          </w:tcPr>
          <w:p w14:paraId="18BD76FC">
            <w:pPr>
              <w:spacing w:line="288" w:lineRule="auto"/>
              <w:jc w:val="center"/>
              <w:rPr>
                <w:rFonts w:ascii="宋体" w:hAnsi="宋体"/>
                <w:color w:val="auto"/>
                <w:szCs w:val="21"/>
              </w:rPr>
            </w:pPr>
          </w:p>
        </w:tc>
      </w:tr>
      <w:tr w14:paraId="2BDA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511A96C8">
            <w:pPr>
              <w:spacing w:line="288" w:lineRule="auto"/>
              <w:jc w:val="center"/>
              <w:rPr>
                <w:rFonts w:ascii="宋体" w:hAnsi="宋体"/>
                <w:color w:val="auto"/>
                <w:szCs w:val="21"/>
              </w:rPr>
            </w:pPr>
          </w:p>
        </w:tc>
        <w:tc>
          <w:tcPr>
            <w:tcW w:w="702" w:type="dxa"/>
            <w:vAlign w:val="center"/>
          </w:tcPr>
          <w:p w14:paraId="04175AD7">
            <w:pPr>
              <w:spacing w:line="288" w:lineRule="auto"/>
              <w:jc w:val="center"/>
              <w:rPr>
                <w:rFonts w:ascii="宋体" w:hAnsi="宋体"/>
                <w:color w:val="auto"/>
                <w:szCs w:val="21"/>
              </w:rPr>
            </w:pPr>
          </w:p>
        </w:tc>
        <w:tc>
          <w:tcPr>
            <w:tcW w:w="1861" w:type="dxa"/>
            <w:vAlign w:val="center"/>
          </w:tcPr>
          <w:p w14:paraId="0F0497F7">
            <w:pPr>
              <w:spacing w:line="288" w:lineRule="auto"/>
              <w:jc w:val="center"/>
              <w:rPr>
                <w:rFonts w:ascii="宋体" w:hAnsi="宋体"/>
                <w:color w:val="auto"/>
                <w:szCs w:val="21"/>
              </w:rPr>
            </w:pPr>
          </w:p>
        </w:tc>
        <w:tc>
          <w:tcPr>
            <w:tcW w:w="702" w:type="dxa"/>
            <w:vAlign w:val="center"/>
          </w:tcPr>
          <w:p w14:paraId="3E469880">
            <w:pPr>
              <w:spacing w:line="288" w:lineRule="auto"/>
              <w:jc w:val="center"/>
              <w:rPr>
                <w:rFonts w:ascii="宋体" w:hAnsi="宋体"/>
                <w:color w:val="auto"/>
                <w:szCs w:val="21"/>
              </w:rPr>
            </w:pPr>
          </w:p>
        </w:tc>
        <w:tc>
          <w:tcPr>
            <w:tcW w:w="702" w:type="dxa"/>
            <w:vAlign w:val="center"/>
          </w:tcPr>
          <w:p w14:paraId="35554210">
            <w:pPr>
              <w:spacing w:line="288" w:lineRule="auto"/>
              <w:jc w:val="center"/>
              <w:rPr>
                <w:rFonts w:ascii="宋体" w:hAnsi="宋体"/>
                <w:color w:val="auto"/>
                <w:szCs w:val="21"/>
              </w:rPr>
            </w:pPr>
          </w:p>
        </w:tc>
        <w:tc>
          <w:tcPr>
            <w:tcW w:w="1164" w:type="dxa"/>
            <w:vAlign w:val="center"/>
          </w:tcPr>
          <w:p w14:paraId="22D4384E">
            <w:pPr>
              <w:spacing w:line="288" w:lineRule="auto"/>
              <w:jc w:val="center"/>
              <w:rPr>
                <w:rFonts w:ascii="宋体" w:hAnsi="宋体"/>
                <w:color w:val="auto"/>
                <w:szCs w:val="21"/>
              </w:rPr>
            </w:pPr>
          </w:p>
        </w:tc>
        <w:tc>
          <w:tcPr>
            <w:tcW w:w="818" w:type="dxa"/>
            <w:vAlign w:val="center"/>
          </w:tcPr>
          <w:p w14:paraId="4280CFAB">
            <w:pPr>
              <w:spacing w:line="288" w:lineRule="auto"/>
              <w:jc w:val="center"/>
              <w:rPr>
                <w:rFonts w:ascii="宋体" w:hAnsi="宋体"/>
                <w:color w:val="auto"/>
                <w:szCs w:val="21"/>
              </w:rPr>
            </w:pPr>
          </w:p>
        </w:tc>
        <w:tc>
          <w:tcPr>
            <w:tcW w:w="1165" w:type="dxa"/>
            <w:vAlign w:val="center"/>
          </w:tcPr>
          <w:p w14:paraId="62ABA9F6">
            <w:pPr>
              <w:spacing w:line="288" w:lineRule="auto"/>
              <w:jc w:val="center"/>
              <w:rPr>
                <w:rFonts w:ascii="宋体" w:hAnsi="宋体"/>
                <w:color w:val="auto"/>
                <w:szCs w:val="21"/>
              </w:rPr>
            </w:pPr>
          </w:p>
        </w:tc>
        <w:tc>
          <w:tcPr>
            <w:tcW w:w="703" w:type="dxa"/>
            <w:tcBorders>
              <w:right w:val="single" w:color="auto" w:sz="6" w:space="0"/>
            </w:tcBorders>
            <w:vAlign w:val="center"/>
          </w:tcPr>
          <w:p w14:paraId="6EA43036">
            <w:pPr>
              <w:spacing w:line="288" w:lineRule="auto"/>
              <w:jc w:val="center"/>
              <w:rPr>
                <w:rFonts w:ascii="宋体" w:hAnsi="宋体"/>
                <w:color w:val="auto"/>
                <w:szCs w:val="21"/>
              </w:rPr>
            </w:pPr>
          </w:p>
        </w:tc>
      </w:tr>
      <w:tr w14:paraId="3AC4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757D445E">
            <w:pPr>
              <w:spacing w:line="288" w:lineRule="auto"/>
              <w:jc w:val="center"/>
              <w:rPr>
                <w:rFonts w:ascii="宋体" w:hAnsi="宋体"/>
                <w:color w:val="auto"/>
                <w:szCs w:val="21"/>
              </w:rPr>
            </w:pPr>
          </w:p>
        </w:tc>
        <w:tc>
          <w:tcPr>
            <w:tcW w:w="702" w:type="dxa"/>
            <w:vAlign w:val="center"/>
          </w:tcPr>
          <w:p w14:paraId="61B4B6A5">
            <w:pPr>
              <w:spacing w:line="288" w:lineRule="auto"/>
              <w:jc w:val="center"/>
              <w:rPr>
                <w:rFonts w:ascii="宋体" w:hAnsi="宋体"/>
                <w:color w:val="auto"/>
                <w:szCs w:val="21"/>
              </w:rPr>
            </w:pPr>
          </w:p>
        </w:tc>
        <w:tc>
          <w:tcPr>
            <w:tcW w:w="1861" w:type="dxa"/>
            <w:vAlign w:val="center"/>
          </w:tcPr>
          <w:p w14:paraId="6CCFB261">
            <w:pPr>
              <w:spacing w:line="288" w:lineRule="auto"/>
              <w:jc w:val="center"/>
              <w:rPr>
                <w:rFonts w:ascii="宋体" w:hAnsi="宋体"/>
                <w:color w:val="auto"/>
                <w:szCs w:val="21"/>
              </w:rPr>
            </w:pPr>
          </w:p>
        </w:tc>
        <w:tc>
          <w:tcPr>
            <w:tcW w:w="702" w:type="dxa"/>
            <w:vAlign w:val="center"/>
          </w:tcPr>
          <w:p w14:paraId="76FB164A">
            <w:pPr>
              <w:spacing w:line="288" w:lineRule="auto"/>
              <w:jc w:val="center"/>
              <w:rPr>
                <w:rFonts w:ascii="宋体" w:hAnsi="宋体"/>
                <w:color w:val="auto"/>
                <w:szCs w:val="21"/>
              </w:rPr>
            </w:pPr>
          </w:p>
        </w:tc>
        <w:tc>
          <w:tcPr>
            <w:tcW w:w="702" w:type="dxa"/>
            <w:vAlign w:val="center"/>
          </w:tcPr>
          <w:p w14:paraId="19931A2F">
            <w:pPr>
              <w:spacing w:line="288" w:lineRule="auto"/>
              <w:jc w:val="center"/>
              <w:rPr>
                <w:rFonts w:ascii="宋体" w:hAnsi="宋体"/>
                <w:color w:val="auto"/>
                <w:szCs w:val="21"/>
              </w:rPr>
            </w:pPr>
          </w:p>
        </w:tc>
        <w:tc>
          <w:tcPr>
            <w:tcW w:w="1164" w:type="dxa"/>
            <w:vAlign w:val="center"/>
          </w:tcPr>
          <w:p w14:paraId="3B6035F2">
            <w:pPr>
              <w:spacing w:line="288" w:lineRule="auto"/>
              <w:jc w:val="center"/>
              <w:rPr>
                <w:rFonts w:ascii="宋体" w:hAnsi="宋体"/>
                <w:color w:val="auto"/>
                <w:szCs w:val="21"/>
              </w:rPr>
            </w:pPr>
          </w:p>
        </w:tc>
        <w:tc>
          <w:tcPr>
            <w:tcW w:w="818" w:type="dxa"/>
            <w:vAlign w:val="center"/>
          </w:tcPr>
          <w:p w14:paraId="75025995">
            <w:pPr>
              <w:spacing w:line="288" w:lineRule="auto"/>
              <w:jc w:val="center"/>
              <w:rPr>
                <w:rFonts w:ascii="宋体" w:hAnsi="宋体"/>
                <w:color w:val="auto"/>
                <w:szCs w:val="21"/>
              </w:rPr>
            </w:pPr>
          </w:p>
        </w:tc>
        <w:tc>
          <w:tcPr>
            <w:tcW w:w="1165" w:type="dxa"/>
            <w:vAlign w:val="center"/>
          </w:tcPr>
          <w:p w14:paraId="76338CB5">
            <w:pPr>
              <w:spacing w:line="288" w:lineRule="auto"/>
              <w:jc w:val="center"/>
              <w:rPr>
                <w:rFonts w:ascii="宋体" w:hAnsi="宋体"/>
                <w:color w:val="auto"/>
                <w:szCs w:val="21"/>
              </w:rPr>
            </w:pPr>
          </w:p>
        </w:tc>
        <w:tc>
          <w:tcPr>
            <w:tcW w:w="703" w:type="dxa"/>
            <w:tcBorders>
              <w:right w:val="single" w:color="auto" w:sz="6" w:space="0"/>
            </w:tcBorders>
            <w:vAlign w:val="center"/>
          </w:tcPr>
          <w:p w14:paraId="32A9E508">
            <w:pPr>
              <w:spacing w:line="288" w:lineRule="auto"/>
              <w:jc w:val="center"/>
              <w:rPr>
                <w:rFonts w:ascii="宋体" w:hAnsi="宋体"/>
                <w:color w:val="auto"/>
                <w:szCs w:val="21"/>
              </w:rPr>
            </w:pPr>
          </w:p>
        </w:tc>
      </w:tr>
      <w:tr w14:paraId="2142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10F28E91">
            <w:pPr>
              <w:spacing w:line="288" w:lineRule="auto"/>
              <w:jc w:val="center"/>
              <w:rPr>
                <w:rFonts w:ascii="宋体" w:hAnsi="宋体"/>
                <w:color w:val="auto"/>
                <w:szCs w:val="21"/>
              </w:rPr>
            </w:pPr>
          </w:p>
        </w:tc>
        <w:tc>
          <w:tcPr>
            <w:tcW w:w="702" w:type="dxa"/>
            <w:vAlign w:val="center"/>
          </w:tcPr>
          <w:p w14:paraId="44541B3B">
            <w:pPr>
              <w:spacing w:line="288" w:lineRule="auto"/>
              <w:jc w:val="center"/>
              <w:rPr>
                <w:rFonts w:ascii="宋体" w:hAnsi="宋体"/>
                <w:color w:val="auto"/>
                <w:szCs w:val="21"/>
              </w:rPr>
            </w:pPr>
          </w:p>
        </w:tc>
        <w:tc>
          <w:tcPr>
            <w:tcW w:w="1861" w:type="dxa"/>
            <w:vAlign w:val="center"/>
          </w:tcPr>
          <w:p w14:paraId="69A57601">
            <w:pPr>
              <w:spacing w:line="288" w:lineRule="auto"/>
              <w:jc w:val="center"/>
              <w:rPr>
                <w:rFonts w:ascii="宋体" w:hAnsi="宋体"/>
                <w:color w:val="auto"/>
                <w:szCs w:val="21"/>
              </w:rPr>
            </w:pPr>
          </w:p>
        </w:tc>
        <w:tc>
          <w:tcPr>
            <w:tcW w:w="702" w:type="dxa"/>
            <w:vAlign w:val="center"/>
          </w:tcPr>
          <w:p w14:paraId="0BAD00D3">
            <w:pPr>
              <w:spacing w:line="288" w:lineRule="auto"/>
              <w:jc w:val="center"/>
              <w:rPr>
                <w:rFonts w:ascii="宋体" w:hAnsi="宋体"/>
                <w:color w:val="auto"/>
                <w:szCs w:val="21"/>
              </w:rPr>
            </w:pPr>
          </w:p>
        </w:tc>
        <w:tc>
          <w:tcPr>
            <w:tcW w:w="702" w:type="dxa"/>
            <w:vAlign w:val="center"/>
          </w:tcPr>
          <w:p w14:paraId="070546D1">
            <w:pPr>
              <w:spacing w:line="288" w:lineRule="auto"/>
              <w:jc w:val="center"/>
              <w:rPr>
                <w:rFonts w:ascii="宋体" w:hAnsi="宋体"/>
                <w:color w:val="auto"/>
                <w:szCs w:val="21"/>
              </w:rPr>
            </w:pPr>
          </w:p>
        </w:tc>
        <w:tc>
          <w:tcPr>
            <w:tcW w:w="1164" w:type="dxa"/>
            <w:vAlign w:val="center"/>
          </w:tcPr>
          <w:p w14:paraId="707A8130">
            <w:pPr>
              <w:spacing w:line="288" w:lineRule="auto"/>
              <w:jc w:val="center"/>
              <w:rPr>
                <w:rFonts w:ascii="宋体" w:hAnsi="宋体"/>
                <w:color w:val="auto"/>
                <w:szCs w:val="21"/>
              </w:rPr>
            </w:pPr>
          </w:p>
        </w:tc>
        <w:tc>
          <w:tcPr>
            <w:tcW w:w="818" w:type="dxa"/>
            <w:vAlign w:val="center"/>
          </w:tcPr>
          <w:p w14:paraId="26BAF04C">
            <w:pPr>
              <w:spacing w:line="288" w:lineRule="auto"/>
              <w:jc w:val="center"/>
              <w:rPr>
                <w:rFonts w:ascii="宋体" w:hAnsi="宋体"/>
                <w:color w:val="auto"/>
                <w:szCs w:val="21"/>
              </w:rPr>
            </w:pPr>
          </w:p>
        </w:tc>
        <w:tc>
          <w:tcPr>
            <w:tcW w:w="1165" w:type="dxa"/>
            <w:vAlign w:val="center"/>
          </w:tcPr>
          <w:p w14:paraId="6CA14FC6">
            <w:pPr>
              <w:spacing w:line="288" w:lineRule="auto"/>
              <w:jc w:val="center"/>
              <w:rPr>
                <w:rFonts w:ascii="宋体" w:hAnsi="宋体"/>
                <w:color w:val="auto"/>
                <w:szCs w:val="21"/>
              </w:rPr>
            </w:pPr>
          </w:p>
        </w:tc>
        <w:tc>
          <w:tcPr>
            <w:tcW w:w="703" w:type="dxa"/>
            <w:tcBorders>
              <w:right w:val="single" w:color="auto" w:sz="6" w:space="0"/>
            </w:tcBorders>
            <w:vAlign w:val="center"/>
          </w:tcPr>
          <w:p w14:paraId="037E59AB">
            <w:pPr>
              <w:spacing w:line="288" w:lineRule="auto"/>
              <w:jc w:val="center"/>
              <w:rPr>
                <w:rFonts w:ascii="宋体" w:hAnsi="宋体"/>
                <w:color w:val="auto"/>
                <w:szCs w:val="21"/>
              </w:rPr>
            </w:pPr>
          </w:p>
        </w:tc>
      </w:tr>
      <w:tr w14:paraId="00B8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1298E64C">
            <w:pPr>
              <w:spacing w:line="288" w:lineRule="auto"/>
              <w:jc w:val="center"/>
              <w:rPr>
                <w:rFonts w:ascii="宋体" w:hAnsi="宋体"/>
                <w:color w:val="auto"/>
                <w:szCs w:val="21"/>
              </w:rPr>
            </w:pPr>
          </w:p>
        </w:tc>
        <w:tc>
          <w:tcPr>
            <w:tcW w:w="702" w:type="dxa"/>
            <w:vAlign w:val="center"/>
          </w:tcPr>
          <w:p w14:paraId="0EC79C3F">
            <w:pPr>
              <w:spacing w:line="288" w:lineRule="auto"/>
              <w:jc w:val="center"/>
              <w:rPr>
                <w:rFonts w:ascii="宋体" w:hAnsi="宋体"/>
                <w:color w:val="auto"/>
                <w:szCs w:val="21"/>
              </w:rPr>
            </w:pPr>
          </w:p>
        </w:tc>
        <w:tc>
          <w:tcPr>
            <w:tcW w:w="1861" w:type="dxa"/>
            <w:vAlign w:val="center"/>
          </w:tcPr>
          <w:p w14:paraId="1AC1DDED">
            <w:pPr>
              <w:spacing w:line="288" w:lineRule="auto"/>
              <w:jc w:val="center"/>
              <w:rPr>
                <w:rFonts w:ascii="宋体" w:hAnsi="宋体"/>
                <w:color w:val="auto"/>
                <w:szCs w:val="21"/>
              </w:rPr>
            </w:pPr>
          </w:p>
        </w:tc>
        <w:tc>
          <w:tcPr>
            <w:tcW w:w="702" w:type="dxa"/>
            <w:vAlign w:val="center"/>
          </w:tcPr>
          <w:p w14:paraId="1A6B9A0D">
            <w:pPr>
              <w:spacing w:line="288" w:lineRule="auto"/>
              <w:jc w:val="center"/>
              <w:rPr>
                <w:rFonts w:ascii="宋体" w:hAnsi="宋体"/>
                <w:color w:val="auto"/>
                <w:szCs w:val="21"/>
              </w:rPr>
            </w:pPr>
          </w:p>
        </w:tc>
        <w:tc>
          <w:tcPr>
            <w:tcW w:w="702" w:type="dxa"/>
            <w:vAlign w:val="center"/>
          </w:tcPr>
          <w:p w14:paraId="2D01AD1B">
            <w:pPr>
              <w:spacing w:line="288" w:lineRule="auto"/>
              <w:jc w:val="center"/>
              <w:rPr>
                <w:rFonts w:ascii="宋体" w:hAnsi="宋体"/>
                <w:color w:val="auto"/>
                <w:szCs w:val="21"/>
              </w:rPr>
            </w:pPr>
          </w:p>
        </w:tc>
        <w:tc>
          <w:tcPr>
            <w:tcW w:w="1164" w:type="dxa"/>
            <w:vAlign w:val="center"/>
          </w:tcPr>
          <w:p w14:paraId="345AAA1E">
            <w:pPr>
              <w:spacing w:line="288" w:lineRule="auto"/>
              <w:jc w:val="center"/>
              <w:rPr>
                <w:rFonts w:ascii="宋体" w:hAnsi="宋体"/>
                <w:color w:val="auto"/>
                <w:szCs w:val="21"/>
              </w:rPr>
            </w:pPr>
          </w:p>
        </w:tc>
        <w:tc>
          <w:tcPr>
            <w:tcW w:w="818" w:type="dxa"/>
            <w:vAlign w:val="center"/>
          </w:tcPr>
          <w:p w14:paraId="153D1B6A">
            <w:pPr>
              <w:spacing w:line="288" w:lineRule="auto"/>
              <w:jc w:val="center"/>
              <w:rPr>
                <w:rFonts w:ascii="宋体" w:hAnsi="宋体"/>
                <w:color w:val="auto"/>
                <w:szCs w:val="21"/>
              </w:rPr>
            </w:pPr>
          </w:p>
        </w:tc>
        <w:tc>
          <w:tcPr>
            <w:tcW w:w="1165" w:type="dxa"/>
            <w:vAlign w:val="center"/>
          </w:tcPr>
          <w:p w14:paraId="6451752B">
            <w:pPr>
              <w:spacing w:line="288" w:lineRule="auto"/>
              <w:jc w:val="center"/>
              <w:rPr>
                <w:rFonts w:ascii="宋体" w:hAnsi="宋体"/>
                <w:color w:val="auto"/>
                <w:szCs w:val="21"/>
              </w:rPr>
            </w:pPr>
          </w:p>
        </w:tc>
        <w:tc>
          <w:tcPr>
            <w:tcW w:w="703" w:type="dxa"/>
            <w:tcBorders>
              <w:right w:val="single" w:color="auto" w:sz="6" w:space="0"/>
            </w:tcBorders>
            <w:vAlign w:val="center"/>
          </w:tcPr>
          <w:p w14:paraId="2408CD49">
            <w:pPr>
              <w:spacing w:line="288" w:lineRule="auto"/>
              <w:jc w:val="center"/>
              <w:rPr>
                <w:rFonts w:ascii="宋体" w:hAnsi="宋体"/>
                <w:color w:val="auto"/>
                <w:szCs w:val="21"/>
              </w:rPr>
            </w:pPr>
          </w:p>
        </w:tc>
      </w:tr>
      <w:tr w14:paraId="5715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36C0C052">
            <w:pPr>
              <w:spacing w:line="288" w:lineRule="auto"/>
              <w:jc w:val="center"/>
              <w:rPr>
                <w:rFonts w:ascii="宋体" w:hAnsi="宋体"/>
                <w:color w:val="auto"/>
                <w:szCs w:val="21"/>
              </w:rPr>
            </w:pPr>
          </w:p>
        </w:tc>
        <w:tc>
          <w:tcPr>
            <w:tcW w:w="702" w:type="dxa"/>
            <w:vAlign w:val="center"/>
          </w:tcPr>
          <w:p w14:paraId="1B9EDC24">
            <w:pPr>
              <w:spacing w:line="288" w:lineRule="auto"/>
              <w:jc w:val="center"/>
              <w:rPr>
                <w:rFonts w:ascii="宋体" w:hAnsi="宋体"/>
                <w:color w:val="auto"/>
                <w:szCs w:val="21"/>
              </w:rPr>
            </w:pPr>
          </w:p>
        </w:tc>
        <w:tc>
          <w:tcPr>
            <w:tcW w:w="1861" w:type="dxa"/>
            <w:vAlign w:val="center"/>
          </w:tcPr>
          <w:p w14:paraId="3870018F">
            <w:pPr>
              <w:spacing w:line="288" w:lineRule="auto"/>
              <w:jc w:val="center"/>
              <w:rPr>
                <w:rFonts w:ascii="宋体" w:hAnsi="宋体"/>
                <w:color w:val="auto"/>
                <w:szCs w:val="21"/>
              </w:rPr>
            </w:pPr>
          </w:p>
        </w:tc>
        <w:tc>
          <w:tcPr>
            <w:tcW w:w="702" w:type="dxa"/>
            <w:vAlign w:val="center"/>
          </w:tcPr>
          <w:p w14:paraId="3BF8926E">
            <w:pPr>
              <w:spacing w:line="288" w:lineRule="auto"/>
              <w:jc w:val="center"/>
              <w:rPr>
                <w:rFonts w:ascii="宋体" w:hAnsi="宋体"/>
                <w:color w:val="auto"/>
                <w:szCs w:val="21"/>
              </w:rPr>
            </w:pPr>
          </w:p>
        </w:tc>
        <w:tc>
          <w:tcPr>
            <w:tcW w:w="702" w:type="dxa"/>
            <w:vAlign w:val="center"/>
          </w:tcPr>
          <w:p w14:paraId="4A166ABD">
            <w:pPr>
              <w:spacing w:line="288" w:lineRule="auto"/>
              <w:jc w:val="center"/>
              <w:rPr>
                <w:rFonts w:ascii="宋体" w:hAnsi="宋体"/>
                <w:color w:val="auto"/>
                <w:szCs w:val="21"/>
              </w:rPr>
            </w:pPr>
          </w:p>
        </w:tc>
        <w:tc>
          <w:tcPr>
            <w:tcW w:w="1164" w:type="dxa"/>
            <w:vAlign w:val="center"/>
          </w:tcPr>
          <w:p w14:paraId="5909BA43">
            <w:pPr>
              <w:spacing w:line="288" w:lineRule="auto"/>
              <w:jc w:val="center"/>
              <w:rPr>
                <w:rFonts w:ascii="宋体" w:hAnsi="宋体"/>
                <w:color w:val="auto"/>
                <w:szCs w:val="21"/>
              </w:rPr>
            </w:pPr>
          </w:p>
        </w:tc>
        <w:tc>
          <w:tcPr>
            <w:tcW w:w="818" w:type="dxa"/>
            <w:vAlign w:val="center"/>
          </w:tcPr>
          <w:p w14:paraId="653B81DE">
            <w:pPr>
              <w:spacing w:line="288" w:lineRule="auto"/>
              <w:jc w:val="center"/>
              <w:rPr>
                <w:rFonts w:ascii="宋体" w:hAnsi="宋体"/>
                <w:color w:val="auto"/>
                <w:szCs w:val="21"/>
              </w:rPr>
            </w:pPr>
          </w:p>
        </w:tc>
        <w:tc>
          <w:tcPr>
            <w:tcW w:w="1165" w:type="dxa"/>
            <w:vAlign w:val="center"/>
          </w:tcPr>
          <w:p w14:paraId="36F20035">
            <w:pPr>
              <w:spacing w:line="288" w:lineRule="auto"/>
              <w:jc w:val="center"/>
              <w:rPr>
                <w:rFonts w:ascii="宋体" w:hAnsi="宋体"/>
                <w:color w:val="auto"/>
                <w:szCs w:val="21"/>
              </w:rPr>
            </w:pPr>
          </w:p>
        </w:tc>
        <w:tc>
          <w:tcPr>
            <w:tcW w:w="703" w:type="dxa"/>
            <w:tcBorders>
              <w:right w:val="single" w:color="auto" w:sz="6" w:space="0"/>
            </w:tcBorders>
            <w:vAlign w:val="center"/>
          </w:tcPr>
          <w:p w14:paraId="7CFED3EE">
            <w:pPr>
              <w:spacing w:line="288" w:lineRule="auto"/>
              <w:jc w:val="center"/>
              <w:rPr>
                <w:rFonts w:ascii="宋体" w:hAnsi="宋体"/>
                <w:color w:val="auto"/>
                <w:szCs w:val="21"/>
              </w:rPr>
            </w:pPr>
          </w:p>
        </w:tc>
      </w:tr>
      <w:tr w14:paraId="2180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692F89D0">
            <w:pPr>
              <w:spacing w:line="288" w:lineRule="auto"/>
              <w:jc w:val="center"/>
              <w:rPr>
                <w:rFonts w:ascii="宋体" w:hAnsi="宋体"/>
                <w:color w:val="auto"/>
                <w:szCs w:val="21"/>
              </w:rPr>
            </w:pPr>
          </w:p>
        </w:tc>
        <w:tc>
          <w:tcPr>
            <w:tcW w:w="702" w:type="dxa"/>
            <w:vAlign w:val="center"/>
          </w:tcPr>
          <w:p w14:paraId="5FC6EAFE">
            <w:pPr>
              <w:spacing w:line="288" w:lineRule="auto"/>
              <w:jc w:val="center"/>
              <w:rPr>
                <w:rFonts w:ascii="宋体" w:hAnsi="宋体"/>
                <w:color w:val="auto"/>
                <w:szCs w:val="21"/>
              </w:rPr>
            </w:pPr>
          </w:p>
        </w:tc>
        <w:tc>
          <w:tcPr>
            <w:tcW w:w="1861" w:type="dxa"/>
            <w:vAlign w:val="center"/>
          </w:tcPr>
          <w:p w14:paraId="6D320AD5">
            <w:pPr>
              <w:spacing w:line="288" w:lineRule="auto"/>
              <w:jc w:val="center"/>
              <w:rPr>
                <w:rFonts w:ascii="宋体" w:hAnsi="宋体"/>
                <w:color w:val="auto"/>
                <w:szCs w:val="21"/>
              </w:rPr>
            </w:pPr>
          </w:p>
        </w:tc>
        <w:tc>
          <w:tcPr>
            <w:tcW w:w="702" w:type="dxa"/>
            <w:vAlign w:val="center"/>
          </w:tcPr>
          <w:p w14:paraId="33D6712F">
            <w:pPr>
              <w:spacing w:line="288" w:lineRule="auto"/>
              <w:jc w:val="center"/>
              <w:rPr>
                <w:rFonts w:ascii="宋体" w:hAnsi="宋体"/>
                <w:color w:val="auto"/>
                <w:szCs w:val="21"/>
              </w:rPr>
            </w:pPr>
          </w:p>
        </w:tc>
        <w:tc>
          <w:tcPr>
            <w:tcW w:w="702" w:type="dxa"/>
            <w:vAlign w:val="center"/>
          </w:tcPr>
          <w:p w14:paraId="44C0EFD1">
            <w:pPr>
              <w:spacing w:line="288" w:lineRule="auto"/>
              <w:jc w:val="center"/>
              <w:rPr>
                <w:rFonts w:ascii="宋体" w:hAnsi="宋体"/>
                <w:color w:val="auto"/>
                <w:szCs w:val="21"/>
              </w:rPr>
            </w:pPr>
          </w:p>
        </w:tc>
        <w:tc>
          <w:tcPr>
            <w:tcW w:w="1164" w:type="dxa"/>
            <w:vAlign w:val="center"/>
          </w:tcPr>
          <w:p w14:paraId="38BCF34D">
            <w:pPr>
              <w:spacing w:line="288" w:lineRule="auto"/>
              <w:jc w:val="center"/>
              <w:rPr>
                <w:rFonts w:ascii="宋体" w:hAnsi="宋体"/>
                <w:color w:val="auto"/>
                <w:szCs w:val="21"/>
              </w:rPr>
            </w:pPr>
          </w:p>
        </w:tc>
        <w:tc>
          <w:tcPr>
            <w:tcW w:w="818" w:type="dxa"/>
            <w:vAlign w:val="center"/>
          </w:tcPr>
          <w:p w14:paraId="43CEAAA9">
            <w:pPr>
              <w:spacing w:line="288" w:lineRule="auto"/>
              <w:jc w:val="center"/>
              <w:rPr>
                <w:rFonts w:ascii="宋体" w:hAnsi="宋体"/>
                <w:color w:val="auto"/>
                <w:szCs w:val="21"/>
              </w:rPr>
            </w:pPr>
          </w:p>
        </w:tc>
        <w:tc>
          <w:tcPr>
            <w:tcW w:w="1165" w:type="dxa"/>
            <w:vAlign w:val="center"/>
          </w:tcPr>
          <w:p w14:paraId="6A75FF7E">
            <w:pPr>
              <w:spacing w:line="288" w:lineRule="auto"/>
              <w:jc w:val="center"/>
              <w:rPr>
                <w:rFonts w:ascii="宋体" w:hAnsi="宋体"/>
                <w:color w:val="auto"/>
                <w:szCs w:val="21"/>
              </w:rPr>
            </w:pPr>
          </w:p>
        </w:tc>
        <w:tc>
          <w:tcPr>
            <w:tcW w:w="703" w:type="dxa"/>
            <w:tcBorders>
              <w:right w:val="single" w:color="auto" w:sz="6" w:space="0"/>
            </w:tcBorders>
            <w:vAlign w:val="center"/>
          </w:tcPr>
          <w:p w14:paraId="4BD76668">
            <w:pPr>
              <w:spacing w:line="288" w:lineRule="auto"/>
              <w:jc w:val="center"/>
              <w:rPr>
                <w:rFonts w:ascii="宋体" w:hAnsi="宋体"/>
                <w:color w:val="auto"/>
                <w:szCs w:val="21"/>
              </w:rPr>
            </w:pPr>
          </w:p>
        </w:tc>
      </w:tr>
      <w:tr w14:paraId="7B2A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5785C3C5">
            <w:pPr>
              <w:spacing w:line="288" w:lineRule="auto"/>
              <w:jc w:val="center"/>
              <w:rPr>
                <w:rFonts w:ascii="宋体" w:hAnsi="宋体"/>
                <w:color w:val="auto"/>
                <w:szCs w:val="21"/>
              </w:rPr>
            </w:pPr>
          </w:p>
        </w:tc>
        <w:tc>
          <w:tcPr>
            <w:tcW w:w="702" w:type="dxa"/>
            <w:vAlign w:val="center"/>
          </w:tcPr>
          <w:p w14:paraId="41B451C1">
            <w:pPr>
              <w:spacing w:line="288" w:lineRule="auto"/>
              <w:jc w:val="center"/>
              <w:rPr>
                <w:rFonts w:ascii="宋体" w:hAnsi="宋体"/>
                <w:color w:val="auto"/>
                <w:szCs w:val="21"/>
              </w:rPr>
            </w:pPr>
          </w:p>
        </w:tc>
        <w:tc>
          <w:tcPr>
            <w:tcW w:w="1861" w:type="dxa"/>
            <w:vAlign w:val="center"/>
          </w:tcPr>
          <w:p w14:paraId="3DB13640">
            <w:pPr>
              <w:spacing w:line="288" w:lineRule="auto"/>
              <w:jc w:val="center"/>
              <w:rPr>
                <w:rFonts w:ascii="宋体" w:hAnsi="宋体"/>
                <w:color w:val="auto"/>
                <w:szCs w:val="21"/>
              </w:rPr>
            </w:pPr>
          </w:p>
        </w:tc>
        <w:tc>
          <w:tcPr>
            <w:tcW w:w="702" w:type="dxa"/>
            <w:vAlign w:val="center"/>
          </w:tcPr>
          <w:p w14:paraId="527B069F">
            <w:pPr>
              <w:spacing w:line="288" w:lineRule="auto"/>
              <w:jc w:val="center"/>
              <w:rPr>
                <w:rFonts w:ascii="宋体" w:hAnsi="宋体"/>
                <w:color w:val="auto"/>
                <w:szCs w:val="21"/>
              </w:rPr>
            </w:pPr>
          </w:p>
        </w:tc>
        <w:tc>
          <w:tcPr>
            <w:tcW w:w="702" w:type="dxa"/>
            <w:vAlign w:val="center"/>
          </w:tcPr>
          <w:p w14:paraId="54B9E5A4">
            <w:pPr>
              <w:spacing w:line="288" w:lineRule="auto"/>
              <w:jc w:val="center"/>
              <w:rPr>
                <w:rFonts w:ascii="宋体" w:hAnsi="宋体"/>
                <w:color w:val="auto"/>
                <w:szCs w:val="21"/>
              </w:rPr>
            </w:pPr>
          </w:p>
        </w:tc>
        <w:tc>
          <w:tcPr>
            <w:tcW w:w="1164" w:type="dxa"/>
            <w:vAlign w:val="center"/>
          </w:tcPr>
          <w:p w14:paraId="7AABA349">
            <w:pPr>
              <w:spacing w:line="288" w:lineRule="auto"/>
              <w:jc w:val="center"/>
              <w:rPr>
                <w:rFonts w:ascii="宋体" w:hAnsi="宋体"/>
                <w:color w:val="auto"/>
                <w:szCs w:val="21"/>
              </w:rPr>
            </w:pPr>
          </w:p>
        </w:tc>
        <w:tc>
          <w:tcPr>
            <w:tcW w:w="818" w:type="dxa"/>
            <w:vAlign w:val="center"/>
          </w:tcPr>
          <w:p w14:paraId="25A41824">
            <w:pPr>
              <w:spacing w:line="288" w:lineRule="auto"/>
              <w:jc w:val="center"/>
              <w:rPr>
                <w:rFonts w:ascii="宋体" w:hAnsi="宋体"/>
                <w:color w:val="auto"/>
                <w:szCs w:val="21"/>
              </w:rPr>
            </w:pPr>
          </w:p>
        </w:tc>
        <w:tc>
          <w:tcPr>
            <w:tcW w:w="1165" w:type="dxa"/>
            <w:vAlign w:val="center"/>
          </w:tcPr>
          <w:p w14:paraId="233ED0DB">
            <w:pPr>
              <w:spacing w:line="288" w:lineRule="auto"/>
              <w:jc w:val="center"/>
              <w:rPr>
                <w:rFonts w:ascii="宋体" w:hAnsi="宋体"/>
                <w:color w:val="auto"/>
                <w:szCs w:val="21"/>
              </w:rPr>
            </w:pPr>
          </w:p>
        </w:tc>
        <w:tc>
          <w:tcPr>
            <w:tcW w:w="703" w:type="dxa"/>
            <w:tcBorders>
              <w:right w:val="single" w:color="auto" w:sz="6" w:space="0"/>
            </w:tcBorders>
            <w:vAlign w:val="center"/>
          </w:tcPr>
          <w:p w14:paraId="3BDF28BE">
            <w:pPr>
              <w:spacing w:line="288" w:lineRule="auto"/>
              <w:jc w:val="center"/>
              <w:rPr>
                <w:rFonts w:ascii="宋体" w:hAnsi="宋体"/>
                <w:color w:val="auto"/>
                <w:szCs w:val="21"/>
              </w:rPr>
            </w:pPr>
          </w:p>
        </w:tc>
      </w:tr>
      <w:tr w14:paraId="5803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33917F30">
            <w:pPr>
              <w:spacing w:line="288" w:lineRule="auto"/>
              <w:jc w:val="center"/>
              <w:rPr>
                <w:rFonts w:ascii="宋体" w:hAnsi="宋体"/>
                <w:color w:val="auto"/>
                <w:szCs w:val="21"/>
              </w:rPr>
            </w:pPr>
          </w:p>
        </w:tc>
        <w:tc>
          <w:tcPr>
            <w:tcW w:w="702" w:type="dxa"/>
            <w:vAlign w:val="center"/>
          </w:tcPr>
          <w:p w14:paraId="6FC9121A">
            <w:pPr>
              <w:spacing w:line="288" w:lineRule="auto"/>
              <w:jc w:val="center"/>
              <w:rPr>
                <w:rFonts w:ascii="宋体" w:hAnsi="宋体"/>
                <w:color w:val="auto"/>
                <w:szCs w:val="21"/>
              </w:rPr>
            </w:pPr>
          </w:p>
        </w:tc>
        <w:tc>
          <w:tcPr>
            <w:tcW w:w="1861" w:type="dxa"/>
            <w:vAlign w:val="center"/>
          </w:tcPr>
          <w:p w14:paraId="0FC85C18">
            <w:pPr>
              <w:spacing w:line="288" w:lineRule="auto"/>
              <w:jc w:val="center"/>
              <w:rPr>
                <w:rFonts w:ascii="宋体" w:hAnsi="宋体"/>
                <w:color w:val="auto"/>
                <w:szCs w:val="21"/>
              </w:rPr>
            </w:pPr>
          </w:p>
        </w:tc>
        <w:tc>
          <w:tcPr>
            <w:tcW w:w="702" w:type="dxa"/>
            <w:vAlign w:val="center"/>
          </w:tcPr>
          <w:p w14:paraId="1481C6E2">
            <w:pPr>
              <w:spacing w:line="288" w:lineRule="auto"/>
              <w:jc w:val="center"/>
              <w:rPr>
                <w:rFonts w:ascii="宋体" w:hAnsi="宋体"/>
                <w:color w:val="auto"/>
                <w:szCs w:val="21"/>
              </w:rPr>
            </w:pPr>
          </w:p>
        </w:tc>
        <w:tc>
          <w:tcPr>
            <w:tcW w:w="702" w:type="dxa"/>
            <w:vAlign w:val="center"/>
          </w:tcPr>
          <w:p w14:paraId="51B78E7D">
            <w:pPr>
              <w:spacing w:line="288" w:lineRule="auto"/>
              <w:jc w:val="center"/>
              <w:rPr>
                <w:rFonts w:ascii="宋体" w:hAnsi="宋体"/>
                <w:color w:val="auto"/>
                <w:szCs w:val="21"/>
              </w:rPr>
            </w:pPr>
          </w:p>
        </w:tc>
        <w:tc>
          <w:tcPr>
            <w:tcW w:w="1164" w:type="dxa"/>
            <w:vAlign w:val="center"/>
          </w:tcPr>
          <w:p w14:paraId="09E228B5">
            <w:pPr>
              <w:spacing w:line="288" w:lineRule="auto"/>
              <w:jc w:val="center"/>
              <w:rPr>
                <w:rFonts w:ascii="宋体" w:hAnsi="宋体"/>
                <w:color w:val="auto"/>
                <w:szCs w:val="21"/>
              </w:rPr>
            </w:pPr>
          </w:p>
        </w:tc>
        <w:tc>
          <w:tcPr>
            <w:tcW w:w="818" w:type="dxa"/>
            <w:vAlign w:val="center"/>
          </w:tcPr>
          <w:p w14:paraId="44404C52">
            <w:pPr>
              <w:spacing w:line="288" w:lineRule="auto"/>
              <w:jc w:val="center"/>
              <w:rPr>
                <w:rFonts w:ascii="宋体" w:hAnsi="宋体"/>
                <w:color w:val="auto"/>
                <w:szCs w:val="21"/>
              </w:rPr>
            </w:pPr>
          </w:p>
        </w:tc>
        <w:tc>
          <w:tcPr>
            <w:tcW w:w="1165" w:type="dxa"/>
            <w:vAlign w:val="center"/>
          </w:tcPr>
          <w:p w14:paraId="71BCB1D7">
            <w:pPr>
              <w:spacing w:line="288" w:lineRule="auto"/>
              <w:jc w:val="center"/>
              <w:rPr>
                <w:rFonts w:ascii="宋体" w:hAnsi="宋体"/>
                <w:color w:val="auto"/>
                <w:szCs w:val="21"/>
              </w:rPr>
            </w:pPr>
          </w:p>
        </w:tc>
        <w:tc>
          <w:tcPr>
            <w:tcW w:w="703" w:type="dxa"/>
            <w:tcBorders>
              <w:right w:val="single" w:color="auto" w:sz="6" w:space="0"/>
            </w:tcBorders>
            <w:vAlign w:val="center"/>
          </w:tcPr>
          <w:p w14:paraId="6EFF6CF4">
            <w:pPr>
              <w:spacing w:line="288" w:lineRule="auto"/>
              <w:jc w:val="center"/>
              <w:rPr>
                <w:rFonts w:ascii="宋体" w:hAnsi="宋体"/>
                <w:color w:val="auto"/>
                <w:szCs w:val="21"/>
              </w:rPr>
            </w:pPr>
          </w:p>
        </w:tc>
      </w:tr>
    </w:tbl>
    <w:p w14:paraId="2371DC41">
      <w:pPr>
        <w:ind w:firstLine="178" w:firstLineChars="85"/>
        <w:rPr>
          <w:rFonts w:ascii="宋体" w:hAnsi="宋体"/>
          <w:color w:val="auto"/>
          <w:szCs w:val="21"/>
        </w:rPr>
      </w:pPr>
    </w:p>
    <w:p w14:paraId="621B6FE5">
      <w:pPr>
        <w:ind w:firstLine="178" w:firstLineChars="85"/>
        <w:rPr>
          <w:rFonts w:ascii="宋体" w:hAnsi="宋体"/>
          <w:color w:val="auto"/>
          <w:szCs w:val="21"/>
        </w:rPr>
      </w:pPr>
      <w:r>
        <w:rPr>
          <w:rFonts w:hint="eastAsia" w:ascii="宋体" w:hAnsi="宋体"/>
          <w:color w:val="auto"/>
          <w:szCs w:val="21"/>
        </w:rPr>
        <w:t>附有关证明文件（复印件加盖公章）</w:t>
      </w:r>
    </w:p>
    <w:p w14:paraId="51A08C91">
      <w:pPr>
        <w:ind w:firstLine="178" w:firstLineChars="85"/>
        <w:rPr>
          <w:rFonts w:ascii="宋体" w:hAnsi="宋体"/>
          <w:color w:val="auto"/>
          <w:szCs w:val="21"/>
        </w:rPr>
      </w:pPr>
      <w:r>
        <w:rPr>
          <w:rFonts w:hint="eastAsia" w:ascii="宋体" w:hAnsi="宋体"/>
          <w:color w:val="auto"/>
          <w:szCs w:val="21"/>
        </w:rPr>
        <w:t>投标人代表签字：</w:t>
      </w:r>
    </w:p>
    <w:p w14:paraId="173D717E">
      <w:pPr>
        <w:ind w:firstLine="178" w:firstLineChars="85"/>
        <w:rPr>
          <w:rFonts w:ascii="宋体" w:hAnsi="宋体"/>
          <w:color w:val="auto"/>
          <w:szCs w:val="21"/>
        </w:rPr>
      </w:pPr>
      <w:r>
        <w:rPr>
          <w:rFonts w:hint="eastAsia" w:ascii="宋体" w:hAnsi="宋体"/>
          <w:color w:val="auto"/>
          <w:szCs w:val="21"/>
        </w:rPr>
        <w:t>投标人盖章：</w:t>
      </w:r>
    </w:p>
    <w:p w14:paraId="2B37A7F2">
      <w:pPr>
        <w:rPr>
          <w:rFonts w:ascii="宋体" w:hAnsi="宋体"/>
          <w:color w:val="auto"/>
          <w:szCs w:val="21"/>
        </w:rPr>
      </w:pPr>
      <w:r>
        <w:rPr>
          <w:rFonts w:hint="eastAsia" w:ascii="宋体" w:hAnsi="宋体"/>
          <w:color w:val="auto"/>
          <w:szCs w:val="21"/>
        </w:rPr>
        <w:t>注：</w:t>
      </w:r>
    </w:p>
    <w:p w14:paraId="1132B919">
      <w:pPr>
        <w:pStyle w:val="47"/>
        <w:numPr>
          <w:ilvl w:val="0"/>
          <w:numId w:val="13"/>
        </w:numPr>
        <w:ind w:firstLineChars="0"/>
        <w:rPr>
          <w:rFonts w:ascii="宋体" w:hAnsi="宋体"/>
          <w:color w:val="auto"/>
          <w:szCs w:val="21"/>
        </w:rPr>
      </w:pPr>
      <w:r>
        <w:rPr>
          <w:rFonts w:hint="eastAsia" w:ascii="宋体" w:hAnsi="宋体"/>
          <w:color w:val="auto"/>
          <w:szCs w:val="21"/>
        </w:rPr>
        <w:t>投标人可按项目的实际需要提供本表格。</w:t>
      </w:r>
    </w:p>
    <w:p w14:paraId="61F3A0D0">
      <w:pPr>
        <w:pStyle w:val="47"/>
        <w:numPr>
          <w:ilvl w:val="0"/>
          <w:numId w:val="13"/>
        </w:numPr>
        <w:ind w:firstLineChars="0"/>
        <w:rPr>
          <w:rFonts w:ascii="宋体" w:hAnsi="宋体" w:cs="Times New Roman"/>
          <w:color w:val="auto"/>
          <w:szCs w:val="21"/>
        </w:rPr>
      </w:pPr>
      <w:r>
        <w:rPr>
          <w:rFonts w:hint="eastAsia" w:ascii="宋体" w:hAnsi="宋体"/>
          <w:color w:val="auto"/>
          <w:szCs w:val="21"/>
        </w:rPr>
        <w:t>该表格为参考格式，投标人可按实际情况自行制订。</w:t>
      </w:r>
    </w:p>
    <w:p w14:paraId="5A6D3642">
      <w:pPr>
        <w:pStyle w:val="47"/>
        <w:numPr>
          <w:ilvl w:val="0"/>
          <w:numId w:val="13"/>
        </w:numPr>
        <w:ind w:firstLineChars="0"/>
        <w:rPr>
          <w:rFonts w:ascii="宋体" w:hAnsi="宋体"/>
          <w:color w:val="auto"/>
          <w:szCs w:val="21"/>
        </w:rPr>
      </w:pPr>
      <w:r>
        <w:rPr>
          <w:rFonts w:hint="eastAsia" w:ascii="宋体" w:hAnsi="宋体"/>
          <w:color w:val="auto"/>
          <w:szCs w:val="21"/>
        </w:rPr>
        <w:t>投标人若未提供或未填写完整则视为完全响应采购文件的人员要求，因此对投标人投标产生负面影响的，投标人自行承担后果。有关人员近期的社保缴纳情况</w:t>
      </w:r>
    </w:p>
    <w:p w14:paraId="5211CFB3">
      <w:pPr>
        <w:rPr>
          <w:color w:val="auto"/>
        </w:rPr>
        <w:sectPr>
          <w:pgSz w:w="11906" w:h="16838"/>
          <w:pgMar w:top="1440" w:right="1800" w:bottom="1440" w:left="1800" w:header="708" w:footer="708" w:gutter="0"/>
          <w:cols w:space="708" w:num="1"/>
          <w:titlePg/>
          <w:docGrid w:type="lines" w:linePitch="360" w:charSpace="0"/>
        </w:sectPr>
      </w:pPr>
    </w:p>
    <w:p w14:paraId="40E00725">
      <w:pPr>
        <w:pStyle w:val="11"/>
        <w:rPr>
          <w:color w:val="auto"/>
        </w:rPr>
      </w:pPr>
    </w:p>
    <w:p w14:paraId="6D7EEC3B">
      <w:pPr>
        <w:pStyle w:val="3"/>
        <w:spacing w:before="0" w:after="0" w:line="360" w:lineRule="auto"/>
        <w:jc w:val="center"/>
        <w:rPr>
          <w:color w:val="auto"/>
          <w:sz w:val="72"/>
          <w:szCs w:val="72"/>
        </w:rPr>
      </w:pPr>
      <w:bookmarkStart w:id="437" w:name="_Toc30383"/>
      <w:bookmarkStart w:id="438" w:name="_Toc8280"/>
      <w:bookmarkStart w:id="439" w:name="_Toc10650"/>
      <w:bookmarkStart w:id="440" w:name="_Toc1935"/>
      <w:r>
        <w:rPr>
          <w:rFonts w:hint="eastAsia"/>
          <w:color w:val="auto"/>
          <w:sz w:val="72"/>
          <w:szCs w:val="72"/>
        </w:rPr>
        <w:t>技术文件</w:t>
      </w:r>
      <w:bookmarkEnd w:id="437"/>
      <w:bookmarkEnd w:id="438"/>
      <w:bookmarkEnd w:id="439"/>
      <w:bookmarkEnd w:id="440"/>
    </w:p>
    <w:p w14:paraId="393992D0">
      <w:pPr>
        <w:jc w:val="center"/>
        <w:rPr>
          <w:rFonts w:ascii="兰米黑体" w:eastAsia="兰米黑体"/>
          <w:color w:val="auto"/>
          <w:sz w:val="72"/>
          <w:szCs w:val="72"/>
        </w:rPr>
      </w:pPr>
      <w:r>
        <w:rPr>
          <w:rFonts w:hint="eastAsia" w:ascii="兰米黑体" w:eastAsia="兰米黑体"/>
          <w:color w:val="auto"/>
          <w:sz w:val="72"/>
          <w:szCs w:val="72"/>
        </w:rPr>
        <w:t>（单独装订成册）</w:t>
      </w:r>
    </w:p>
    <w:p w14:paraId="70C2074E">
      <w:pPr>
        <w:rPr>
          <w:color w:val="auto"/>
        </w:rPr>
      </w:pPr>
    </w:p>
    <w:p w14:paraId="5E9F420E">
      <w:pPr>
        <w:pStyle w:val="11"/>
        <w:rPr>
          <w:color w:val="auto"/>
        </w:rPr>
      </w:pPr>
    </w:p>
    <w:p w14:paraId="1EB603B5">
      <w:pPr>
        <w:pStyle w:val="30"/>
        <w:ind w:firstLine="240"/>
        <w:rPr>
          <w:color w:val="auto"/>
        </w:rPr>
      </w:pPr>
    </w:p>
    <w:p w14:paraId="47B8EA74">
      <w:pPr>
        <w:rPr>
          <w:rFonts w:ascii="宋体" w:hAnsi="宋体" w:cs="宋体"/>
          <w:b/>
          <w:bCs/>
          <w:color w:val="auto"/>
          <w:spacing w:val="-6"/>
          <w:sz w:val="32"/>
          <w:szCs w:val="32"/>
        </w:rPr>
      </w:pPr>
      <w:r>
        <w:rPr>
          <w:rFonts w:hint="eastAsia" w:ascii="宋体" w:hAnsi="宋体" w:cs="宋体"/>
          <w:b/>
          <w:bCs/>
          <w:color w:val="auto"/>
          <w:spacing w:val="106"/>
          <w:kern w:val="0"/>
          <w:sz w:val="32"/>
          <w:szCs w:val="32"/>
          <w:fitText w:val="1600" w:id="8"/>
        </w:rPr>
        <w:t>项目名</w:t>
      </w:r>
      <w:r>
        <w:rPr>
          <w:rFonts w:hint="eastAsia" w:ascii="宋体" w:hAnsi="宋体" w:cs="宋体"/>
          <w:b/>
          <w:bCs/>
          <w:color w:val="auto"/>
          <w:spacing w:val="2"/>
          <w:kern w:val="0"/>
          <w:sz w:val="32"/>
          <w:szCs w:val="32"/>
          <w:fitText w:val="1600" w:id="8"/>
        </w:rPr>
        <w:t>称</w:t>
      </w:r>
      <w:r>
        <w:rPr>
          <w:rFonts w:hint="eastAsia" w:ascii="宋体" w:hAnsi="宋体" w:cs="宋体"/>
          <w:b/>
          <w:bCs/>
          <w:color w:val="auto"/>
          <w:spacing w:val="-6"/>
          <w:sz w:val="32"/>
          <w:szCs w:val="32"/>
        </w:rPr>
        <w:t>：</w:t>
      </w:r>
    </w:p>
    <w:p w14:paraId="1C074AB8">
      <w:pPr>
        <w:rPr>
          <w:rFonts w:ascii="宋体" w:hAnsi="宋体" w:cs="宋体"/>
          <w:b/>
          <w:bCs/>
          <w:color w:val="auto"/>
          <w:sz w:val="32"/>
          <w:szCs w:val="32"/>
        </w:rPr>
      </w:pPr>
      <w:r>
        <w:rPr>
          <w:rFonts w:hint="eastAsia" w:ascii="宋体" w:hAnsi="宋体" w:cs="宋体"/>
          <w:b/>
          <w:bCs/>
          <w:color w:val="auto"/>
          <w:spacing w:val="106"/>
          <w:kern w:val="0"/>
          <w:sz w:val="32"/>
          <w:szCs w:val="32"/>
          <w:fitText w:val="1600" w:id="9"/>
        </w:rPr>
        <w:t>项目编</w:t>
      </w:r>
      <w:r>
        <w:rPr>
          <w:rFonts w:hint="eastAsia" w:ascii="宋体" w:hAnsi="宋体" w:cs="宋体"/>
          <w:b/>
          <w:bCs/>
          <w:color w:val="auto"/>
          <w:spacing w:val="2"/>
          <w:kern w:val="0"/>
          <w:sz w:val="32"/>
          <w:szCs w:val="32"/>
          <w:fitText w:val="1600" w:id="9"/>
        </w:rPr>
        <w:t>号</w:t>
      </w:r>
      <w:r>
        <w:rPr>
          <w:rFonts w:hint="eastAsia" w:ascii="宋体" w:hAnsi="宋体" w:cs="宋体"/>
          <w:b/>
          <w:bCs/>
          <w:color w:val="auto"/>
          <w:sz w:val="32"/>
          <w:szCs w:val="32"/>
        </w:rPr>
        <w:t>：</w:t>
      </w:r>
    </w:p>
    <w:p w14:paraId="5ECA41DE">
      <w:pPr>
        <w:pStyle w:val="11"/>
        <w:ind w:left="0"/>
        <w:rPr>
          <w:b/>
          <w:color w:val="auto"/>
          <w:spacing w:val="1280"/>
          <w:sz w:val="32"/>
          <w:szCs w:val="32"/>
        </w:rPr>
      </w:pPr>
      <w:r>
        <w:rPr>
          <w:b/>
          <w:color w:val="auto"/>
          <w:spacing w:val="106"/>
          <w:sz w:val="32"/>
          <w:szCs w:val="32"/>
          <w:lang w:val="en-US" w:bidi="ar-SA"/>
        </w:rPr>
        <w:t>包组号（如有）：</w:t>
      </w:r>
    </w:p>
    <w:p w14:paraId="104DD75D">
      <w:pPr>
        <w:rPr>
          <w:rFonts w:ascii="宋体" w:hAnsi="宋体" w:cs="宋体"/>
          <w:b/>
          <w:color w:val="auto"/>
          <w:sz w:val="32"/>
          <w:szCs w:val="32"/>
        </w:rPr>
      </w:pPr>
      <w:r>
        <w:rPr>
          <w:rFonts w:hint="eastAsia" w:ascii="宋体" w:hAnsi="宋体" w:cs="宋体"/>
          <w:b/>
          <w:color w:val="auto"/>
          <w:spacing w:val="0"/>
          <w:kern w:val="0"/>
          <w:sz w:val="32"/>
          <w:szCs w:val="32"/>
          <w:fitText w:val="1600" w:id="10"/>
        </w:rPr>
        <w:t>投标人名称</w:t>
      </w:r>
      <w:r>
        <w:rPr>
          <w:rFonts w:hint="eastAsia" w:ascii="宋体" w:hAnsi="宋体" w:cs="宋体"/>
          <w:b/>
          <w:color w:val="auto"/>
          <w:sz w:val="32"/>
          <w:szCs w:val="32"/>
        </w:rPr>
        <w:t>：</w:t>
      </w:r>
    </w:p>
    <w:p w14:paraId="154BCBFA">
      <w:pPr>
        <w:rPr>
          <w:rFonts w:ascii="宋体" w:hAnsi="宋体" w:cs="宋体"/>
          <w:b/>
          <w:color w:val="auto"/>
          <w:sz w:val="32"/>
          <w:szCs w:val="32"/>
        </w:rPr>
      </w:pPr>
      <w:r>
        <w:rPr>
          <w:rFonts w:hint="eastAsia" w:ascii="宋体" w:hAnsi="宋体" w:cs="宋体"/>
          <w:b/>
          <w:color w:val="auto"/>
          <w:spacing w:val="64"/>
          <w:kern w:val="0"/>
          <w:sz w:val="32"/>
          <w:szCs w:val="32"/>
          <w:fitText w:val="1600" w:id="11"/>
        </w:rPr>
        <w:t xml:space="preserve">日    </w:t>
      </w:r>
      <w:r>
        <w:rPr>
          <w:rFonts w:hint="eastAsia" w:ascii="宋体" w:hAnsi="宋体" w:cs="宋体"/>
          <w:b/>
          <w:color w:val="auto"/>
          <w:spacing w:val="0"/>
          <w:kern w:val="0"/>
          <w:sz w:val="32"/>
          <w:szCs w:val="32"/>
          <w:fitText w:val="1600" w:id="11"/>
        </w:rPr>
        <w:t>期</w:t>
      </w:r>
      <w:r>
        <w:rPr>
          <w:rFonts w:hint="eastAsia" w:ascii="宋体" w:hAnsi="宋体" w:cs="宋体"/>
          <w:b/>
          <w:color w:val="auto"/>
          <w:sz w:val="32"/>
          <w:szCs w:val="32"/>
        </w:rPr>
        <w:t>：</w:t>
      </w:r>
    </w:p>
    <w:p w14:paraId="17DCEA59">
      <w:pPr>
        <w:rPr>
          <w:rFonts w:ascii="宋体" w:hAnsi="宋体"/>
          <w:color w:val="auto"/>
          <w:szCs w:val="21"/>
        </w:rPr>
      </w:pPr>
      <w:r>
        <w:rPr>
          <w:rFonts w:hint="eastAsia" w:ascii="宋体" w:hAnsi="宋体"/>
          <w:color w:val="auto"/>
          <w:szCs w:val="21"/>
        </w:rPr>
        <w:br w:type="page"/>
      </w:r>
    </w:p>
    <w:p w14:paraId="11171879">
      <w:pPr>
        <w:pStyle w:val="5"/>
        <w:widowControl w:val="0"/>
        <w:overflowPunct w:val="0"/>
        <w:spacing w:line="240" w:lineRule="auto"/>
        <w:rPr>
          <w:rFonts w:ascii="宋体" w:hAnsi="宋体"/>
          <w:color w:val="auto"/>
          <w:sz w:val="21"/>
          <w:szCs w:val="21"/>
        </w:rPr>
      </w:pPr>
      <w:bookmarkStart w:id="441" w:name="_Toc28837"/>
      <w:bookmarkStart w:id="442" w:name="_Toc2345"/>
      <w:bookmarkStart w:id="443" w:name="_Toc27563"/>
      <w:bookmarkStart w:id="444" w:name="_Toc7938"/>
      <w:r>
        <w:rPr>
          <w:rFonts w:hint="eastAsia" w:ascii="宋体" w:hAnsi="宋体"/>
          <w:color w:val="auto"/>
          <w:sz w:val="21"/>
          <w:szCs w:val="21"/>
        </w:rPr>
        <w:t>附件19. 技术规格偏离表格式</w:t>
      </w:r>
      <w:bookmarkEnd w:id="441"/>
      <w:bookmarkEnd w:id="442"/>
      <w:bookmarkEnd w:id="443"/>
      <w:bookmarkEnd w:id="444"/>
    </w:p>
    <w:p w14:paraId="3E12A004">
      <w:pPr>
        <w:jc w:val="center"/>
        <w:rPr>
          <w:rFonts w:ascii="兰米黑体" w:eastAsia="兰米黑体"/>
          <w:color w:val="auto"/>
          <w:sz w:val="28"/>
          <w:szCs w:val="28"/>
        </w:rPr>
      </w:pPr>
    </w:p>
    <w:p w14:paraId="6B918CEC">
      <w:pPr>
        <w:jc w:val="center"/>
        <w:rPr>
          <w:rFonts w:ascii="兰米黑体" w:eastAsia="兰米黑体"/>
          <w:color w:val="auto"/>
          <w:sz w:val="28"/>
          <w:szCs w:val="28"/>
        </w:rPr>
      </w:pPr>
      <w:r>
        <w:rPr>
          <w:rFonts w:hint="eastAsia" w:ascii="兰米黑体" w:eastAsia="兰米黑体"/>
          <w:color w:val="auto"/>
          <w:sz w:val="28"/>
          <w:szCs w:val="28"/>
        </w:rPr>
        <w:t>技术规格偏离表</w:t>
      </w:r>
    </w:p>
    <w:tbl>
      <w:tblPr>
        <w:tblStyle w:val="3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14:paraId="0C4D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14:paraId="49D820E9">
            <w:pPr>
              <w:jc w:val="center"/>
              <w:rPr>
                <w:rFonts w:ascii="宋体" w:hAnsi="宋体"/>
                <w:color w:val="auto"/>
                <w:szCs w:val="21"/>
              </w:rPr>
            </w:pPr>
            <w:r>
              <w:rPr>
                <w:rFonts w:hint="eastAsia" w:ascii="宋体" w:hAnsi="宋体"/>
                <w:color w:val="auto"/>
                <w:szCs w:val="21"/>
              </w:rPr>
              <w:t>序号</w:t>
            </w:r>
          </w:p>
        </w:tc>
        <w:tc>
          <w:tcPr>
            <w:tcW w:w="1902" w:type="dxa"/>
            <w:vAlign w:val="center"/>
          </w:tcPr>
          <w:p w14:paraId="03736922">
            <w:pPr>
              <w:jc w:val="center"/>
              <w:rPr>
                <w:rFonts w:ascii="宋体" w:hAnsi="宋体"/>
                <w:color w:val="auto"/>
                <w:szCs w:val="21"/>
              </w:rPr>
            </w:pPr>
            <w:r>
              <w:rPr>
                <w:rFonts w:hint="eastAsia" w:ascii="宋体" w:hAnsi="宋体"/>
                <w:color w:val="auto"/>
                <w:szCs w:val="21"/>
              </w:rPr>
              <w:t>服务项目名称</w:t>
            </w:r>
          </w:p>
        </w:tc>
        <w:tc>
          <w:tcPr>
            <w:tcW w:w="1370" w:type="dxa"/>
            <w:vAlign w:val="center"/>
          </w:tcPr>
          <w:p w14:paraId="7D94F2B2">
            <w:pPr>
              <w:jc w:val="center"/>
              <w:rPr>
                <w:rFonts w:ascii="宋体" w:hAnsi="宋体"/>
                <w:color w:val="auto"/>
                <w:szCs w:val="21"/>
              </w:rPr>
            </w:pPr>
            <w:r>
              <w:rPr>
                <w:rFonts w:hint="eastAsia" w:ascii="宋体" w:hAnsi="宋体"/>
                <w:color w:val="auto"/>
                <w:szCs w:val="21"/>
              </w:rPr>
              <w:t>采购要求</w:t>
            </w:r>
          </w:p>
        </w:tc>
        <w:tc>
          <w:tcPr>
            <w:tcW w:w="1629" w:type="dxa"/>
            <w:vAlign w:val="center"/>
          </w:tcPr>
          <w:p w14:paraId="562FA374">
            <w:pPr>
              <w:jc w:val="center"/>
              <w:rPr>
                <w:rFonts w:ascii="宋体" w:hAnsi="宋体"/>
                <w:color w:val="auto"/>
                <w:szCs w:val="21"/>
              </w:rPr>
            </w:pPr>
            <w:r>
              <w:rPr>
                <w:rFonts w:hint="eastAsia" w:ascii="宋体" w:hAnsi="宋体"/>
                <w:color w:val="auto"/>
                <w:szCs w:val="21"/>
              </w:rPr>
              <w:t>投标实际响应</w:t>
            </w:r>
          </w:p>
        </w:tc>
        <w:tc>
          <w:tcPr>
            <w:tcW w:w="1239" w:type="dxa"/>
            <w:vAlign w:val="center"/>
          </w:tcPr>
          <w:p w14:paraId="7C9E7EAA">
            <w:pPr>
              <w:jc w:val="center"/>
              <w:rPr>
                <w:rFonts w:ascii="宋体" w:hAnsi="宋体"/>
                <w:color w:val="auto"/>
                <w:szCs w:val="21"/>
              </w:rPr>
            </w:pPr>
            <w:r>
              <w:rPr>
                <w:rFonts w:hint="eastAsia" w:ascii="宋体" w:hAnsi="宋体"/>
                <w:color w:val="auto"/>
                <w:szCs w:val="21"/>
              </w:rPr>
              <w:t>是否偏离</w:t>
            </w:r>
          </w:p>
        </w:tc>
        <w:tc>
          <w:tcPr>
            <w:tcW w:w="1544" w:type="dxa"/>
            <w:vAlign w:val="center"/>
          </w:tcPr>
          <w:p w14:paraId="676E44AE">
            <w:pPr>
              <w:jc w:val="center"/>
              <w:rPr>
                <w:rFonts w:ascii="宋体" w:hAnsi="宋体"/>
                <w:color w:val="auto"/>
                <w:szCs w:val="21"/>
              </w:rPr>
            </w:pPr>
            <w:r>
              <w:rPr>
                <w:rFonts w:hint="eastAsia" w:ascii="宋体" w:hAnsi="宋体"/>
                <w:color w:val="auto"/>
                <w:szCs w:val="21"/>
              </w:rPr>
              <w:t>说明</w:t>
            </w:r>
          </w:p>
        </w:tc>
      </w:tr>
      <w:tr w14:paraId="1BDA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1A8131E1">
            <w:pPr>
              <w:jc w:val="center"/>
              <w:rPr>
                <w:rFonts w:ascii="宋体" w:hAnsi="宋体"/>
                <w:color w:val="auto"/>
                <w:szCs w:val="21"/>
              </w:rPr>
            </w:pPr>
          </w:p>
        </w:tc>
        <w:tc>
          <w:tcPr>
            <w:tcW w:w="1902" w:type="dxa"/>
            <w:vAlign w:val="center"/>
          </w:tcPr>
          <w:p w14:paraId="69633BF5">
            <w:pPr>
              <w:jc w:val="center"/>
              <w:rPr>
                <w:rFonts w:ascii="宋体" w:hAnsi="宋体"/>
                <w:color w:val="auto"/>
                <w:szCs w:val="21"/>
              </w:rPr>
            </w:pPr>
          </w:p>
        </w:tc>
        <w:tc>
          <w:tcPr>
            <w:tcW w:w="1370" w:type="dxa"/>
            <w:vAlign w:val="center"/>
          </w:tcPr>
          <w:p w14:paraId="1F002130">
            <w:pPr>
              <w:jc w:val="center"/>
              <w:rPr>
                <w:rFonts w:ascii="宋体" w:hAnsi="宋体"/>
                <w:color w:val="auto"/>
                <w:szCs w:val="21"/>
              </w:rPr>
            </w:pPr>
          </w:p>
        </w:tc>
        <w:tc>
          <w:tcPr>
            <w:tcW w:w="1629" w:type="dxa"/>
            <w:vAlign w:val="center"/>
          </w:tcPr>
          <w:p w14:paraId="6305F997">
            <w:pPr>
              <w:jc w:val="center"/>
              <w:rPr>
                <w:rFonts w:ascii="宋体" w:hAnsi="宋体"/>
                <w:color w:val="auto"/>
                <w:szCs w:val="21"/>
              </w:rPr>
            </w:pPr>
          </w:p>
        </w:tc>
        <w:tc>
          <w:tcPr>
            <w:tcW w:w="1239" w:type="dxa"/>
            <w:vAlign w:val="center"/>
          </w:tcPr>
          <w:p w14:paraId="7744F6CF">
            <w:pPr>
              <w:jc w:val="center"/>
              <w:rPr>
                <w:rFonts w:ascii="宋体" w:hAnsi="宋体"/>
                <w:color w:val="auto"/>
                <w:szCs w:val="21"/>
              </w:rPr>
            </w:pPr>
          </w:p>
        </w:tc>
        <w:tc>
          <w:tcPr>
            <w:tcW w:w="1544" w:type="dxa"/>
            <w:vAlign w:val="center"/>
          </w:tcPr>
          <w:p w14:paraId="2BBD650D">
            <w:pPr>
              <w:jc w:val="center"/>
              <w:rPr>
                <w:rFonts w:ascii="宋体" w:hAnsi="宋体"/>
                <w:color w:val="auto"/>
                <w:szCs w:val="21"/>
              </w:rPr>
            </w:pPr>
          </w:p>
        </w:tc>
      </w:tr>
      <w:tr w14:paraId="26DF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26D39D36">
            <w:pPr>
              <w:jc w:val="center"/>
              <w:rPr>
                <w:rFonts w:ascii="宋体" w:hAnsi="宋体"/>
                <w:color w:val="auto"/>
                <w:szCs w:val="21"/>
              </w:rPr>
            </w:pPr>
          </w:p>
        </w:tc>
        <w:tc>
          <w:tcPr>
            <w:tcW w:w="1902" w:type="dxa"/>
            <w:vAlign w:val="center"/>
          </w:tcPr>
          <w:p w14:paraId="1F42F2F7">
            <w:pPr>
              <w:jc w:val="center"/>
              <w:rPr>
                <w:rFonts w:ascii="宋体" w:hAnsi="宋体"/>
                <w:color w:val="auto"/>
                <w:szCs w:val="21"/>
              </w:rPr>
            </w:pPr>
          </w:p>
        </w:tc>
        <w:tc>
          <w:tcPr>
            <w:tcW w:w="1370" w:type="dxa"/>
            <w:vAlign w:val="center"/>
          </w:tcPr>
          <w:p w14:paraId="666FB91B">
            <w:pPr>
              <w:jc w:val="center"/>
              <w:rPr>
                <w:rFonts w:ascii="宋体" w:hAnsi="宋体"/>
                <w:color w:val="auto"/>
                <w:szCs w:val="21"/>
              </w:rPr>
            </w:pPr>
          </w:p>
        </w:tc>
        <w:tc>
          <w:tcPr>
            <w:tcW w:w="1629" w:type="dxa"/>
            <w:vAlign w:val="center"/>
          </w:tcPr>
          <w:p w14:paraId="671D36AB">
            <w:pPr>
              <w:jc w:val="center"/>
              <w:rPr>
                <w:rFonts w:ascii="宋体" w:hAnsi="宋体"/>
                <w:color w:val="auto"/>
                <w:szCs w:val="21"/>
              </w:rPr>
            </w:pPr>
          </w:p>
        </w:tc>
        <w:tc>
          <w:tcPr>
            <w:tcW w:w="1239" w:type="dxa"/>
            <w:vAlign w:val="center"/>
          </w:tcPr>
          <w:p w14:paraId="66C7339B">
            <w:pPr>
              <w:jc w:val="center"/>
              <w:rPr>
                <w:rFonts w:ascii="宋体" w:hAnsi="宋体"/>
                <w:color w:val="auto"/>
                <w:szCs w:val="21"/>
              </w:rPr>
            </w:pPr>
          </w:p>
        </w:tc>
        <w:tc>
          <w:tcPr>
            <w:tcW w:w="1544" w:type="dxa"/>
            <w:vAlign w:val="center"/>
          </w:tcPr>
          <w:p w14:paraId="0313BA52">
            <w:pPr>
              <w:jc w:val="center"/>
              <w:rPr>
                <w:rFonts w:ascii="宋体" w:hAnsi="宋体"/>
                <w:color w:val="auto"/>
                <w:szCs w:val="21"/>
              </w:rPr>
            </w:pPr>
          </w:p>
        </w:tc>
      </w:tr>
      <w:tr w14:paraId="62B5E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6B8A7E3A">
            <w:pPr>
              <w:jc w:val="center"/>
              <w:rPr>
                <w:rFonts w:ascii="宋体" w:hAnsi="宋体"/>
                <w:color w:val="auto"/>
                <w:szCs w:val="21"/>
              </w:rPr>
            </w:pPr>
          </w:p>
        </w:tc>
        <w:tc>
          <w:tcPr>
            <w:tcW w:w="1902" w:type="dxa"/>
            <w:vAlign w:val="center"/>
          </w:tcPr>
          <w:p w14:paraId="3B195EB2">
            <w:pPr>
              <w:jc w:val="center"/>
              <w:rPr>
                <w:rFonts w:ascii="宋体" w:hAnsi="宋体"/>
                <w:color w:val="auto"/>
                <w:szCs w:val="21"/>
              </w:rPr>
            </w:pPr>
          </w:p>
        </w:tc>
        <w:tc>
          <w:tcPr>
            <w:tcW w:w="1370" w:type="dxa"/>
            <w:vAlign w:val="center"/>
          </w:tcPr>
          <w:p w14:paraId="5752B498">
            <w:pPr>
              <w:jc w:val="center"/>
              <w:rPr>
                <w:rFonts w:ascii="宋体" w:hAnsi="宋体"/>
                <w:color w:val="auto"/>
                <w:szCs w:val="21"/>
              </w:rPr>
            </w:pPr>
          </w:p>
        </w:tc>
        <w:tc>
          <w:tcPr>
            <w:tcW w:w="1629" w:type="dxa"/>
            <w:vAlign w:val="center"/>
          </w:tcPr>
          <w:p w14:paraId="1AE71492">
            <w:pPr>
              <w:jc w:val="center"/>
              <w:rPr>
                <w:rFonts w:ascii="宋体" w:hAnsi="宋体"/>
                <w:color w:val="auto"/>
                <w:szCs w:val="21"/>
              </w:rPr>
            </w:pPr>
          </w:p>
        </w:tc>
        <w:tc>
          <w:tcPr>
            <w:tcW w:w="1239" w:type="dxa"/>
            <w:vAlign w:val="center"/>
          </w:tcPr>
          <w:p w14:paraId="2E0CE75A">
            <w:pPr>
              <w:jc w:val="center"/>
              <w:rPr>
                <w:rFonts w:ascii="宋体" w:hAnsi="宋体"/>
                <w:color w:val="auto"/>
                <w:szCs w:val="21"/>
              </w:rPr>
            </w:pPr>
          </w:p>
        </w:tc>
        <w:tc>
          <w:tcPr>
            <w:tcW w:w="1544" w:type="dxa"/>
            <w:vAlign w:val="center"/>
          </w:tcPr>
          <w:p w14:paraId="40143805">
            <w:pPr>
              <w:jc w:val="center"/>
              <w:rPr>
                <w:rFonts w:ascii="宋体" w:hAnsi="宋体"/>
                <w:color w:val="auto"/>
                <w:szCs w:val="21"/>
              </w:rPr>
            </w:pPr>
          </w:p>
        </w:tc>
      </w:tr>
      <w:tr w14:paraId="2242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77669E53">
            <w:pPr>
              <w:jc w:val="center"/>
              <w:rPr>
                <w:rFonts w:ascii="宋体" w:hAnsi="宋体"/>
                <w:color w:val="auto"/>
                <w:szCs w:val="21"/>
              </w:rPr>
            </w:pPr>
          </w:p>
        </w:tc>
        <w:tc>
          <w:tcPr>
            <w:tcW w:w="1902" w:type="dxa"/>
            <w:vAlign w:val="center"/>
          </w:tcPr>
          <w:p w14:paraId="36D4C187">
            <w:pPr>
              <w:jc w:val="center"/>
              <w:rPr>
                <w:rFonts w:ascii="宋体" w:hAnsi="宋体"/>
                <w:color w:val="auto"/>
                <w:szCs w:val="21"/>
              </w:rPr>
            </w:pPr>
          </w:p>
        </w:tc>
        <w:tc>
          <w:tcPr>
            <w:tcW w:w="1370" w:type="dxa"/>
            <w:vAlign w:val="center"/>
          </w:tcPr>
          <w:p w14:paraId="1B1116C3">
            <w:pPr>
              <w:jc w:val="center"/>
              <w:rPr>
                <w:rFonts w:ascii="宋体" w:hAnsi="宋体"/>
                <w:color w:val="auto"/>
                <w:szCs w:val="21"/>
              </w:rPr>
            </w:pPr>
          </w:p>
        </w:tc>
        <w:tc>
          <w:tcPr>
            <w:tcW w:w="1629" w:type="dxa"/>
            <w:vAlign w:val="center"/>
          </w:tcPr>
          <w:p w14:paraId="79A2EB96">
            <w:pPr>
              <w:jc w:val="center"/>
              <w:rPr>
                <w:rFonts w:ascii="宋体" w:hAnsi="宋体"/>
                <w:color w:val="auto"/>
                <w:szCs w:val="21"/>
              </w:rPr>
            </w:pPr>
          </w:p>
        </w:tc>
        <w:tc>
          <w:tcPr>
            <w:tcW w:w="1239" w:type="dxa"/>
            <w:vAlign w:val="center"/>
          </w:tcPr>
          <w:p w14:paraId="7A34D4E5">
            <w:pPr>
              <w:jc w:val="center"/>
              <w:rPr>
                <w:rFonts w:ascii="宋体" w:hAnsi="宋体"/>
                <w:color w:val="auto"/>
                <w:szCs w:val="21"/>
              </w:rPr>
            </w:pPr>
          </w:p>
        </w:tc>
        <w:tc>
          <w:tcPr>
            <w:tcW w:w="1544" w:type="dxa"/>
            <w:vAlign w:val="center"/>
          </w:tcPr>
          <w:p w14:paraId="57D85BB0">
            <w:pPr>
              <w:jc w:val="center"/>
              <w:rPr>
                <w:rFonts w:ascii="宋体" w:hAnsi="宋体"/>
                <w:color w:val="auto"/>
                <w:szCs w:val="21"/>
              </w:rPr>
            </w:pPr>
          </w:p>
        </w:tc>
      </w:tr>
      <w:tr w14:paraId="69CD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6433C8DC">
            <w:pPr>
              <w:jc w:val="center"/>
              <w:rPr>
                <w:rFonts w:ascii="宋体" w:hAnsi="宋体"/>
                <w:color w:val="auto"/>
                <w:szCs w:val="21"/>
              </w:rPr>
            </w:pPr>
          </w:p>
        </w:tc>
        <w:tc>
          <w:tcPr>
            <w:tcW w:w="1902" w:type="dxa"/>
            <w:vAlign w:val="center"/>
          </w:tcPr>
          <w:p w14:paraId="31AD897F">
            <w:pPr>
              <w:jc w:val="center"/>
              <w:rPr>
                <w:rFonts w:ascii="宋体" w:hAnsi="宋体"/>
                <w:color w:val="auto"/>
                <w:szCs w:val="21"/>
              </w:rPr>
            </w:pPr>
          </w:p>
        </w:tc>
        <w:tc>
          <w:tcPr>
            <w:tcW w:w="1370" w:type="dxa"/>
            <w:vAlign w:val="center"/>
          </w:tcPr>
          <w:p w14:paraId="6980A45A">
            <w:pPr>
              <w:jc w:val="center"/>
              <w:rPr>
                <w:rFonts w:ascii="宋体" w:hAnsi="宋体"/>
                <w:color w:val="auto"/>
                <w:szCs w:val="21"/>
              </w:rPr>
            </w:pPr>
          </w:p>
        </w:tc>
        <w:tc>
          <w:tcPr>
            <w:tcW w:w="1629" w:type="dxa"/>
            <w:vAlign w:val="center"/>
          </w:tcPr>
          <w:p w14:paraId="072DFB06">
            <w:pPr>
              <w:jc w:val="center"/>
              <w:rPr>
                <w:rFonts w:ascii="宋体" w:hAnsi="宋体"/>
                <w:color w:val="auto"/>
                <w:szCs w:val="21"/>
              </w:rPr>
            </w:pPr>
          </w:p>
        </w:tc>
        <w:tc>
          <w:tcPr>
            <w:tcW w:w="1239" w:type="dxa"/>
            <w:vAlign w:val="center"/>
          </w:tcPr>
          <w:p w14:paraId="0A03BEFE">
            <w:pPr>
              <w:jc w:val="center"/>
              <w:rPr>
                <w:rFonts w:ascii="宋体" w:hAnsi="宋体"/>
                <w:color w:val="auto"/>
                <w:szCs w:val="21"/>
              </w:rPr>
            </w:pPr>
          </w:p>
        </w:tc>
        <w:tc>
          <w:tcPr>
            <w:tcW w:w="1544" w:type="dxa"/>
            <w:vAlign w:val="center"/>
          </w:tcPr>
          <w:p w14:paraId="4CC2D763">
            <w:pPr>
              <w:jc w:val="center"/>
              <w:rPr>
                <w:rFonts w:ascii="宋体" w:hAnsi="宋体"/>
                <w:color w:val="auto"/>
                <w:szCs w:val="21"/>
              </w:rPr>
            </w:pPr>
          </w:p>
        </w:tc>
      </w:tr>
      <w:tr w14:paraId="4491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1606FCBA">
            <w:pPr>
              <w:jc w:val="center"/>
              <w:rPr>
                <w:rFonts w:ascii="宋体" w:hAnsi="宋体"/>
                <w:color w:val="auto"/>
                <w:szCs w:val="21"/>
              </w:rPr>
            </w:pPr>
          </w:p>
        </w:tc>
        <w:tc>
          <w:tcPr>
            <w:tcW w:w="1902" w:type="dxa"/>
            <w:vAlign w:val="center"/>
          </w:tcPr>
          <w:p w14:paraId="251A3141">
            <w:pPr>
              <w:jc w:val="center"/>
              <w:rPr>
                <w:rFonts w:ascii="宋体" w:hAnsi="宋体"/>
                <w:color w:val="auto"/>
                <w:szCs w:val="21"/>
              </w:rPr>
            </w:pPr>
          </w:p>
        </w:tc>
        <w:tc>
          <w:tcPr>
            <w:tcW w:w="1370" w:type="dxa"/>
            <w:vAlign w:val="center"/>
          </w:tcPr>
          <w:p w14:paraId="78E0619A">
            <w:pPr>
              <w:jc w:val="center"/>
              <w:rPr>
                <w:rFonts w:ascii="宋体" w:hAnsi="宋体"/>
                <w:color w:val="auto"/>
                <w:szCs w:val="21"/>
              </w:rPr>
            </w:pPr>
          </w:p>
        </w:tc>
        <w:tc>
          <w:tcPr>
            <w:tcW w:w="1629" w:type="dxa"/>
            <w:vAlign w:val="center"/>
          </w:tcPr>
          <w:p w14:paraId="530D4CBA">
            <w:pPr>
              <w:jc w:val="center"/>
              <w:rPr>
                <w:rFonts w:ascii="宋体" w:hAnsi="宋体"/>
                <w:color w:val="auto"/>
                <w:szCs w:val="21"/>
              </w:rPr>
            </w:pPr>
          </w:p>
        </w:tc>
        <w:tc>
          <w:tcPr>
            <w:tcW w:w="1239" w:type="dxa"/>
            <w:vAlign w:val="center"/>
          </w:tcPr>
          <w:p w14:paraId="4045581B">
            <w:pPr>
              <w:jc w:val="center"/>
              <w:rPr>
                <w:rFonts w:ascii="宋体" w:hAnsi="宋体"/>
                <w:color w:val="auto"/>
                <w:szCs w:val="21"/>
              </w:rPr>
            </w:pPr>
          </w:p>
        </w:tc>
        <w:tc>
          <w:tcPr>
            <w:tcW w:w="1544" w:type="dxa"/>
            <w:vAlign w:val="center"/>
          </w:tcPr>
          <w:p w14:paraId="3F51EA29">
            <w:pPr>
              <w:jc w:val="center"/>
              <w:rPr>
                <w:rFonts w:ascii="宋体" w:hAnsi="宋体"/>
                <w:color w:val="auto"/>
                <w:szCs w:val="21"/>
              </w:rPr>
            </w:pPr>
          </w:p>
        </w:tc>
      </w:tr>
      <w:tr w14:paraId="60DB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0A8835F4">
            <w:pPr>
              <w:jc w:val="center"/>
              <w:rPr>
                <w:rFonts w:ascii="宋体" w:hAnsi="宋体"/>
                <w:color w:val="auto"/>
                <w:szCs w:val="21"/>
              </w:rPr>
            </w:pPr>
          </w:p>
        </w:tc>
        <w:tc>
          <w:tcPr>
            <w:tcW w:w="1902" w:type="dxa"/>
            <w:vAlign w:val="center"/>
          </w:tcPr>
          <w:p w14:paraId="268A91B5">
            <w:pPr>
              <w:jc w:val="center"/>
              <w:rPr>
                <w:rFonts w:ascii="宋体" w:hAnsi="宋体"/>
                <w:color w:val="auto"/>
                <w:szCs w:val="21"/>
              </w:rPr>
            </w:pPr>
          </w:p>
        </w:tc>
        <w:tc>
          <w:tcPr>
            <w:tcW w:w="1370" w:type="dxa"/>
            <w:vAlign w:val="center"/>
          </w:tcPr>
          <w:p w14:paraId="2D048BD8">
            <w:pPr>
              <w:jc w:val="center"/>
              <w:rPr>
                <w:rFonts w:ascii="宋体" w:hAnsi="宋体"/>
                <w:color w:val="auto"/>
                <w:szCs w:val="21"/>
              </w:rPr>
            </w:pPr>
          </w:p>
        </w:tc>
        <w:tc>
          <w:tcPr>
            <w:tcW w:w="1629" w:type="dxa"/>
            <w:vAlign w:val="center"/>
          </w:tcPr>
          <w:p w14:paraId="2275B510">
            <w:pPr>
              <w:jc w:val="center"/>
              <w:rPr>
                <w:rFonts w:ascii="宋体" w:hAnsi="宋体"/>
                <w:color w:val="auto"/>
                <w:szCs w:val="21"/>
              </w:rPr>
            </w:pPr>
          </w:p>
        </w:tc>
        <w:tc>
          <w:tcPr>
            <w:tcW w:w="1239" w:type="dxa"/>
            <w:vAlign w:val="center"/>
          </w:tcPr>
          <w:p w14:paraId="18AFE741">
            <w:pPr>
              <w:jc w:val="center"/>
              <w:rPr>
                <w:rFonts w:ascii="宋体" w:hAnsi="宋体"/>
                <w:color w:val="auto"/>
                <w:szCs w:val="21"/>
              </w:rPr>
            </w:pPr>
          </w:p>
        </w:tc>
        <w:tc>
          <w:tcPr>
            <w:tcW w:w="1544" w:type="dxa"/>
            <w:vAlign w:val="center"/>
          </w:tcPr>
          <w:p w14:paraId="2F47642F">
            <w:pPr>
              <w:jc w:val="center"/>
              <w:rPr>
                <w:rFonts w:ascii="宋体" w:hAnsi="宋体"/>
                <w:color w:val="auto"/>
                <w:szCs w:val="21"/>
              </w:rPr>
            </w:pPr>
          </w:p>
        </w:tc>
      </w:tr>
      <w:tr w14:paraId="505B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51B68220">
            <w:pPr>
              <w:jc w:val="center"/>
              <w:rPr>
                <w:rFonts w:ascii="宋体" w:hAnsi="宋体"/>
                <w:color w:val="auto"/>
                <w:szCs w:val="21"/>
              </w:rPr>
            </w:pPr>
          </w:p>
        </w:tc>
        <w:tc>
          <w:tcPr>
            <w:tcW w:w="1902" w:type="dxa"/>
            <w:vAlign w:val="center"/>
          </w:tcPr>
          <w:p w14:paraId="61AAD5F2">
            <w:pPr>
              <w:jc w:val="center"/>
              <w:rPr>
                <w:rFonts w:ascii="宋体" w:hAnsi="宋体"/>
                <w:color w:val="auto"/>
                <w:szCs w:val="21"/>
              </w:rPr>
            </w:pPr>
          </w:p>
        </w:tc>
        <w:tc>
          <w:tcPr>
            <w:tcW w:w="1370" w:type="dxa"/>
            <w:vAlign w:val="center"/>
          </w:tcPr>
          <w:p w14:paraId="71DE9A53">
            <w:pPr>
              <w:jc w:val="center"/>
              <w:rPr>
                <w:rFonts w:ascii="宋体" w:hAnsi="宋体"/>
                <w:color w:val="auto"/>
                <w:szCs w:val="21"/>
              </w:rPr>
            </w:pPr>
          </w:p>
        </w:tc>
        <w:tc>
          <w:tcPr>
            <w:tcW w:w="1629" w:type="dxa"/>
            <w:vAlign w:val="center"/>
          </w:tcPr>
          <w:p w14:paraId="03D35432">
            <w:pPr>
              <w:jc w:val="center"/>
              <w:rPr>
                <w:rFonts w:ascii="宋体" w:hAnsi="宋体"/>
                <w:color w:val="auto"/>
                <w:szCs w:val="21"/>
              </w:rPr>
            </w:pPr>
          </w:p>
        </w:tc>
        <w:tc>
          <w:tcPr>
            <w:tcW w:w="1239" w:type="dxa"/>
            <w:vAlign w:val="center"/>
          </w:tcPr>
          <w:p w14:paraId="5D51C752">
            <w:pPr>
              <w:jc w:val="center"/>
              <w:rPr>
                <w:rFonts w:ascii="宋体" w:hAnsi="宋体"/>
                <w:color w:val="auto"/>
                <w:szCs w:val="21"/>
              </w:rPr>
            </w:pPr>
          </w:p>
        </w:tc>
        <w:tc>
          <w:tcPr>
            <w:tcW w:w="1544" w:type="dxa"/>
            <w:vAlign w:val="center"/>
          </w:tcPr>
          <w:p w14:paraId="255887BB">
            <w:pPr>
              <w:jc w:val="center"/>
              <w:rPr>
                <w:rFonts w:ascii="宋体" w:hAnsi="宋体"/>
                <w:color w:val="auto"/>
                <w:szCs w:val="21"/>
              </w:rPr>
            </w:pPr>
          </w:p>
        </w:tc>
      </w:tr>
      <w:tr w14:paraId="652A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6F33D7A7">
            <w:pPr>
              <w:jc w:val="center"/>
              <w:rPr>
                <w:rFonts w:ascii="宋体" w:hAnsi="宋体"/>
                <w:color w:val="auto"/>
                <w:szCs w:val="21"/>
              </w:rPr>
            </w:pPr>
          </w:p>
        </w:tc>
        <w:tc>
          <w:tcPr>
            <w:tcW w:w="1902" w:type="dxa"/>
            <w:vAlign w:val="center"/>
          </w:tcPr>
          <w:p w14:paraId="32E520AC">
            <w:pPr>
              <w:jc w:val="center"/>
              <w:rPr>
                <w:rFonts w:ascii="宋体" w:hAnsi="宋体"/>
                <w:color w:val="auto"/>
                <w:szCs w:val="21"/>
              </w:rPr>
            </w:pPr>
          </w:p>
        </w:tc>
        <w:tc>
          <w:tcPr>
            <w:tcW w:w="1370" w:type="dxa"/>
            <w:vAlign w:val="center"/>
          </w:tcPr>
          <w:p w14:paraId="1B233BD5">
            <w:pPr>
              <w:jc w:val="center"/>
              <w:rPr>
                <w:rFonts w:ascii="宋体" w:hAnsi="宋体"/>
                <w:color w:val="auto"/>
                <w:szCs w:val="21"/>
              </w:rPr>
            </w:pPr>
          </w:p>
        </w:tc>
        <w:tc>
          <w:tcPr>
            <w:tcW w:w="1629" w:type="dxa"/>
            <w:vAlign w:val="center"/>
          </w:tcPr>
          <w:p w14:paraId="31BB0996">
            <w:pPr>
              <w:jc w:val="center"/>
              <w:rPr>
                <w:rFonts w:ascii="宋体" w:hAnsi="宋体"/>
                <w:color w:val="auto"/>
                <w:szCs w:val="21"/>
              </w:rPr>
            </w:pPr>
          </w:p>
        </w:tc>
        <w:tc>
          <w:tcPr>
            <w:tcW w:w="1239" w:type="dxa"/>
            <w:vAlign w:val="center"/>
          </w:tcPr>
          <w:p w14:paraId="6F6B8399">
            <w:pPr>
              <w:jc w:val="center"/>
              <w:rPr>
                <w:rFonts w:ascii="宋体" w:hAnsi="宋体"/>
                <w:color w:val="auto"/>
                <w:szCs w:val="21"/>
              </w:rPr>
            </w:pPr>
          </w:p>
        </w:tc>
        <w:tc>
          <w:tcPr>
            <w:tcW w:w="1544" w:type="dxa"/>
            <w:vAlign w:val="center"/>
          </w:tcPr>
          <w:p w14:paraId="0AA4890F">
            <w:pPr>
              <w:jc w:val="center"/>
              <w:rPr>
                <w:rFonts w:ascii="宋体" w:hAnsi="宋体"/>
                <w:color w:val="auto"/>
                <w:szCs w:val="21"/>
              </w:rPr>
            </w:pPr>
          </w:p>
        </w:tc>
      </w:tr>
      <w:tr w14:paraId="5D21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33ADC776">
            <w:pPr>
              <w:jc w:val="center"/>
              <w:rPr>
                <w:rFonts w:ascii="宋体" w:hAnsi="宋体"/>
                <w:color w:val="auto"/>
                <w:szCs w:val="21"/>
              </w:rPr>
            </w:pPr>
          </w:p>
        </w:tc>
        <w:tc>
          <w:tcPr>
            <w:tcW w:w="1902" w:type="dxa"/>
            <w:vAlign w:val="center"/>
          </w:tcPr>
          <w:p w14:paraId="2CC9B716">
            <w:pPr>
              <w:jc w:val="center"/>
              <w:rPr>
                <w:rFonts w:ascii="宋体" w:hAnsi="宋体"/>
                <w:color w:val="auto"/>
                <w:szCs w:val="21"/>
              </w:rPr>
            </w:pPr>
          </w:p>
        </w:tc>
        <w:tc>
          <w:tcPr>
            <w:tcW w:w="1370" w:type="dxa"/>
            <w:vAlign w:val="center"/>
          </w:tcPr>
          <w:p w14:paraId="518189D4">
            <w:pPr>
              <w:jc w:val="center"/>
              <w:rPr>
                <w:rFonts w:ascii="宋体" w:hAnsi="宋体"/>
                <w:color w:val="auto"/>
                <w:szCs w:val="21"/>
              </w:rPr>
            </w:pPr>
          </w:p>
        </w:tc>
        <w:tc>
          <w:tcPr>
            <w:tcW w:w="1629" w:type="dxa"/>
            <w:vAlign w:val="center"/>
          </w:tcPr>
          <w:p w14:paraId="719164C0">
            <w:pPr>
              <w:jc w:val="center"/>
              <w:rPr>
                <w:rFonts w:ascii="宋体" w:hAnsi="宋体"/>
                <w:color w:val="auto"/>
                <w:szCs w:val="21"/>
              </w:rPr>
            </w:pPr>
          </w:p>
        </w:tc>
        <w:tc>
          <w:tcPr>
            <w:tcW w:w="1239" w:type="dxa"/>
            <w:vAlign w:val="center"/>
          </w:tcPr>
          <w:p w14:paraId="71D318AD">
            <w:pPr>
              <w:jc w:val="center"/>
              <w:rPr>
                <w:rFonts w:ascii="宋体" w:hAnsi="宋体"/>
                <w:color w:val="auto"/>
                <w:szCs w:val="21"/>
              </w:rPr>
            </w:pPr>
          </w:p>
        </w:tc>
        <w:tc>
          <w:tcPr>
            <w:tcW w:w="1544" w:type="dxa"/>
            <w:vAlign w:val="center"/>
          </w:tcPr>
          <w:p w14:paraId="4A6699A9">
            <w:pPr>
              <w:jc w:val="center"/>
              <w:rPr>
                <w:rFonts w:ascii="宋体" w:hAnsi="宋体"/>
                <w:color w:val="auto"/>
                <w:szCs w:val="21"/>
              </w:rPr>
            </w:pPr>
          </w:p>
        </w:tc>
      </w:tr>
    </w:tbl>
    <w:p w14:paraId="742DBD91">
      <w:pPr>
        <w:rPr>
          <w:rFonts w:ascii="宋体" w:hAnsi="宋体"/>
          <w:color w:val="auto"/>
          <w:szCs w:val="21"/>
        </w:rPr>
      </w:pPr>
    </w:p>
    <w:p w14:paraId="19CE67ED">
      <w:pPr>
        <w:rPr>
          <w:rFonts w:ascii="宋体" w:hAnsi="宋体"/>
          <w:color w:val="auto"/>
          <w:szCs w:val="21"/>
        </w:rPr>
      </w:pPr>
      <w:r>
        <w:rPr>
          <w:rFonts w:hint="eastAsia" w:ascii="宋体" w:hAnsi="宋体"/>
          <w:color w:val="auto"/>
          <w:szCs w:val="21"/>
        </w:rPr>
        <w:t>投标人代表签字：</w:t>
      </w:r>
    </w:p>
    <w:p w14:paraId="1E75B981">
      <w:pPr>
        <w:rPr>
          <w:rFonts w:ascii="宋体" w:hAnsi="宋体"/>
          <w:color w:val="auto"/>
          <w:szCs w:val="21"/>
        </w:rPr>
      </w:pPr>
      <w:r>
        <w:rPr>
          <w:rFonts w:hint="eastAsia" w:ascii="宋体" w:hAnsi="宋体"/>
          <w:color w:val="auto"/>
          <w:szCs w:val="21"/>
        </w:rPr>
        <w:t>投标人盖章：</w:t>
      </w:r>
    </w:p>
    <w:p w14:paraId="255A4B81">
      <w:pPr>
        <w:ind w:firstLine="178" w:firstLineChars="85"/>
        <w:rPr>
          <w:rFonts w:ascii="宋体" w:hAnsi="宋体"/>
          <w:color w:val="auto"/>
          <w:szCs w:val="21"/>
        </w:rPr>
      </w:pPr>
    </w:p>
    <w:p w14:paraId="140F4BD6">
      <w:pPr>
        <w:rPr>
          <w:rFonts w:ascii="宋体" w:hAnsi="宋体"/>
          <w:color w:val="auto"/>
          <w:szCs w:val="21"/>
        </w:rPr>
      </w:pPr>
      <w:r>
        <w:rPr>
          <w:rFonts w:hint="eastAsia" w:ascii="宋体" w:hAnsi="宋体"/>
          <w:color w:val="auto"/>
          <w:szCs w:val="21"/>
        </w:rPr>
        <w:t>注：</w:t>
      </w:r>
    </w:p>
    <w:p w14:paraId="29DD1E85">
      <w:pPr>
        <w:rPr>
          <w:rFonts w:ascii="宋体" w:hAnsi="宋体"/>
          <w:color w:val="auto"/>
          <w:szCs w:val="21"/>
        </w:rPr>
      </w:pPr>
      <w:r>
        <w:rPr>
          <w:rFonts w:hint="eastAsia" w:ascii="宋体" w:hAnsi="宋体"/>
          <w:color w:val="auto"/>
          <w:szCs w:val="21"/>
        </w:rPr>
        <w:t>1、投标人应对照采购文件技术需求书中技术规格，说明所提供服务已对采购文件的技术规格做出了实质性的响应，并申明与技术规格条文的偏差和例外。特别对有具体参数要求的指标，投标人必须提供所投设备的具体参数值。</w:t>
      </w:r>
    </w:p>
    <w:p w14:paraId="22E89CA0">
      <w:pPr>
        <w:rPr>
          <w:rFonts w:ascii="宋体" w:hAnsi="宋体"/>
          <w:color w:val="auto"/>
          <w:szCs w:val="21"/>
        </w:rPr>
      </w:pPr>
      <w:r>
        <w:rPr>
          <w:rFonts w:hint="eastAsia" w:ascii="宋体" w:hAnsi="宋体"/>
          <w:color w:val="auto"/>
          <w:szCs w:val="21"/>
        </w:rPr>
        <w:t>2、</w:t>
      </w:r>
      <w:r>
        <w:rPr>
          <w:rFonts w:hint="eastAsia" w:hAnsi="宋体" w:cs="宋体"/>
          <w:color w:val="auto"/>
          <w:szCs w:val="21"/>
        </w:rPr>
        <w:t>不论出于何种原因此表未填写</w:t>
      </w:r>
      <w:r>
        <w:rPr>
          <w:rFonts w:hint="eastAsia" w:ascii="宋体" w:hAnsi="宋体"/>
          <w:color w:val="auto"/>
          <w:szCs w:val="21"/>
        </w:rPr>
        <w:t>完整</w:t>
      </w:r>
      <w:r>
        <w:rPr>
          <w:rFonts w:hint="eastAsia" w:hAnsi="宋体" w:cs="宋体"/>
          <w:color w:val="auto"/>
          <w:szCs w:val="21"/>
        </w:rPr>
        <w:t>，投标人都被认为已清楚了解采购文件“技术需求书”的内容并对采购人所需的服务要求作全面响应，投标人必须承担完成“技术需求书”所描述内容的义务</w:t>
      </w:r>
      <w:r>
        <w:rPr>
          <w:rFonts w:hint="eastAsia" w:ascii="宋体" w:hAnsi="宋体"/>
          <w:color w:val="auto"/>
          <w:szCs w:val="21"/>
        </w:rPr>
        <w:t>，因此对投标人投标产生负面影响的，投标人自行承担后果。</w:t>
      </w:r>
    </w:p>
    <w:p w14:paraId="50CD6477">
      <w:pPr>
        <w:rPr>
          <w:rFonts w:ascii="宋体" w:hAnsi="宋体"/>
          <w:color w:val="auto"/>
          <w:szCs w:val="21"/>
        </w:rPr>
      </w:pPr>
      <w:r>
        <w:rPr>
          <w:rFonts w:hint="eastAsia" w:ascii="宋体" w:hAnsi="宋体"/>
          <w:color w:val="auto"/>
          <w:szCs w:val="21"/>
        </w:rPr>
        <w:t>3、</w:t>
      </w:r>
      <w:r>
        <w:rPr>
          <w:rFonts w:hint="eastAsia" w:hAnsi="宋体" w:cs="宋体"/>
          <w:color w:val="auto"/>
          <w:szCs w:val="21"/>
        </w:rPr>
        <w:t>如有偏离，应在“偏离情况”栏内注明“正”、“负”或“无”，并在“说明”栏内予以说明。</w:t>
      </w:r>
    </w:p>
    <w:p w14:paraId="729407DD">
      <w:pPr>
        <w:outlineLvl w:val="1"/>
        <w:rPr>
          <w:rFonts w:ascii="宋体" w:hAnsi="宋体"/>
          <w:color w:val="auto"/>
          <w:szCs w:val="21"/>
        </w:rPr>
      </w:pPr>
      <w:bookmarkStart w:id="445" w:name="_Toc22145"/>
      <w:r>
        <w:rPr>
          <w:rFonts w:hint="eastAsia" w:ascii="宋体" w:hAnsi="宋体"/>
          <w:color w:val="auto"/>
          <w:szCs w:val="21"/>
        </w:rPr>
        <w:t>4、</w:t>
      </w:r>
      <w:r>
        <w:rPr>
          <w:rFonts w:hint="eastAsia" w:hAnsi="宋体" w:cs="宋体"/>
          <w:color w:val="auto"/>
          <w:szCs w:val="21"/>
        </w:rPr>
        <w:t>如投标人差异内容较多可另附页说明。</w:t>
      </w:r>
      <w:bookmarkEnd w:id="445"/>
    </w:p>
    <w:p w14:paraId="33FE92EF">
      <w:pPr>
        <w:rPr>
          <w:rFonts w:ascii="宋体" w:hAnsi="宋体"/>
          <w:color w:val="auto"/>
          <w:szCs w:val="21"/>
        </w:rPr>
      </w:pPr>
      <w:r>
        <w:rPr>
          <w:rFonts w:hint="eastAsia" w:ascii="宋体" w:hAnsi="宋体"/>
          <w:color w:val="auto"/>
          <w:szCs w:val="21"/>
        </w:rPr>
        <w:t>5、</w:t>
      </w:r>
      <w:r>
        <w:rPr>
          <w:rFonts w:hint="eastAsia" w:hAnsi="宋体" w:cs="宋体"/>
          <w:color w:val="auto"/>
          <w:szCs w:val="21"/>
        </w:rPr>
        <w:t>如投标人对用户需求书技术要求的条款全部响应的，也可以在表格下面用文字总括性的说明。</w:t>
      </w:r>
    </w:p>
    <w:p w14:paraId="4857B929">
      <w:pPr>
        <w:rPr>
          <w:rFonts w:ascii="宋体" w:hAnsi="宋体"/>
          <w:color w:val="auto"/>
          <w:szCs w:val="21"/>
        </w:rPr>
      </w:pPr>
    </w:p>
    <w:p w14:paraId="686727AB">
      <w:pPr>
        <w:adjustRightInd/>
        <w:snapToGrid/>
        <w:spacing w:line="276" w:lineRule="auto"/>
        <w:rPr>
          <w:color w:val="auto"/>
        </w:rPr>
      </w:pPr>
    </w:p>
    <w:p w14:paraId="5869B9CA">
      <w:pPr>
        <w:rPr>
          <w:rFonts w:ascii="宋体" w:hAnsi="宋体"/>
          <w:color w:val="auto"/>
          <w:szCs w:val="21"/>
        </w:rPr>
      </w:pPr>
      <w:bookmarkStart w:id="446" w:name="_Toc17691"/>
      <w:r>
        <w:rPr>
          <w:rFonts w:hint="eastAsia" w:ascii="宋体" w:hAnsi="宋体"/>
          <w:color w:val="auto"/>
          <w:szCs w:val="21"/>
        </w:rPr>
        <w:br w:type="page"/>
      </w:r>
    </w:p>
    <w:bookmarkEnd w:id="446"/>
    <w:p w14:paraId="6B095F16">
      <w:pPr>
        <w:pStyle w:val="5"/>
        <w:widowControl w:val="0"/>
        <w:overflowPunct w:val="0"/>
        <w:spacing w:line="240" w:lineRule="auto"/>
        <w:rPr>
          <w:rFonts w:ascii="宋体" w:hAnsi="宋体"/>
          <w:color w:val="auto"/>
          <w:sz w:val="21"/>
          <w:szCs w:val="21"/>
        </w:rPr>
      </w:pPr>
      <w:bookmarkStart w:id="447" w:name="_Toc13485"/>
      <w:bookmarkStart w:id="448" w:name="_Toc29740"/>
      <w:bookmarkStart w:id="449" w:name="_Toc1504"/>
      <w:bookmarkStart w:id="450" w:name="_Toc17666"/>
      <w:r>
        <w:rPr>
          <w:rFonts w:hint="eastAsia" w:ascii="宋体" w:hAnsi="宋体"/>
          <w:color w:val="auto"/>
          <w:sz w:val="21"/>
          <w:szCs w:val="21"/>
        </w:rPr>
        <w:t>附件20.项目实施方案格式</w:t>
      </w:r>
      <w:bookmarkEnd w:id="447"/>
      <w:bookmarkEnd w:id="448"/>
      <w:bookmarkEnd w:id="449"/>
      <w:bookmarkEnd w:id="450"/>
    </w:p>
    <w:p w14:paraId="6191ADA0">
      <w:pPr>
        <w:jc w:val="center"/>
        <w:rPr>
          <w:rFonts w:ascii="兰米黑体" w:eastAsia="兰米黑体"/>
          <w:color w:val="auto"/>
          <w:sz w:val="32"/>
          <w:szCs w:val="32"/>
        </w:rPr>
      </w:pPr>
    </w:p>
    <w:p w14:paraId="2CBEBCDA">
      <w:pPr>
        <w:jc w:val="center"/>
        <w:outlineLvl w:val="0"/>
        <w:rPr>
          <w:rFonts w:ascii="兰米黑体" w:eastAsia="兰米黑体"/>
          <w:color w:val="auto"/>
          <w:sz w:val="32"/>
          <w:szCs w:val="32"/>
        </w:rPr>
      </w:pPr>
      <w:bookmarkStart w:id="451" w:name="_Toc20880"/>
      <w:r>
        <w:rPr>
          <w:rFonts w:hint="eastAsia" w:ascii="兰米黑体" w:eastAsia="兰米黑体"/>
          <w:color w:val="auto"/>
          <w:sz w:val="32"/>
          <w:szCs w:val="32"/>
        </w:rPr>
        <w:t>项目实施方案</w:t>
      </w:r>
      <w:bookmarkEnd w:id="451"/>
    </w:p>
    <w:p w14:paraId="2C5FB5FD">
      <w:pPr>
        <w:jc w:val="center"/>
        <w:rPr>
          <w:rFonts w:ascii="兰米黑体" w:eastAsia="兰米黑体"/>
          <w:color w:val="auto"/>
          <w:sz w:val="32"/>
          <w:szCs w:val="32"/>
        </w:rPr>
      </w:pPr>
    </w:p>
    <w:p w14:paraId="6ED566A0">
      <w:pPr>
        <w:ind w:left="718" w:leftChars="200" w:hanging="298" w:hangingChars="142"/>
        <w:rPr>
          <w:rFonts w:ascii="宋体" w:hAnsi="宋体" w:cs="Times New Roman"/>
          <w:color w:val="auto"/>
          <w:szCs w:val="21"/>
        </w:rPr>
      </w:pPr>
      <w:r>
        <w:rPr>
          <w:rFonts w:hint="eastAsia" w:ascii="宋体" w:hAnsi="宋体"/>
          <w:color w:val="auto"/>
          <w:szCs w:val="21"/>
        </w:rPr>
        <w:t>自行编写。</w:t>
      </w:r>
    </w:p>
    <w:p w14:paraId="0BCEFF6A">
      <w:pPr>
        <w:ind w:left="718" w:leftChars="200" w:hanging="298" w:hangingChars="142"/>
        <w:rPr>
          <w:rFonts w:ascii="宋体" w:hAnsi="宋体"/>
          <w:color w:val="auto"/>
          <w:szCs w:val="21"/>
        </w:rPr>
      </w:pPr>
    </w:p>
    <w:p w14:paraId="1F293F94">
      <w:pPr>
        <w:ind w:left="718" w:leftChars="200" w:hanging="298" w:hangingChars="142"/>
        <w:rPr>
          <w:rFonts w:ascii="宋体" w:hAnsi="宋体"/>
          <w:color w:val="auto"/>
          <w:szCs w:val="21"/>
        </w:rPr>
      </w:pPr>
    </w:p>
    <w:p w14:paraId="0C78E1D7">
      <w:pPr>
        <w:ind w:left="718" w:leftChars="200" w:hanging="298" w:hangingChars="142"/>
        <w:rPr>
          <w:rFonts w:ascii="宋体" w:hAnsi="宋体"/>
          <w:color w:val="auto"/>
          <w:szCs w:val="21"/>
        </w:rPr>
      </w:pPr>
      <w:r>
        <w:rPr>
          <w:rFonts w:hint="eastAsia" w:ascii="宋体" w:hAnsi="宋体"/>
          <w:color w:val="auto"/>
          <w:szCs w:val="21"/>
        </w:rPr>
        <w:br w:type="page"/>
      </w:r>
    </w:p>
    <w:p w14:paraId="147CBD1D">
      <w:pPr>
        <w:pStyle w:val="5"/>
        <w:numPr>
          <w:ilvl w:val="255"/>
          <w:numId w:val="0"/>
        </w:numPr>
        <w:tabs>
          <w:tab w:val="left" w:pos="720"/>
          <w:tab w:val="left" w:pos="3840"/>
        </w:tabs>
        <w:ind w:left="283"/>
        <w:jc w:val="both"/>
        <w:rPr>
          <w:rFonts w:ascii="宋体" w:hAnsi="宋体"/>
          <w:color w:val="auto"/>
          <w:sz w:val="21"/>
          <w:szCs w:val="21"/>
        </w:rPr>
      </w:pPr>
      <w:bookmarkStart w:id="452" w:name="_Toc19947"/>
      <w:bookmarkStart w:id="453" w:name="_Toc28623"/>
      <w:bookmarkStart w:id="454" w:name="_Toc2144"/>
      <w:bookmarkStart w:id="455" w:name="_Toc1562"/>
      <w:bookmarkStart w:id="456" w:name="_Toc17028"/>
      <w:bookmarkStart w:id="457" w:name="_Toc25861"/>
      <w:bookmarkStart w:id="458" w:name="_Toc14605"/>
      <w:bookmarkStart w:id="459" w:name="_Toc29855"/>
      <w:bookmarkStart w:id="460" w:name="_Toc31158"/>
      <w:bookmarkStart w:id="461" w:name="_Toc27848"/>
      <w:bookmarkStart w:id="462" w:name="_Toc21762"/>
      <w:bookmarkStart w:id="463" w:name="_Toc23141"/>
      <w:bookmarkStart w:id="464" w:name="_Toc4866"/>
      <w:bookmarkStart w:id="465" w:name="_Toc18296"/>
      <w:r>
        <w:rPr>
          <w:rFonts w:hint="eastAsia" w:ascii="宋体" w:hAnsi="宋体"/>
          <w:color w:val="auto"/>
          <w:sz w:val="21"/>
          <w:szCs w:val="21"/>
        </w:rPr>
        <w:t>附件21.不可撤销履约保函</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14:paraId="106FCA5E">
      <w:pPr>
        <w:jc w:val="center"/>
        <w:rPr>
          <w:rFonts w:ascii="宋体" w:hAnsi="宋体"/>
          <w:color w:val="auto"/>
        </w:rPr>
      </w:pPr>
      <w:r>
        <w:rPr>
          <w:rFonts w:hint="eastAsia" w:ascii="宋体" w:hAnsi="宋体"/>
          <w:color w:val="auto"/>
        </w:rPr>
        <w:t>银行编号：</w:t>
      </w:r>
    </w:p>
    <w:p w14:paraId="2BB340E8">
      <w:pPr>
        <w:rPr>
          <w:rFonts w:ascii="宋体" w:hAnsi="宋体"/>
          <w:color w:val="auto"/>
        </w:rPr>
      </w:pPr>
      <w:r>
        <w:rPr>
          <w:rFonts w:ascii="宋体" w:hAnsi="宋体"/>
          <w:color w:val="auto"/>
        </w:rPr>
        <w:t>致：</w:t>
      </w:r>
      <w:r>
        <w:rPr>
          <w:rFonts w:hint="eastAsia" w:ascii="宋体" w:hAnsi="宋体"/>
          <w:color w:val="auto"/>
          <w:u w:val="single"/>
        </w:rPr>
        <w:t xml:space="preserve">                        </w:t>
      </w:r>
      <w:r>
        <w:rPr>
          <w:rFonts w:hint="eastAsia" w:ascii="宋体" w:hAnsi="宋体"/>
          <w:color w:val="auto"/>
        </w:rPr>
        <w:t>（</w:t>
      </w:r>
      <w:r>
        <w:rPr>
          <w:rFonts w:hint="eastAsia"/>
          <w:color w:val="auto"/>
        </w:rPr>
        <w:t>甲方</w:t>
      </w:r>
      <w:r>
        <w:rPr>
          <w:rFonts w:hint="eastAsia" w:ascii="宋体" w:hAnsi="宋体"/>
          <w:color w:val="auto"/>
        </w:rPr>
        <w:t>）</w:t>
      </w:r>
    </w:p>
    <w:p w14:paraId="16CDC612">
      <w:pPr>
        <w:ind w:firstLine="420" w:firstLineChars="200"/>
        <w:rPr>
          <w:rFonts w:ascii="宋体" w:hAnsi="宋体"/>
          <w:color w:val="auto"/>
        </w:rPr>
      </w:pPr>
      <w:r>
        <w:rPr>
          <w:rFonts w:hint="eastAsia" w:ascii="宋体" w:hAnsi="宋体"/>
          <w:color w:val="auto"/>
        </w:rPr>
        <w:t>鉴于</w:t>
      </w:r>
      <w:r>
        <w:rPr>
          <w:rFonts w:hint="eastAsia" w:ascii="宋体" w:hAnsi="宋体"/>
          <w:color w:val="auto"/>
          <w:u w:val="single"/>
        </w:rPr>
        <w:t xml:space="preserve">         （地址：          ，下称 “乙方” ）</w:t>
      </w:r>
      <w:r>
        <w:rPr>
          <w:rFonts w:hint="eastAsia" w:ascii="宋体" w:hAnsi="宋体"/>
          <w:color w:val="auto"/>
        </w:rPr>
        <w:t>已保证按</w:t>
      </w:r>
      <w:r>
        <w:rPr>
          <w:rFonts w:hint="eastAsia" w:ascii="宋体" w:hAnsi="宋体"/>
          <w:color w:val="auto"/>
          <w:u w:val="single"/>
        </w:rPr>
        <w:t xml:space="preserve">        承包合同书（合同编号：    ）</w:t>
      </w:r>
      <w:r>
        <w:rPr>
          <w:rFonts w:hint="eastAsia" w:ascii="宋体" w:hAnsi="宋体"/>
          <w:color w:val="auto"/>
        </w:rPr>
        <w:t>中规定的义务履行合同。</w:t>
      </w:r>
    </w:p>
    <w:p w14:paraId="6F346672">
      <w:pPr>
        <w:ind w:firstLine="420" w:firstLineChars="200"/>
        <w:rPr>
          <w:rFonts w:ascii="宋体" w:hAnsi="宋体"/>
          <w:color w:val="auto"/>
        </w:rPr>
      </w:pPr>
      <w:r>
        <w:rPr>
          <w:rFonts w:hint="eastAsia" w:ascii="宋体" w:hAnsi="宋体"/>
          <w:color w:val="auto"/>
        </w:rPr>
        <w:t>根据上述合同约定，乙方应向</w:t>
      </w:r>
      <w:r>
        <w:rPr>
          <w:rFonts w:hint="eastAsia"/>
          <w:color w:val="auto"/>
        </w:rPr>
        <w:t>甲方</w:t>
      </w:r>
      <w:r>
        <w:rPr>
          <w:rFonts w:hint="eastAsia" w:ascii="宋体" w:hAnsi="宋体"/>
          <w:color w:val="auto"/>
        </w:rPr>
        <w:t>提供一份金额为合同总价的10%即</w:t>
      </w:r>
      <w:r>
        <w:rPr>
          <w:rFonts w:hint="eastAsia" w:ascii="宋体" w:hAnsi="宋体"/>
          <w:color w:val="auto"/>
          <w:u w:val="single"/>
        </w:rPr>
        <w:t>人民币      （RMB    元）</w:t>
      </w:r>
      <w:r>
        <w:rPr>
          <w:rFonts w:hint="eastAsia" w:ascii="宋体" w:hAnsi="宋体"/>
          <w:color w:val="auto"/>
        </w:rPr>
        <w:t>的</w:t>
      </w:r>
      <w:r>
        <w:rPr>
          <w:rFonts w:hint="eastAsia" w:ascii="宋体" w:hAnsi="宋体"/>
          <w:bCs/>
          <w:color w:val="auto"/>
        </w:rPr>
        <w:t>不可撤销</w:t>
      </w:r>
      <w:r>
        <w:rPr>
          <w:rFonts w:hint="eastAsia" w:ascii="宋体" w:hAnsi="宋体"/>
          <w:color w:val="auto"/>
        </w:rPr>
        <w:t>银行履约保函，作为乙方履行上述合同的担保。</w:t>
      </w:r>
    </w:p>
    <w:p w14:paraId="484B0F50">
      <w:pPr>
        <w:ind w:firstLine="420" w:firstLineChars="200"/>
        <w:rPr>
          <w:rFonts w:ascii="宋体" w:hAnsi="宋体"/>
          <w:color w:val="auto"/>
        </w:rPr>
      </w:pPr>
      <w:r>
        <w:rPr>
          <w:rFonts w:hint="eastAsia" w:ascii="宋体" w:hAnsi="宋体"/>
          <w:color w:val="auto"/>
        </w:rPr>
        <w:t>我方</w:t>
      </w:r>
      <w:r>
        <w:rPr>
          <w:rFonts w:hint="eastAsia" w:ascii="宋体" w:hAnsi="宋体"/>
          <w:color w:val="auto"/>
          <w:u w:val="single"/>
        </w:rPr>
        <w:t xml:space="preserve">            （银行名称）</w:t>
      </w:r>
      <w:r>
        <w:rPr>
          <w:rFonts w:hint="eastAsia" w:ascii="宋体" w:hAnsi="宋体"/>
          <w:color w:val="auto"/>
        </w:rPr>
        <w:t>，受乙方的委托，不仅作为连带责任保证人而且作为主要的责任人，无条件和不可撤销地同意在</w:t>
      </w:r>
      <w:r>
        <w:rPr>
          <w:rFonts w:hint="eastAsia"/>
          <w:color w:val="auto"/>
        </w:rPr>
        <w:t>甲方</w:t>
      </w:r>
      <w:r>
        <w:rPr>
          <w:rFonts w:hint="eastAsia" w:ascii="宋体" w:hAnsi="宋体"/>
          <w:color w:val="auto"/>
        </w:rPr>
        <w:t>提出因乙方没有履行上述合同规定，而要求扣划保证金的书面要求后，7个工作日内为</w:t>
      </w:r>
      <w:r>
        <w:rPr>
          <w:rFonts w:hint="eastAsia"/>
          <w:color w:val="auto"/>
        </w:rPr>
        <w:t>甲方</w:t>
      </w:r>
      <w:r>
        <w:rPr>
          <w:rFonts w:hint="eastAsia" w:ascii="宋体" w:hAnsi="宋体"/>
          <w:color w:val="auto"/>
        </w:rPr>
        <w:t>扣划金额不超过</w:t>
      </w:r>
      <w:r>
        <w:rPr>
          <w:rFonts w:hint="eastAsia" w:ascii="宋体" w:hAnsi="宋体"/>
          <w:color w:val="auto"/>
          <w:u w:val="single"/>
        </w:rPr>
        <w:t>人民币          （RMB       元）</w:t>
      </w:r>
      <w:r>
        <w:rPr>
          <w:rFonts w:hint="eastAsia" w:ascii="宋体" w:hAnsi="宋体"/>
          <w:color w:val="auto"/>
        </w:rPr>
        <w:t>的保证金。</w:t>
      </w:r>
    </w:p>
    <w:p w14:paraId="0297391F">
      <w:pPr>
        <w:ind w:firstLine="420" w:firstLineChars="200"/>
        <w:rPr>
          <w:color w:val="auto"/>
        </w:rPr>
      </w:pPr>
      <w:r>
        <w:rPr>
          <w:rFonts w:hint="eastAsia" w:ascii="宋体" w:hAnsi="宋体"/>
          <w:color w:val="auto"/>
        </w:rPr>
        <w:t>我</w:t>
      </w:r>
      <w:r>
        <w:rPr>
          <w:rFonts w:hint="eastAsia"/>
          <w:color w:val="auto"/>
        </w:rPr>
        <w:t>方还同意，任何甲方与乙方之间可能对合同条款的修改、规范或其他合同文件的变动补充，都不能免除我方按本保函所承担的责任。因此，有关上述变动、补充和修改无须通知我方。</w:t>
      </w:r>
    </w:p>
    <w:p w14:paraId="7E77118E">
      <w:pPr>
        <w:ind w:firstLine="420" w:firstLineChars="200"/>
        <w:rPr>
          <w:color w:val="auto"/>
        </w:rPr>
      </w:pPr>
      <w:r>
        <w:rPr>
          <w:rFonts w:hint="eastAsia"/>
          <w:color w:val="auto"/>
        </w:rPr>
        <w:t>本保函从上述合同签订之日起至项目服务期结束验收合格并完成结算后，双方签字之日起7天内保持有效。</w:t>
      </w:r>
    </w:p>
    <w:p w14:paraId="38E976BD">
      <w:pPr>
        <w:ind w:firstLine="2824" w:firstLineChars="1345"/>
        <w:rPr>
          <w:rFonts w:ascii="宋体" w:hAnsi="宋体"/>
          <w:color w:val="auto"/>
        </w:rPr>
      </w:pPr>
    </w:p>
    <w:p w14:paraId="6F7D0EB1">
      <w:pPr>
        <w:ind w:firstLine="5040" w:firstLineChars="2400"/>
        <w:rPr>
          <w:rFonts w:ascii="宋体" w:hAnsi="宋体"/>
          <w:color w:val="auto"/>
        </w:rPr>
      </w:pPr>
      <w:r>
        <w:rPr>
          <w:rFonts w:hint="eastAsia" w:ascii="宋体" w:hAnsi="宋体"/>
          <w:color w:val="auto"/>
        </w:rPr>
        <w:t>保证人：（盖章）</w:t>
      </w:r>
      <w:r>
        <w:rPr>
          <w:rFonts w:hint="eastAsia" w:ascii="宋体" w:hAnsi="宋体"/>
          <w:color w:val="auto"/>
          <w:u w:val="single"/>
        </w:rPr>
        <w:t xml:space="preserve">                        </w:t>
      </w:r>
    </w:p>
    <w:p w14:paraId="2BA99AEE">
      <w:pPr>
        <w:ind w:firstLine="5040" w:firstLineChars="2400"/>
        <w:rPr>
          <w:rFonts w:ascii="宋体" w:hAnsi="宋体"/>
          <w:color w:val="auto"/>
        </w:rPr>
      </w:pPr>
      <w:r>
        <w:rPr>
          <w:rFonts w:hint="eastAsia" w:ascii="宋体" w:hAnsi="宋体"/>
          <w:color w:val="auto"/>
        </w:rPr>
        <w:t>负责人：（签字）</w:t>
      </w:r>
      <w:r>
        <w:rPr>
          <w:rFonts w:hint="eastAsia" w:ascii="宋体" w:hAnsi="宋体"/>
          <w:color w:val="auto"/>
          <w:u w:val="single"/>
        </w:rPr>
        <w:t xml:space="preserve">                        </w:t>
      </w:r>
    </w:p>
    <w:p w14:paraId="24A97567">
      <w:pPr>
        <w:ind w:firstLine="5040" w:firstLineChars="2400"/>
        <w:rPr>
          <w:rFonts w:ascii="宋体" w:hAnsi="宋体"/>
          <w:color w:val="auto"/>
        </w:rPr>
      </w:pPr>
      <w:r>
        <w:rPr>
          <w:rFonts w:hint="eastAsia" w:ascii="宋体" w:hAnsi="宋体"/>
          <w:color w:val="auto"/>
        </w:rPr>
        <w:t>联系人：</w:t>
      </w:r>
      <w:r>
        <w:rPr>
          <w:rFonts w:hint="eastAsia" w:ascii="宋体" w:hAnsi="宋体"/>
          <w:color w:val="auto"/>
          <w:u w:val="single"/>
        </w:rPr>
        <w:t xml:space="preserve">                               </w:t>
      </w:r>
      <w:r>
        <w:rPr>
          <w:rFonts w:hint="eastAsia" w:ascii="宋体" w:hAnsi="宋体"/>
          <w:color w:val="auto"/>
        </w:rPr>
        <w:t xml:space="preserve">   </w:t>
      </w:r>
    </w:p>
    <w:p w14:paraId="1409BB33">
      <w:pPr>
        <w:ind w:firstLine="5040" w:firstLineChars="2400"/>
        <w:rPr>
          <w:rFonts w:ascii="宋体" w:hAnsi="宋体"/>
          <w:color w:val="auto"/>
        </w:rPr>
      </w:pPr>
      <w:r>
        <w:rPr>
          <w:rFonts w:hint="eastAsia" w:ascii="宋体" w:hAnsi="宋体"/>
          <w:color w:val="auto"/>
        </w:rPr>
        <w:t>联系电话：</w:t>
      </w:r>
      <w:r>
        <w:rPr>
          <w:rFonts w:hint="eastAsia" w:ascii="宋体" w:hAnsi="宋体"/>
          <w:color w:val="auto"/>
          <w:u w:val="single"/>
        </w:rPr>
        <w:t xml:space="preserve">                             </w:t>
      </w:r>
    </w:p>
    <w:p w14:paraId="545F51A4">
      <w:pPr>
        <w:ind w:firstLine="5040" w:firstLineChars="2400"/>
        <w:rPr>
          <w:rFonts w:ascii="宋体" w:hAnsi="宋体"/>
          <w:color w:val="auto"/>
        </w:rPr>
      </w:pPr>
      <w:r>
        <w:rPr>
          <w:rFonts w:hint="eastAsia" w:ascii="宋体" w:hAnsi="宋体"/>
          <w:color w:val="auto"/>
        </w:rPr>
        <w:t>日期：</w:t>
      </w:r>
      <w:r>
        <w:rPr>
          <w:rFonts w:hint="eastAsia" w:ascii="宋体" w:hAnsi="宋体"/>
          <w:color w:val="auto"/>
          <w:u w:val="single"/>
        </w:rPr>
        <w:t xml:space="preserve">                               </w:t>
      </w:r>
    </w:p>
    <w:p w14:paraId="67CBF0AB">
      <w:pPr>
        <w:pStyle w:val="12"/>
        <w:rPr>
          <w:color w:val="auto"/>
          <w:szCs w:val="24"/>
        </w:rPr>
      </w:pPr>
      <w:r>
        <w:rPr>
          <w:rFonts w:hint="eastAsia"/>
          <w:color w:val="auto"/>
          <w:szCs w:val="24"/>
        </w:rPr>
        <w:t>说明：投标人在投标时不需提交正式保函，在投标文件中盖投标人公章确认保函格式即可，乙方</w:t>
      </w:r>
      <w:r>
        <w:rPr>
          <w:rFonts w:hint="eastAsia"/>
          <w:color w:val="auto"/>
        </w:rPr>
        <w:t>在签订合同时</w:t>
      </w:r>
      <w:r>
        <w:rPr>
          <w:rFonts w:hint="eastAsia"/>
          <w:color w:val="auto"/>
          <w:szCs w:val="24"/>
        </w:rPr>
        <w:t>提交正式保函。</w:t>
      </w:r>
    </w:p>
    <w:p w14:paraId="15DCC623">
      <w:pPr>
        <w:rPr>
          <w:rFonts w:ascii="宋体" w:hAnsi="宋体"/>
          <w:color w:val="auto"/>
          <w:szCs w:val="21"/>
        </w:rPr>
      </w:pPr>
    </w:p>
    <w:p w14:paraId="0B0CD124">
      <w:pPr>
        <w:rPr>
          <w:rFonts w:ascii="宋体" w:hAnsi="宋体"/>
          <w:color w:val="auto"/>
          <w:szCs w:val="21"/>
        </w:rPr>
        <w:sectPr>
          <w:pgSz w:w="11906" w:h="16838"/>
          <w:pgMar w:top="1440" w:right="1800" w:bottom="1440" w:left="1800" w:header="708" w:footer="708" w:gutter="0"/>
          <w:cols w:space="708" w:num="1"/>
          <w:titlePg/>
          <w:docGrid w:type="lines" w:linePitch="360" w:charSpace="0"/>
        </w:sectPr>
      </w:pPr>
    </w:p>
    <w:p w14:paraId="7D8623E8">
      <w:pPr>
        <w:pStyle w:val="5"/>
        <w:numPr>
          <w:ilvl w:val="255"/>
          <w:numId w:val="0"/>
        </w:numPr>
        <w:tabs>
          <w:tab w:val="left" w:pos="720"/>
          <w:tab w:val="left" w:pos="3840"/>
        </w:tabs>
        <w:ind w:left="283"/>
        <w:jc w:val="both"/>
        <w:rPr>
          <w:rFonts w:ascii="宋体" w:hAnsi="宋体"/>
          <w:color w:val="auto"/>
          <w:sz w:val="21"/>
          <w:szCs w:val="21"/>
        </w:rPr>
      </w:pPr>
      <w:bookmarkStart w:id="466" w:name="_Toc1313"/>
      <w:bookmarkStart w:id="467" w:name="_Toc20570"/>
      <w:bookmarkStart w:id="468" w:name="_Toc21307"/>
      <w:bookmarkStart w:id="469" w:name="_Toc29013"/>
      <w:bookmarkStart w:id="470" w:name="_Toc12992"/>
      <w:r>
        <w:rPr>
          <w:rFonts w:hint="eastAsia" w:ascii="宋体" w:hAnsi="宋体"/>
          <w:color w:val="auto"/>
          <w:sz w:val="21"/>
          <w:szCs w:val="21"/>
        </w:rPr>
        <w:t>附件22.预付款保函</w:t>
      </w:r>
      <w:bookmarkEnd w:id="466"/>
      <w:r>
        <w:rPr>
          <w:rFonts w:hint="eastAsia" w:ascii="宋体" w:hAnsi="宋体"/>
          <w:color w:val="auto"/>
          <w:sz w:val="21"/>
          <w:szCs w:val="21"/>
        </w:rPr>
        <w:t>（适用于预付款支付）</w:t>
      </w:r>
      <w:bookmarkEnd w:id="467"/>
      <w:bookmarkEnd w:id="468"/>
      <w:bookmarkEnd w:id="469"/>
      <w:bookmarkEnd w:id="470"/>
    </w:p>
    <w:p w14:paraId="1E1C89A6">
      <w:pPr>
        <w:pStyle w:val="12"/>
        <w:rPr>
          <w:color w:val="auto"/>
          <w:szCs w:val="24"/>
        </w:rPr>
      </w:pPr>
    </w:p>
    <w:p w14:paraId="47D95D47">
      <w:pPr>
        <w:jc w:val="center"/>
        <w:rPr>
          <w:rFonts w:ascii="兰米黑体" w:eastAsia="兰米黑体"/>
          <w:color w:val="auto"/>
          <w:sz w:val="28"/>
          <w:szCs w:val="28"/>
        </w:rPr>
      </w:pPr>
      <w:bookmarkStart w:id="471" w:name="_Toc27545"/>
      <w:bookmarkStart w:id="472" w:name="_Toc6877"/>
      <w:bookmarkStart w:id="473" w:name="_Toc31418"/>
      <w:bookmarkStart w:id="474" w:name="_Toc10315"/>
      <w:bookmarkStart w:id="475" w:name="_Toc1039"/>
      <w:bookmarkStart w:id="476" w:name="_Toc25494"/>
      <w:bookmarkStart w:id="477" w:name="_Toc10719"/>
      <w:bookmarkStart w:id="478" w:name="_Toc7374"/>
      <w:bookmarkStart w:id="479" w:name="_Toc29054"/>
      <w:bookmarkStart w:id="480" w:name="_Toc29728"/>
      <w:bookmarkStart w:id="481" w:name="_Toc20669"/>
      <w:bookmarkStart w:id="482" w:name="_Toc3295"/>
      <w:r>
        <w:rPr>
          <w:rFonts w:hint="eastAsia" w:ascii="兰米黑体" w:eastAsia="兰米黑体"/>
          <w:color w:val="auto"/>
          <w:sz w:val="28"/>
          <w:szCs w:val="28"/>
        </w:rPr>
        <w:t>不可撤销预付款保函</w:t>
      </w:r>
      <w:bookmarkEnd w:id="471"/>
      <w:bookmarkEnd w:id="472"/>
      <w:bookmarkEnd w:id="473"/>
      <w:bookmarkEnd w:id="474"/>
      <w:bookmarkEnd w:id="475"/>
      <w:bookmarkEnd w:id="476"/>
      <w:bookmarkEnd w:id="477"/>
      <w:bookmarkEnd w:id="478"/>
      <w:bookmarkEnd w:id="479"/>
      <w:bookmarkEnd w:id="480"/>
      <w:bookmarkEnd w:id="481"/>
      <w:bookmarkEnd w:id="482"/>
    </w:p>
    <w:p w14:paraId="78DC3A91">
      <w:pPr>
        <w:ind w:firstLine="6300"/>
        <w:rPr>
          <w:color w:val="auto"/>
          <w:szCs w:val="21"/>
          <w:u w:val="single"/>
        </w:rPr>
      </w:pPr>
      <w:r>
        <w:rPr>
          <w:rFonts w:hint="eastAsia"/>
          <w:color w:val="auto"/>
          <w:szCs w:val="21"/>
        </w:rPr>
        <w:t>银行编号：</w:t>
      </w:r>
      <w:r>
        <w:rPr>
          <w:rFonts w:hint="eastAsia"/>
          <w:color w:val="auto"/>
          <w:szCs w:val="21"/>
          <w:u w:val="single"/>
        </w:rPr>
        <w:t xml:space="preserve">             </w:t>
      </w:r>
    </w:p>
    <w:p w14:paraId="33BFBB59">
      <w:pPr>
        <w:ind w:firstLine="6300"/>
        <w:rPr>
          <w:color w:val="auto"/>
          <w:szCs w:val="21"/>
        </w:rPr>
      </w:pPr>
    </w:p>
    <w:p w14:paraId="5D8303BF">
      <w:pPr>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rPr>
        <w:t>（下称“采购人”）</w:t>
      </w:r>
    </w:p>
    <w:p w14:paraId="06339BFE">
      <w:pPr>
        <w:ind w:firstLine="437"/>
        <w:rPr>
          <w:rFonts w:ascii="宋体" w:hAnsi="宋体"/>
          <w:color w:val="auto"/>
          <w:szCs w:val="21"/>
        </w:rPr>
      </w:pPr>
      <w:r>
        <w:rPr>
          <w:rFonts w:hint="eastAsia" w:ascii="宋体" w:hAnsi="宋体"/>
          <w:color w:val="auto"/>
          <w:szCs w:val="21"/>
        </w:rPr>
        <w:t>鉴于</w:t>
      </w:r>
      <w:r>
        <w:rPr>
          <w:rFonts w:hint="eastAsia" w:ascii="宋体" w:hAnsi="宋体"/>
          <w:color w:val="auto"/>
          <w:szCs w:val="21"/>
          <w:u w:val="single"/>
        </w:rPr>
        <w:t xml:space="preserve">            </w:t>
      </w:r>
      <w:r>
        <w:rPr>
          <w:rFonts w:hint="eastAsia" w:ascii="宋体" w:hAnsi="宋体"/>
          <w:color w:val="auto"/>
          <w:szCs w:val="24"/>
          <w:u w:val="single"/>
        </w:rPr>
        <w:t>（地址：          ，下称 “中标人” ）</w:t>
      </w:r>
      <w:r>
        <w:rPr>
          <w:rFonts w:hint="eastAsia" w:ascii="宋体" w:hAnsi="宋体"/>
          <w:color w:val="auto"/>
          <w:szCs w:val="21"/>
        </w:rPr>
        <w:t>，已保证按</w:t>
      </w:r>
      <w:r>
        <w:rPr>
          <w:rFonts w:hint="eastAsia" w:ascii="宋体" w:hAnsi="宋体"/>
          <w:color w:val="auto"/>
          <w:szCs w:val="21"/>
          <w:u w:val="single"/>
        </w:rPr>
        <w:t xml:space="preserve">          承包合同书（合同编号：    ）</w:t>
      </w:r>
      <w:r>
        <w:rPr>
          <w:rFonts w:hint="eastAsia" w:ascii="宋体" w:hAnsi="宋体"/>
          <w:color w:val="auto"/>
          <w:szCs w:val="21"/>
        </w:rPr>
        <w:t>中规定的义务履行合同。</w:t>
      </w:r>
    </w:p>
    <w:p w14:paraId="04F41E71">
      <w:pPr>
        <w:ind w:firstLine="437"/>
        <w:rPr>
          <w:rFonts w:ascii="宋体" w:hAnsi="宋体"/>
          <w:color w:val="auto"/>
          <w:szCs w:val="21"/>
        </w:rPr>
      </w:pPr>
      <w:r>
        <w:rPr>
          <w:rFonts w:hint="eastAsia" w:ascii="宋体" w:hAnsi="宋体"/>
          <w:color w:val="auto"/>
          <w:szCs w:val="24"/>
        </w:rPr>
        <w:t>根据上述合同（</w:t>
      </w:r>
      <w:r>
        <w:rPr>
          <w:rFonts w:hint="eastAsia" w:ascii="宋体" w:hAnsi="宋体"/>
          <w:color w:val="auto"/>
          <w:szCs w:val="24"/>
          <w:lang w:eastAsia="zh-CN"/>
        </w:rPr>
        <w:t>采购文件</w:t>
      </w:r>
      <w:r>
        <w:rPr>
          <w:rFonts w:hint="eastAsia" w:ascii="宋体" w:hAnsi="宋体"/>
          <w:color w:val="auto"/>
          <w:szCs w:val="24"/>
        </w:rPr>
        <w:t>）规定，中标人应向采购人提供一份金额为合同总价的</w:t>
      </w:r>
      <w:r>
        <w:rPr>
          <w:rFonts w:hint="eastAsia" w:ascii="宋体" w:hAnsi="宋体"/>
          <w:color w:val="auto"/>
          <w:szCs w:val="24"/>
          <w:u w:val="single"/>
        </w:rPr>
        <w:t xml:space="preserve">   </w:t>
      </w:r>
      <w:r>
        <w:rPr>
          <w:rFonts w:hint="eastAsia" w:ascii="宋体" w:hAnsi="宋体"/>
          <w:color w:val="auto"/>
          <w:szCs w:val="24"/>
        </w:rPr>
        <w:t>% 即人民币</w:t>
      </w:r>
      <w:r>
        <w:rPr>
          <w:rFonts w:hint="eastAsia" w:ascii="宋体" w:hAnsi="宋体"/>
          <w:color w:val="auto"/>
          <w:szCs w:val="21"/>
          <w:u w:val="single"/>
        </w:rPr>
        <w:t xml:space="preserve">      （RMB      元）</w:t>
      </w:r>
      <w:r>
        <w:rPr>
          <w:rFonts w:hint="eastAsia" w:ascii="宋体" w:hAnsi="宋体"/>
          <w:color w:val="auto"/>
          <w:szCs w:val="21"/>
        </w:rPr>
        <w:t>的不可撤销银行预付款保函，以保证中标人履行合同的相关条款。</w:t>
      </w:r>
    </w:p>
    <w:p w14:paraId="24408D40">
      <w:pPr>
        <w:ind w:firstLine="437"/>
        <w:rPr>
          <w:rFonts w:ascii="宋体" w:hAnsi="宋体"/>
          <w:color w:val="auto"/>
          <w:szCs w:val="21"/>
        </w:rPr>
      </w:pPr>
      <w:r>
        <w:rPr>
          <w:rFonts w:hint="eastAsia" w:ascii="宋体" w:hAnsi="宋体"/>
          <w:color w:val="auto"/>
          <w:szCs w:val="21"/>
        </w:rPr>
        <w:t>我方</w:t>
      </w:r>
      <w:r>
        <w:rPr>
          <w:rFonts w:hint="eastAsia" w:ascii="宋体" w:hAnsi="宋体"/>
          <w:color w:val="auto"/>
          <w:szCs w:val="21"/>
          <w:u w:val="single"/>
        </w:rPr>
        <w:t xml:space="preserve">  （银行名称）  </w:t>
      </w:r>
      <w:r>
        <w:rPr>
          <w:rFonts w:hint="eastAsia" w:ascii="宋体" w:hAnsi="宋体"/>
          <w:color w:val="auto"/>
          <w:szCs w:val="21"/>
        </w:rPr>
        <w:t>，受中标人的委托，作为连带责任保证人，无条件和不可撤销地同意在采购人提出因中标人没有履行上述合同规定，而要求收回上述金额内任何付款的书面要求后，于7个工作日内为采购人予以支付并保证到达采购人账户，以保证在中标人没有履行或部分履行合同条款的责任时，采购人可以向中标人收回全部或部分预付款。</w:t>
      </w:r>
    </w:p>
    <w:p w14:paraId="5B778C91">
      <w:pPr>
        <w:ind w:firstLine="437"/>
        <w:rPr>
          <w:rFonts w:ascii="宋体" w:hAnsi="宋体"/>
          <w:color w:val="auto"/>
          <w:szCs w:val="21"/>
        </w:rPr>
      </w:pPr>
      <w:r>
        <w:rPr>
          <w:rFonts w:hint="eastAsia" w:ascii="宋体" w:hAnsi="宋体"/>
          <w:color w:val="auto"/>
          <w:szCs w:val="21"/>
        </w:rPr>
        <w:t>我方还同意，任何采购人与中标人之间可能对合同条款的修改、规范或其他合同文件的变动补充，都不能免除我方按本保函所承担的责任。因此，有关上述变动、补充和修改无须通知我方。</w:t>
      </w:r>
    </w:p>
    <w:p w14:paraId="145878FC">
      <w:pPr>
        <w:ind w:firstLine="437"/>
        <w:rPr>
          <w:rFonts w:ascii="宋体" w:hAnsi="宋体"/>
          <w:color w:val="auto"/>
          <w:szCs w:val="21"/>
        </w:rPr>
      </w:pPr>
      <w:r>
        <w:rPr>
          <w:rFonts w:hint="eastAsia" w:ascii="宋体" w:hAnsi="宋体"/>
          <w:color w:val="auto"/>
          <w:szCs w:val="21"/>
        </w:rPr>
        <w:t>本保函有效期从保函开立之日起至采购人向中标人抵扣完所有预付款之日止。</w:t>
      </w:r>
    </w:p>
    <w:p w14:paraId="21261B03">
      <w:pPr>
        <w:rPr>
          <w:rFonts w:ascii="宋体" w:hAnsi="宋体"/>
          <w:color w:val="auto"/>
          <w:szCs w:val="21"/>
        </w:rPr>
      </w:pPr>
    </w:p>
    <w:p w14:paraId="4DE71629">
      <w:pPr>
        <w:ind w:firstLine="437"/>
        <w:rPr>
          <w:rFonts w:ascii="宋体" w:hAnsi="宋体"/>
          <w:color w:val="auto"/>
          <w:szCs w:val="21"/>
        </w:rPr>
      </w:pPr>
    </w:p>
    <w:p w14:paraId="3549F518">
      <w:pPr>
        <w:ind w:firstLine="4860"/>
        <w:rPr>
          <w:rFonts w:ascii="宋体" w:hAnsi="宋体"/>
          <w:color w:val="auto"/>
          <w:szCs w:val="21"/>
        </w:rPr>
      </w:pPr>
      <w:r>
        <w:rPr>
          <w:rFonts w:hint="eastAsia" w:ascii="宋体" w:hAnsi="宋体"/>
          <w:color w:val="auto"/>
          <w:szCs w:val="21"/>
        </w:rPr>
        <w:t>保证人：（公章）</w:t>
      </w:r>
      <w:r>
        <w:rPr>
          <w:rFonts w:hint="eastAsia" w:ascii="宋体" w:hAnsi="宋体"/>
          <w:color w:val="auto"/>
          <w:szCs w:val="21"/>
          <w:u w:val="single"/>
        </w:rPr>
        <w:t xml:space="preserve">                     </w:t>
      </w:r>
    </w:p>
    <w:p w14:paraId="714C5728">
      <w:pPr>
        <w:ind w:firstLine="4860"/>
        <w:rPr>
          <w:rFonts w:ascii="宋体" w:hAnsi="宋体"/>
          <w:color w:val="auto"/>
          <w:szCs w:val="21"/>
          <w:u w:val="single"/>
        </w:rPr>
      </w:pPr>
      <w:r>
        <w:rPr>
          <w:rFonts w:hint="eastAsia" w:ascii="宋体" w:hAnsi="宋体"/>
          <w:color w:val="auto"/>
          <w:szCs w:val="21"/>
        </w:rPr>
        <w:t>负责人：（签字）</w:t>
      </w:r>
      <w:r>
        <w:rPr>
          <w:rFonts w:hint="eastAsia" w:ascii="宋体" w:hAnsi="宋体"/>
          <w:color w:val="auto"/>
          <w:szCs w:val="21"/>
          <w:u w:val="single"/>
        </w:rPr>
        <w:t xml:space="preserve">                     </w:t>
      </w:r>
    </w:p>
    <w:p w14:paraId="18B897A3">
      <w:pPr>
        <w:ind w:firstLine="4860"/>
        <w:rPr>
          <w:rFonts w:ascii="宋体" w:hAnsi="宋体"/>
          <w:color w:val="auto"/>
          <w:szCs w:val="21"/>
          <w:u w:val="single"/>
        </w:rPr>
      </w:pPr>
      <w:r>
        <w:rPr>
          <w:rFonts w:hint="eastAsia" w:ascii="宋体" w:hAnsi="宋体"/>
          <w:color w:val="auto"/>
          <w:szCs w:val="21"/>
        </w:rPr>
        <w:t>联系电话：</w:t>
      </w:r>
      <w:r>
        <w:rPr>
          <w:rFonts w:hint="eastAsia" w:ascii="宋体" w:hAnsi="宋体"/>
          <w:color w:val="auto"/>
          <w:szCs w:val="21"/>
          <w:u w:val="single"/>
        </w:rPr>
        <w:t xml:space="preserve">                          </w:t>
      </w:r>
    </w:p>
    <w:p w14:paraId="7C9E16A9">
      <w:pPr>
        <w:ind w:firstLine="4860"/>
        <w:rPr>
          <w:rFonts w:ascii="宋体" w:hAnsi="宋体"/>
          <w:color w:val="auto"/>
          <w:szCs w:val="21"/>
        </w:rPr>
      </w:pPr>
      <w:r>
        <w:rPr>
          <w:rFonts w:hint="eastAsia" w:ascii="宋体" w:hAnsi="宋体"/>
          <w:color w:val="auto"/>
          <w:szCs w:val="21"/>
        </w:rPr>
        <w:t>地址：</w:t>
      </w:r>
      <w:r>
        <w:rPr>
          <w:rFonts w:hint="eastAsia" w:ascii="宋体" w:hAnsi="宋体"/>
          <w:color w:val="auto"/>
          <w:szCs w:val="21"/>
          <w:u w:val="single"/>
        </w:rPr>
        <w:t xml:space="preserve">                              </w:t>
      </w:r>
    </w:p>
    <w:p w14:paraId="57D8586A">
      <w:pPr>
        <w:ind w:firstLine="4860"/>
        <w:rPr>
          <w:rFonts w:ascii="宋体" w:hAnsi="宋体"/>
          <w:color w:val="auto"/>
          <w:szCs w:val="21"/>
          <w:u w:val="single"/>
        </w:rPr>
      </w:pPr>
      <w:r>
        <w:rPr>
          <w:rFonts w:hint="eastAsia" w:ascii="宋体" w:hAnsi="宋体"/>
          <w:color w:val="auto"/>
          <w:szCs w:val="21"/>
        </w:rPr>
        <w:t>日期：</w:t>
      </w:r>
      <w:r>
        <w:rPr>
          <w:rFonts w:hint="eastAsia" w:ascii="宋体" w:hAnsi="宋体"/>
          <w:color w:val="auto"/>
          <w:szCs w:val="21"/>
          <w:u w:val="single"/>
        </w:rPr>
        <w:t xml:space="preserve">                              </w:t>
      </w:r>
    </w:p>
    <w:p w14:paraId="21C4C0A3">
      <w:pPr>
        <w:pStyle w:val="12"/>
        <w:rPr>
          <w:color w:val="auto"/>
          <w:szCs w:val="21"/>
        </w:rPr>
      </w:pPr>
    </w:p>
    <w:p w14:paraId="141EF6CC">
      <w:pPr>
        <w:pStyle w:val="12"/>
        <w:rPr>
          <w:color w:val="auto"/>
          <w:szCs w:val="21"/>
        </w:rPr>
      </w:pPr>
    </w:p>
    <w:p w14:paraId="02EEB1D3">
      <w:pPr>
        <w:ind w:firstLine="413" w:firstLineChars="196"/>
        <w:rPr>
          <w:rFonts w:ascii="宋体" w:hAnsi="宋体"/>
          <w:b/>
          <w:color w:val="auto"/>
          <w:szCs w:val="21"/>
        </w:rPr>
      </w:pPr>
      <w:r>
        <w:rPr>
          <w:rFonts w:hint="eastAsia" w:ascii="宋体" w:hAnsi="宋体"/>
          <w:b/>
          <w:color w:val="auto"/>
          <w:szCs w:val="21"/>
        </w:rPr>
        <w:t>说明：投标人在投标文件中盖投标人公章确认保函内容即可，如中标再由银行出具保函。</w:t>
      </w:r>
    </w:p>
    <w:p w14:paraId="7B49E208">
      <w:pPr>
        <w:rPr>
          <w:rFonts w:ascii="宋体" w:hAnsi="宋体"/>
          <w:color w:val="auto"/>
          <w:szCs w:val="21"/>
        </w:rPr>
        <w:sectPr>
          <w:pgSz w:w="11906" w:h="16838"/>
          <w:pgMar w:top="1440" w:right="1800" w:bottom="1440" w:left="1800" w:header="708" w:footer="708" w:gutter="0"/>
          <w:cols w:space="708" w:num="1"/>
          <w:titlePg/>
          <w:docGrid w:type="lines" w:linePitch="360" w:charSpace="0"/>
        </w:sectPr>
      </w:pPr>
    </w:p>
    <w:p w14:paraId="252552E1">
      <w:pPr>
        <w:jc w:val="center"/>
        <w:outlineLvl w:val="0"/>
        <w:rPr>
          <w:rFonts w:eastAsia="兰米黑体"/>
          <w:color w:val="auto"/>
          <w:sz w:val="72"/>
          <w:szCs w:val="72"/>
        </w:rPr>
      </w:pPr>
      <w:bookmarkStart w:id="483" w:name="_Toc12941"/>
      <w:bookmarkStart w:id="484" w:name="_Toc28753"/>
      <w:bookmarkStart w:id="485" w:name="_Toc24975"/>
      <w:bookmarkStart w:id="486" w:name="_Toc32046"/>
      <w:r>
        <w:rPr>
          <w:rFonts w:hint="eastAsia" w:eastAsia="兰米黑体"/>
          <w:color w:val="auto"/>
          <w:sz w:val="72"/>
          <w:szCs w:val="72"/>
        </w:rPr>
        <w:t>唱标信封</w:t>
      </w:r>
      <w:bookmarkEnd w:id="483"/>
      <w:bookmarkEnd w:id="484"/>
      <w:bookmarkEnd w:id="485"/>
      <w:bookmarkEnd w:id="486"/>
    </w:p>
    <w:p w14:paraId="23E93B0F">
      <w:pPr>
        <w:jc w:val="center"/>
        <w:rPr>
          <w:rFonts w:ascii="兰米黑体" w:eastAsia="兰米黑体"/>
          <w:color w:val="auto"/>
          <w:sz w:val="52"/>
          <w:szCs w:val="52"/>
        </w:rPr>
      </w:pPr>
      <w:r>
        <w:rPr>
          <w:rFonts w:hint="eastAsia" w:ascii="兰米黑体" w:eastAsia="兰米黑体"/>
          <w:color w:val="auto"/>
          <w:sz w:val="52"/>
          <w:szCs w:val="52"/>
        </w:rPr>
        <w:t>（单独装订成册，单独封装）</w:t>
      </w:r>
    </w:p>
    <w:p w14:paraId="458B8691">
      <w:pPr>
        <w:rPr>
          <w:color w:val="auto"/>
        </w:rPr>
      </w:pPr>
    </w:p>
    <w:p w14:paraId="14B63388">
      <w:pPr>
        <w:pStyle w:val="11"/>
        <w:rPr>
          <w:color w:val="auto"/>
        </w:rPr>
      </w:pPr>
    </w:p>
    <w:p w14:paraId="2CE3AD7E">
      <w:pPr>
        <w:pStyle w:val="30"/>
        <w:ind w:firstLine="240"/>
        <w:rPr>
          <w:color w:val="auto"/>
        </w:rPr>
      </w:pPr>
    </w:p>
    <w:p w14:paraId="35838062">
      <w:pPr>
        <w:pStyle w:val="30"/>
        <w:ind w:firstLine="240"/>
        <w:rPr>
          <w:color w:val="auto"/>
        </w:rPr>
      </w:pPr>
    </w:p>
    <w:p w14:paraId="10E0FFA1">
      <w:pPr>
        <w:rPr>
          <w:rFonts w:ascii="宋体" w:hAnsi="宋体" w:cs="宋体"/>
          <w:b/>
          <w:color w:val="auto"/>
          <w:spacing w:val="-6"/>
          <w:sz w:val="32"/>
          <w:szCs w:val="32"/>
        </w:rPr>
      </w:pPr>
      <w:r>
        <w:rPr>
          <w:rFonts w:hint="eastAsia" w:ascii="宋体" w:hAnsi="宋体" w:cs="宋体"/>
          <w:b/>
          <w:color w:val="auto"/>
          <w:spacing w:val="106"/>
          <w:sz w:val="32"/>
          <w:szCs w:val="32"/>
        </w:rPr>
        <w:t>项目名</w:t>
      </w:r>
      <w:r>
        <w:rPr>
          <w:rFonts w:hint="eastAsia" w:ascii="宋体" w:hAnsi="宋体" w:cs="宋体"/>
          <w:b/>
          <w:color w:val="auto"/>
          <w:spacing w:val="2"/>
          <w:sz w:val="32"/>
          <w:szCs w:val="32"/>
        </w:rPr>
        <w:t>称</w:t>
      </w:r>
      <w:r>
        <w:rPr>
          <w:rFonts w:hint="eastAsia" w:ascii="宋体" w:hAnsi="宋体" w:cs="宋体"/>
          <w:b/>
          <w:color w:val="auto"/>
          <w:spacing w:val="-6"/>
          <w:sz w:val="32"/>
          <w:szCs w:val="32"/>
        </w:rPr>
        <w:t>：</w:t>
      </w:r>
    </w:p>
    <w:p w14:paraId="22BB76AB">
      <w:pPr>
        <w:rPr>
          <w:rFonts w:ascii="宋体" w:hAnsi="宋体" w:cs="宋体"/>
          <w:b/>
          <w:color w:val="auto"/>
          <w:sz w:val="32"/>
          <w:szCs w:val="32"/>
        </w:rPr>
      </w:pPr>
      <w:r>
        <w:rPr>
          <w:rFonts w:hint="eastAsia" w:ascii="宋体" w:hAnsi="宋体" w:cs="宋体"/>
          <w:b/>
          <w:color w:val="auto"/>
          <w:spacing w:val="106"/>
          <w:sz w:val="32"/>
          <w:szCs w:val="32"/>
        </w:rPr>
        <w:t>项目编</w:t>
      </w:r>
      <w:r>
        <w:rPr>
          <w:rFonts w:hint="eastAsia" w:ascii="宋体" w:hAnsi="宋体" w:cs="宋体"/>
          <w:b/>
          <w:color w:val="auto"/>
          <w:spacing w:val="2"/>
          <w:sz w:val="32"/>
          <w:szCs w:val="32"/>
        </w:rPr>
        <w:t>号</w:t>
      </w:r>
      <w:r>
        <w:rPr>
          <w:rFonts w:hint="eastAsia" w:ascii="宋体" w:hAnsi="宋体" w:cs="宋体"/>
          <w:b/>
          <w:color w:val="auto"/>
          <w:sz w:val="32"/>
          <w:szCs w:val="32"/>
        </w:rPr>
        <w:t>：</w:t>
      </w:r>
    </w:p>
    <w:p w14:paraId="0CC433EC">
      <w:pPr>
        <w:pStyle w:val="11"/>
        <w:ind w:left="0"/>
        <w:rPr>
          <w:b/>
          <w:color w:val="auto"/>
          <w:spacing w:val="106"/>
          <w:sz w:val="32"/>
          <w:szCs w:val="32"/>
          <w:lang w:val="en-US" w:bidi="ar-SA"/>
        </w:rPr>
      </w:pPr>
      <w:r>
        <w:rPr>
          <w:rFonts w:hint="eastAsia"/>
          <w:b/>
          <w:color w:val="auto"/>
          <w:spacing w:val="106"/>
          <w:sz w:val="32"/>
          <w:szCs w:val="32"/>
          <w:lang w:val="en-US" w:bidi="ar-SA"/>
        </w:rPr>
        <w:t>包组号（如有）：</w:t>
      </w:r>
    </w:p>
    <w:p w14:paraId="5E08A83E">
      <w:pPr>
        <w:rPr>
          <w:rFonts w:ascii="宋体" w:hAnsi="宋体" w:cs="宋体"/>
          <w:b/>
          <w:color w:val="auto"/>
          <w:sz w:val="32"/>
          <w:szCs w:val="32"/>
        </w:rPr>
      </w:pPr>
      <w:r>
        <w:rPr>
          <w:rFonts w:hint="eastAsia" w:ascii="宋体" w:hAnsi="宋体" w:cs="宋体"/>
          <w:b/>
          <w:color w:val="auto"/>
          <w:sz w:val="32"/>
          <w:szCs w:val="32"/>
        </w:rPr>
        <w:t>投标人名称：</w:t>
      </w:r>
    </w:p>
    <w:p w14:paraId="0D2B459E">
      <w:pPr>
        <w:rPr>
          <w:rFonts w:ascii="宋体" w:hAnsi="宋体" w:cs="宋体"/>
          <w:b/>
          <w:color w:val="auto"/>
          <w:sz w:val="32"/>
          <w:szCs w:val="32"/>
        </w:rPr>
      </w:pPr>
      <w:r>
        <w:rPr>
          <w:rFonts w:hint="eastAsia" w:ascii="宋体" w:hAnsi="宋体" w:cs="宋体"/>
          <w:b/>
          <w:color w:val="auto"/>
          <w:spacing w:val="64"/>
          <w:sz w:val="32"/>
          <w:szCs w:val="32"/>
        </w:rPr>
        <w:t xml:space="preserve">日    </w:t>
      </w:r>
      <w:r>
        <w:rPr>
          <w:rFonts w:hint="eastAsia" w:ascii="宋体" w:hAnsi="宋体" w:cs="宋体"/>
          <w:b/>
          <w:color w:val="auto"/>
          <w:sz w:val="32"/>
          <w:szCs w:val="32"/>
        </w:rPr>
        <w:t>期：</w:t>
      </w:r>
    </w:p>
    <w:p w14:paraId="501A71E0">
      <w:pPr>
        <w:rPr>
          <w:rFonts w:ascii="宋体" w:hAnsi="宋体"/>
          <w:color w:val="auto"/>
          <w:szCs w:val="21"/>
        </w:rPr>
      </w:pPr>
      <w:r>
        <w:rPr>
          <w:rFonts w:hint="eastAsia" w:ascii="宋体" w:hAnsi="宋体"/>
          <w:color w:val="auto"/>
          <w:szCs w:val="21"/>
        </w:rPr>
        <w:br w:type="page"/>
      </w:r>
    </w:p>
    <w:p w14:paraId="218F700D">
      <w:pPr>
        <w:pStyle w:val="5"/>
        <w:numPr>
          <w:ilvl w:val="255"/>
          <w:numId w:val="0"/>
        </w:numPr>
        <w:tabs>
          <w:tab w:val="left" w:pos="720"/>
          <w:tab w:val="left" w:pos="3840"/>
        </w:tabs>
        <w:ind w:left="283"/>
        <w:jc w:val="both"/>
        <w:rPr>
          <w:rFonts w:ascii="宋体" w:hAnsi="宋体"/>
          <w:color w:val="auto"/>
          <w:sz w:val="21"/>
          <w:szCs w:val="21"/>
        </w:rPr>
      </w:pPr>
      <w:bookmarkStart w:id="487" w:name="_Toc30710"/>
      <w:bookmarkStart w:id="488" w:name="_Toc12632"/>
      <w:bookmarkStart w:id="489" w:name="_Toc29761"/>
      <w:bookmarkStart w:id="490" w:name="_Toc3890"/>
      <w:r>
        <w:rPr>
          <w:rFonts w:hint="eastAsia" w:ascii="宋体" w:hAnsi="宋体"/>
          <w:color w:val="auto"/>
          <w:sz w:val="21"/>
          <w:szCs w:val="21"/>
        </w:rPr>
        <w:t>附件23.唱标信封内装（内容务必与投标文件正本一致）</w:t>
      </w:r>
      <w:bookmarkEnd w:id="487"/>
      <w:bookmarkEnd w:id="488"/>
      <w:bookmarkEnd w:id="489"/>
      <w:bookmarkEnd w:id="490"/>
    </w:p>
    <w:p w14:paraId="16CA55C0">
      <w:pPr>
        <w:ind w:firstLine="420" w:firstLineChars="200"/>
        <w:rPr>
          <w:rFonts w:hAnsi="宋体"/>
          <w:color w:val="auto"/>
          <w:szCs w:val="21"/>
        </w:rPr>
      </w:pPr>
      <w:r>
        <w:rPr>
          <w:rFonts w:hint="eastAsia" w:hAnsi="宋体"/>
          <w:color w:val="auto"/>
          <w:szCs w:val="21"/>
        </w:rPr>
        <w:t>一、开标一览表加盖公章；</w:t>
      </w:r>
    </w:p>
    <w:p w14:paraId="6B4874F9">
      <w:pPr>
        <w:ind w:firstLine="420" w:firstLineChars="200"/>
        <w:rPr>
          <w:rFonts w:hAnsi="宋体"/>
          <w:color w:val="auto"/>
          <w:szCs w:val="21"/>
        </w:rPr>
      </w:pPr>
      <w:r>
        <w:rPr>
          <w:rFonts w:hint="eastAsia" w:hAnsi="宋体"/>
          <w:color w:val="auto"/>
          <w:szCs w:val="21"/>
        </w:rPr>
        <w:t>二、法定代表人证明书加盖公章；</w:t>
      </w:r>
    </w:p>
    <w:p w14:paraId="55BC6692">
      <w:pPr>
        <w:ind w:firstLine="420" w:firstLineChars="200"/>
        <w:rPr>
          <w:rFonts w:hAnsi="宋体"/>
          <w:color w:val="auto"/>
          <w:szCs w:val="21"/>
        </w:rPr>
      </w:pPr>
      <w:r>
        <w:rPr>
          <w:rFonts w:hint="eastAsia" w:hAnsi="宋体"/>
          <w:color w:val="auto"/>
          <w:szCs w:val="21"/>
        </w:rPr>
        <w:t>三、法定代表人授权委托书加盖公章（法定代表人投标的除外）；</w:t>
      </w:r>
    </w:p>
    <w:p w14:paraId="37B7E175">
      <w:pPr>
        <w:ind w:firstLine="420" w:firstLineChars="200"/>
        <w:rPr>
          <w:rFonts w:hAnsi="宋体"/>
          <w:color w:val="auto"/>
          <w:szCs w:val="21"/>
        </w:rPr>
      </w:pPr>
      <w:r>
        <w:rPr>
          <w:rFonts w:hint="eastAsia" w:hAnsi="宋体"/>
          <w:color w:val="auto"/>
          <w:szCs w:val="21"/>
        </w:rPr>
        <w:t>四、投标保证金汇入情况说明（含银行汇款凭证）或投标保函加盖公章；</w:t>
      </w:r>
    </w:p>
    <w:p w14:paraId="245106FE">
      <w:pPr>
        <w:ind w:firstLine="420" w:firstLineChars="200"/>
        <w:rPr>
          <w:rFonts w:hAnsi="宋体"/>
          <w:color w:val="auto"/>
          <w:szCs w:val="21"/>
        </w:rPr>
      </w:pPr>
      <w:r>
        <w:rPr>
          <w:rFonts w:hint="eastAsia" w:hAnsi="宋体"/>
          <w:color w:val="auto"/>
          <w:szCs w:val="21"/>
        </w:rPr>
        <w:t>五、投标文件电子文件（U盘，须含盖章版PDF投标文件和WORD版投标文件各一版，文字采用WORD文档，计算表格采用 EXCEL文档。）</w:t>
      </w:r>
    </w:p>
    <w:p w14:paraId="53860EAC">
      <w:pPr>
        <w:pStyle w:val="30"/>
        <w:ind w:firstLine="240"/>
        <w:rPr>
          <w:color w:val="auto"/>
        </w:rPr>
      </w:pPr>
    </w:p>
    <w:p w14:paraId="58EDB280">
      <w:pPr>
        <w:rPr>
          <w:rFonts w:hAnsi="宋体"/>
          <w:color w:val="auto"/>
          <w:szCs w:val="21"/>
        </w:rPr>
      </w:pPr>
    </w:p>
    <w:p w14:paraId="31E5C66C">
      <w:pPr>
        <w:pStyle w:val="30"/>
        <w:ind w:firstLine="240"/>
        <w:rPr>
          <w:color w:val="auto"/>
        </w:rPr>
      </w:pPr>
    </w:p>
    <w:p w14:paraId="56F9E29E">
      <w:pPr>
        <w:rPr>
          <w:rFonts w:hAnsi="宋体"/>
          <w:color w:val="auto"/>
          <w:szCs w:val="21"/>
        </w:rPr>
      </w:pPr>
    </w:p>
    <w:p w14:paraId="4B77A8E1">
      <w:pPr>
        <w:pStyle w:val="30"/>
        <w:ind w:firstLine="240"/>
        <w:rPr>
          <w:color w:val="auto"/>
        </w:rPr>
      </w:pPr>
    </w:p>
    <w:p w14:paraId="4896A5A4">
      <w:pPr>
        <w:rPr>
          <w:rFonts w:hAnsi="宋体"/>
          <w:color w:val="auto"/>
          <w:szCs w:val="21"/>
        </w:rPr>
      </w:pPr>
    </w:p>
    <w:p w14:paraId="565D5F9D">
      <w:pPr>
        <w:pStyle w:val="30"/>
        <w:ind w:firstLine="240"/>
        <w:rPr>
          <w:color w:val="auto"/>
        </w:rPr>
      </w:pPr>
    </w:p>
    <w:p w14:paraId="5729FE79">
      <w:pPr>
        <w:rPr>
          <w:rFonts w:hAnsi="宋体"/>
          <w:color w:val="auto"/>
          <w:szCs w:val="21"/>
        </w:rPr>
      </w:pPr>
    </w:p>
    <w:p w14:paraId="01144C24">
      <w:pPr>
        <w:pStyle w:val="30"/>
        <w:ind w:firstLine="240"/>
        <w:rPr>
          <w:color w:val="auto"/>
        </w:rPr>
      </w:pPr>
    </w:p>
    <w:p w14:paraId="02B9AEF0">
      <w:pPr>
        <w:rPr>
          <w:rFonts w:hAnsi="宋体"/>
          <w:color w:val="auto"/>
          <w:szCs w:val="21"/>
        </w:rPr>
      </w:pPr>
    </w:p>
    <w:p w14:paraId="2878E6F6">
      <w:pPr>
        <w:pStyle w:val="30"/>
        <w:ind w:firstLine="240"/>
        <w:rPr>
          <w:color w:val="auto"/>
        </w:rPr>
      </w:pPr>
    </w:p>
    <w:p w14:paraId="41412C11">
      <w:pPr>
        <w:rPr>
          <w:rFonts w:hAnsi="宋体"/>
          <w:color w:val="auto"/>
          <w:szCs w:val="21"/>
        </w:rPr>
      </w:pPr>
    </w:p>
    <w:p w14:paraId="7C44584F">
      <w:pPr>
        <w:pStyle w:val="30"/>
        <w:ind w:firstLine="240"/>
        <w:rPr>
          <w:color w:val="auto"/>
        </w:rPr>
      </w:pPr>
    </w:p>
    <w:p w14:paraId="64FCC5D5">
      <w:pPr>
        <w:rPr>
          <w:rFonts w:hAnsi="宋体"/>
          <w:color w:val="auto"/>
          <w:szCs w:val="21"/>
        </w:rPr>
      </w:pPr>
    </w:p>
    <w:p w14:paraId="503E7563">
      <w:pPr>
        <w:pStyle w:val="30"/>
        <w:ind w:firstLine="240"/>
        <w:rPr>
          <w:color w:val="auto"/>
        </w:rPr>
      </w:pPr>
    </w:p>
    <w:p w14:paraId="072A3E38">
      <w:pPr>
        <w:rPr>
          <w:rFonts w:hAnsi="宋体"/>
          <w:color w:val="auto"/>
          <w:szCs w:val="21"/>
        </w:rPr>
      </w:pPr>
    </w:p>
    <w:p w14:paraId="7AA1A95B">
      <w:pPr>
        <w:pStyle w:val="30"/>
        <w:ind w:firstLine="240"/>
        <w:rPr>
          <w:color w:val="auto"/>
        </w:rPr>
      </w:pPr>
    </w:p>
    <w:p w14:paraId="26EAFF0C">
      <w:pPr>
        <w:rPr>
          <w:rFonts w:ascii="宋体" w:hAnsi="宋体" w:cs="宋体"/>
          <w:color w:val="auto"/>
          <w:szCs w:val="21"/>
        </w:rPr>
      </w:pPr>
    </w:p>
    <w:p w14:paraId="204733EC">
      <w:pPr>
        <w:rPr>
          <w:color w:val="auto"/>
        </w:rPr>
      </w:pPr>
    </w:p>
    <w:p w14:paraId="669F9FED">
      <w:pPr>
        <w:rPr>
          <w:color w:val="auto"/>
        </w:rPr>
      </w:pPr>
    </w:p>
    <w:p w14:paraId="14C733F9">
      <w:pPr>
        <w:pStyle w:val="5"/>
        <w:widowControl w:val="0"/>
        <w:overflowPunct w:val="0"/>
        <w:spacing w:line="240" w:lineRule="auto"/>
        <w:rPr>
          <w:rFonts w:ascii="宋体" w:hAnsi="宋体"/>
          <w:color w:val="auto"/>
          <w:sz w:val="21"/>
          <w:szCs w:val="21"/>
        </w:rPr>
      </w:pPr>
      <w:bookmarkStart w:id="491" w:name="_Toc1857"/>
      <w:bookmarkStart w:id="492" w:name="_Toc22575"/>
      <w:bookmarkStart w:id="493" w:name="_Toc7496"/>
      <w:r>
        <w:rPr>
          <w:rFonts w:hint="eastAsia" w:ascii="宋体" w:hAnsi="宋体"/>
          <w:color w:val="auto"/>
          <w:sz w:val="21"/>
          <w:szCs w:val="21"/>
        </w:rPr>
        <w:t>附件24. 法定代表人证明书格式</w:t>
      </w:r>
      <w:bookmarkEnd w:id="491"/>
      <w:bookmarkEnd w:id="492"/>
      <w:bookmarkEnd w:id="493"/>
    </w:p>
    <w:p w14:paraId="39218803">
      <w:pPr>
        <w:rPr>
          <w:color w:val="auto"/>
        </w:rPr>
      </w:pPr>
    </w:p>
    <w:p w14:paraId="566BA98A">
      <w:pPr>
        <w:jc w:val="center"/>
        <w:rPr>
          <w:rFonts w:ascii="兰米黑体" w:eastAsia="兰米黑体"/>
          <w:color w:val="auto"/>
          <w:sz w:val="28"/>
          <w:szCs w:val="28"/>
        </w:rPr>
      </w:pPr>
      <w:r>
        <w:rPr>
          <w:rFonts w:hint="eastAsia" w:ascii="兰米黑体" w:eastAsia="兰米黑体"/>
          <w:color w:val="auto"/>
          <w:sz w:val="28"/>
          <w:szCs w:val="28"/>
        </w:rPr>
        <w:t>法定代表人证明书</w:t>
      </w:r>
    </w:p>
    <w:p w14:paraId="7B53F3C9">
      <w:pPr>
        <w:pStyle w:val="50"/>
        <w:spacing w:line="420" w:lineRule="atLeast"/>
        <w:ind w:firstLine="0" w:firstLineChars="0"/>
        <w:rPr>
          <w:rFonts w:ascii="宋体" w:eastAsia="宋体"/>
          <w:color w:val="auto"/>
          <w:sz w:val="21"/>
          <w:szCs w:val="21"/>
        </w:rPr>
      </w:pPr>
      <w:r>
        <w:rPr>
          <w:rFonts w:hint="eastAsia" w:ascii="宋体" w:eastAsia="宋体"/>
          <w:color w:val="auto"/>
          <w:sz w:val="21"/>
          <w:szCs w:val="21"/>
        </w:rPr>
        <w:t>致：广东志正招标有限公司东莞分公司</w:t>
      </w:r>
    </w:p>
    <w:p w14:paraId="5EBC725C">
      <w:pPr>
        <w:pStyle w:val="50"/>
        <w:spacing w:line="420" w:lineRule="atLeast"/>
        <w:ind w:firstLine="433"/>
        <w:rPr>
          <w:rFonts w:ascii="宋体" w:eastAsia="宋体"/>
          <w:color w:val="auto"/>
          <w:sz w:val="21"/>
          <w:szCs w:val="21"/>
        </w:rPr>
      </w:pPr>
    </w:p>
    <w:p w14:paraId="7E7C1580">
      <w:pPr>
        <w:pStyle w:val="50"/>
        <w:spacing w:line="420" w:lineRule="atLeast"/>
        <w:ind w:firstLine="433"/>
        <w:rPr>
          <w:rFonts w:ascii="宋体" w:eastAsia="宋体"/>
          <w:color w:val="auto"/>
          <w:sz w:val="21"/>
          <w:szCs w:val="21"/>
          <w:u w:val="single"/>
        </w:rPr>
      </w:pPr>
      <w:r>
        <w:rPr>
          <w:rFonts w:hint="eastAsia" w:ascii="宋体" w:eastAsia="宋体"/>
          <w:color w:val="auto"/>
          <w:sz w:val="21"/>
          <w:szCs w:val="21"/>
        </w:rPr>
        <w:t>投标人名称:</w:t>
      </w:r>
    </w:p>
    <w:p w14:paraId="7951C6C8">
      <w:pPr>
        <w:pStyle w:val="50"/>
        <w:spacing w:line="420" w:lineRule="atLeast"/>
        <w:ind w:firstLine="433"/>
        <w:rPr>
          <w:rFonts w:ascii="宋体" w:eastAsia="宋体"/>
          <w:color w:val="auto"/>
          <w:sz w:val="21"/>
          <w:szCs w:val="21"/>
          <w:u w:val="single"/>
        </w:rPr>
      </w:pPr>
      <w:r>
        <w:rPr>
          <w:rFonts w:hint="eastAsia" w:ascii="宋体" w:eastAsia="宋体"/>
          <w:color w:val="auto"/>
          <w:sz w:val="21"/>
          <w:szCs w:val="21"/>
        </w:rPr>
        <w:t>单 位 性质：</w:t>
      </w:r>
    </w:p>
    <w:p w14:paraId="5143ED74">
      <w:pPr>
        <w:pStyle w:val="50"/>
        <w:spacing w:line="420" w:lineRule="atLeast"/>
        <w:ind w:firstLine="433"/>
        <w:rPr>
          <w:rFonts w:ascii="宋体" w:eastAsia="宋体"/>
          <w:color w:val="auto"/>
          <w:sz w:val="21"/>
          <w:szCs w:val="21"/>
          <w:u w:val="single"/>
        </w:rPr>
      </w:pPr>
      <w:r>
        <w:rPr>
          <w:rFonts w:hint="eastAsia" w:ascii="宋体" w:eastAsia="宋体"/>
          <w:color w:val="auto"/>
          <w:sz w:val="21"/>
          <w:szCs w:val="21"/>
        </w:rPr>
        <w:t>地      址：</w:t>
      </w:r>
    </w:p>
    <w:p w14:paraId="35F94C4A">
      <w:pPr>
        <w:pStyle w:val="50"/>
        <w:spacing w:line="420" w:lineRule="atLeast"/>
        <w:ind w:firstLine="433"/>
        <w:rPr>
          <w:rFonts w:ascii="宋体" w:eastAsia="宋体"/>
          <w:color w:val="auto"/>
          <w:sz w:val="21"/>
          <w:szCs w:val="21"/>
        </w:rPr>
      </w:pPr>
      <w:r>
        <w:rPr>
          <w:rFonts w:hint="eastAsia" w:ascii="宋体" w:eastAsia="宋体"/>
          <w:color w:val="auto"/>
          <w:sz w:val="21"/>
          <w:szCs w:val="21"/>
        </w:rPr>
        <w:t>成 立 时间：年月日</w:t>
      </w:r>
    </w:p>
    <w:p w14:paraId="37F081DC">
      <w:pPr>
        <w:pStyle w:val="50"/>
        <w:spacing w:line="420" w:lineRule="atLeast"/>
        <w:ind w:firstLine="433"/>
        <w:rPr>
          <w:rFonts w:ascii="宋体" w:eastAsia="宋体"/>
          <w:color w:val="auto"/>
          <w:sz w:val="21"/>
          <w:szCs w:val="21"/>
        </w:rPr>
      </w:pPr>
      <w:r>
        <w:rPr>
          <w:rFonts w:hint="eastAsia" w:ascii="宋体" w:eastAsia="宋体"/>
          <w:color w:val="auto"/>
          <w:sz w:val="21"/>
          <w:szCs w:val="21"/>
        </w:rPr>
        <w:t>经 营 期限：</w:t>
      </w:r>
    </w:p>
    <w:p w14:paraId="20B299A2">
      <w:pPr>
        <w:pStyle w:val="50"/>
        <w:spacing w:line="420" w:lineRule="atLeast"/>
        <w:ind w:firstLine="433"/>
        <w:rPr>
          <w:rFonts w:ascii="宋体" w:eastAsia="宋体"/>
          <w:color w:val="auto"/>
          <w:sz w:val="21"/>
          <w:szCs w:val="21"/>
        </w:rPr>
      </w:pPr>
      <w:r>
        <w:rPr>
          <w:rFonts w:hint="eastAsia" w:ascii="宋体" w:eastAsia="宋体"/>
          <w:color w:val="auto"/>
          <w:sz w:val="21"/>
          <w:szCs w:val="21"/>
        </w:rPr>
        <w:t>姓名：性别：年龄：职务：</w:t>
      </w:r>
    </w:p>
    <w:p w14:paraId="7EBCA4FA">
      <w:pPr>
        <w:pStyle w:val="50"/>
        <w:spacing w:line="420" w:lineRule="atLeast"/>
        <w:ind w:firstLine="433"/>
        <w:rPr>
          <w:rFonts w:ascii="宋体" w:eastAsia="宋体"/>
          <w:color w:val="auto"/>
          <w:sz w:val="21"/>
          <w:szCs w:val="21"/>
        </w:rPr>
      </w:pPr>
      <w:r>
        <w:rPr>
          <w:rFonts w:hint="eastAsia" w:ascii="宋体" w:eastAsia="宋体"/>
          <w:color w:val="auto"/>
          <w:sz w:val="21"/>
          <w:szCs w:val="21"/>
        </w:rPr>
        <w:t>系（投标人名称）的法定代表人。</w:t>
      </w:r>
    </w:p>
    <w:p w14:paraId="261215D0">
      <w:pPr>
        <w:spacing w:line="420" w:lineRule="atLeast"/>
        <w:ind w:firstLine="420" w:firstLineChars="200"/>
        <w:rPr>
          <w:rFonts w:ascii="宋体" w:hAnsi="宋体"/>
          <w:color w:val="auto"/>
          <w:szCs w:val="21"/>
        </w:rPr>
      </w:pPr>
      <w:r>
        <w:rPr>
          <w:rFonts w:hint="eastAsia" w:ascii="宋体" w:hAnsi="宋体"/>
          <w:color w:val="auto"/>
          <w:szCs w:val="21"/>
        </w:rPr>
        <w:t>特此证明。</w:t>
      </w:r>
    </w:p>
    <w:p w14:paraId="1EDBA44E">
      <w:pPr>
        <w:pStyle w:val="50"/>
        <w:spacing w:line="500" w:lineRule="atLeast"/>
        <w:ind w:firstLine="3517" w:firstLineChars="1675"/>
        <w:rPr>
          <w:rFonts w:ascii="宋体" w:eastAsia="宋体"/>
          <w:color w:val="auto"/>
          <w:sz w:val="21"/>
          <w:szCs w:val="21"/>
        </w:rPr>
      </w:pPr>
    </w:p>
    <w:p w14:paraId="6B3B12B5">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投标人名称（加盖公章）：</w:t>
      </w:r>
    </w:p>
    <w:p w14:paraId="5449A9CE">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法定代表人（签名或盖私章）：</w:t>
      </w:r>
    </w:p>
    <w:p w14:paraId="29042E03">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法定代表人联系方式：</w:t>
      </w:r>
    </w:p>
    <w:p w14:paraId="2065EB54">
      <w:pPr>
        <w:pStyle w:val="50"/>
        <w:spacing w:line="500" w:lineRule="atLeast"/>
        <w:ind w:firstLine="3517" w:firstLineChars="1675"/>
        <w:rPr>
          <w:rFonts w:ascii="宋体" w:eastAsia="宋体"/>
          <w:color w:val="auto"/>
          <w:sz w:val="21"/>
          <w:szCs w:val="21"/>
          <w:u w:val="single"/>
        </w:rPr>
      </w:pPr>
      <w:r>
        <w:rPr>
          <w:rFonts w:hint="eastAsia" w:ascii="宋体" w:eastAsia="宋体"/>
          <w:color w:val="auto"/>
          <w:sz w:val="21"/>
          <w:szCs w:val="21"/>
        </w:rPr>
        <w:t>身份证号码：</w:t>
      </w:r>
    </w:p>
    <w:p w14:paraId="0101BEE0">
      <w:pPr>
        <w:pStyle w:val="50"/>
        <w:spacing w:line="500" w:lineRule="atLeast"/>
        <w:ind w:firstLine="3507" w:firstLineChars="1670"/>
        <w:rPr>
          <w:rFonts w:ascii="宋体" w:eastAsia="宋体"/>
          <w:color w:val="auto"/>
          <w:sz w:val="21"/>
          <w:szCs w:val="21"/>
        </w:rPr>
      </w:pPr>
      <w:r>
        <w:rPr>
          <w:rFonts w:hint="eastAsia" w:ascii="宋体" w:eastAsia="宋体"/>
          <w:color w:val="auto"/>
          <w:sz w:val="21"/>
          <w:szCs w:val="21"/>
        </w:rPr>
        <w:t>日     期：  年  月  日</w:t>
      </w:r>
    </w:p>
    <w:p w14:paraId="3B04442F">
      <w:pPr>
        <w:ind w:firstLine="420" w:firstLineChars="200"/>
        <w:rPr>
          <w:rFonts w:ascii="宋体" w:hAnsi="宋体"/>
          <w:color w:val="auto"/>
          <w:szCs w:val="21"/>
        </w:rPr>
      </w:pPr>
    </w:p>
    <w:p w14:paraId="2DB88A61">
      <w:pPr>
        <w:ind w:firstLine="420" w:firstLineChars="200"/>
        <w:rPr>
          <w:rFonts w:ascii="宋体" w:hAnsi="宋体"/>
          <w:color w:val="auto"/>
          <w:szCs w:val="21"/>
        </w:rPr>
      </w:pPr>
      <w:r>
        <w:rPr>
          <w:rFonts w:hint="eastAsia" w:ascii="宋体" w:hAnsi="宋体"/>
          <w:color w:val="auto"/>
          <w:szCs w:val="21"/>
        </w:rPr>
        <w:t>注：法定代表人身份证明书需附法人代表身份证复印件。</w:t>
      </w:r>
    </w:p>
    <w:tbl>
      <w:tblPr>
        <w:tblStyle w:val="32"/>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5B5D8A1B">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14:paraId="1BA17F3C">
            <w:pPr>
              <w:pStyle w:val="50"/>
              <w:spacing w:line="460" w:lineRule="exact"/>
              <w:ind w:firstLine="0" w:firstLineChars="0"/>
              <w:jc w:val="center"/>
              <w:rPr>
                <w:rFonts w:ascii="宋体" w:eastAsia="宋体"/>
                <w:color w:val="auto"/>
                <w:sz w:val="22"/>
              </w:rPr>
            </w:pPr>
            <w:r>
              <w:rPr>
                <w:rFonts w:hint="eastAsia" w:ascii="宋体" w:eastAsia="宋体"/>
                <w:color w:val="auto"/>
                <w:sz w:val="22"/>
              </w:rPr>
              <w:t>正面</w:t>
            </w:r>
          </w:p>
        </w:tc>
        <w:tc>
          <w:tcPr>
            <w:tcW w:w="4182" w:type="dxa"/>
            <w:vAlign w:val="center"/>
          </w:tcPr>
          <w:p w14:paraId="1D9AEC07">
            <w:pPr>
              <w:pStyle w:val="50"/>
              <w:spacing w:line="460" w:lineRule="exact"/>
              <w:ind w:firstLine="0" w:firstLineChars="0"/>
              <w:jc w:val="center"/>
              <w:rPr>
                <w:rFonts w:ascii="宋体" w:eastAsia="宋体"/>
                <w:color w:val="auto"/>
                <w:sz w:val="22"/>
              </w:rPr>
            </w:pPr>
            <w:r>
              <w:rPr>
                <w:rFonts w:hint="eastAsia" w:ascii="宋体" w:eastAsia="宋体"/>
                <w:color w:val="auto"/>
                <w:sz w:val="22"/>
              </w:rPr>
              <w:t>背面</w:t>
            </w:r>
          </w:p>
        </w:tc>
      </w:tr>
    </w:tbl>
    <w:p w14:paraId="2E88052D">
      <w:pPr>
        <w:rPr>
          <w:color w:val="auto"/>
        </w:rPr>
      </w:pPr>
    </w:p>
    <w:p w14:paraId="333B613F">
      <w:pPr>
        <w:adjustRightInd/>
        <w:snapToGrid/>
        <w:spacing w:line="276" w:lineRule="auto"/>
        <w:rPr>
          <w:rFonts w:ascii="方正楷体_GB2312" w:eastAsia="方正楷体_GB2312" w:hAnsiTheme="majorHAnsi" w:cstheme="majorBidi"/>
          <w:b/>
          <w:bCs/>
          <w:color w:val="auto"/>
          <w:sz w:val="24"/>
          <w:szCs w:val="28"/>
        </w:rPr>
      </w:pPr>
      <w:r>
        <w:rPr>
          <w:rFonts w:ascii="方正楷体_GB2312" w:eastAsia="方正楷体_GB2312"/>
          <w:color w:val="auto"/>
          <w:sz w:val="24"/>
        </w:rPr>
        <w:br w:type="page"/>
      </w:r>
    </w:p>
    <w:p w14:paraId="080E75D2">
      <w:pPr>
        <w:pStyle w:val="5"/>
        <w:widowControl w:val="0"/>
        <w:overflowPunct w:val="0"/>
        <w:spacing w:line="240" w:lineRule="auto"/>
        <w:rPr>
          <w:color w:val="auto"/>
        </w:rPr>
      </w:pPr>
      <w:bookmarkStart w:id="494" w:name="_Toc19807"/>
      <w:bookmarkStart w:id="495" w:name="_Toc11697"/>
      <w:bookmarkStart w:id="496" w:name="_Toc32722"/>
      <w:r>
        <w:rPr>
          <w:rFonts w:hint="eastAsia" w:ascii="宋体" w:hAnsi="宋体"/>
          <w:color w:val="auto"/>
          <w:sz w:val="21"/>
          <w:szCs w:val="21"/>
        </w:rPr>
        <w:t>附件25.法定代表人授权书格式</w:t>
      </w:r>
      <w:bookmarkEnd w:id="494"/>
      <w:bookmarkEnd w:id="495"/>
      <w:bookmarkEnd w:id="496"/>
    </w:p>
    <w:p w14:paraId="2DCABB27">
      <w:pPr>
        <w:jc w:val="center"/>
        <w:rPr>
          <w:rFonts w:ascii="兰米黑体" w:eastAsia="兰米黑体"/>
          <w:color w:val="auto"/>
          <w:sz w:val="28"/>
          <w:szCs w:val="28"/>
        </w:rPr>
      </w:pPr>
      <w:r>
        <w:rPr>
          <w:rFonts w:hint="eastAsia" w:ascii="兰米黑体" w:eastAsia="兰米黑体"/>
          <w:color w:val="auto"/>
          <w:sz w:val="28"/>
          <w:szCs w:val="28"/>
        </w:rPr>
        <w:t>法定代表人授权书</w:t>
      </w:r>
    </w:p>
    <w:p w14:paraId="557A940B">
      <w:pPr>
        <w:pStyle w:val="50"/>
        <w:spacing w:line="420" w:lineRule="atLeast"/>
        <w:ind w:firstLine="0" w:firstLineChars="0"/>
        <w:rPr>
          <w:rFonts w:ascii="宋体" w:eastAsia="宋体"/>
          <w:color w:val="auto"/>
          <w:sz w:val="21"/>
          <w:szCs w:val="21"/>
        </w:rPr>
      </w:pPr>
      <w:r>
        <w:rPr>
          <w:rFonts w:hint="eastAsia" w:ascii="宋体" w:eastAsia="宋体"/>
          <w:color w:val="auto"/>
          <w:sz w:val="21"/>
          <w:szCs w:val="21"/>
        </w:rPr>
        <w:t>致：广东志正招标有限公司东莞分公司</w:t>
      </w:r>
    </w:p>
    <w:p w14:paraId="5A8E51C5">
      <w:pPr>
        <w:pStyle w:val="50"/>
        <w:spacing w:line="420" w:lineRule="atLeast"/>
        <w:ind w:firstLine="433"/>
        <w:rPr>
          <w:rFonts w:ascii="宋体" w:eastAsia="宋体"/>
          <w:color w:val="auto"/>
          <w:sz w:val="21"/>
          <w:szCs w:val="21"/>
        </w:rPr>
      </w:pPr>
    </w:p>
    <w:p w14:paraId="20E3E25D">
      <w:pPr>
        <w:ind w:firstLine="420" w:firstLineChars="200"/>
        <w:rPr>
          <w:rFonts w:ascii="宋体" w:hAnsi="宋体" w:cs="Times New Roman"/>
          <w:color w:val="auto"/>
          <w:szCs w:val="21"/>
        </w:rPr>
      </w:pPr>
      <w:r>
        <w:rPr>
          <w:rFonts w:hint="eastAsia" w:ascii="宋体" w:hAnsi="宋体" w:cs="Times New Roman"/>
          <w:color w:val="auto"/>
          <w:szCs w:val="21"/>
        </w:rPr>
        <w:t>本授权书声明：注册于</w:t>
      </w:r>
      <w:r>
        <w:rPr>
          <w:rFonts w:hint="eastAsia" w:ascii="宋体" w:hAnsi="宋体" w:cs="Times New Roman"/>
          <w:color w:val="auto"/>
          <w:szCs w:val="21"/>
          <w:u w:val="single"/>
        </w:rPr>
        <w:t>（国家或地区的名称）</w:t>
      </w:r>
      <w:r>
        <w:rPr>
          <w:rFonts w:hint="eastAsia" w:ascii="宋体" w:hAnsi="宋体" w:cs="Times New Roman"/>
          <w:color w:val="auto"/>
          <w:szCs w:val="21"/>
        </w:rPr>
        <w:t>的</w:t>
      </w:r>
      <w:r>
        <w:rPr>
          <w:rFonts w:hint="eastAsia" w:ascii="宋体" w:hAnsi="宋体" w:cs="Times New Roman"/>
          <w:color w:val="auto"/>
          <w:szCs w:val="21"/>
          <w:u w:val="single"/>
        </w:rPr>
        <w:t>（单位名称）</w:t>
      </w:r>
      <w:r>
        <w:rPr>
          <w:rFonts w:hint="eastAsia" w:ascii="宋体" w:hAnsi="宋体" w:cs="Times New Roman"/>
          <w:color w:val="auto"/>
          <w:szCs w:val="21"/>
        </w:rPr>
        <w:t>的在下面签字的</w:t>
      </w:r>
      <w:r>
        <w:rPr>
          <w:rFonts w:hint="eastAsia" w:ascii="宋体" w:hAnsi="宋体" w:cs="Times New Roman"/>
          <w:color w:val="auto"/>
          <w:szCs w:val="21"/>
          <w:u w:val="single"/>
        </w:rPr>
        <w:t>（法定代表人姓名、职务）</w:t>
      </w:r>
      <w:r>
        <w:rPr>
          <w:rFonts w:hint="eastAsia" w:ascii="宋体" w:hAnsi="宋体" w:cs="Times New Roman"/>
          <w:color w:val="auto"/>
          <w:szCs w:val="21"/>
        </w:rPr>
        <w:t>代表本单位授权</w:t>
      </w:r>
      <w:r>
        <w:rPr>
          <w:rFonts w:hint="eastAsia" w:ascii="宋体" w:hAnsi="宋体" w:cs="Times New Roman"/>
          <w:color w:val="auto"/>
          <w:szCs w:val="21"/>
          <w:u w:val="single"/>
        </w:rPr>
        <w:t>（单位名称）</w:t>
      </w:r>
      <w:r>
        <w:rPr>
          <w:rFonts w:hint="eastAsia" w:ascii="宋体" w:hAnsi="宋体" w:cs="Times New Roman"/>
          <w:color w:val="auto"/>
          <w:szCs w:val="21"/>
        </w:rPr>
        <w:t>的在下面签字的</w:t>
      </w:r>
      <w:r>
        <w:rPr>
          <w:rFonts w:hint="eastAsia" w:ascii="宋体" w:hAnsi="宋体" w:cs="Times New Roman"/>
          <w:color w:val="auto"/>
          <w:szCs w:val="21"/>
          <w:u w:val="single"/>
        </w:rPr>
        <w:t>（被授权人的姓名、职务）</w:t>
      </w:r>
      <w:r>
        <w:rPr>
          <w:rFonts w:hint="eastAsia" w:ascii="宋体" w:hAnsi="宋体" w:cs="Times New Roman"/>
          <w:color w:val="auto"/>
          <w:szCs w:val="21"/>
        </w:rPr>
        <w:t>为本单位的合法代理人，就</w:t>
      </w:r>
      <w:r>
        <w:rPr>
          <w:rFonts w:hint="eastAsia" w:ascii="宋体" w:hAnsi="宋体" w:cs="Times New Roman"/>
          <w:color w:val="auto"/>
          <w:szCs w:val="21"/>
          <w:u w:val="single"/>
        </w:rPr>
        <w:t>（项目名称）</w:t>
      </w:r>
      <w:r>
        <w:rPr>
          <w:rFonts w:hint="eastAsia" w:ascii="宋体" w:hAnsi="宋体" w:cs="Times New Roman"/>
          <w:color w:val="auto"/>
          <w:szCs w:val="21"/>
        </w:rPr>
        <w:t>投标及参加项目谈判，以本单位名义处理一切与之有关的事务。</w:t>
      </w:r>
    </w:p>
    <w:p w14:paraId="616FBD8F">
      <w:pPr>
        <w:ind w:firstLine="315" w:firstLineChars="150"/>
        <w:rPr>
          <w:rFonts w:ascii="宋体" w:hAnsi="宋体" w:cs="Times New Roman"/>
          <w:color w:val="auto"/>
          <w:szCs w:val="21"/>
        </w:rPr>
      </w:pPr>
      <w:r>
        <w:rPr>
          <w:rFonts w:hint="eastAsia" w:ascii="宋体" w:hAnsi="宋体" w:cs="Times New Roman"/>
          <w:color w:val="auto"/>
          <w:szCs w:val="21"/>
        </w:rPr>
        <w:t>本授权书于</w:t>
      </w:r>
      <w:r>
        <w:rPr>
          <w:rFonts w:hint="eastAsia" w:ascii="宋体" w:hAnsi="宋体" w:cs="Times New Roman"/>
          <w:color w:val="auto"/>
          <w:szCs w:val="21"/>
          <w:u w:val="single"/>
        </w:rPr>
        <w:t>　　</w:t>
      </w:r>
      <w:r>
        <w:rPr>
          <w:rFonts w:hint="eastAsia" w:ascii="宋体" w:hAnsi="宋体" w:cs="Times New Roman"/>
          <w:color w:val="auto"/>
          <w:szCs w:val="21"/>
        </w:rPr>
        <w:t>年</w:t>
      </w:r>
      <w:r>
        <w:rPr>
          <w:rFonts w:hint="eastAsia" w:ascii="宋体" w:hAnsi="宋体" w:cs="Times New Roman"/>
          <w:color w:val="auto"/>
          <w:szCs w:val="21"/>
          <w:u w:val="single"/>
        </w:rPr>
        <w:t>　　</w:t>
      </w:r>
      <w:r>
        <w:rPr>
          <w:rFonts w:hint="eastAsia" w:ascii="宋体" w:hAnsi="宋体" w:cs="Times New Roman"/>
          <w:color w:val="auto"/>
          <w:szCs w:val="21"/>
        </w:rPr>
        <w:t>月</w:t>
      </w:r>
      <w:r>
        <w:rPr>
          <w:rFonts w:hint="eastAsia" w:ascii="宋体" w:hAnsi="宋体" w:cs="Times New Roman"/>
          <w:color w:val="auto"/>
          <w:szCs w:val="21"/>
          <w:u w:val="single"/>
        </w:rPr>
        <w:t>　　</w:t>
      </w:r>
      <w:r>
        <w:rPr>
          <w:rFonts w:hint="eastAsia" w:ascii="宋体" w:hAnsi="宋体" w:cs="Times New Roman"/>
          <w:color w:val="auto"/>
          <w:szCs w:val="21"/>
        </w:rPr>
        <w:t>日签字生效，特此声明。</w:t>
      </w:r>
    </w:p>
    <w:p w14:paraId="16C8047F">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投标人名称（加盖公章）：</w:t>
      </w:r>
    </w:p>
    <w:p w14:paraId="1261450C">
      <w:pPr>
        <w:pStyle w:val="50"/>
        <w:spacing w:line="500" w:lineRule="atLeast"/>
        <w:ind w:firstLine="3517" w:firstLineChars="1675"/>
        <w:rPr>
          <w:rFonts w:ascii="宋体" w:eastAsia="宋体"/>
          <w:color w:val="auto"/>
          <w:sz w:val="21"/>
          <w:szCs w:val="21"/>
          <w:u w:val="single"/>
        </w:rPr>
      </w:pPr>
      <w:r>
        <w:rPr>
          <w:rFonts w:hint="eastAsia" w:ascii="宋体" w:eastAsia="宋体"/>
          <w:color w:val="auto"/>
          <w:sz w:val="21"/>
          <w:szCs w:val="21"/>
        </w:rPr>
        <w:t>法定代表人签字（签名或盖私章）：</w:t>
      </w:r>
    </w:p>
    <w:p w14:paraId="38A286B8">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被授权人签字：</w:t>
      </w:r>
    </w:p>
    <w:p w14:paraId="4E1724DF">
      <w:pPr>
        <w:pStyle w:val="50"/>
        <w:spacing w:line="500" w:lineRule="atLeast"/>
        <w:ind w:firstLine="3517" w:firstLineChars="1675"/>
        <w:rPr>
          <w:rFonts w:ascii="宋体" w:eastAsia="宋体"/>
          <w:color w:val="auto"/>
          <w:sz w:val="21"/>
          <w:szCs w:val="21"/>
          <w:u w:val="single"/>
        </w:rPr>
      </w:pPr>
      <w:r>
        <w:rPr>
          <w:rFonts w:hint="eastAsia" w:ascii="宋体" w:eastAsia="宋体"/>
          <w:color w:val="auto"/>
          <w:sz w:val="21"/>
          <w:szCs w:val="21"/>
        </w:rPr>
        <w:t>职务：</w:t>
      </w:r>
    </w:p>
    <w:p w14:paraId="68EE6BA8">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 xml:space="preserve">移动电话： </w:t>
      </w:r>
    </w:p>
    <w:p w14:paraId="1DA4F469">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详细通讯地址：</w:t>
      </w:r>
    </w:p>
    <w:p w14:paraId="5C411498">
      <w:pPr>
        <w:pStyle w:val="50"/>
        <w:spacing w:line="500" w:lineRule="atLeast"/>
        <w:ind w:firstLine="3517" w:firstLineChars="1675"/>
        <w:rPr>
          <w:rFonts w:ascii="宋体" w:eastAsia="宋体"/>
          <w:color w:val="auto"/>
          <w:sz w:val="21"/>
          <w:szCs w:val="21"/>
        </w:rPr>
      </w:pPr>
      <w:r>
        <w:rPr>
          <w:rFonts w:hint="eastAsia" w:ascii="宋体" w:eastAsia="宋体"/>
          <w:color w:val="auto"/>
          <w:sz w:val="21"/>
          <w:szCs w:val="21"/>
        </w:rPr>
        <w:t xml:space="preserve">邮箱：                          </w:t>
      </w:r>
    </w:p>
    <w:p w14:paraId="47BFEAC1">
      <w:pPr>
        <w:pStyle w:val="50"/>
        <w:spacing w:line="500" w:lineRule="atLeast"/>
        <w:ind w:firstLine="3507" w:firstLineChars="1670"/>
        <w:rPr>
          <w:rFonts w:ascii="宋体" w:eastAsia="宋体"/>
          <w:color w:val="auto"/>
          <w:sz w:val="21"/>
          <w:szCs w:val="21"/>
        </w:rPr>
      </w:pPr>
      <w:r>
        <w:rPr>
          <w:rFonts w:hint="eastAsia" w:ascii="宋体" w:eastAsia="宋体"/>
          <w:color w:val="auto"/>
          <w:sz w:val="21"/>
          <w:szCs w:val="21"/>
        </w:rPr>
        <w:t>日     期：  年  月  日</w:t>
      </w:r>
    </w:p>
    <w:p w14:paraId="289DB84B">
      <w:pPr>
        <w:pStyle w:val="50"/>
        <w:spacing w:line="460" w:lineRule="exact"/>
        <w:ind w:firstLine="433"/>
        <w:rPr>
          <w:rFonts w:ascii="宋体" w:eastAsia="宋体"/>
          <w:color w:val="auto"/>
          <w:sz w:val="21"/>
          <w:szCs w:val="21"/>
        </w:rPr>
      </w:pPr>
    </w:p>
    <w:p w14:paraId="45B3E857">
      <w:pPr>
        <w:ind w:firstLine="420" w:firstLineChars="200"/>
        <w:rPr>
          <w:color w:val="auto"/>
        </w:rPr>
      </w:pPr>
      <w:r>
        <w:rPr>
          <w:rFonts w:hint="eastAsia" w:ascii="宋体" w:hAnsi="宋体"/>
          <w:color w:val="auto"/>
          <w:szCs w:val="21"/>
        </w:rPr>
        <w:t>须附：被授权人身份证复印件。</w:t>
      </w:r>
    </w:p>
    <w:tbl>
      <w:tblPr>
        <w:tblStyle w:val="32"/>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33C7E4C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14:paraId="21E53C4E">
            <w:pPr>
              <w:pStyle w:val="50"/>
              <w:spacing w:line="460" w:lineRule="exact"/>
              <w:ind w:firstLine="0" w:firstLineChars="0"/>
              <w:jc w:val="center"/>
              <w:rPr>
                <w:rFonts w:ascii="宋体" w:eastAsia="宋体"/>
                <w:color w:val="auto"/>
                <w:sz w:val="22"/>
              </w:rPr>
            </w:pPr>
            <w:r>
              <w:rPr>
                <w:rFonts w:hint="eastAsia" w:ascii="宋体" w:eastAsia="宋体"/>
                <w:color w:val="auto"/>
                <w:sz w:val="22"/>
              </w:rPr>
              <w:t>正面</w:t>
            </w:r>
          </w:p>
        </w:tc>
        <w:tc>
          <w:tcPr>
            <w:tcW w:w="4232" w:type="dxa"/>
            <w:vAlign w:val="center"/>
          </w:tcPr>
          <w:p w14:paraId="724748FC">
            <w:pPr>
              <w:pStyle w:val="50"/>
              <w:spacing w:line="460" w:lineRule="exact"/>
              <w:ind w:firstLine="0" w:firstLineChars="0"/>
              <w:jc w:val="center"/>
              <w:rPr>
                <w:rFonts w:ascii="宋体" w:eastAsia="宋体"/>
                <w:color w:val="auto"/>
                <w:sz w:val="22"/>
              </w:rPr>
            </w:pPr>
            <w:r>
              <w:rPr>
                <w:rFonts w:hint="eastAsia" w:ascii="宋体" w:eastAsia="宋体"/>
                <w:color w:val="auto"/>
                <w:sz w:val="22"/>
              </w:rPr>
              <w:t>背面</w:t>
            </w:r>
          </w:p>
        </w:tc>
      </w:tr>
    </w:tbl>
    <w:p w14:paraId="16A0A29A">
      <w:pPr>
        <w:rPr>
          <w:color w:val="auto"/>
        </w:rPr>
      </w:pPr>
      <w:r>
        <w:rPr>
          <w:rFonts w:hint="eastAsia" w:ascii="宋体" w:hAnsi="宋体"/>
          <w:color w:val="auto"/>
          <w:szCs w:val="21"/>
        </w:rPr>
        <w:t>注：</w:t>
      </w:r>
      <w:r>
        <w:rPr>
          <w:rFonts w:hint="eastAsia" w:ascii="宋体" w:hAnsi="宋体"/>
          <w:b/>
          <w:bCs/>
          <w:color w:val="auto"/>
          <w:szCs w:val="21"/>
          <w:u w:val="single"/>
        </w:rPr>
        <w:t>授权代表务必携带有效身份证明出席开标会</w:t>
      </w:r>
      <w:r>
        <w:rPr>
          <w:rFonts w:hint="eastAsia" w:ascii="宋体" w:hAnsi="宋体"/>
          <w:bCs/>
          <w:color w:val="auto"/>
          <w:szCs w:val="21"/>
          <w:u w:val="single"/>
        </w:rPr>
        <w:t>。</w:t>
      </w:r>
      <w:r>
        <w:rPr>
          <w:rFonts w:hint="eastAsia" w:ascii="宋体" w:hAnsi="宋体"/>
          <w:b/>
          <w:bCs/>
          <w:color w:val="auto"/>
          <w:szCs w:val="21"/>
          <w:u w:val="single"/>
        </w:rPr>
        <w:t>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p>
    <w:p w14:paraId="2B8AAE89">
      <w:pPr>
        <w:rPr>
          <w:color w:val="auto"/>
        </w:rPr>
      </w:pPr>
    </w:p>
    <w:p w14:paraId="02568747">
      <w:pPr>
        <w:rPr>
          <w:color w:val="auto"/>
        </w:rPr>
      </w:pPr>
    </w:p>
    <w:p w14:paraId="4C906989">
      <w:pPr>
        <w:pStyle w:val="5"/>
        <w:widowControl w:val="0"/>
        <w:overflowPunct w:val="0"/>
        <w:spacing w:line="240" w:lineRule="auto"/>
        <w:rPr>
          <w:color w:val="auto"/>
        </w:rPr>
      </w:pPr>
      <w:bookmarkStart w:id="497" w:name="_Toc31044"/>
      <w:bookmarkStart w:id="498" w:name="_Toc26275"/>
      <w:bookmarkStart w:id="499" w:name="_Toc10071"/>
      <w:bookmarkStart w:id="500" w:name="_Toc3467"/>
      <w:r>
        <w:rPr>
          <w:rFonts w:hint="eastAsia" w:ascii="宋体" w:hAnsi="宋体"/>
          <w:color w:val="auto"/>
          <w:sz w:val="21"/>
          <w:szCs w:val="21"/>
        </w:rPr>
        <w:t>附件26.投标保证金汇入情况说明格式</w:t>
      </w:r>
      <w:bookmarkEnd w:id="497"/>
      <w:bookmarkEnd w:id="498"/>
      <w:bookmarkEnd w:id="499"/>
      <w:bookmarkEnd w:id="500"/>
    </w:p>
    <w:p w14:paraId="5B2D9632">
      <w:pPr>
        <w:rPr>
          <w:color w:val="auto"/>
        </w:rPr>
      </w:pPr>
    </w:p>
    <w:p w14:paraId="7EE7DC72">
      <w:pPr>
        <w:jc w:val="center"/>
        <w:outlineLvl w:val="0"/>
        <w:rPr>
          <w:rFonts w:ascii="兰米黑体" w:eastAsia="兰米黑体"/>
          <w:color w:val="auto"/>
          <w:sz w:val="28"/>
          <w:szCs w:val="28"/>
        </w:rPr>
      </w:pPr>
      <w:bookmarkStart w:id="501" w:name="_Toc17006"/>
      <w:r>
        <w:rPr>
          <w:rFonts w:hint="eastAsia" w:ascii="兰米黑体" w:eastAsia="兰米黑体"/>
          <w:color w:val="auto"/>
          <w:sz w:val="28"/>
          <w:szCs w:val="28"/>
        </w:rPr>
        <w:t>投标保证金汇入情况说明</w:t>
      </w:r>
      <w:bookmarkEnd w:id="501"/>
    </w:p>
    <w:p w14:paraId="2000EAEA">
      <w:pPr>
        <w:spacing w:line="480" w:lineRule="auto"/>
        <w:rPr>
          <w:rFonts w:ascii="宋体" w:hAnsi="宋体"/>
          <w:color w:val="auto"/>
          <w:szCs w:val="21"/>
        </w:rPr>
      </w:pPr>
      <w:r>
        <w:rPr>
          <w:rFonts w:hint="eastAsia" w:ascii="宋体" w:hAnsi="宋体"/>
          <w:color w:val="auto"/>
          <w:szCs w:val="21"/>
        </w:rPr>
        <w:t>致：广东志正招标有限公司东莞分公司：</w:t>
      </w:r>
    </w:p>
    <w:p w14:paraId="5E40E341">
      <w:pPr>
        <w:spacing w:line="480" w:lineRule="auto"/>
        <w:ind w:firstLine="420" w:firstLineChars="200"/>
        <w:rPr>
          <w:rFonts w:ascii="宋体" w:hAnsi="宋体"/>
          <w:color w:val="auto"/>
          <w:szCs w:val="21"/>
        </w:rPr>
      </w:pPr>
      <w:r>
        <w:rPr>
          <w:rFonts w:hint="eastAsia" w:ascii="宋体" w:hAnsi="宋体"/>
          <w:color w:val="auto"/>
          <w:szCs w:val="21"/>
        </w:rPr>
        <w:t>本单位已按</w:t>
      </w:r>
      <w:r>
        <w:rPr>
          <w:rFonts w:hint="eastAsia" w:ascii="宋体" w:hAnsi="宋体"/>
          <w:color w:val="auto"/>
          <w:szCs w:val="21"/>
          <w:u w:val="single"/>
        </w:rPr>
        <w:t xml:space="preserve">         </w:t>
      </w:r>
      <w:r>
        <w:rPr>
          <w:rFonts w:hint="eastAsia" w:ascii="宋体" w:hAnsi="宋体"/>
          <w:color w:val="auto"/>
          <w:szCs w:val="21"/>
        </w:rPr>
        <w:t>项目（采购项目编号：）的采购文件要求，于年月日前以</w:t>
      </w:r>
      <w:r>
        <w:rPr>
          <w:rFonts w:hint="eastAsia" w:ascii="宋体" w:hAnsi="宋体"/>
          <w:color w:val="auto"/>
          <w:szCs w:val="21"/>
          <w:u w:val="single"/>
        </w:rPr>
        <w:t xml:space="preserve">           （付款形式）</w:t>
      </w:r>
      <w:r>
        <w:rPr>
          <w:rFonts w:hint="eastAsia" w:ascii="宋体" w:hAnsi="宋体"/>
          <w:color w:val="auto"/>
          <w:szCs w:val="21"/>
        </w:rPr>
        <w:t>方式汇入指定帐户（帐户名称：</w:t>
      </w:r>
      <w:r>
        <w:rPr>
          <w:rFonts w:hint="eastAsia" w:ascii="宋体" w:hAnsi="宋体"/>
          <w:color w:val="auto"/>
          <w:szCs w:val="21"/>
          <w:u w:val="single"/>
        </w:rPr>
        <w:t xml:space="preserve">       </w:t>
      </w:r>
      <w:r>
        <w:rPr>
          <w:rFonts w:hint="eastAsia" w:ascii="宋体" w:hAnsi="宋体"/>
          <w:color w:val="auto"/>
          <w:szCs w:val="21"/>
        </w:rPr>
        <w:t>，帐号：</w:t>
      </w:r>
      <w:r>
        <w:rPr>
          <w:rFonts w:hint="eastAsia" w:ascii="宋体" w:hAnsi="宋体"/>
          <w:color w:val="auto"/>
          <w:szCs w:val="21"/>
          <w:u w:val="single"/>
        </w:rPr>
        <w:t xml:space="preserve">       </w:t>
      </w:r>
      <w:r>
        <w:rPr>
          <w:rFonts w:hint="eastAsia" w:ascii="宋体" w:hAnsi="宋体"/>
          <w:color w:val="auto"/>
          <w:szCs w:val="21"/>
        </w:rPr>
        <w:t>,开户银行：</w:t>
      </w:r>
      <w:r>
        <w:rPr>
          <w:rFonts w:hint="eastAsia" w:ascii="宋体" w:hAnsi="宋体"/>
          <w:color w:val="auto"/>
          <w:szCs w:val="21"/>
          <w:u w:val="single"/>
        </w:rPr>
        <w:t xml:space="preserve">       </w:t>
      </w:r>
      <w:r>
        <w:rPr>
          <w:rFonts w:hint="eastAsia" w:ascii="宋体" w:hAnsi="宋体"/>
          <w:color w:val="auto"/>
          <w:szCs w:val="21"/>
        </w:rPr>
        <w:t>）。</w:t>
      </w:r>
    </w:p>
    <w:p w14:paraId="7A5B230E">
      <w:pPr>
        <w:spacing w:line="480" w:lineRule="auto"/>
        <w:ind w:firstLine="420" w:firstLineChars="200"/>
        <w:rPr>
          <w:rFonts w:ascii="宋体" w:hAnsi="宋体"/>
          <w:color w:val="auto"/>
          <w:szCs w:val="21"/>
        </w:rPr>
      </w:pPr>
      <w:r>
        <w:rPr>
          <w:rFonts w:hint="eastAsia" w:ascii="宋体" w:hAnsi="宋体"/>
          <w:color w:val="auto"/>
          <w:szCs w:val="21"/>
        </w:rPr>
        <w:t>本单位投标保证金的汇款情况：（详见附件－投标保证金进帐单）</w:t>
      </w:r>
    </w:p>
    <w:p w14:paraId="155CC640">
      <w:pPr>
        <w:spacing w:line="480" w:lineRule="auto"/>
        <w:ind w:firstLine="420" w:firstLineChars="200"/>
        <w:rPr>
          <w:rFonts w:ascii="宋体" w:hAnsi="宋体"/>
          <w:color w:val="auto"/>
          <w:szCs w:val="21"/>
        </w:rPr>
      </w:pPr>
      <w:r>
        <w:rPr>
          <w:rFonts w:hint="eastAsia" w:ascii="宋体" w:hAnsi="宋体"/>
          <w:color w:val="auto"/>
          <w:szCs w:val="21"/>
        </w:rPr>
        <w:t>汇出时间：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232E49F6">
      <w:pPr>
        <w:spacing w:line="480" w:lineRule="auto"/>
        <w:ind w:firstLine="420" w:firstLineChars="200"/>
        <w:rPr>
          <w:rFonts w:ascii="宋体" w:hAnsi="宋体"/>
          <w:color w:val="auto"/>
          <w:szCs w:val="21"/>
        </w:rPr>
      </w:pPr>
      <w:r>
        <w:rPr>
          <w:rFonts w:hint="eastAsia" w:ascii="宋体" w:hAnsi="宋体"/>
          <w:color w:val="auto"/>
          <w:szCs w:val="21"/>
        </w:rPr>
        <w:t>汇款金额：（大写）人民币</w:t>
      </w:r>
      <w:r>
        <w:rPr>
          <w:rFonts w:hint="eastAsia" w:ascii="宋体" w:hAnsi="宋体"/>
          <w:color w:val="auto"/>
          <w:szCs w:val="21"/>
          <w:u w:val="single"/>
        </w:rPr>
        <w:t xml:space="preserve">       </w:t>
      </w:r>
      <w:r>
        <w:rPr>
          <w:rFonts w:hint="eastAsia" w:ascii="宋体" w:hAnsi="宋体"/>
          <w:color w:val="auto"/>
          <w:szCs w:val="21"/>
        </w:rPr>
        <w:t>元（小写：¥</w:t>
      </w:r>
      <w:r>
        <w:rPr>
          <w:rFonts w:hint="eastAsia" w:ascii="宋体" w:hAnsi="宋体"/>
          <w:color w:val="auto"/>
          <w:szCs w:val="21"/>
          <w:u w:val="single"/>
        </w:rPr>
        <w:t xml:space="preserve">       </w:t>
      </w:r>
      <w:r>
        <w:rPr>
          <w:rFonts w:hint="eastAsia" w:ascii="宋体" w:hAnsi="宋体"/>
          <w:color w:val="auto"/>
          <w:szCs w:val="21"/>
        </w:rPr>
        <w:t>元），</w:t>
      </w:r>
    </w:p>
    <w:p w14:paraId="41D82B7F">
      <w:pPr>
        <w:spacing w:line="480" w:lineRule="auto"/>
        <w:ind w:firstLine="420" w:firstLineChars="200"/>
        <w:rPr>
          <w:rFonts w:ascii="宋体" w:hAnsi="宋体"/>
          <w:color w:val="auto"/>
          <w:szCs w:val="21"/>
        </w:rPr>
      </w:pPr>
      <w:r>
        <w:rPr>
          <w:rFonts w:hint="eastAsia" w:ascii="宋体" w:hAnsi="宋体"/>
          <w:color w:val="auto"/>
          <w:szCs w:val="21"/>
        </w:rPr>
        <w:t>汇款帐户名称：</w:t>
      </w:r>
      <w:r>
        <w:rPr>
          <w:rFonts w:hint="eastAsia" w:ascii="宋体" w:hAnsi="宋体"/>
          <w:color w:val="auto"/>
          <w:szCs w:val="21"/>
          <w:u w:val="single"/>
        </w:rPr>
        <w:t xml:space="preserve">  （必须是投标时使用的帐户名）   </w:t>
      </w:r>
    </w:p>
    <w:p w14:paraId="1D098BC5">
      <w:pPr>
        <w:spacing w:line="480" w:lineRule="auto"/>
        <w:ind w:firstLine="420" w:firstLineChars="200"/>
        <w:rPr>
          <w:rFonts w:ascii="宋体" w:hAnsi="宋体"/>
          <w:color w:val="auto"/>
          <w:szCs w:val="21"/>
        </w:rPr>
      </w:pPr>
      <w:r>
        <w:rPr>
          <w:rFonts w:hint="eastAsia" w:ascii="宋体" w:hAnsi="宋体"/>
          <w:color w:val="auto"/>
          <w:szCs w:val="21"/>
        </w:rPr>
        <w:t>帐        号：</w:t>
      </w:r>
      <w:r>
        <w:rPr>
          <w:rFonts w:hint="eastAsia" w:ascii="宋体" w:hAnsi="宋体"/>
          <w:color w:val="auto"/>
          <w:szCs w:val="21"/>
          <w:u w:val="single"/>
        </w:rPr>
        <w:t xml:space="preserve">  （必须是投标时使用的帐号）        </w:t>
      </w:r>
    </w:p>
    <w:p w14:paraId="1243B5DF">
      <w:pPr>
        <w:spacing w:line="480" w:lineRule="auto"/>
        <w:ind w:firstLine="420" w:firstLineChars="200"/>
        <w:rPr>
          <w:rFonts w:ascii="宋体" w:hAnsi="宋体"/>
          <w:color w:val="auto"/>
          <w:szCs w:val="21"/>
          <w:u w:val="single"/>
        </w:rPr>
      </w:pPr>
      <w:r>
        <w:rPr>
          <w:rFonts w:hint="eastAsia" w:ascii="宋体" w:hAnsi="宋体"/>
          <w:color w:val="auto"/>
          <w:szCs w:val="21"/>
        </w:rPr>
        <w:t>开 户  银 行：</w:t>
      </w:r>
      <w:r>
        <w:rPr>
          <w:rFonts w:hint="eastAsia" w:ascii="宋体" w:hAnsi="宋体"/>
          <w:color w:val="auto"/>
          <w:szCs w:val="21"/>
          <w:u w:val="single"/>
        </w:rPr>
        <w:t xml:space="preserve">  （  XX 银行 XX 分行 XX 支行   ）</w:t>
      </w:r>
    </w:p>
    <w:p w14:paraId="4AA4F36B">
      <w:pPr>
        <w:spacing w:line="480" w:lineRule="auto"/>
        <w:ind w:firstLine="420" w:firstLineChars="200"/>
        <w:rPr>
          <w:rFonts w:ascii="宋体" w:hAnsi="宋体"/>
          <w:color w:val="auto"/>
          <w:szCs w:val="21"/>
        </w:rPr>
      </w:pPr>
      <w:r>
        <w:rPr>
          <w:rFonts w:hint="eastAsia" w:ascii="宋体" w:hAnsi="宋体"/>
          <w:color w:val="auto"/>
          <w:szCs w:val="21"/>
        </w:rPr>
        <w:t>本单位谨承诺上述资料是正确、真实的，如因上述证明与事实不符导致的一切损失，本单位保证承担赔偿等一切法律责任。</w:t>
      </w:r>
    </w:p>
    <w:p w14:paraId="351B2DAF">
      <w:pPr>
        <w:spacing w:line="480" w:lineRule="auto"/>
        <w:ind w:firstLine="420" w:firstLineChars="200"/>
        <w:rPr>
          <w:rFonts w:ascii="宋体" w:hAnsi="宋体"/>
          <w:color w:val="auto"/>
          <w:szCs w:val="21"/>
        </w:rPr>
      </w:pPr>
      <w:r>
        <w:rPr>
          <w:rFonts w:hint="eastAsia" w:ascii="宋体" w:hAnsi="宋体"/>
          <w:color w:val="auto"/>
          <w:szCs w:val="21"/>
        </w:rPr>
        <w:t>投标保证金退回时，请按上述资料退回。</w:t>
      </w:r>
    </w:p>
    <w:p w14:paraId="6EB455EF">
      <w:pPr>
        <w:spacing w:line="480" w:lineRule="auto"/>
        <w:ind w:right="844" w:rightChars="402"/>
        <w:jc w:val="right"/>
        <w:rPr>
          <w:rFonts w:ascii="宋体" w:hAnsi="宋体"/>
          <w:color w:val="auto"/>
          <w:szCs w:val="21"/>
        </w:rPr>
      </w:pPr>
      <w:r>
        <w:rPr>
          <w:rFonts w:hint="eastAsia" w:ascii="宋体" w:hAnsi="宋体"/>
          <w:color w:val="auto"/>
          <w:szCs w:val="21"/>
        </w:rPr>
        <w:t>（单位公章）</w:t>
      </w:r>
    </w:p>
    <w:p w14:paraId="175196FB">
      <w:pPr>
        <w:spacing w:line="480" w:lineRule="auto"/>
        <w:ind w:right="628" w:rightChars="299"/>
        <w:jc w:val="right"/>
        <w:rPr>
          <w:rFonts w:ascii="宋体" w:hAnsi="宋体"/>
          <w:color w:val="auto"/>
          <w:szCs w:val="21"/>
        </w:rPr>
      </w:pPr>
      <w:r>
        <w:rPr>
          <w:rFonts w:hint="eastAsia" w:ascii="宋体" w:hAnsi="宋体"/>
          <w:color w:val="auto"/>
          <w:szCs w:val="21"/>
        </w:rPr>
        <w:t>年 月 日</w:t>
      </w:r>
    </w:p>
    <w:p w14:paraId="3019D70D">
      <w:pPr>
        <w:spacing w:line="480" w:lineRule="auto"/>
        <w:rPr>
          <w:rFonts w:ascii="宋体" w:hAnsi="宋体"/>
          <w:color w:val="auto"/>
          <w:szCs w:val="21"/>
        </w:rPr>
      </w:pPr>
      <w:r>
        <w:rPr>
          <w:rFonts w:hint="eastAsia" w:ascii="宋体" w:hAnsi="宋体"/>
          <w:color w:val="auto"/>
          <w:szCs w:val="21"/>
        </w:rPr>
        <w:t>单位名称：</w:t>
      </w:r>
    </w:p>
    <w:p w14:paraId="6A5BEC94">
      <w:pPr>
        <w:spacing w:line="480" w:lineRule="auto"/>
        <w:rPr>
          <w:rFonts w:ascii="宋体" w:hAnsi="宋体"/>
          <w:color w:val="auto"/>
          <w:szCs w:val="21"/>
        </w:rPr>
      </w:pPr>
      <w:r>
        <w:rPr>
          <w:rFonts w:hint="eastAsia" w:ascii="宋体" w:hAnsi="宋体"/>
          <w:color w:val="auto"/>
          <w:szCs w:val="21"/>
        </w:rPr>
        <w:t>单位地址：</w:t>
      </w:r>
    </w:p>
    <w:p w14:paraId="638FE851">
      <w:pPr>
        <w:spacing w:line="480" w:lineRule="auto"/>
        <w:rPr>
          <w:rFonts w:ascii="宋体" w:hAnsi="宋体"/>
          <w:color w:val="auto"/>
          <w:szCs w:val="21"/>
        </w:rPr>
      </w:pPr>
      <w:r>
        <w:rPr>
          <w:rFonts w:hint="eastAsia" w:ascii="宋体" w:hAnsi="宋体"/>
          <w:color w:val="auto"/>
          <w:szCs w:val="21"/>
        </w:rPr>
        <w:t>联系人：</w:t>
      </w:r>
    </w:p>
    <w:p w14:paraId="22D0639D">
      <w:pPr>
        <w:spacing w:line="480" w:lineRule="auto"/>
        <w:rPr>
          <w:rFonts w:ascii="宋体" w:hAnsi="宋体"/>
          <w:color w:val="auto"/>
          <w:szCs w:val="21"/>
        </w:rPr>
      </w:pPr>
      <w:r>
        <w:rPr>
          <w:rFonts w:hint="eastAsia" w:ascii="宋体" w:hAnsi="宋体"/>
          <w:color w:val="auto"/>
          <w:szCs w:val="21"/>
        </w:rPr>
        <w:t xml:space="preserve">单位电话： </w:t>
      </w:r>
    </w:p>
    <w:p w14:paraId="2F8A3F00">
      <w:pPr>
        <w:spacing w:line="480" w:lineRule="auto"/>
        <w:rPr>
          <w:rFonts w:ascii="宋体" w:hAnsi="宋体"/>
          <w:color w:val="auto"/>
          <w:szCs w:val="21"/>
        </w:rPr>
      </w:pPr>
      <w:r>
        <w:rPr>
          <w:rFonts w:hint="eastAsia" w:ascii="宋体" w:hAnsi="宋体"/>
          <w:color w:val="auto"/>
          <w:szCs w:val="21"/>
        </w:rPr>
        <w:t>联系人手机：</w:t>
      </w:r>
    </w:p>
    <w:p w14:paraId="659FA8FB">
      <w:pPr>
        <w:rPr>
          <w:rFonts w:ascii="宋体" w:hAnsi="宋体"/>
          <w:color w:val="auto"/>
          <w:szCs w:val="21"/>
        </w:rPr>
      </w:pPr>
    </w:p>
    <w:p w14:paraId="3922980D">
      <w:pPr>
        <w:spacing w:line="380" w:lineRule="exact"/>
        <w:ind w:firstLine="420" w:firstLineChars="200"/>
        <w:rPr>
          <w:rFonts w:ascii="宋体" w:hAnsi="宋体"/>
          <w:color w:val="auto"/>
          <w:szCs w:val="21"/>
        </w:rPr>
      </w:pPr>
      <w:r>
        <w:rPr>
          <w:rFonts w:hint="eastAsia" w:ascii="宋体" w:hAnsi="宋体"/>
          <w:color w:val="auto"/>
          <w:szCs w:val="21"/>
        </w:rPr>
        <w:br w:type="page"/>
      </w:r>
    </w:p>
    <w:p w14:paraId="7F2FEFA7">
      <w:pPr>
        <w:spacing w:line="380" w:lineRule="exact"/>
        <w:ind w:firstLine="420" w:firstLineChars="200"/>
        <w:rPr>
          <w:rFonts w:ascii="宋体" w:hAnsi="宋体"/>
          <w:color w:val="auto"/>
          <w:szCs w:val="21"/>
        </w:rPr>
      </w:pPr>
      <w:r>
        <w:rPr>
          <w:rFonts w:hint="eastAsia" w:ascii="宋体" w:hAnsi="宋体"/>
          <w:color w:val="auto"/>
          <w:szCs w:val="21"/>
        </w:rPr>
        <w:t>附：我方投标保证金汇款凭证</w:t>
      </w:r>
    </w:p>
    <w:tbl>
      <w:tblPr>
        <w:tblStyle w:val="3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E99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522" w:type="dxa"/>
            <w:vAlign w:val="center"/>
          </w:tcPr>
          <w:p w14:paraId="6D09DE10">
            <w:pPr>
              <w:tabs>
                <w:tab w:val="left" w:pos="3885"/>
              </w:tabs>
              <w:jc w:val="center"/>
              <w:rPr>
                <w:rFonts w:ascii="宋体" w:hAnsi="宋体"/>
                <w:color w:val="auto"/>
                <w:szCs w:val="21"/>
              </w:rPr>
            </w:pPr>
            <w:r>
              <w:rPr>
                <w:rFonts w:hint="eastAsia" w:ascii="宋体" w:hAnsi="宋体"/>
                <w:color w:val="auto"/>
                <w:szCs w:val="21"/>
              </w:rPr>
              <w:t>（粘贴汇款单或转账</w:t>
            </w:r>
            <w:r>
              <w:rPr>
                <w:rFonts w:ascii="宋体" w:hAnsi="宋体"/>
                <w:color w:val="auto"/>
                <w:szCs w:val="21"/>
              </w:rPr>
              <w:t>凭证</w:t>
            </w:r>
            <w:r>
              <w:rPr>
                <w:rFonts w:hint="eastAsia" w:ascii="宋体" w:hAnsi="宋体"/>
                <w:color w:val="auto"/>
                <w:szCs w:val="21"/>
              </w:rPr>
              <w:t>复印件，并在骑缝上加盖投标人公章，或是直接把转账</w:t>
            </w:r>
            <w:r>
              <w:rPr>
                <w:rFonts w:ascii="宋体" w:hAnsi="宋体"/>
                <w:color w:val="auto"/>
                <w:szCs w:val="21"/>
              </w:rPr>
              <w:t>凭证</w:t>
            </w:r>
            <w:r>
              <w:rPr>
                <w:rFonts w:hint="eastAsia" w:ascii="宋体" w:hAnsi="宋体"/>
                <w:color w:val="auto"/>
                <w:szCs w:val="21"/>
              </w:rPr>
              <w:t>复印到此张纸上）</w:t>
            </w:r>
          </w:p>
        </w:tc>
      </w:tr>
    </w:tbl>
    <w:p w14:paraId="403549C9">
      <w:pPr>
        <w:spacing w:line="480" w:lineRule="auto"/>
        <w:ind w:firstLine="420" w:firstLineChars="200"/>
        <w:rPr>
          <w:rFonts w:ascii="宋体" w:hAnsi="宋体"/>
          <w:color w:val="auto"/>
          <w:szCs w:val="21"/>
        </w:rPr>
      </w:pPr>
      <w:r>
        <w:rPr>
          <w:rFonts w:hint="eastAsia" w:ascii="宋体" w:hAnsi="宋体"/>
          <w:color w:val="auto"/>
          <w:szCs w:val="21"/>
        </w:rPr>
        <w:t>注：此表既要装订在投标文件中，又要按投标人须知的规定与开标一览表、投标保证金汇款底单复印件及授权委托书一同密封装入唱标信封，唱标信封单独提交。</w:t>
      </w:r>
    </w:p>
    <w:p w14:paraId="575C8A12">
      <w:pPr>
        <w:pStyle w:val="5"/>
        <w:widowControl w:val="0"/>
        <w:overflowPunct w:val="0"/>
        <w:spacing w:line="240" w:lineRule="auto"/>
        <w:rPr>
          <w:rFonts w:ascii="宋体" w:hAnsi="宋体"/>
          <w:color w:val="auto"/>
          <w:sz w:val="21"/>
          <w:szCs w:val="21"/>
        </w:rPr>
      </w:pPr>
      <w:bookmarkStart w:id="502" w:name="_Toc17458"/>
      <w:bookmarkStart w:id="503" w:name="_Toc22371"/>
      <w:bookmarkStart w:id="504" w:name="_Toc16902"/>
      <w:r>
        <w:rPr>
          <w:rFonts w:hint="eastAsia" w:ascii="宋体" w:hAnsi="宋体"/>
          <w:color w:val="auto"/>
          <w:sz w:val="21"/>
          <w:szCs w:val="21"/>
        </w:rPr>
        <w:t>附件27.投标文件电子文件（U盘）</w:t>
      </w:r>
      <w:bookmarkEnd w:id="502"/>
      <w:bookmarkEnd w:id="503"/>
      <w:bookmarkEnd w:id="504"/>
    </w:p>
    <w:p w14:paraId="1429BD84">
      <w:pPr>
        <w:rPr>
          <w:rFonts w:ascii="宋体" w:hAnsi="宋体"/>
          <w:color w:val="auto"/>
          <w:szCs w:val="21"/>
        </w:rPr>
      </w:pPr>
    </w:p>
    <w:p w14:paraId="205836CA">
      <w:pPr>
        <w:rPr>
          <w:color w:val="auto"/>
        </w:rPr>
      </w:pPr>
    </w:p>
    <w:p w14:paraId="733AA1F2">
      <w:pPr>
        <w:rPr>
          <w:color w:val="auto"/>
        </w:rPr>
      </w:pPr>
    </w:p>
    <w:p w14:paraId="2B63B475">
      <w:pPr>
        <w:rPr>
          <w:color w:val="auto"/>
        </w:rPr>
      </w:pPr>
    </w:p>
    <w:p w14:paraId="2B0EA394">
      <w:pPr>
        <w:rPr>
          <w:color w:val="auto"/>
        </w:rPr>
      </w:pPr>
    </w:p>
    <w:sectPr>
      <w:pgSz w:w="11906" w:h="16838"/>
      <w:pgMar w:top="1440" w:right="1800" w:bottom="1440" w:left="1800" w:header="708" w:footer="708" w:gutter="0"/>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黑体"/>
    <w:panose1 w:val="02010609060101010101"/>
    <w:charset w:val="86"/>
    <w:family w:val="auto"/>
    <w:pitch w:val="default"/>
    <w:sig w:usb0="800002BF" w:usb1="38CF7CFA" w:usb2="00000016" w:usb3="00000000" w:csb0="00040001" w:csb1="00000000"/>
    <w:embedRegular r:id="rId1" w:fontKey="{46112634-B247-4F3B-966F-D7112E61F2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1B95360-502A-4D7A-BF26-C30F22D7CC9C}"/>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embedRegular r:id="rId3" w:fontKey="{7E93FA84-08D4-4797-9810-F3D5C9D67F4F}"/>
  </w:font>
  <w:font w:name="方正书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 w:name="方正楷体_GB2312">
    <w:panose1 w:val="02000000000000000000"/>
    <w:charset w:val="86"/>
    <w:family w:val="auto"/>
    <w:pitch w:val="default"/>
    <w:sig w:usb0="A00002BF" w:usb1="184F6CFA" w:usb2="00000012" w:usb3="00000000" w:csb0="00040001" w:csb1="00000000"/>
    <w:embedRegular r:id="rId4" w:fontKey="{13813F43-8D18-45B3-A4E5-7E81CDA5D82E}"/>
  </w:font>
  <w:font w:name="微软雅黑">
    <w:panose1 w:val="020B0503020204020204"/>
    <w:charset w:val="86"/>
    <w:family w:val="swiss"/>
    <w:pitch w:val="default"/>
    <w:sig w:usb0="80000287" w:usb1="2ACF3C50" w:usb2="00000016" w:usb3="00000000" w:csb0="0004001F" w:csb1="00000000"/>
  </w:font>
  <w:font w:name="兰米黑体">
    <w:panose1 w:val="02000503000000000000"/>
    <w:charset w:val="86"/>
    <w:family w:val="auto"/>
    <w:pitch w:val="default"/>
    <w:sig w:usb0="8000002F" w:usb1="084164F8" w:usb2="00000012" w:usb3="00000000" w:csb0="00040001" w:csb1="00000000"/>
    <w:embedRegular r:id="rId5" w:fontKey="{E1BD1F1D-0C9C-4B89-A9A9-9EDBBB681FF4}"/>
  </w:font>
  <w:font w:name="Segoe UI">
    <w:panose1 w:val="020B0502040204020203"/>
    <w:charset w:val="00"/>
    <w:family w:val="swiss"/>
    <w:pitch w:val="default"/>
    <w:sig w:usb0="E4002EFF" w:usb1="C000E47F" w:usb2="00000009" w:usb3="00000000" w:csb0="200001FF" w:csb1="00000000"/>
    <w:embedRegular r:id="rId6" w:fontKey="{47C38A50-A7AD-411E-A13D-ABBEE7BB2706}"/>
  </w:font>
  <w:font w:name="Segoe UI Symbol">
    <w:panose1 w:val="020B0502040204020203"/>
    <w:charset w:val="00"/>
    <w:family w:val="swiss"/>
    <w:pitch w:val="default"/>
    <w:sig w:usb0="800001E3" w:usb1="1200FFEF" w:usb2="00040000" w:usb3="04000000" w:csb0="00000001" w:csb1="40000000"/>
    <w:embedRegular r:id="rId7" w:fontKey="{88A28D2D-8C3A-4EA0-990D-9FE7F1E2D388}"/>
  </w:font>
  <w:font w:name="Cambria Math">
    <w:panose1 w:val="02040503050406030204"/>
    <w:charset w:val="00"/>
    <w:family w:val="roman"/>
    <w:pitch w:val="default"/>
    <w:sig w:usb0="E00006FF" w:usb1="420024FF" w:usb2="02000000" w:usb3="00000000" w:csb0="2000019F" w:csb1="00000000"/>
    <w:embedRegular r:id="rId8" w:fontKey="{F5A82699-6D0A-4897-9A6E-ED5F1F3A458F}"/>
  </w:font>
  <w:font w:name="方正小标宋简体">
    <w:panose1 w:val="02000000000000000000"/>
    <w:charset w:val="86"/>
    <w:family w:val="script"/>
    <w:pitch w:val="default"/>
    <w:sig w:usb0="00000001" w:usb1="08000000" w:usb2="00000000" w:usb3="00000000" w:csb0="00040000" w:csb1="00000000"/>
    <w:embedRegular r:id="rId9" w:fontKey="{C1AF1DB2-B71B-46A2-ADD9-F0CDAB576C6B}"/>
  </w:font>
  <w:font w:name="WPSEMBED1">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2050D">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51E992">
                          <w:pPr>
                            <w:pStyle w:val="18"/>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135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851E992">
                    <w:pPr>
                      <w:pStyle w:val="18"/>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135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90109">
    <w:pPr>
      <w:pStyle w:val="18"/>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B8A32D">
                          <w:pPr>
                            <w:pStyle w:val="18"/>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135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5BB8A32D">
                    <w:pPr>
                      <w:pStyle w:val="18"/>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135</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DF4D1">
                          <w:pPr>
                            <w:pStyle w:val="1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B2DF4D1">
                    <w:pPr>
                      <w:pStyle w:val="18"/>
                    </w:pPr>
                  </w:p>
                </w:txbxContent>
              </v:textbox>
            </v:shape>
          </w:pict>
        </mc:Fallback>
      </mc:AlternateConten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46E86">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C5BDA5">
                          <w:pPr>
                            <w:pStyle w:val="18"/>
                          </w:pPr>
                          <w:r>
                            <w:t xml:space="preserve">第 </w:t>
                          </w:r>
                          <w:r>
                            <w:fldChar w:fldCharType="begin"/>
                          </w:r>
                          <w:r>
                            <w:instrText xml:space="preserve"> PAGE  \* MERGEFORMAT </w:instrText>
                          </w:r>
                          <w:r>
                            <w:fldChar w:fldCharType="separate"/>
                          </w:r>
                          <w:r>
                            <w:t>53</w:t>
                          </w:r>
                          <w:r>
                            <w:fldChar w:fldCharType="end"/>
                          </w:r>
                          <w:r>
                            <w:t xml:space="preserve"> 页 共 </w:t>
                          </w:r>
                          <w:r>
                            <w:fldChar w:fldCharType="begin"/>
                          </w:r>
                          <w:r>
                            <w:instrText xml:space="preserve"> NUMPAGES  \* MERGEFORMAT </w:instrText>
                          </w:r>
                          <w:r>
                            <w:fldChar w:fldCharType="separate"/>
                          </w:r>
                          <w:r>
                            <w:t>135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78C5BDA5">
                    <w:pPr>
                      <w:pStyle w:val="18"/>
                    </w:pPr>
                    <w:r>
                      <w:t xml:space="preserve">第 </w:t>
                    </w:r>
                    <w:r>
                      <w:fldChar w:fldCharType="begin"/>
                    </w:r>
                    <w:r>
                      <w:instrText xml:space="preserve"> PAGE  \* MERGEFORMAT </w:instrText>
                    </w:r>
                    <w:r>
                      <w:fldChar w:fldCharType="separate"/>
                    </w:r>
                    <w:r>
                      <w:t>53</w:t>
                    </w:r>
                    <w:r>
                      <w:fldChar w:fldCharType="end"/>
                    </w:r>
                    <w:r>
                      <w:t xml:space="preserve"> 页 共 </w:t>
                    </w:r>
                    <w:r>
                      <w:fldChar w:fldCharType="begin"/>
                    </w:r>
                    <w:r>
                      <w:instrText xml:space="preserve"> NUMPAGES  \* MERGEFORMAT </w:instrText>
                    </w:r>
                    <w:r>
                      <w:fldChar w:fldCharType="separate"/>
                    </w:r>
                    <w:r>
                      <w:t>135</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AA802">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9A181">
                          <w:pPr>
                            <w:pStyle w:val="18"/>
                          </w:pPr>
                          <w:r>
                            <w:t xml:space="preserve">第 </w:t>
                          </w:r>
                          <w:r>
                            <w:fldChar w:fldCharType="begin"/>
                          </w:r>
                          <w:r>
                            <w:instrText xml:space="preserve"> PAGE  \* MERGEFORMAT </w:instrText>
                          </w:r>
                          <w:r>
                            <w:fldChar w:fldCharType="separate"/>
                          </w:r>
                          <w:r>
                            <w:t>52</w:t>
                          </w:r>
                          <w:r>
                            <w:fldChar w:fldCharType="end"/>
                          </w:r>
                          <w:r>
                            <w:t xml:space="preserve"> 页 共 </w:t>
                          </w:r>
                          <w:r>
                            <w:fldChar w:fldCharType="begin"/>
                          </w:r>
                          <w:r>
                            <w:instrText xml:space="preserve"> NUMPAGES  \* MERGEFORMAT </w:instrText>
                          </w:r>
                          <w:r>
                            <w:fldChar w:fldCharType="separate"/>
                          </w:r>
                          <w:r>
                            <w:t>135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6F59A181">
                    <w:pPr>
                      <w:pStyle w:val="18"/>
                    </w:pPr>
                    <w:r>
                      <w:t xml:space="preserve">第 </w:t>
                    </w:r>
                    <w:r>
                      <w:fldChar w:fldCharType="begin"/>
                    </w:r>
                    <w:r>
                      <w:instrText xml:space="preserve"> PAGE  \* MERGEFORMAT </w:instrText>
                    </w:r>
                    <w:r>
                      <w:fldChar w:fldCharType="separate"/>
                    </w:r>
                    <w:r>
                      <w:t>52</w:t>
                    </w:r>
                    <w:r>
                      <w:fldChar w:fldCharType="end"/>
                    </w:r>
                    <w:r>
                      <w:t xml:space="preserve"> 页 共 </w:t>
                    </w:r>
                    <w:r>
                      <w:fldChar w:fldCharType="begin"/>
                    </w:r>
                    <w:r>
                      <w:instrText xml:space="preserve"> NUMPAGES  \* MERGEFORMAT </w:instrText>
                    </w:r>
                    <w:r>
                      <w:fldChar w:fldCharType="separate"/>
                    </w:r>
                    <w:r>
                      <w:t>135</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390F1">
    <w:pPr>
      <w:pStyle w:val="19"/>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220FA">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555E15"/>
    <w:multiLevelType w:val="singleLevel"/>
    <w:tmpl w:val="C9555E15"/>
    <w:lvl w:ilvl="0" w:tentative="0">
      <w:start w:val="1"/>
      <w:numFmt w:val="decimal"/>
      <w:lvlText w:val="(%1)"/>
      <w:lvlJc w:val="left"/>
      <w:pPr>
        <w:ind w:left="425" w:hanging="425"/>
      </w:pPr>
      <w:rPr>
        <w:rFonts w:hint="default"/>
      </w:rPr>
    </w:lvl>
  </w:abstractNum>
  <w:abstractNum w:abstractNumId="1">
    <w:nsid w:val="CC23954B"/>
    <w:multiLevelType w:val="multilevel"/>
    <w:tmpl w:val="CC23954B"/>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CFF174A5"/>
    <w:multiLevelType w:val="singleLevel"/>
    <w:tmpl w:val="CFF174A5"/>
    <w:lvl w:ilvl="0" w:tentative="0">
      <w:start w:val="1"/>
      <w:numFmt w:val="decimal"/>
      <w:suff w:val="nothing"/>
      <w:lvlText w:val="%1、"/>
      <w:lvlJc w:val="left"/>
    </w:lvl>
  </w:abstractNum>
  <w:abstractNum w:abstractNumId="3">
    <w:nsid w:val="D0047B7E"/>
    <w:multiLevelType w:val="singleLevel"/>
    <w:tmpl w:val="D0047B7E"/>
    <w:lvl w:ilvl="0" w:tentative="0">
      <w:start w:val="1"/>
      <w:numFmt w:val="decimal"/>
      <w:suff w:val="nothing"/>
      <w:lvlText w:val="%1、"/>
      <w:lvlJc w:val="left"/>
    </w:lvl>
  </w:abstractNum>
  <w:abstractNum w:abstractNumId="4">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25"/>
    <w:multiLevelType w:val="multilevel"/>
    <w:tmpl w:val="00000025"/>
    <w:lvl w:ilvl="0" w:tentative="0">
      <w:start w:val="1"/>
      <w:numFmt w:val="decimal"/>
      <w:lvlText w:val="%1"/>
      <w:lvlJc w:val="left"/>
      <w:pPr>
        <w:tabs>
          <w:tab w:val="left" w:pos="420"/>
        </w:tabs>
        <w:ind w:left="420" w:hanging="420"/>
      </w:pPr>
      <w:rPr>
        <w:rFonts w:hint="default"/>
        <w:u w:val="none"/>
      </w:rPr>
    </w:lvl>
    <w:lvl w:ilvl="1" w:tentative="0">
      <w:start w:val="1"/>
      <w:numFmt w:val="lowerLetter"/>
      <w:lvlText w:val="%2)"/>
      <w:lvlJc w:val="left"/>
      <w:pPr>
        <w:tabs>
          <w:tab w:val="left" w:pos="840"/>
        </w:tabs>
        <w:ind w:left="840" w:hanging="420"/>
      </w:pPr>
      <w:rPr>
        <w:rFonts w:hint="default"/>
        <w:u w:val="none"/>
      </w:rPr>
    </w:lvl>
    <w:lvl w:ilvl="2" w:tentative="0">
      <w:start w:val="1"/>
      <w:numFmt w:val="lowerRoman"/>
      <w:lvlText w:val="%3."/>
      <w:lvlJc w:val="right"/>
      <w:pPr>
        <w:tabs>
          <w:tab w:val="left" w:pos="1260"/>
        </w:tabs>
        <w:ind w:left="1260" w:hanging="420"/>
      </w:pPr>
      <w:rPr>
        <w:rFonts w:hint="default"/>
        <w:u w:val="none"/>
      </w:rPr>
    </w:lvl>
    <w:lvl w:ilvl="3" w:tentative="0">
      <w:start w:val="1"/>
      <w:numFmt w:val="decimal"/>
      <w:lvlText w:val="%4."/>
      <w:lvlJc w:val="left"/>
      <w:pPr>
        <w:tabs>
          <w:tab w:val="left" w:pos="1680"/>
        </w:tabs>
        <w:ind w:left="1680" w:hanging="420"/>
      </w:pPr>
      <w:rPr>
        <w:rFonts w:hint="default"/>
        <w:u w:val="none"/>
      </w:rPr>
    </w:lvl>
    <w:lvl w:ilvl="4" w:tentative="0">
      <w:start w:val="1"/>
      <w:numFmt w:val="lowerLetter"/>
      <w:lvlText w:val="%5)"/>
      <w:lvlJc w:val="left"/>
      <w:pPr>
        <w:tabs>
          <w:tab w:val="left" w:pos="2100"/>
        </w:tabs>
        <w:ind w:left="2100" w:hanging="420"/>
      </w:pPr>
      <w:rPr>
        <w:rFonts w:hint="default"/>
        <w:u w:val="none"/>
      </w:rPr>
    </w:lvl>
    <w:lvl w:ilvl="5" w:tentative="0">
      <w:start w:val="1"/>
      <w:numFmt w:val="lowerRoman"/>
      <w:lvlText w:val="%6."/>
      <w:lvlJc w:val="right"/>
      <w:pPr>
        <w:tabs>
          <w:tab w:val="left" w:pos="2520"/>
        </w:tabs>
        <w:ind w:left="2520" w:hanging="420"/>
      </w:pPr>
      <w:rPr>
        <w:rFonts w:hint="default"/>
        <w:u w:val="none"/>
      </w:rPr>
    </w:lvl>
    <w:lvl w:ilvl="6" w:tentative="0">
      <w:start w:val="1"/>
      <w:numFmt w:val="decimal"/>
      <w:lvlText w:val="%7."/>
      <w:lvlJc w:val="left"/>
      <w:pPr>
        <w:tabs>
          <w:tab w:val="left" w:pos="2940"/>
        </w:tabs>
        <w:ind w:left="2940" w:hanging="420"/>
      </w:pPr>
      <w:rPr>
        <w:rFonts w:hint="default"/>
        <w:u w:val="none"/>
      </w:rPr>
    </w:lvl>
    <w:lvl w:ilvl="7" w:tentative="0">
      <w:start w:val="1"/>
      <w:numFmt w:val="lowerLetter"/>
      <w:lvlText w:val="%8)"/>
      <w:lvlJc w:val="left"/>
      <w:pPr>
        <w:tabs>
          <w:tab w:val="left" w:pos="3360"/>
        </w:tabs>
        <w:ind w:left="3360" w:hanging="420"/>
      </w:pPr>
      <w:rPr>
        <w:rFonts w:hint="default"/>
        <w:u w:val="none"/>
      </w:rPr>
    </w:lvl>
    <w:lvl w:ilvl="8" w:tentative="0">
      <w:start w:val="1"/>
      <w:numFmt w:val="lowerRoman"/>
      <w:lvlText w:val="%9."/>
      <w:lvlJc w:val="right"/>
      <w:pPr>
        <w:tabs>
          <w:tab w:val="left" w:pos="3780"/>
        </w:tabs>
        <w:ind w:left="3780" w:hanging="420"/>
      </w:pPr>
      <w:rPr>
        <w:rFonts w:hint="default"/>
        <w:u w:val="none"/>
      </w:rPr>
    </w:lvl>
  </w:abstractNum>
  <w:abstractNum w:abstractNumId="6">
    <w:nsid w:val="120E5FD9"/>
    <w:multiLevelType w:val="multilevel"/>
    <w:tmpl w:val="120E5FD9"/>
    <w:lvl w:ilvl="0" w:tentative="0">
      <w:start w:val="8"/>
      <w:numFmt w:val="japaneseCounting"/>
      <w:lvlText w:val="（%1）"/>
      <w:lvlJc w:val="left"/>
      <w:pPr>
        <w:ind w:left="720" w:hanging="720"/>
      </w:pPr>
      <w:rPr>
        <w:rFonts w:hint="default"/>
        <w:b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0D2348B"/>
    <w:multiLevelType w:val="singleLevel"/>
    <w:tmpl w:val="20D2348B"/>
    <w:lvl w:ilvl="0" w:tentative="0">
      <w:start w:val="1"/>
      <w:numFmt w:val="chineseCounting"/>
      <w:suff w:val="nothing"/>
      <w:lvlText w:val="（%1）"/>
      <w:lvlJc w:val="left"/>
      <w:rPr>
        <w:rFonts w:hint="eastAsia"/>
      </w:rPr>
    </w:lvl>
  </w:abstractNum>
  <w:abstractNum w:abstractNumId="8">
    <w:nsid w:val="27F49B4B"/>
    <w:multiLevelType w:val="multilevel"/>
    <w:tmpl w:val="27F49B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566" w:hanging="566"/>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3F88662E"/>
    <w:multiLevelType w:val="singleLevel"/>
    <w:tmpl w:val="3F88662E"/>
    <w:lvl w:ilvl="0" w:tentative="0">
      <w:start w:val="1"/>
      <w:numFmt w:val="decimal"/>
      <w:suff w:val="space"/>
      <w:lvlText w:val="%1)"/>
      <w:lvlJc w:val="left"/>
    </w:lvl>
  </w:abstractNum>
  <w:abstractNum w:abstractNumId="10">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5D1539A1"/>
    <w:multiLevelType w:val="multilevel"/>
    <w:tmpl w:val="5D1539A1"/>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10"/>
  </w:num>
  <w:num w:numId="3">
    <w:abstractNumId w:val="8"/>
  </w:num>
  <w:num w:numId="4">
    <w:abstractNumId w:val="1"/>
  </w:num>
  <w:num w:numId="5">
    <w:abstractNumId w:val="12"/>
  </w:num>
  <w:num w:numId="6">
    <w:abstractNumId w:val="9"/>
  </w:num>
  <w:num w:numId="7">
    <w:abstractNumId w:val="5"/>
  </w:num>
  <w:num w:numId="8">
    <w:abstractNumId w:val="0"/>
  </w:num>
  <w:num w:numId="9">
    <w:abstractNumId w:val="2"/>
  </w:num>
  <w:num w:numId="10">
    <w:abstractNumId w:val="4"/>
  </w:num>
  <w:num w:numId="11">
    <w:abstractNumId w:val="7"/>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hideSpellingErrors/>
  <w:documentProtection w:enforcement="0"/>
  <w:defaultTabStop w:val="720"/>
  <w:drawingGridHorizontalSpacing w:val="11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0YTc3OTA0MmM1NWVhYjAzN2ZkOGNkOWRkZmNlY2UifQ=="/>
  </w:docVars>
  <w:rsids>
    <w:rsidRoot w:val="00172A27"/>
    <w:rsid w:val="00005A66"/>
    <w:rsid w:val="00006462"/>
    <w:rsid w:val="000300E4"/>
    <w:rsid w:val="0003307E"/>
    <w:rsid w:val="000336BA"/>
    <w:rsid w:val="000359A1"/>
    <w:rsid w:val="00050DF5"/>
    <w:rsid w:val="0005185D"/>
    <w:rsid w:val="00066E01"/>
    <w:rsid w:val="00067748"/>
    <w:rsid w:val="0007090A"/>
    <w:rsid w:val="0007500F"/>
    <w:rsid w:val="0008282E"/>
    <w:rsid w:val="0008462D"/>
    <w:rsid w:val="00084F6D"/>
    <w:rsid w:val="00093A13"/>
    <w:rsid w:val="000A363F"/>
    <w:rsid w:val="000A42A8"/>
    <w:rsid w:val="000A5063"/>
    <w:rsid w:val="000A5DBD"/>
    <w:rsid w:val="000C4524"/>
    <w:rsid w:val="000D44A6"/>
    <w:rsid w:val="000E2CB7"/>
    <w:rsid w:val="000F0E98"/>
    <w:rsid w:val="000F7746"/>
    <w:rsid w:val="001049A5"/>
    <w:rsid w:val="001120E0"/>
    <w:rsid w:val="00121ADA"/>
    <w:rsid w:val="001242F3"/>
    <w:rsid w:val="001332BB"/>
    <w:rsid w:val="00134CAD"/>
    <w:rsid w:val="001368B7"/>
    <w:rsid w:val="0013730B"/>
    <w:rsid w:val="00137853"/>
    <w:rsid w:val="00137E1C"/>
    <w:rsid w:val="00147012"/>
    <w:rsid w:val="00150CF9"/>
    <w:rsid w:val="00172A27"/>
    <w:rsid w:val="00172C13"/>
    <w:rsid w:val="00173126"/>
    <w:rsid w:val="00173905"/>
    <w:rsid w:val="00173E04"/>
    <w:rsid w:val="00175D29"/>
    <w:rsid w:val="001833A1"/>
    <w:rsid w:val="001844F4"/>
    <w:rsid w:val="00185039"/>
    <w:rsid w:val="001852D7"/>
    <w:rsid w:val="001915D6"/>
    <w:rsid w:val="001934B1"/>
    <w:rsid w:val="00193CF2"/>
    <w:rsid w:val="001A06D8"/>
    <w:rsid w:val="001A2D42"/>
    <w:rsid w:val="001A2EF7"/>
    <w:rsid w:val="001B1F14"/>
    <w:rsid w:val="001B41CF"/>
    <w:rsid w:val="001B5860"/>
    <w:rsid w:val="001C1135"/>
    <w:rsid w:val="001C15AE"/>
    <w:rsid w:val="001C4661"/>
    <w:rsid w:val="001C5689"/>
    <w:rsid w:val="001C6E4B"/>
    <w:rsid w:val="001F0070"/>
    <w:rsid w:val="001F4B02"/>
    <w:rsid w:val="001F6BC7"/>
    <w:rsid w:val="002065A7"/>
    <w:rsid w:val="0021149E"/>
    <w:rsid w:val="00213021"/>
    <w:rsid w:val="00216BE9"/>
    <w:rsid w:val="0022503E"/>
    <w:rsid w:val="00225BB4"/>
    <w:rsid w:val="00226313"/>
    <w:rsid w:val="002358D2"/>
    <w:rsid w:val="00240F5F"/>
    <w:rsid w:val="00247224"/>
    <w:rsid w:val="00247AE0"/>
    <w:rsid w:val="00260AC1"/>
    <w:rsid w:val="0026312D"/>
    <w:rsid w:val="0027078E"/>
    <w:rsid w:val="0028395F"/>
    <w:rsid w:val="00284156"/>
    <w:rsid w:val="00285643"/>
    <w:rsid w:val="002867A1"/>
    <w:rsid w:val="002901F8"/>
    <w:rsid w:val="002920A4"/>
    <w:rsid w:val="002B4087"/>
    <w:rsid w:val="002B5F6C"/>
    <w:rsid w:val="002C69C2"/>
    <w:rsid w:val="002C6C78"/>
    <w:rsid w:val="002D1594"/>
    <w:rsid w:val="002D3F9C"/>
    <w:rsid w:val="002D503C"/>
    <w:rsid w:val="002D7E27"/>
    <w:rsid w:val="002E074B"/>
    <w:rsid w:val="002E17E5"/>
    <w:rsid w:val="002E6B7E"/>
    <w:rsid w:val="002F0FC9"/>
    <w:rsid w:val="0030669E"/>
    <w:rsid w:val="003101A3"/>
    <w:rsid w:val="00320CEA"/>
    <w:rsid w:val="00323B43"/>
    <w:rsid w:val="00326831"/>
    <w:rsid w:val="003274CE"/>
    <w:rsid w:val="00335913"/>
    <w:rsid w:val="003361E9"/>
    <w:rsid w:val="003430F6"/>
    <w:rsid w:val="00353842"/>
    <w:rsid w:val="00353DFB"/>
    <w:rsid w:val="0035595E"/>
    <w:rsid w:val="00360C24"/>
    <w:rsid w:val="003717F5"/>
    <w:rsid w:val="0038564C"/>
    <w:rsid w:val="00387CE4"/>
    <w:rsid w:val="00393B1D"/>
    <w:rsid w:val="003A1D97"/>
    <w:rsid w:val="003C18EB"/>
    <w:rsid w:val="003C1E4E"/>
    <w:rsid w:val="003C32D3"/>
    <w:rsid w:val="003C3B19"/>
    <w:rsid w:val="003C412B"/>
    <w:rsid w:val="003C415C"/>
    <w:rsid w:val="003D36FB"/>
    <w:rsid w:val="003D37D8"/>
    <w:rsid w:val="003E0802"/>
    <w:rsid w:val="003E18E7"/>
    <w:rsid w:val="003E2B8C"/>
    <w:rsid w:val="003F46B4"/>
    <w:rsid w:val="003F4822"/>
    <w:rsid w:val="00401C64"/>
    <w:rsid w:val="00401CC0"/>
    <w:rsid w:val="00410AB5"/>
    <w:rsid w:val="00410F11"/>
    <w:rsid w:val="00411067"/>
    <w:rsid w:val="004203B9"/>
    <w:rsid w:val="00420A0F"/>
    <w:rsid w:val="004322A2"/>
    <w:rsid w:val="004358AB"/>
    <w:rsid w:val="00451EB4"/>
    <w:rsid w:val="00460B31"/>
    <w:rsid w:val="00462105"/>
    <w:rsid w:val="00463A0C"/>
    <w:rsid w:val="00463ACB"/>
    <w:rsid w:val="00475A80"/>
    <w:rsid w:val="00490B9E"/>
    <w:rsid w:val="00497577"/>
    <w:rsid w:val="004A05D7"/>
    <w:rsid w:val="004A154E"/>
    <w:rsid w:val="004A2B28"/>
    <w:rsid w:val="004A69F1"/>
    <w:rsid w:val="004B3550"/>
    <w:rsid w:val="004B3F06"/>
    <w:rsid w:val="004C7FD6"/>
    <w:rsid w:val="004D08C0"/>
    <w:rsid w:val="004D1669"/>
    <w:rsid w:val="004D22B3"/>
    <w:rsid w:val="004D51A2"/>
    <w:rsid w:val="004D5AFB"/>
    <w:rsid w:val="004E04FD"/>
    <w:rsid w:val="004E3E1F"/>
    <w:rsid w:val="004F1BB7"/>
    <w:rsid w:val="0050759C"/>
    <w:rsid w:val="00510827"/>
    <w:rsid w:val="00511DEA"/>
    <w:rsid w:val="00512224"/>
    <w:rsid w:val="005267F1"/>
    <w:rsid w:val="005269A9"/>
    <w:rsid w:val="00532034"/>
    <w:rsid w:val="00545D9A"/>
    <w:rsid w:val="00546A42"/>
    <w:rsid w:val="00546D2E"/>
    <w:rsid w:val="0055408D"/>
    <w:rsid w:val="0057492D"/>
    <w:rsid w:val="0058523E"/>
    <w:rsid w:val="00590819"/>
    <w:rsid w:val="00593D68"/>
    <w:rsid w:val="00594A27"/>
    <w:rsid w:val="005A208B"/>
    <w:rsid w:val="005A555E"/>
    <w:rsid w:val="005A7612"/>
    <w:rsid w:val="005B1FE2"/>
    <w:rsid w:val="005B2A9A"/>
    <w:rsid w:val="005B58A6"/>
    <w:rsid w:val="005C57E1"/>
    <w:rsid w:val="005C702E"/>
    <w:rsid w:val="005D01B8"/>
    <w:rsid w:val="005D066B"/>
    <w:rsid w:val="005D1D00"/>
    <w:rsid w:val="005D2D85"/>
    <w:rsid w:val="005F20A4"/>
    <w:rsid w:val="005F4EAE"/>
    <w:rsid w:val="005F573A"/>
    <w:rsid w:val="005F6034"/>
    <w:rsid w:val="005F660B"/>
    <w:rsid w:val="005F7EB1"/>
    <w:rsid w:val="00604B81"/>
    <w:rsid w:val="0061246F"/>
    <w:rsid w:val="00613151"/>
    <w:rsid w:val="00613417"/>
    <w:rsid w:val="00613B25"/>
    <w:rsid w:val="0061545F"/>
    <w:rsid w:val="006175DE"/>
    <w:rsid w:val="006215AC"/>
    <w:rsid w:val="00621821"/>
    <w:rsid w:val="00622362"/>
    <w:rsid w:val="00622497"/>
    <w:rsid w:val="0062393A"/>
    <w:rsid w:val="006276AD"/>
    <w:rsid w:val="006378D4"/>
    <w:rsid w:val="00641E8C"/>
    <w:rsid w:val="0064416A"/>
    <w:rsid w:val="006476E3"/>
    <w:rsid w:val="00650DDC"/>
    <w:rsid w:val="00652983"/>
    <w:rsid w:val="0065365D"/>
    <w:rsid w:val="006546D0"/>
    <w:rsid w:val="006576FD"/>
    <w:rsid w:val="00664F6B"/>
    <w:rsid w:val="006731D2"/>
    <w:rsid w:val="00680EB0"/>
    <w:rsid w:val="00682986"/>
    <w:rsid w:val="0068501E"/>
    <w:rsid w:val="00691701"/>
    <w:rsid w:val="00691AE0"/>
    <w:rsid w:val="0069491E"/>
    <w:rsid w:val="006A5604"/>
    <w:rsid w:val="006A75B0"/>
    <w:rsid w:val="006B004E"/>
    <w:rsid w:val="006B3E6C"/>
    <w:rsid w:val="006B4832"/>
    <w:rsid w:val="006B7878"/>
    <w:rsid w:val="006C14BD"/>
    <w:rsid w:val="006C28E5"/>
    <w:rsid w:val="006C67A9"/>
    <w:rsid w:val="006D393E"/>
    <w:rsid w:val="006D43C5"/>
    <w:rsid w:val="006D47BB"/>
    <w:rsid w:val="006D4AD8"/>
    <w:rsid w:val="006E0B58"/>
    <w:rsid w:val="006E0C4B"/>
    <w:rsid w:val="006E59D1"/>
    <w:rsid w:val="00704F7B"/>
    <w:rsid w:val="007110BA"/>
    <w:rsid w:val="00711465"/>
    <w:rsid w:val="00716E96"/>
    <w:rsid w:val="00723B11"/>
    <w:rsid w:val="007343A7"/>
    <w:rsid w:val="00734BB2"/>
    <w:rsid w:val="0075028E"/>
    <w:rsid w:val="007528A6"/>
    <w:rsid w:val="007608B9"/>
    <w:rsid w:val="007724B4"/>
    <w:rsid w:val="0077462B"/>
    <w:rsid w:val="00787324"/>
    <w:rsid w:val="007902ED"/>
    <w:rsid w:val="007916E7"/>
    <w:rsid w:val="00797C5D"/>
    <w:rsid w:val="00797D2F"/>
    <w:rsid w:val="007A34B9"/>
    <w:rsid w:val="007A3EF1"/>
    <w:rsid w:val="007A4DB3"/>
    <w:rsid w:val="007A6F47"/>
    <w:rsid w:val="007A7779"/>
    <w:rsid w:val="007C4F46"/>
    <w:rsid w:val="007C7297"/>
    <w:rsid w:val="007D1B4F"/>
    <w:rsid w:val="007D2F9E"/>
    <w:rsid w:val="007D3175"/>
    <w:rsid w:val="007D48BF"/>
    <w:rsid w:val="007D5877"/>
    <w:rsid w:val="007D5C45"/>
    <w:rsid w:val="007E2543"/>
    <w:rsid w:val="007E4A26"/>
    <w:rsid w:val="007E7A17"/>
    <w:rsid w:val="007F01B0"/>
    <w:rsid w:val="007F2CD8"/>
    <w:rsid w:val="007F4DC5"/>
    <w:rsid w:val="00806380"/>
    <w:rsid w:val="0081104F"/>
    <w:rsid w:val="0081319A"/>
    <w:rsid w:val="00822299"/>
    <w:rsid w:val="0083486A"/>
    <w:rsid w:val="00837E35"/>
    <w:rsid w:val="00841378"/>
    <w:rsid w:val="00842B87"/>
    <w:rsid w:val="00845BEB"/>
    <w:rsid w:val="008472E6"/>
    <w:rsid w:val="008518B4"/>
    <w:rsid w:val="00853463"/>
    <w:rsid w:val="008548BD"/>
    <w:rsid w:val="00857709"/>
    <w:rsid w:val="0086026F"/>
    <w:rsid w:val="008640F5"/>
    <w:rsid w:val="008768A6"/>
    <w:rsid w:val="0087704E"/>
    <w:rsid w:val="008907DA"/>
    <w:rsid w:val="00890985"/>
    <w:rsid w:val="008A0587"/>
    <w:rsid w:val="008A7273"/>
    <w:rsid w:val="008B55B9"/>
    <w:rsid w:val="008B7726"/>
    <w:rsid w:val="008C05BA"/>
    <w:rsid w:val="008D429E"/>
    <w:rsid w:val="008D5A10"/>
    <w:rsid w:val="008E319F"/>
    <w:rsid w:val="008E619C"/>
    <w:rsid w:val="008F6E0E"/>
    <w:rsid w:val="00905542"/>
    <w:rsid w:val="00906F49"/>
    <w:rsid w:val="00907417"/>
    <w:rsid w:val="00914604"/>
    <w:rsid w:val="00916A34"/>
    <w:rsid w:val="0092092D"/>
    <w:rsid w:val="00923533"/>
    <w:rsid w:val="00930A38"/>
    <w:rsid w:val="00934170"/>
    <w:rsid w:val="00942948"/>
    <w:rsid w:val="009474B5"/>
    <w:rsid w:val="00953E98"/>
    <w:rsid w:val="0095744D"/>
    <w:rsid w:val="00960F22"/>
    <w:rsid w:val="00972D86"/>
    <w:rsid w:val="009736BF"/>
    <w:rsid w:val="0097392B"/>
    <w:rsid w:val="00976066"/>
    <w:rsid w:val="00980A66"/>
    <w:rsid w:val="009904F7"/>
    <w:rsid w:val="009910F6"/>
    <w:rsid w:val="009A07B1"/>
    <w:rsid w:val="009A6B4A"/>
    <w:rsid w:val="009A7058"/>
    <w:rsid w:val="009C19DE"/>
    <w:rsid w:val="009C2278"/>
    <w:rsid w:val="009C23A6"/>
    <w:rsid w:val="009C5206"/>
    <w:rsid w:val="009C6AD9"/>
    <w:rsid w:val="009E398C"/>
    <w:rsid w:val="009E4308"/>
    <w:rsid w:val="009E6F05"/>
    <w:rsid w:val="009F644E"/>
    <w:rsid w:val="009F6A05"/>
    <w:rsid w:val="00A01BE2"/>
    <w:rsid w:val="00A10906"/>
    <w:rsid w:val="00A12E66"/>
    <w:rsid w:val="00A13E78"/>
    <w:rsid w:val="00A14EEF"/>
    <w:rsid w:val="00A23304"/>
    <w:rsid w:val="00A24322"/>
    <w:rsid w:val="00A25809"/>
    <w:rsid w:val="00A275C2"/>
    <w:rsid w:val="00A3295D"/>
    <w:rsid w:val="00A353F9"/>
    <w:rsid w:val="00A4012F"/>
    <w:rsid w:val="00A4190E"/>
    <w:rsid w:val="00A42E91"/>
    <w:rsid w:val="00A460E0"/>
    <w:rsid w:val="00A50383"/>
    <w:rsid w:val="00A61230"/>
    <w:rsid w:val="00A668C8"/>
    <w:rsid w:val="00A73EEF"/>
    <w:rsid w:val="00A74ED3"/>
    <w:rsid w:val="00A75C51"/>
    <w:rsid w:val="00A813C5"/>
    <w:rsid w:val="00A824E6"/>
    <w:rsid w:val="00A858DC"/>
    <w:rsid w:val="00A94D14"/>
    <w:rsid w:val="00A96ED2"/>
    <w:rsid w:val="00AA0EAD"/>
    <w:rsid w:val="00AB00B7"/>
    <w:rsid w:val="00AB19CE"/>
    <w:rsid w:val="00AB3969"/>
    <w:rsid w:val="00AC0E7A"/>
    <w:rsid w:val="00AC187B"/>
    <w:rsid w:val="00AD5C73"/>
    <w:rsid w:val="00AE310E"/>
    <w:rsid w:val="00AE4FC5"/>
    <w:rsid w:val="00AF1B1B"/>
    <w:rsid w:val="00AF5F1F"/>
    <w:rsid w:val="00B018D0"/>
    <w:rsid w:val="00B027A4"/>
    <w:rsid w:val="00B04202"/>
    <w:rsid w:val="00B236B3"/>
    <w:rsid w:val="00B26806"/>
    <w:rsid w:val="00B269D6"/>
    <w:rsid w:val="00B31B24"/>
    <w:rsid w:val="00B4287F"/>
    <w:rsid w:val="00B4315F"/>
    <w:rsid w:val="00B43306"/>
    <w:rsid w:val="00B60DAB"/>
    <w:rsid w:val="00B61CB1"/>
    <w:rsid w:val="00B63189"/>
    <w:rsid w:val="00B67B5C"/>
    <w:rsid w:val="00B7194E"/>
    <w:rsid w:val="00B73575"/>
    <w:rsid w:val="00B7380A"/>
    <w:rsid w:val="00B763B0"/>
    <w:rsid w:val="00B91005"/>
    <w:rsid w:val="00B92951"/>
    <w:rsid w:val="00B93045"/>
    <w:rsid w:val="00B93169"/>
    <w:rsid w:val="00B950B6"/>
    <w:rsid w:val="00BA4130"/>
    <w:rsid w:val="00BB2CAF"/>
    <w:rsid w:val="00BB79B5"/>
    <w:rsid w:val="00BC0E6D"/>
    <w:rsid w:val="00BC3E74"/>
    <w:rsid w:val="00BD3470"/>
    <w:rsid w:val="00BD630F"/>
    <w:rsid w:val="00BD7C1B"/>
    <w:rsid w:val="00BE0825"/>
    <w:rsid w:val="00BE2EE6"/>
    <w:rsid w:val="00BE4F49"/>
    <w:rsid w:val="00BF17FD"/>
    <w:rsid w:val="00BF2820"/>
    <w:rsid w:val="00BF41D4"/>
    <w:rsid w:val="00BF5AFB"/>
    <w:rsid w:val="00C0124B"/>
    <w:rsid w:val="00C16734"/>
    <w:rsid w:val="00C17B47"/>
    <w:rsid w:val="00C2046D"/>
    <w:rsid w:val="00C25C77"/>
    <w:rsid w:val="00C303E7"/>
    <w:rsid w:val="00C319C2"/>
    <w:rsid w:val="00C53CE5"/>
    <w:rsid w:val="00C612F8"/>
    <w:rsid w:val="00C62E44"/>
    <w:rsid w:val="00C63BD8"/>
    <w:rsid w:val="00C65954"/>
    <w:rsid w:val="00C7126B"/>
    <w:rsid w:val="00C72C24"/>
    <w:rsid w:val="00C73468"/>
    <w:rsid w:val="00C74986"/>
    <w:rsid w:val="00C80EC4"/>
    <w:rsid w:val="00C8568E"/>
    <w:rsid w:val="00CA2D67"/>
    <w:rsid w:val="00CA32B5"/>
    <w:rsid w:val="00CB500B"/>
    <w:rsid w:val="00CB57AD"/>
    <w:rsid w:val="00CC009D"/>
    <w:rsid w:val="00CC584A"/>
    <w:rsid w:val="00CC5E4E"/>
    <w:rsid w:val="00CD0EAB"/>
    <w:rsid w:val="00CD7E8F"/>
    <w:rsid w:val="00CE2AF3"/>
    <w:rsid w:val="00CE621D"/>
    <w:rsid w:val="00CE66E8"/>
    <w:rsid w:val="00D05388"/>
    <w:rsid w:val="00D114CD"/>
    <w:rsid w:val="00D14476"/>
    <w:rsid w:val="00D232FF"/>
    <w:rsid w:val="00D279AA"/>
    <w:rsid w:val="00D31215"/>
    <w:rsid w:val="00D34544"/>
    <w:rsid w:val="00D34841"/>
    <w:rsid w:val="00D4444E"/>
    <w:rsid w:val="00D44A97"/>
    <w:rsid w:val="00D45C0C"/>
    <w:rsid w:val="00D508A5"/>
    <w:rsid w:val="00D5104B"/>
    <w:rsid w:val="00D555D8"/>
    <w:rsid w:val="00D60778"/>
    <w:rsid w:val="00D63EB2"/>
    <w:rsid w:val="00D64D28"/>
    <w:rsid w:val="00D6604D"/>
    <w:rsid w:val="00D677F1"/>
    <w:rsid w:val="00D74601"/>
    <w:rsid w:val="00D83E46"/>
    <w:rsid w:val="00D847B6"/>
    <w:rsid w:val="00D93958"/>
    <w:rsid w:val="00D951D3"/>
    <w:rsid w:val="00DA1DB9"/>
    <w:rsid w:val="00DA6169"/>
    <w:rsid w:val="00DA7B28"/>
    <w:rsid w:val="00DB5480"/>
    <w:rsid w:val="00DB6317"/>
    <w:rsid w:val="00DC2FC5"/>
    <w:rsid w:val="00DC5AD9"/>
    <w:rsid w:val="00DC691F"/>
    <w:rsid w:val="00DD02DE"/>
    <w:rsid w:val="00DD07B7"/>
    <w:rsid w:val="00DD113C"/>
    <w:rsid w:val="00DD324C"/>
    <w:rsid w:val="00DD7407"/>
    <w:rsid w:val="00DE0BEB"/>
    <w:rsid w:val="00DE4856"/>
    <w:rsid w:val="00DF485B"/>
    <w:rsid w:val="00DF6877"/>
    <w:rsid w:val="00E0295D"/>
    <w:rsid w:val="00E042BC"/>
    <w:rsid w:val="00E132FE"/>
    <w:rsid w:val="00E21B77"/>
    <w:rsid w:val="00E23352"/>
    <w:rsid w:val="00E40CAD"/>
    <w:rsid w:val="00E40DC7"/>
    <w:rsid w:val="00E4215F"/>
    <w:rsid w:val="00E61D2E"/>
    <w:rsid w:val="00E62B7F"/>
    <w:rsid w:val="00E7066D"/>
    <w:rsid w:val="00E726BC"/>
    <w:rsid w:val="00E72821"/>
    <w:rsid w:val="00E75C82"/>
    <w:rsid w:val="00E81DDC"/>
    <w:rsid w:val="00E81F67"/>
    <w:rsid w:val="00E83400"/>
    <w:rsid w:val="00E83650"/>
    <w:rsid w:val="00E83A31"/>
    <w:rsid w:val="00E93BF5"/>
    <w:rsid w:val="00E97CC0"/>
    <w:rsid w:val="00EA22B8"/>
    <w:rsid w:val="00EA2524"/>
    <w:rsid w:val="00EA33E7"/>
    <w:rsid w:val="00EC092D"/>
    <w:rsid w:val="00EC0DF8"/>
    <w:rsid w:val="00ED378B"/>
    <w:rsid w:val="00ED6D58"/>
    <w:rsid w:val="00EE08F9"/>
    <w:rsid w:val="00EE70B3"/>
    <w:rsid w:val="00EF24AA"/>
    <w:rsid w:val="00EF728A"/>
    <w:rsid w:val="00EF7D0D"/>
    <w:rsid w:val="00F00FF7"/>
    <w:rsid w:val="00F02093"/>
    <w:rsid w:val="00F068E3"/>
    <w:rsid w:val="00F10B5F"/>
    <w:rsid w:val="00F218C1"/>
    <w:rsid w:val="00F321EB"/>
    <w:rsid w:val="00F32B00"/>
    <w:rsid w:val="00F346CF"/>
    <w:rsid w:val="00F3610C"/>
    <w:rsid w:val="00F36839"/>
    <w:rsid w:val="00F40D01"/>
    <w:rsid w:val="00F52A5F"/>
    <w:rsid w:val="00F55954"/>
    <w:rsid w:val="00F57308"/>
    <w:rsid w:val="00F57C4C"/>
    <w:rsid w:val="00F61962"/>
    <w:rsid w:val="00F62865"/>
    <w:rsid w:val="00F64022"/>
    <w:rsid w:val="00F64660"/>
    <w:rsid w:val="00F74FF3"/>
    <w:rsid w:val="00F801EA"/>
    <w:rsid w:val="00F80E2F"/>
    <w:rsid w:val="00F97062"/>
    <w:rsid w:val="00F9745D"/>
    <w:rsid w:val="00FA07A9"/>
    <w:rsid w:val="00FA54B2"/>
    <w:rsid w:val="00FC1C43"/>
    <w:rsid w:val="00FC529F"/>
    <w:rsid w:val="00FC6F97"/>
    <w:rsid w:val="00FC77BB"/>
    <w:rsid w:val="00FC7B53"/>
    <w:rsid w:val="00FD48CC"/>
    <w:rsid w:val="00FE0C02"/>
    <w:rsid w:val="00FE62D1"/>
    <w:rsid w:val="00FE7B94"/>
    <w:rsid w:val="00FF0736"/>
    <w:rsid w:val="00FF2515"/>
    <w:rsid w:val="00FF26BF"/>
    <w:rsid w:val="010908A7"/>
    <w:rsid w:val="013C51B0"/>
    <w:rsid w:val="01525581"/>
    <w:rsid w:val="016412A2"/>
    <w:rsid w:val="0164467A"/>
    <w:rsid w:val="01651C23"/>
    <w:rsid w:val="018023CE"/>
    <w:rsid w:val="01881AD6"/>
    <w:rsid w:val="019127B6"/>
    <w:rsid w:val="01B009AC"/>
    <w:rsid w:val="01B71A01"/>
    <w:rsid w:val="01DC03CE"/>
    <w:rsid w:val="01E36F4E"/>
    <w:rsid w:val="020C3478"/>
    <w:rsid w:val="023C5F15"/>
    <w:rsid w:val="023F3FA2"/>
    <w:rsid w:val="028020B5"/>
    <w:rsid w:val="028B6D36"/>
    <w:rsid w:val="02985CD5"/>
    <w:rsid w:val="02A741FD"/>
    <w:rsid w:val="02B77F75"/>
    <w:rsid w:val="02C16E5D"/>
    <w:rsid w:val="02D964CF"/>
    <w:rsid w:val="02DE5ECF"/>
    <w:rsid w:val="02E74073"/>
    <w:rsid w:val="02F713C2"/>
    <w:rsid w:val="03080482"/>
    <w:rsid w:val="0367744E"/>
    <w:rsid w:val="03707410"/>
    <w:rsid w:val="038C50E0"/>
    <w:rsid w:val="039240A3"/>
    <w:rsid w:val="03A0770F"/>
    <w:rsid w:val="03A448B8"/>
    <w:rsid w:val="03C01631"/>
    <w:rsid w:val="03C432AE"/>
    <w:rsid w:val="03C656A9"/>
    <w:rsid w:val="03C84DE9"/>
    <w:rsid w:val="03F33148"/>
    <w:rsid w:val="042F3419"/>
    <w:rsid w:val="044566F3"/>
    <w:rsid w:val="044841D6"/>
    <w:rsid w:val="047B4012"/>
    <w:rsid w:val="047F2DDF"/>
    <w:rsid w:val="04815FBF"/>
    <w:rsid w:val="04822497"/>
    <w:rsid w:val="04974587"/>
    <w:rsid w:val="04AA104C"/>
    <w:rsid w:val="04DF1036"/>
    <w:rsid w:val="055C757F"/>
    <w:rsid w:val="05603D1D"/>
    <w:rsid w:val="0599183C"/>
    <w:rsid w:val="05A97DEC"/>
    <w:rsid w:val="05B23978"/>
    <w:rsid w:val="05C81981"/>
    <w:rsid w:val="05F05379"/>
    <w:rsid w:val="060C3203"/>
    <w:rsid w:val="06322ED4"/>
    <w:rsid w:val="065A6D82"/>
    <w:rsid w:val="06887047"/>
    <w:rsid w:val="069B4E4A"/>
    <w:rsid w:val="06BC41F2"/>
    <w:rsid w:val="06F415CC"/>
    <w:rsid w:val="07091040"/>
    <w:rsid w:val="070E26CD"/>
    <w:rsid w:val="07197D08"/>
    <w:rsid w:val="071E5C55"/>
    <w:rsid w:val="075524D7"/>
    <w:rsid w:val="075C1FE5"/>
    <w:rsid w:val="076B4CB0"/>
    <w:rsid w:val="077005AB"/>
    <w:rsid w:val="078A6585"/>
    <w:rsid w:val="078F4581"/>
    <w:rsid w:val="079529C6"/>
    <w:rsid w:val="07BF027F"/>
    <w:rsid w:val="08031A31"/>
    <w:rsid w:val="08161598"/>
    <w:rsid w:val="08307C7E"/>
    <w:rsid w:val="08420CAE"/>
    <w:rsid w:val="08496942"/>
    <w:rsid w:val="08574B3D"/>
    <w:rsid w:val="08E0126D"/>
    <w:rsid w:val="08E352B9"/>
    <w:rsid w:val="09061A75"/>
    <w:rsid w:val="09182241"/>
    <w:rsid w:val="095F1030"/>
    <w:rsid w:val="09855177"/>
    <w:rsid w:val="09C8152A"/>
    <w:rsid w:val="09EE5125"/>
    <w:rsid w:val="0A2522FD"/>
    <w:rsid w:val="0A327478"/>
    <w:rsid w:val="0A462748"/>
    <w:rsid w:val="0A4D0C81"/>
    <w:rsid w:val="0A723E95"/>
    <w:rsid w:val="0A733243"/>
    <w:rsid w:val="0A846743"/>
    <w:rsid w:val="0A873F23"/>
    <w:rsid w:val="0A9851F5"/>
    <w:rsid w:val="0AA534D5"/>
    <w:rsid w:val="0AA650EB"/>
    <w:rsid w:val="0AA7129C"/>
    <w:rsid w:val="0AE26205"/>
    <w:rsid w:val="0AF47339"/>
    <w:rsid w:val="0B16508E"/>
    <w:rsid w:val="0B22594B"/>
    <w:rsid w:val="0B27506F"/>
    <w:rsid w:val="0B7C0EF6"/>
    <w:rsid w:val="0B9610F4"/>
    <w:rsid w:val="0B99757D"/>
    <w:rsid w:val="0BBF77A4"/>
    <w:rsid w:val="0BD16C8D"/>
    <w:rsid w:val="0BDF26F7"/>
    <w:rsid w:val="0C027DB2"/>
    <w:rsid w:val="0C2B4952"/>
    <w:rsid w:val="0C322F8A"/>
    <w:rsid w:val="0C4607E5"/>
    <w:rsid w:val="0C516C55"/>
    <w:rsid w:val="0C684A5B"/>
    <w:rsid w:val="0C7B2220"/>
    <w:rsid w:val="0C7F4439"/>
    <w:rsid w:val="0CB67D83"/>
    <w:rsid w:val="0CD20599"/>
    <w:rsid w:val="0CE53018"/>
    <w:rsid w:val="0D0B5B12"/>
    <w:rsid w:val="0D133046"/>
    <w:rsid w:val="0D153F28"/>
    <w:rsid w:val="0D1C792E"/>
    <w:rsid w:val="0D3A0F98"/>
    <w:rsid w:val="0D6A4502"/>
    <w:rsid w:val="0D7415CA"/>
    <w:rsid w:val="0D890E47"/>
    <w:rsid w:val="0DA8343E"/>
    <w:rsid w:val="0DC64A00"/>
    <w:rsid w:val="0DEB5FFA"/>
    <w:rsid w:val="0DF67134"/>
    <w:rsid w:val="0DF75C46"/>
    <w:rsid w:val="0DFC60BA"/>
    <w:rsid w:val="0E1C06B2"/>
    <w:rsid w:val="0E69691B"/>
    <w:rsid w:val="0EA431DC"/>
    <w:rsid w:val="0EBB5484"/>
    <w:rsid w:val="0EBD5AA3"/>
    <w:rsid w:val="0F407E8F"/>
    <w:rsid w:val="0F5723EF"/>
    <w:rsid w:val="0F5F5360"/>
    <w:rsid w:val="0F7C5FF6"/>
    <w:rsid w:val="0F7D04FC"/>
    <w:rsid w:val="0FC63FBD"/>
    <w:rsid w:val="0FDD003F"/>
    <w:rsid w:val="0FF87EA4"/>
    <w:rsid w:val="0FFF7484"/>
    <w:rsid w:val="10066939"/>
    <w:rsid w:val="100B77ED"/>
    <w:rsid w:val="101D47AD"/>
    <w:rsid w:val="102107C5"/>
    <w:rsid w:val="10305890"/>
    <w:rsid w:val="103D5A1A"/>
    <w:rsid w:val="105847E5"/>
    <w:rsid w:val="106C564D"/>
    <w:rsid w:val="106E0AED"/>
    <w:rsid w:val="107B7B8F"/>
    <w:rsid w:val="107C67CE"/>
    <w:rsid w:val="10912D03"/>
    <w:rsid w:val="109D68CB"/>
    <w:rsid w:val="10A949B8"/>
    <w:rsid w:val="10AB5D61"/>
    <w:rsid w:val="10EF450B"/>
    <w:rsid w:val="11144AFE"/>
    <w:rsid w:val="11200D07"/>
    <w:rsid w:val="115B693C"/>
    <w:rsid w:val="115E03E3"/>
    <w:rsid w:val="11786AB5"/>
    <w:rsid w:val="118049D4"/>
    <w:rsid w:val="118561F8"/>
    <w:rsid w:val="11942D84"/>
    <w:rsid w:val="11B21219"/>
    <w:rsid w:val="11C118E7"/>
    <w:rsid w:val="11DA73AF"/>
    <w:rsid w:val="11FC1ECD"/>
    <w:rsid w:val="124D097B"/>
    <w:rsid w:val="12511265"/>
    <w:rsid w:val="126D4818"/>
    <w:rsid w:val="1283614B"/>
    <w:rsid w:val="12856FF3"/>
    <w:rsid w:val="129671FB"/>
    <w:rsid w:val="12A576FF"/>
    <w:rsid w:val="12C60D80"/>
    <w:rsid w:val="12E9398A"/>
    <w:rsid w:val="130523B3"/>
    <w:rsid w:val="131F7A3A"/>
    <w:rsid w:val="132645D0"/>
    <w:rsid w:val="133D4061"/>
    <w:rsid w:val="13455ABC"/>
    <w:rsid w:val="1370322B"/>
    <w:rsid w:val="13BA0460"/>
    <w:rsid w:val="13BB095E"/>
    <w:rsid w:val="13BB1914"/>
    <w:rsid w:val="13BB41AE"/>
    <w:rsid w:val="13C24F9B"/>
    <w:rsid w:val="13C45A18"/>
    <w:rsid w:val="13C9247B"/>
    <w:rsid w:val="13D6515C"/>
    <w:rsid w:val="13F13CC6"/>
    <w:rsid w:val="143B2E0B"/>
    <w:rsid w:val="14725FF6"/>
    <w:rsid w:val="147C1943"/>
    <w:rsid w:val="148054E9"/>
    <w:rsid w:val="14892735"/>
    <w:rsid w:val="14CC769D"/>
    <w:rsid w:val="14D764D5"/>
    <w:rsid w:val="14EF61BF"/>
    <w:rsid w:val="14F43330"/>
    <w:rsid w:val="14FA210F"/>
    <w:rsid w:val="150F7FEC"/>
    <w:rsid w:val="15436F05"/>
    <w:rsid w:val="15691FE3"/>
    <w:rsid w:val="158B5DDD"/>
    <w:rsid w:val="158C403F"/>
    <w:rsid w:val="15B11221"/>
    <w:rsid w:val="15C16EB3"/>
    <w:rsid w:val="15CB76C9"/>
    <w:rsid w:val="15D359D7"/>
    <w:rsid w:val="160E7A2C"/>
    <w:rsid w:val="16317A1A"/>
    <w:rsid w:val="163C77BE"/>
    <w:rsid w:val="164A3F23"/>
    <w:rsid w:val="16573587"/>
    <w:rsid w:val="165C5C7C"/>
    <w:rsid w:val="16725479"/>
    <w:rsid w:val="1679588C"/>
    <w:rsid w:val="168C2855"/>
    <w:rsid w:val="16994962"/>
    <w:rsid w:val="16A233CF"/>
    <w:rsid w:val="16A71041"/>
    <w:rsid w:val="16AA24BF"/>
    <w:rsid w:val="16AE7042"/>
    <w:rsid w:val="16C50F7C"/>
    <w:rsid w:val="16C54A69"/>
    <w:rsid w:val="16F871DC"/>
    <w:rsid w:val="17110A80"/>
    <w:rsid w:val="171D3FE1"/>
    <w:rsid w:val="17680CAB"/>
    <w:rsid w:val="176E4128"/>
    <w:rsid w:val="17725CE9"/>
    <w:rsid w:val="1783371F"/>
    <w:rsid w:val="178D0DAD"/>
    <w:rsid w:val="178E48DA"/>
    <w:rsid w:val="17C93012"/>
    <w:rsid w:val="17E62B67"/>
    <w:rsid w:val="180F4499"/>
    <w:rsid w:val="182201B4"/>
    <w:rsid w:val="18221ECE"/>
    <w:rsid w:val="183C3D90"/>
    <w:rsid w:val="1859036F"/>
    <w:rsid w:val="18681814"/>
    <w:rsid w:val="18B0649B"/>
    <w:rsid w:val="18CD2AC0"/>
    <w:rsid w:val="18D418FC"/>
    <w:rsid w:val="18E5143F"/>
    <w:rsid w:val="18E83469"/>
    <w:rsid w:val="18FC7745"/>
    <w:rsid w:val="19117D89"/>
    <w:rsid w:val="192F3B7C"/>
    <w:rsid w:val="19353F17"/>
    <w:rsid w:val="19864975"/>
    <w:rsid w:val="19864EEB"/>
    <w:rsid w:val="19CE590C"/>
    <w:rsid w:val="19D1065C"/>
    <w:rsid w:val="19DD405E"/>
    <w:rsid w:val="1A121864"/>
    <w:rsid w:val="1A3D43B1"/>
    <w:rsid w:val="1A460CF5"/>
    <w:rsid w:val="1A79225E"/>
    <w:rsid w:val="1A7F297D"/>
    <w:rsid w:val="1A8E737E"/>
    <w:rsid w:val="1A9D6244"/>
    <w:rsid w:val="1AB16AC1"/>
    <w:rsid w:val="1ABF1CEA"/>
    <w:rsid w:val="1ACD13D4"/>
    <w:rsid w:val="1AFC60DD"/>
    <w:rsid w:val="1B014DDE"/>
    <w:rsid w:val="1B0320FB"/>
    <w:rsid w:val="1B034A52"/>
    <w:rsid w:val="1B2640F6"/>
    <w:rsid w:val="1B45344E"/>
    <w:rsid w:val="1B5D76FB"/>
    <w:rsid w:val="1B683578"/>
    <w:rsid w:val="1B8C0040"/>
    <w:rsid w:val="1BDE2F66"/>
    <w:rsid w:val="1C421C41"/>
    <w:rsid w:val="1C750ECE"/>
    <w:rsid w:val="1CA56AF4"/>
    <w:rsid w:val="1CD667CB"/>
    <w:rsid w:val="1CFE79CD"/>
    <w:rsid w:val="1D196139"/>
    <w:rsid w:val="1D372585"/>
    <w:rsid w:val="1D5E02D1"/>
    <w:rsid w:val="1D7F0ED0"/>
    <w:rsid w:val="1D921938"/>
    <w:rsid w:val="1DBB6100"/>
    <w:rsid w:val="1DBE6816"/>
    <w:rsid w:val="1DCB4FF1"/>
    <w:rsid w:val="1DF20D7E"/>
    <w:rsid w:val="1E010AF7"/>
    <w:rsid w:val="1E1C405A"/>
    <w:rsid w:val="1E2E29E0"/>
    <w:rsid w:val="1E301173"/>
    <w:rsid w:val="1E827BFE"/>
    <w:rsid w:val="1E884D18"/>
    <w:rsid w:val="1ECB4B67"/>
    <w:rsid w:val="1ED8781E"/>
    <w:rsid w:val="1EDD3235"/>
    <w:rsid w:val="1EFD6229"/>
    <w:rsid w:val="1F1102B0"/>
    <w:rsid w:val="1F2F1047"/>
    <w:rsid w:val="1F2F2B69"/>
    <w:rsid w:val="1F43381C"/>
    <w:rsid w:val="1F781224"/>
    <w:rsid w:val="1FA4148D"/>
    <w:rsid w:val="1FBB4C72"/>
    <w:rsid w:val="1FC10FAB"/>
    <w:rsid w:val="1FC65577"/>
    <w:rsid w:val="1FD82385"/>
    <w:rsid w:val="1FF274ED"/>
    <w:rsid w:val="20121621"/>
    <w:rsid w:val="20147D79"/>
    <w:rsid w:val="201636E2"/>
    <w:rsid w:val="202E3F6D"/>
    <w:rsid w:val="20325F7E"/>
    <w:rsid w:val="204E554F"/>
    <w:rsid w:val="20590035"/>
    <w:rsid w:val="209033C5"/>
    <w:rsid w:val="209F1316"/>
    <w:rsid w:val="20E5011E"/>
    <w:rsid w:val="20FC799E"/>
    <w:rsid w:val="21101BAA"/>
    <w:rsid w:val="21286DA7"/>
    <w:rsid w:val="2134683B"/>
    <w:rsid w:val="21462ABC"/>
    <w:rsid w:val="21545CAE"/>
    <w:rsid w:val="219068BB"/>
    <w:rsid w:val="21C82E72"/>
    <w:rsid w:val="21DE0801"/>
    <w:rsid w:val="21DE339D"/>
    <w:rsid w:val="2203115E"/>
    <w:rsid w:val="22154DDD"/>
    <w:rsid w:val="22336873"/>
    <w:rsid w:val="22396826"/>
    <w:rsid w:val="22412CD8"/>
    <w:rsid w:val="22463526"/>
    <w:rsid w:val="225471A3"/>
    <w:rsid w:val="225E34DC"/>
    <w:rsid w:val="227A73C3"/>
    <w:rsid w:val="227D1295"/>
    <w:rsid w:val="22AB3B7D"/>
    <w:rsid w:val="22AF3A08"/>
    <w:rsid w:val="22C360E3"/>
    <w:rsid w:val="22F92F75"/>
    <w:rsid w:val="23172FFC"/>
    <w:rsid w:val="23BB4E7D"/>
    <w:rsid w:val="23C172D6"/>
    <w:rsid w:val="23D77537"/>
    <w:rsid w:val="23E6195D"/>
    <w:rsid w:val="23F04F64"/>
    <w:rsid w:val="242903A7"/>
    <w:rsid w:val="24814CBE"/>
    <w:rsid w:val="249859E1"/>
    <w:rsid w:val="24AC168B"/>
    <w:rsid w:val="24BB6664"/>
    <w:rsid w:val="24BD406A"/>
    <w:rsid w:val="24D23A61"/>
    <w:rsid w:val="250E1318"/>
    <w:rsid w:val="25467247"/>
    <w:rsid w:val="254D0389"/>
    <w:rsid w:val="25832019"/>
    <w:rsid w:val="25884C5D"/>
    <w:rsid w:val="258C3BEC"/>
    <w:rsid w:val="25A03144"/>
    <w:rsid w:val="25B2479F"/>
    <w:rsid w:val="25C15C5D"/>
    <w:rsid w:val="25D329B9"/>
    <w:rsid w:val="25E5427A"/>
    <w:rsid w:val="26276A31"/>
    <w:rsid w:val="26286935"/>
    <w:rsid w:val="26366F9D"/>
    <w:rsid w:val="263B1230"/>
    <w:rsid w:val="2642752B"/>
    <w:rsid w:val="26485508"/>
    <w:rsid w:val="26554808"/>
    <w:rsid w:val="26607D95"/>
    <w:rsid w:val="26700955"/>
    <w:rsid w:val="268166B9"/>
    <w:rsid w:val="26A16AE9"/>
    <w:rsid w:val="26A605D9"/>
    <w:rsid w:val="26AD0500"/>
    <w:rsid w:val="26B121A3"/>
    <w:rsid w:val="26F34269"/>
    <w:rsid w:val="272E3097"/>
    <w:rsid w:val="272E6F74"/>
    <w:rsid w:val="277E6655"/>
    <w:rsid w:val="27933DEA"/>
    <w:rsid w:val="27AF30E6"/>
    <w:rsid w:val="27B36A67"/>
    <w:rsid w:val="27BE6794"/>
    <w:rsid w:val="281E404F"/>
    <w:rsid w:val="28302479"/>
    <w:rsid w:val="2846581F"/>
    <w:rsid w:val="284A5CA4"/>
    <w:rsid w:val="286602C8"/>
    <w:rsid w:val="28665C95"/>
    <w:rsid w:val="28716D1C"/>
    <w:rsid w:val="28736F5F"/>
    <w:rsid w:val="28833BE9"/>
    <w:rsid w:val="28851EB4"/>
    <w:rsid w:val="28B01D1E"/>
    <w:rsid w:val="28C2628C"/>
    <w:rsid w:val="28CC3373"/>
    <w:rsid w:val="28F579BA"/>
    <w:rsid w:val="290B3EB9"/>
    <w:rsid w:val="291749BC"/>
    <w:rsid w:val="292728C1"/>
    <w:rsid w:val="292C7FA1"/>
    <w:rsid w:val="2940493E"/>
    <w:rsid w:val="2950768C"/>
    <w:rsid w:val="297A5FC4"/>
    <w:rsid w:val="29B41DA5"/>
    <w:rsid w:val="29E14657"/>
    <w:rsid w:val="29E474B8"/>
    <w:rsid w:val="29ED574B"/>
    <w:rsid w:val="29FA2D3E"/>
    <w:rsid w:val="29FE5CE6"/>
    <w:rsid w:val="2A0239A1"/>
    <w:rsid w:val="2A600C13"/>
    <w:rsid w:val="2A633B90"/>
    <w:rsid w:val="2A68500A"/>
    <w:rsid w:val="2A743AE8"/>
    <w:rsid w:val="2A8D4F8F"/>
    <w:rsid w:val="2A901BEE"/>
    <w:rsid w:val="2A917B34"/>
    <w:rsid w:val="2A9308A8"/>
    <w:rsid w:val="2A9475FF"/>
    <w:rsid w:val="2A9F5AB8"/>
    <w:rsid w:val="2AA333D6"/>
    <w:rsid w:val="2AAA0AA2"/>
    <w:rsid w:val="2ABD422E"/>
    <w:rsid w:val="2AD74E8C"/>
    <w:rsid w:val="2AE3766F"/>
    <w:rsid w:val="2AEC612E"/>
    <w:rsid w:val="2B0E56AB"/>
    <w:rsid w:val="2B276305"/>
    <w:rsid w:val="2B526555"/>
    <w:rsid w:val="2B54704F"/>
    <w:rsid w:val="2B590601"/>
    <w:rsid w:val="2B7E4054"/>
    <w:rsid w:val="2BA45A85"/>
    <w:rsid w:val="2BB12905"/>
    <w:rsid w:val="2BBA6A76"/>
    <w:rsid w:val="2BCC03D1"/>
    <w:rsid w:val="2C0C6D59"/>
    <w:rsid w:val="2C787BAC"/>
    <w:rsid w:val="2C8903AA"/>
    <w:rsid w:val="2C8E776E"/>
    <w:rsid w:val="2C8E7BB8"/>
    <w:rsid w:val="2C917C2E"/>
    <w:rsid w:val="2C987C56"/>
    <w:rsid w:val="2CA156F3"/>
    <w:rsid w:val="2CC11460"/>
    <w:rsid w:val="2CC15BAA"/>
    <w:rsid w:val="2CDC3153"/>
    <w:rsid w:val="2CDF621C"/>
    <w:rsid w:val="2CE136D7"/>
    <w:rsid w:val="2CFE7A11"/>
    <w:rsid w:val="2CFF149A"/>
    <w:rsid w:val="2D201865"/>
    <w:rsid w:val="2D2F67DA"/>
    <w:rsid w:val="2D4B5CEA"/>
    <w:rsid w:val="2D4C5B4C"/>
    <w:rsid w:val="2D4C6B07"/>
    <w:rsid w:val="2D514661"/>
    <w:rsid w:val="2D652658"/>
    <w:rsid w:val="2D964A56"/>
    <w:rsid w:val="2DC16E0A"/>
    <w:rsid w:val="2DC80C49"/>
    <w:rsid w:val="2DCA6355"/>
    <w:rsid w:val="2DD613CD"/>
    <w:rsid w:val="2DD85F0E"/>
    <w:rsid w:val="2E166748"/>
    <w:rsid w:val="2E2054A0"/>
    <w:rsid w:val="2E482374"/>
    <w:rsid w:val="2E4B2A5D"/>
    <w:rsid w:val="2E556F01"/>
    <w:rsid w:val="2E8345A7"/>
    <w:rsid w:val="2E8E20B4"/>
    <w:rsid w:val="2EAA7BAE"/>
    <w:rsid w:val="2EC0235F"/>
    <w:rsid w:val="2EC1207D"/>
    <w:rsid w:val="2ED06066"/>
    <w:rsid w:val="2ED1223D"/>
    <w:rsid w:val="2EDD3B3D"/>
    <w:rsid w:val="2F000139"/>
    <w:rsid w:val="2F1B303D"/>
    <w:rsid w:val="2F3925CB"/>
    <w:rsid w:val="2F572B54"/>
    <w:rsid w:val="2F65799D"/>
    <w:rsid w:val="2F6F1AD9"/>
    <w:rsid w:val="2F9F42DC"/>
    <w:rsid w:val="2FA20FF0"/>
    <w:rsid w:val="2FAC3772"/>
    <w:rsid w:val="2FB704AE"/>
    <w:rsid w:val="2FBC2844"/>
    <w:rsid w:val="2FC32F68"/>
    <w:rsid w:val="2FF37AB3"/>
    <w:rsid w:val="30210B8A"/>
    <w:rsid w:val="30224DC7"/>
    <w:rsid w:val="303265F2"/>
    <w:rsid w:val="303B4C3F"/>
    <w:rsid w:val="30476D7A"/>
    <w:rsid w:val="3073310C"/>
    <w:rsid w:val="308A4F2F"/>
    <w:rsid w:val="309D6BE6"/>
    <w:rsid w:val="30AA1790"/>
    <w:rsid w:val="30EE385E"/>
    <w:rsid w:val="30F85AFE"/>
    <w:rsid w:val="31170995"/>
    <w:rsid w:val="31264A30"/>
    <w:rsid w:val="312651F8"/>
    <w:rsid w:val="31884E67"/>
    <w:rsid w:val="31A0275E"/>
    <w:rsid w:val="31A67308"/>
    <w:rsid w:val="31B91526"/>
    <w:rsid w:val="31D21191"/>
    <w:rsid w:val="31EF0041"/>
    <w:rsid w:val="320107F5"/>
    <w:rsid w:val="326A0524"/>
    <w:rsid w:val="32986C45"/>
    <w:rsid w:val="32AB70C5"/>
    <w:rsid w:val="32F50547"/>
    <w:rsid w:val="33247607"/>
    <w:rsid w:val="333541C2"/>
    <w:rsid w:val="33487C23"/>
    <w:rsid w:val="335D0AF5"/>
    <w:rsid w:val="3370088C"/>
    <w:rsid w:val="337321CD"/>
    <w:rsid w:val="33735C77"/>
    <w:rsid w:val="339A687B"/>
    <w:rsid w:val="33C14594"/>
    <w:rsid w:val="33C7334E"/>
    <w:rsid w:val="33DC2F78"/>
    <w:rsid w:val="340B2B5A"/>
    <w:rsid w:val="3428227C"/>
    <w:rsid w:val="343230D5"/>
    <w:rsid w:val="3439428E"/>
    <w:rsid w:val="347918A5"/>
    <w:rsid w:val="34805335"/>
    <w:rsid w:val="348C0A37"/>
    <w:rsid w:val="349D37D5"/>
    <w:rsid w:val="34A61BDE"/>
    <w:rsid w:val="3522586C"/>
    <w:rsid w:val="35572473"/>
    <w:rsid w:val="35602226"/>
    <w:rsid w:val="356B72E7"/>
    <w:rsid w:val="356D2AC8"/>
    <w:rsid w:val="3572424F"/>
    <w:rsid w:val="35866014"/>
    <w:rsid w:val="359E5CE0"/>
    <w:rsid w:val="360001E3"/>
    <w:rsid w:val="362B215D"/>
    <w:rsid w:val="363E0D05"/>
    <w:rsid w:val="3662297C"/>
    <w:rsid w:val="367801A9"/>
    <w:rsid w:val="36AD519D"/>
    <w:rsid w:val="36B57705"/>
    <w:rsid w:val="36CB08C5"/>
    <w:rsid w:val="36DC1DD3"/>
    <w:rsid w:val="37090CD6"/>
    <w:rsid w:val="37122320"/>
    <w:rsid w:val="372F6E95"/>
    <w:rsid w:val="37322B0B"/>
    <w:rsid w:val="373E6129"/>
    <w:rsid w:val="3754697A"/>
    <w:rsid w:val="37636A21"/>
    <w:rsid w:val="37726316"/>
    <w:rsid w:val="37883E50"/>
    <w:rsid w:val="37A103ED"/>
    <w:rsid w:val="37A367C3"/>
    <w:rsid w:val="37BD33EE"/>
    <w:rsid w:val="37C24FF3"/>
    <w:rsid w:val="37E02B23"/>
    <w:rsid w:val="37E345A6"/>
    <w:rsid w:val="37E77DAE"/>
    <w:rsid w:val="37EA5E6E"/>
    <w:rsid w:val="37FF016F"/>
    <w:rsid w:val="382A6E2D"/>
    <w:rsid w:val="38534B1D"/>
    <w:rsid w:val="38655A8D"/>
    <w:rsid w:val="386E4145"/>
    <w:rsid w:val="387C5ABE"/>
    <w:rsid w:val="38997BC6"/>
    <w:rsid w:val="38AF46DD"/>
    <w:rsid w:val="38B66D0C"/>
    <w:rsid w:val="38CA7E13"/>
    <w:rsid w:val="38EB6119"/>
    <w:rsid w:val="38ED3021"/>
    <w:rsid w:val="392D500E"/>
    <w:rsid w:val="39463B04"/>
    <w:rsid w:val="396678D9"/>
    <w:rsid w:val="39736669"/>
    <w:rsid w:val="397A0ADB"/>
    <w:rsid w:val="39954B2B"/>
    <w:rsid w:val="39DA2245"/>
    <w:rsid w:val="39E66E3B"/>
    <w:rsid w:val="39FD4CC2"/>
    <w:rsid w:val="3A2B7A7E"/>
    <w:rsid w:val="3A3A7721"/>
    <w:rsid w:val="3A51228C"/>
    <w:rsid w:val="3A545E48"/>
    <w:rsid w:val="3A552E60"/>
    <w:rsid w:val="3A5D642F"/>
    <w:rsid w:val="3A744447"/>
    <w:rsid w:val="3A78219D"/>
    <w:rsid w:val="3A900623"/>
    <w:rsid w:val="3A995C5C"/>
    <w:rsid w:val="3AB210FC"/>
    <w:rsid w:val="3B043A1D"/>
    <w:rsid w:val="3B212C76"/>
    <w:rsid w:val="3B70798C"/>
    <w:rsid w:val="3B793A48"/>
    <w:rsid w:val="3B85393E"/>
    <w:rsid w:val="3BCA4B8A"/>
    <w:rsid w:val="3BCD72F7"/>
    <w:rsid w:val="3BD2590C"/>
    <w:rsid w:val="3BF4153E"/>
    <w:rsid w:val="3C37146A"/>
    <w:rsid w:val="3C3D3625"/>
    <w:rsid w:val="3C414142"/>
    <w:rsid w:val="3C5B725E"/>
    <w:rsid w:val="3C88055A"/>
    <w:rsid w:val="3C9C22A7"/>
    <w:rsid w:val="3CAF79B9"/>
    <w:rsid w:val="3CB35097"/>
    <w:rsid w:val="3CCB1B96"/>
    <w:rsid w:val="3CE50AF7"/>
    <w:rsid w:val="3CF737A2"/>
    <w:rsid w:val="3D10295A"/>
    <w:rsid w:val="3D184041"/>
    <w:rsid w:val="3D370C2A"/>
    <w:rsid w:val="3D414FC0"/>
    <w:rsid w:val="3D7D049C"/>
    <w:rsid w:val="3D9C307D"/>
    <w:rsid w:val="3DC4250E"/>
    <w:rsid w:val="3DE20EAE"/>
    <w:rsid w:val="3DEC2E9F"/>
    <w:rsid w:val="3DEF3701"/>
    <w:rsid w:val="3E0572FD"/>
    <w:rsid w:val="3E0720FE"/>
    <w:rsid w:val="3E1171A2"/>
    <w:rsid w:val="3E2819F6"/>
    <w:rsid w:val="3E287A22"/>
    <w:rsid w:val="3E5A7FE7"/>
    <w:rsid w:val="3E742835"/>
    <w:rsid w:val="3E955A6A"/>
    <w:rsid w:val="3E964D81"/>
    <w:rsid w:val="3EBA1F32"/>
    <w:rsid w:val="3EEF6FFF"/>
    <w:rsid w:val="3EF66B2E"/>
    <w:rsid w:val="3EF908D7"/>
    <w:rsid w:val="3F217914"/>
    <w:rsid w:val="3F5D44A8"/>
    <w:rsid w:val="3FD70BB0"/>
    <w:rsid w:val="3FF1740C"/>
    <w:rsid w:val="3FF542A0"/>
    <w:rsid w:val="3FFB55AC"/>
    <w:rsid w:val="40017152"/>
    <w:rsid w:val="400A057C"/>
    <w:rsid w:val="401C5F9D"/>
    <w:rsid w:val="401C690C"/>
    <w:rsid w:val="401D7195"/>
    <w:rsid w:val="402D6138"/>
    <w:rsid w:val="405C1C05"/>
    <w:rsid w:val="407A652F"/>
    <w:rsid w:val="40825D97"/>
    <w:rsid w:val="409928E7"/>
    <w:rsid w:val="40997CFE"/>
    <w:rsid w:val="409C35A8"/>
    <w:rsid w:val="40A06CB8"/>
    <w:rsid w:val="40C45B55"/>
    <w:rsid w:val="40CE3DC0"/>
    <w:rsid w:val="40D7455A"/>
    <w:rsid w:val="40E743E5"/>
    <w:rsid w:val="40EB4012"/>
    <w:rsid w:val="40F74B72"/>
    <w:rsid w:val="410A1661"/>
    <w:rsid w:val="41246142"/>
    <w:rsid w:val="412D5EA0"/>
    <w:rsid w:val="416D78C7"/>
    <w:rsid w:val="41734CBA"/>
    <w:rsid w:val="417F4E1A"/>
    <w:rsid w:val="41A82190"/>
    <w:rsid w:val="41DD28D2"/>
    <w:rsid w:val="41DE5999"/>
    <w:rsid w:val="41E1181A"/>
    <w:rsid w:val="41E32A20"/>
    <w:rsid w:val="41FA3241"/>
    <w:rsid w:val="420F7A65"/>
    <w:rsid w:val="4216611A"/>
    <w:rsid w:val="423E300F"/>
    <w:rsid w:val="425656C8"/>
    <w:rsid w:val="4257273C"/>
    <w:rsid w:val="42687ACE"/>
    <w:rsid w:val="4285733F"/>
    <w:rsid w:val="429E6041"/>
    <w:rsid w:val="42BF4B02"/>
    <w:rsid w:val="42C84B75"/>
    <w:rsid w:val="42FD694D"/>
    <w:rsid w:val="43525542"/>
    <w:rsid w:val="437D6687"/>
    <w:rsid w:val="438351F5"/>
    <w:rsid w:val="438D35EA"/>
    <w:rsid w:val="43BC1E57"/>
    <w:rsid w:val="43D23F8D"/>
    <w:rsid w:val="43D43F1D"/>
    <w:rsid w:val="43FA5777"/>
    <w:rsid w:val="44023422"/>
    <w:rsid w:val="44184A2D"/>
    <w:rsid w:val="441C1611"/>
    <w:rsid w:val="443C440B"/>
    <w:rsid w:val="44506DE3"/>
    <w:rsid w:val="44514F52"/>
    <w:rsid w:val="44761C8F"/>
    <w:rsid w:val="449722E3"/>
    <w:rsid w:val="449D7B09"/>
    <w:rsid w:val="44AE3FD4"/>
    <w:rsid w:val="44D0586F"/>
    <w:rsid w:val="44FA2D53"/>
    <w:rsid w:val="4504751B"/>
    <w:rsid w:val="453C4912"/>
    <w:rsid w:val="45627191"/>
    <w:rsid w:val="45687813"/>
    <w:rsid w:val="456E7B7D"/>
    <w:rsid w:val="4571374F"/>
    <w:rsid w:val="458B1BB0"/>
    <w:rsid w:val="45AD31D6"/>
    <w:rsid w:val="45B93426"/>
    <w:rsid w:val="464C6420"/>
    <w:rsid w:val="46552F9B"/>
    <w:rsid w:val="46791BC8"/>
    <w:rsid w:val="467A0297"/>
    <w:rsid w:val="468B7125"/>
    <w:rsid w:val="46A240EA"/>
    <w:rsid w:val="46B506EF"/>
    <w:rsid w:val="46BC1F6E"/>
    <w:rsid w:val="46C4691F"/>
    <w:rsid w:val="46CB53EF"/>
    <w:rsid w:val="46CE645F"/>
    <w:rsid w:val="470F5A71"/>
    <w:rsid w:val="47685427"/>
    <w:rsid w:val="4779499C"/>
    <w:rsid w:val="479C6284"/>
    <w:rsid w:val="479D1D34"/>
    <w:rsid w:val="47B609C0"/>
    <w:rsid w:val="47EC3B04"/>
    <w:rsid w:val="47EC6277"/>
    <w:rsid w:val="481A219B"/>
    <w:rsid w:val="482D31EA"/>
    <w:rsid w:val="48594C7C"/>
    <w:rsid w:val="485970A0"/>
    <w:rsid w:val="48667F79"/>
    <w:rsid w:val="486A6E89"/>
    <w:rsid w:val="48702E73"/>
    <w:rsid w:val="48823516"/>
    <w:rsid w:val="48877686"/>
    <w:rsid w:val="48B176C2"/>
    <w:rsid w:val="48B65C71"/>
    <w:rsid w:val="48D41852"/>
    <w:rsid w:val="48FB1909"/>
    <w:rsid w:val="491574F4"/>
    <w:rsid w:val="491F266E"/>
    <w:rsid w:val="492E6A57"/>
    <w:rsid w:val="495839AA"/>
    <w:rsid w:val="49771AFE"/>
    <w:rsid w:val="49802948"/>
    <w:rsid w:val="4986089F"/>
    <w:rsid w:val="498B5309"/>
    <w:rsid w:val="499E6DEB"/>
    <w:rsid w:val="499F0AAB"/>
    <w:rsid w:val="49C33FF5"/>
    <w:rsid w:val="49C63D13"/>
    <w:rsid w:val="49DB11EC"/>
    <w:rsid w:val="49E22068"/>
    <w:rsid w:val="49E31DD1"/>
    <w:rsid w:val="49E64E2B"/>
    <w:rsid w:val="49E82ED4"/>
    <w:rsid w:val="4A0030EE"/>
    <w:rsid w:val="4A0568D6"/>
    <w:rsid w:val="4A0C4F3C"/>
    <w:rsid w:val="4A484D41"/>
    <w:rsid w:val="4A6D15F8"/>
    <w:rsid w:val="4A8C4FB8"/>
    <w:rsid w:val="4A9A25BD"/>
    <w:rsid w:val="4A9E0551"/>
    <w:rsid w:val="4AA03D78"/>
    <w:rsid w:val="4AAB17DF"/>
    <w:rsid w:val="4AB542AE"/>
    <w:rsid w:val="4ABA7AB3"/>
    <w:rsid w:val="4AF72FEA"/>
    <w:rsid w:val="4B243D9D"/>
    <w:rsid w:val="4B5B54F0"/>
    <w:rsid w:val="4B645524"/>
    <w:rsid w:val="4B8C2DEB"/>
    <w:rsid w:val="4BC423D3"/>
    <w:rsid w:val="4BFA3C9F"/>
    <w:rsid w:val="4C042674"/>
    <w:rsid w:val="4C107F48"/>
    <w:rsid w:val="4C3277BC"/>
    <w:rsid w:val="4C5C442D"/>
    <w:rsid w:val="4C6B47EC"/>
    <w:rsid w:val="4C6D42A9"/>
    <w:rsid w:val="4C716A38"/>
    <w:rsid w:val="4C88631A"/>
    <w:rsid w:val="4CC0351C"/>
    <w:rsid w:val="4CC353EB"/>
    <w:rsid w:val="4CE64E14"/>
    <w:rsid w:val="4CF36F3C"/>
    <w:rsid w:val="4D00189F"/>
    <w:rsid w:val="4D007BC8"/>
    <w:rsid w:val="4D1470BD"/>
    <w:rsid w:val="4D154882"/>
    <w:rsid w:val="4D1C3C50"/>
    <w:rsid w:val="4D603399"/>
    <w:rsid w:val="4D664F64"/>
    <w:rsid w:val="4D6A7284"/>
    <w:rsid w:val="4D867EE1"/>
    <w:rsid w:val="4DB07591"/>
    <w:rsid w:val="4DBC4C65"/>
    <w:rsid w:val="4DE2009B"/>
    <w:rsid w:val="4E0F235E"/>
    <w:rsid w:val="4E157689"/>
    <w:rsid w:val="4E3A10AC"/>
    <w:rsid w:val="4E533FA5"/>
    <w:rsid w:val="4E550010"/>
    <w:rsid w:val="4E5964E9"/>
    <w:rsid w:val="4E5F14CB"/>
    <w:rsid w:val="4E6808B0"/>
    <w:rsid w:val="4EC00DDD"/>
    <w:rsid w:val="4EE334F2"/>
    <w:rsid w:val="4EE42C3F"/>
    <w:rsid w:val="4EF265BE"/>
    <w:rsid w:val="4EFB1C45"/>
    <w:rsid w:val="4F0C2A48"/>
    <w:rsid w:val="4F26273B"/>
    <w:rsid w:val="4F2D3A8A"/>
    <w:rsid w:val="4F32478A"/>
    <w:rsid w:val="4F3705F8"/>
    <w:rsid w:val="4F785B69"/>
    <w:rsid w:val="4F96379D"/>
    <w:rsid w:val="4F9714A0"/>
    <w:rsid w:val="4FAC3540"/>
    <w:rsid w:val="4FC56ABD"/>
    <w:rsid w:val="4FC97CE0"/>
    <w:rsid w:val="4FCE3F62"/>
    <w:rsid w:val="4FCF1583"/>
    <w:rsid w:val="4FD23E66"/>
    <w:rsid w:val="4FD44D1B"/>
    <w:rsid w:val="4FDC066D"/>
    <w:rsid w:val="4FFA7625"/>
    <w:rsid w:val="50453E7E"/>
    <w:rsid w:val="50485BA4"/>
    <w:rsid w:val="507D2599"/>
    <w:rsid w:val="508F08E7"/>
    <w:rsid w:val="5096229D"/>
    <w:rsid w:val="509E157D"/>
    <w:rsid w:val="50B27940"/>
    <w:rsid w:val="50DA3350"/>
    <w:rsid w:val="50DC4184"/>
    <w:rsid w:val="50FB6146"/>
    <w:rsid w:val="51031629"/>
    <w:rsid w:val="512F4CA0"/>
    <w:rsid w:val="51323DB9"/>
    <w:rsid w:val="51361FFF"/>
    <w:rsid w:val="513723D1"/>
    <w:rsid w:val="513C5928"/>
    <w:rsid w:val="514C3EA7"/>
    <w:rsid w:val="51551AFE"/>
    <w:rsid w:val="51B941A1"/>
    <w:rsid w:val="51FF3C99"/>
    <w:rsid w:val="52363D4D"/>
    <w:rsid w:val="52521A20"/>
    <w:rsid w:val="525F452E"/>
    <w:rsid w:val="52AC4ABC"/>
    <w:rsid w:val="52C201B9"/>
    <w:rsid w:val="52E57A12"/>
    <w:rsid w:val="52F20B62"/>
    <w:rsid w:val="538152F3"/>
    <w:rsid w:val="53827E49"/>
    <w:rsid w:val="538A6BB9"/>
    <w:rsid w:val="539964FD"/>
    <w:rsid w:val="539C1B81"/>
    <w:rsid w:val="53A447B1"/>
    <w:rsid w:val="53AE750F"/>
    <w:rsid w:val="53BB2A61"/>
    <w:rsid w:val="53D00C67"/>
    <w:rsid w:val="53D224B3"/>
    <w:rsid w:val="53DF06D8"/>
    <w:rsid w:val="53F81D96"/>
    <w:rsid w:val="54026042"/>
    <w:rsid w:val="540E76CF"/>
    <w:rsid w:val="544B5214"/>
    <w:rsid w:val="546927C6"/>
    <w:rsid w:val="546B0405"/>
    <w:rsid w:val="549A6BFA"/>
    <w:rsid w:val="54B36A7C"/>
    <w:rsid w:val="54D933CD"/>
    <w:rsid w:val="55244D7F"/>
    <w:rsid w:val="55362287"/>
    <w:rsid w:val="55432F3C"/>
    <w:rsid w:val="555016D2"/>
    <w:rsid w:val="556D2820"/>
    <w:rsid w:val="55AE6072"/>
    <w:rsid w:val="55C3227E"/>
    <w:rsid w:val="55C64078"/>
    <w:rsid w:val="55CC4CE0"/>
    <w:rsid w:val="55FA2961"/>
    <w:rsid w:val="5602250F"/>
    <w:rsid w:val="564220BA"/>
    <w:rsid w:val="565E7F4F"/>
    <w:rsid w:val="565F3DA6"/>
    <w:rsid w:val="56914056"/>
    <w:rsid w:val="56C36589"/>
    <w:rsid w:val="570D55B0"/>
    <w:rsid w:val="57293C95"/>
    <w:rsid w:val="572A6381"/>
    <w:rsid w:val="572B41B4"/>
    <w:rsid w:val="572E079D"/>
    <w:rsid w:val="57365868"/>
    <w:rsid w:val="573C1959"/>
    <w:rsid w:val="57CD25D7"/>
    <w:rsid w:val="57F12ED6"/>
    <w:rsid w:val="57F65317"/>
    <w:rsid w:val="57FC2169"/>
    <w:rsid w:val="58024015"/>
    <w:rsid w:val="58096275"/>
    <w:rsid w:val="5819544F"/>
    <w:rsid w:val="582E6EF7"/>
    <w:rsid w:val="584E30E6"/>
    <w:rsid w:val="58546EFD"/>
    <w:rsid w:val="58A20D92"/>
    <w:rsid w:val="58E26731"/>
    <w:rsid w:val="590E4A97"/>
    <w:rsid w:val="591250FF"/>
    <w:rsid w:val="5920012C"/>
    <w:rsid w:val="592B1244"/>
    <w:rsid w:val="594714AD"/>
    <w:rsid w:val="595578DE"/>
    <w:rsid w:val="597B384D"/>
    <w:rsid w:val="59996DA8"/>
    <w:rsid w:val="599C05DE"/>
    <w:rsid w:val="59AD00F6"/>
    <w:rsid w:val="59C30F1B"/>
    <w:rsid w:val="5A6F3361"/>
    <w:rsid w:val="5A8C20D0"/>
    <w:rsid w:val="5AC7121C"/>
    <w:rsid w:val="5AD90B8D"/>
    <w:rsid w:val="5AE12927"/>
    <w:rsid w:val="5AE35472"/>
    <w:rsid w:val="5AF41CF3"/>
    <w:rsid w:val="5AF87CC9"/>
    <w:rsid w:val="5B19477F"/>
    <w:rsid w:val="5B4E1A44"/>
    <w:rsid w:val="5B774ED6"/>
    <w:rsid w:val="5B873201"/>
    <w:rsid w:val="5B967767"/>
    <w:rsid w:val="5B9D1624"/>
    <w:rsid w:val="5C0C2FF6"/>
    <w:rsid w:val="5C1241CC"/>
    <w:rsid w:val="5C286807"/>
    <w:rsid w:val="5C370E72"/>
    <w:rsid w:val="5C446BC8"/>
    <w:rsid w:val="5C4529E1"/>
    <w:rsid w:val="5C4B56E1"/>
    <w:rsid w:val="5C7146B1"/>
    <w:rsid w:val="5C7C2768"/>
    <w:rsid w:val="5C881D87"/>
    <w:rsid w:val="5C9D3644"/>
    <w:rsid w:val="5CB23AE6"/>
    <w:rsid w:val="5CDC0A42"/>
    <w:rsid w:val="5CED5863"/>
    <w:rsid w:val="5D0D6DF5"/>
    <w:rsid w:val="5D580A8A"/>
    <w:rsid w:val="5D893B14"/>
    <w:rsid w:val="5DA07125"/>
    <w:rsid w:val="5DB42C29"/>
    <w:rsid w:val="5E291636"/>
    <w:rsid w:val="5E6F64A1"/>
    <w:rsid w:val="5E7E7421"/>
    <w:rsid w:val="5E8B0770"/>
    <w:rsid w:val="5EA06921"/>
    <w:rsid w:val="5EA902B4"/>
    <w:rsid w:val="5EBA259F"/>
    <w:rsid w:val="5EE97BB4"/>
    <w:rsid w:val="5F085DDA"/>
    <w:rsid w:val="5F2E2D52"/>
    <w:rsid w:val="5F4721B4"/>
    <w:rsid w:val="5F54198B"/>
    <w:rsid w:val="5F546D2C"/>
    <w:rsid w:val="5F9D1350"/>
    <w:rsid w:val="5FBE370A"/>
    <w:rsid w:val="5FC83407"/>
    <w:rsid w:val="5FD56E87"/>
    <w:rsid w:val="5FF0558C"/>
    <w:rsid w:val="601A27F4"/>
    <w:rsid w:val="6022317D"/>
    <w:rsid w:val="60292845"/>
    <w:rsid w:val="604D2644"/>
    <w:rsid w:val="605238CF"/>
    <w:rsid w:val="6053694F"/>
    <w:rsid w:val="607921FE"/>
    <w:rsid w:val="608F62AE"/>
    <w:rsid w:val="60B9251B"/>
    <w:rsid w:val="60E236C1"/>
    <w:rsid w:val="611911B1"/>
    <w:rsid w:val="61260B6B"/>
    <w:rsid w:val="61263A34"/>
    <w:rsid w:val="612B3ABB"/>
    <w:rsid w:val="612E1A5D"/>
    <w:rsid w:val="614E5D7E"/>
    <w:rsid w:val="61560892"/>
    <w:rsid w:val="61770BF8"/>
    <w:rsid w:val="617F55B8"/>
    <w:rsid w:val="61816046"/>
    <w:rsid w:val="61C81AB1"/>
    <w:rsid w:val="61D417B9"/>
    <w:rsid w:val="61EF0A89"/>
    <w:rsid w:val="620B0059"/>
    <w:rsid w:val="62391564"/>
    <w:rsid w:val="623B58E0"/>
    <w:rsid w:val="623F0B7F"/>
    <w:rsid w:val="624A22BE"/>
    <w:rsid w:val="626E235A"/>
    <w:rsid w:val="626F60D5"/>
    <w:rsid w:val="62816669"/>
    <w:rsid w:val="6282086D"/>
    <w:rsid w:val="62B36CD7"/>
    <w:rsid w:val="62BA0953"/>
    <w:rsid w:val="62D03A7C"/>
    <w:rsid w:val="62D8790F"/>
    <w:rsid w:val="62F42FAE"/>
    <w:rsid w:val="62F648FE"/>
    <w:rsid w:val="63167A4F"/>
    <w:rsid w:val="631D2BD6"/>
    <w:rsid w:val="63517378"/>
    <w:rsid w:val="635356F3"/>
    <w:rsid w:val="635D6064"/>
    <w:rsid w:val="637D5B70"/>
    <w:rsid w:val="63825E77"/>
    <w:rsid w:val="63A10995"/>
    <w:rsid w:val="63C23EFA"/>
    <w:rsid w:val="63D255DA"/>
    <w:rsid w:val="64076B79"/>
    <w:rsid w:val="640B7654"/>
    <w:rsid w:val="643A070A"/>
    <w:rsid w:val="64402337"/>
    <w:rsid w:val="64410A96"/>
    <w:rsid w:val="644B0ACF"/>
    <w:rsid w:val="644C573D"/>
    <w:rsid w:val="64507EFB"/>
    <w:rsid w:val="645777E9"/>
    <w:rsid w:val="64B97A50"/>
    <w:rsid w:val="65032F85"/>
    <w:rsid w:val="65123E81"/>
    <w:rsid w:val="651304A7"/>
    <w:rsid w:val="65136B50"/>
    <w:rsid w:val="657E2A35"/>
    <w:rsid w:val="65A94E9D"/>
    <w:rsid w:val="65B96B3F"/>
    <w:rsid w:val="65BE1071"/>
    <w:rsid w:val="65C60A92"/>
    <w:rsid w:val="65D35142"/>
    <w:rsid w:val="65E322FD"/>
    <w:rsid w:val="660451CE"/>
    <w:rsid w:val="660B02F6"/>
    <w:rsid w:val="663F30CF"/>
    <w:rsid w:val="66447651"/>
    <w:rsid w:val="664D6491"/>
    <w:rsid w:val="665346B7"/>
    <w:rsid w:val="66705A4E"/>
    <w:rsid w:val="667C7CCE"/>
    <w:rsid w:val="669C56BF"/>
    <w:rsid w:val="66A12460"/>
    <w:rsid w:val="66A20C1E"/>
    <w:rsid w:val="66BE2423"/>
    <w:rsid w:val="66DD6702"/>
    <w:rsid w:val="67135F8D"/>
    <w:rsid w:val="671B1623"/>
    <w:rsid w:val="671C6FD7"/>
    <w:rsid w:val="671E6EBA"/>
    <w:rsid w:val="672C0ACD"/>
    <w:rsid w:val="675352AA"/>
    <w:rsid w:val="6759400B"/>
    <w:rsid w:val="675E528D"/>
    <w:rsid w:val="676C598C"/>
    <w:rsid w:val="67962635"/>
    <w:rsid w:val="67966EFB"/>
    <w:rsid w:val="679E7FA1"/>
    <w:rsid w:val="67A32389"/>
    <w:rsid w:val="67B768D0"/>
    <w:rsid w:val="67C779FD"/>
    <w:rsid w:val="682A2352"/>
    <w:rsid w:val="682E7AFD"/>
    <w:rsid w:val="68707071"/>
    <w:rsid w:val="687A4379"/>
    <w:rsid w:val="687B015C"/>
    <w:rsid w:val="687E3889"/>
    <w:rsid w:val="6884222C"/>
    <w:rsid w:val="68AD17BB"/>
    <w:rsid w:val="68D94D22"/>
    <w:rsid w:val="69224EEB"/>
    <w:rsid w:val="692B2E4A"/>
    <w:rsid w:val="693D6EB4"/>
    <w:rsid w:val="696A0B34"/>
    <w:rsid w:val="69821807"/>
    <w:rsid w:val="698D6807"/>
    <w:rsid w:val="698D6A17"/>
    <w:rsid w:val="69D37590"/>
    <w:rsid w:val="69F954C1"/>
    <w:rsid w:val="69FA2750"/>
    <w:rsid w:val="6A1E1E73"/>
    <w:rsid w:val="6A2031B6"/>
    <w:rsid w:val="6A26299B"/>
    <w:rsid w:val="6A276275"/>
    <w:rsid w:val="6A2F57D7"/>
    <w:rsid w:val="6A3C1D40"/>
    <w:rsid w:val="6A6432E1"/>
    <w:rsid w:val="6A647487"/>
    <w:rsid w:val="6A6A5005"/>
    <w:rsid w:val="6A8D5833"/>
    <w:rsid w:val="6AA23DFF"/>
    <w:rsid w:val="6AC61F6F"/>
    <w:rsid w:val="6AD34E53"/>
    <w:rsid w:val="6AD83EA1"/>
    <w:rsid w:val="6ADE74F0"/>
    <w:rsid w:val="6B1D62E8"/>
    <w:rsid w:val="6B723594"/>
    <w:rsid w:val="6B805156"/>
    <w:rsid w:val="6B945E48"/>
    <w:rsid w:val="6BD50977"/>
    <w:rsid w:val="6BE450D3"/>
    <w:rsid w:val="6BE60C84"/>
    <w:rsid w:val="6C587C0E"/>
    <w:rsid w:val="6C6C32E1"/>
    <w:rsid w:val="6C6E3E15"/>
    <w:rsid w:val="6C857FEE"/>
    <w:rsid w:val="6C8B1F5D"/>
    <w:rsid w:val="6CAA3931"/>
    <w:rsid w:val="6CCF3BFB"/>
    <w:rsid w:val="6D325918"/>
    <w:rsid w:val="6D370B82"/>
    <w:rsid w:val="6D3933CA"/>
    <w:rsid w:val="6D6261FE"/>
    <w:rsid w:val="6D7B61EC"/>
    <w:rsid w:val="6D8E03AA"/>
    <w:rsid w:val="6D934609"/>
    <w:rsid w:val="6DB217F4"/>
    <w:rsid w:val="6DBB089F"/>
    <w:rsid w:val="6DC63038"/>
    <w:rsid w:val="6DE30DE0"/>
    <w:rsid w:val="6DE6130A"/>
    <w:rsid w:val="6DE839B9"/>
    <w:rsid w:val="6E09491E"/>
    <w:rsid w:val="6E0D3655"/>
    <w:rsid w:val="6E1A437E"/>
    <w:rsid w:val="6E2B14A0"/>
    <w:rsid w:val="6E3A144E"/>
    <w:rsid w:val="6E5F4465"/>
    <w:rsid w:val="6E8B1663"/>
    <w:rsid w:val="6E8C54DA"/>
    <w:rsid w:val="6EDD3662"/>
    <w:rsid w:val="6EF11E03"/>
    <w:rsid w:val="6EF1241D"/>
    <w:rsid w:val="6EF82916"/>
    <w:rsid w:val="6F0B2DE7"/>
    <w:rsid w:val="6F111C62"/>
    <w:rsid w:val="6F2176E5"/>
    <w:rsid w:val="6F2D79CC"/>
    <w:rsid w:val="6F3A2A5F"/>
    <w:rsid w:val="6F4F7F03"/>
    <w:rsid w:val="6F527936"/>
    <w:rsid w:val="6F592303"/>
    <w:rsid w:val="6F5F5B74"/>
    <w:rsid w:val="6F98032D"/>
    <w:rsid w:val="6F991BB8"/>
    <w:rsid w:val="6F9B1C65"/>
    <w:rsid w:val="6FA44937"/>
    <w:rsid w:val="6FE82C9C"/>
    <w:rsid w:val="6FFB146E"/>
    <w:rsid w:val="6FFC3AA6"/>
    <w:rsid w:val="70160742"/>
    <w:rsid w:val="70171106"/>
    <w:rsid w:val="7030610F"/>
    <w:rsid w:val="70612DB4"/>
    <w:rsid w:val="706516C3"/>
    <w:rsid w:val="70896E68"/>
    <w:rsid w:val="708A4844"/>
    <w:rsid w:val="70E05E9D"/>
    <w:rsid w:val="71073061"/>
    <w:rsid w:val="711A201F"/>
    <w:rsid w:val="71396ACC"/>
    <w:rsid w:val="713F54BE"/>
    <w:rsid w:val="715B60E9"/>
    <w:rsid w:val="716F0EE9"/>
    <w:rsid w:val="7196674D"/>
    <w:rsid w:val="71CD6D08"/>
    <w:rsid w:val="71EA1FED"/>
    <w:rsid w:val="72165C6B"/>
    <w:rsid w:val="722021E3"/>
    <w:rsid w:val="722C6DDA"/>
    <w:rsid w:val="72345748"/>
    <w:rsid w:val="72AE2B16"/>
    <w:rsid w:val="72E661B1"/>
    <w:rsid w:val="72F90C18"/>
    <w:rsid w:val="730313F6"/>
    <w:rsid w:val="730E4732"/>
    <w:rsid w:val="731D2C83"/>
    <w:rsid w:val="732A6AD8"/>
    <w:rsid w:val="73370D24"/>
    <w:rsid w:val="73472C84"/>
    <w:rsid w:val="7359268C"/>
    <w:rsid w:val="7366631C"/>
    <w:rsid w:val="736C263C"/>
    <w:rsid w:val="73723640"/>
    <w:rsid w:val="737311F5"/>
    <w:rsid w:val="73761585"/>
    <w:rsid w:val="739503EB"/>
    <w:rsid w:val="73A05B28"/>
    <w:rsid w:val="73A931BE"/>
    <w:rsid w:val="73C07D69"/>
    <w:rsid w:val="73DC335B"/>
    <w:rsid w:val="740B60EC"/>
    <w:rsid w:val="744C4A5B"/>
    <w:rsid w:val="74717AE5"/>
    <w:rsid w:val="749E16A8"/>
    <w:rsid w:val="74B42AE4"/>
    <w:rsid w:val="74C54993"/>
    <w:rsid w:val="750A429D"/>
    <w:rsid w:val="75474B47"/>
    <w:rsid w:val="75614792"/>
    <w:rsid w:val="75736413"/>
    <w:rsid w:val="75761866"/>
    <w:rsid w:val="75784473"/>
    <w:rsid w:val="7582466D"/>
    <w:rsid w:val="75B161B3"/>
    <w:rsid w:val="75C055BD"/>
    <w:rsid w:val="75C46B63"/>
    <w:rsid w:val="75DC6C44"/>
    <w:rsid w:val="762770AC"/>
    <w:rsid w:val="762F6A19"/>
    <w:rsid w:val="76327C86"/>
    <w:rsid w:val="76341B33"/>
    <w:rsid w:val="76736B32"/>
    <w:rsid w:val="768811B6"/>
    <w:rsid w:val="769F04F7"/>
    <w:rsid w:val="76AF35EE"/>
    <w:rsid w:val="76C27A74"/>
    <w:rsid w:val="76E3765E"/>
    <w:rsid w:val="76FC2AFA"/>
    <w:rsid w:val="775252D0"/>
    <w:rsid w:val="77527424"/>
    <w:rsid w:val="77636440"/>
    <w:rsid w:val="77653671"/>
    <w:rsid w:val="778546CC"/>
    <w:rsid w:val="778B6B46"/>
    <w:rsid w:val="77A96931"/>
    <w:rsid w:val="77B105D5"/>
    <w:rsid w:val="77B551B3"/>
    <w:rsid w:val="77B56730"/>
    <w:rsid w:val="77B92EBE"/>
    <w:rsid w:val="77BF1E80"/>
    <w:rsid w:val="77C04A8B"/>
    <w:rsid w:val="77D85DB3"/>
    <w:rsid w:val="77EB1B74"/>
    <w:rsid w:val="782A3EA3"/>
    <w:rsid w:val="78947487"/>
    <w:rsid w:val="78A50513"/>
    <w:rsid w:val="78D37FAF"/>
    <w:rsid w:val="78EF7AB5"/>
    <w:rsid w:val="790A4A06"/>
    <w:rsid w:val="790D6849"/>
    <w:rsid w:val="79252148"/>
    <w:rsid w:val="795767E3"/>
    <w:rsid w:val="79586707"/>
    <w:rsid w:val="796518DD"/>
    <w:rsid w:val="79724BEF"/>
    <w:rsid w:val="797264AC"/>
    <w:rsid w:val="799008E5"/>
    <w:rsid w:val="79AA0532"/>
    <w:rsid w:val="79AB2CDA"/>
    <w:rsid w:val="79C370A4"/>
    <w:rsid w:val="79D23A3D"/>
    <w:rsid w:val="79FE1DDD"/>
    <w:rsid w:val="7A075767"/>
    <w:rsid w:val="7A0C15B3"/>
    <w:rsid w:val="7A212062"/>
    <w:rsid w:val="7A2522C9"/>
    <w:rsid w:val="7A282A11"/>
    <w:rsid w:val="7A3A59B8"/>
    <w:rsid w:val="7A5D0F75"/>
    <w:rsid w:val="7A715CD2"/>
    <w:rsid w:val="7A921E9A"/>
    <w:rsid w:val="7AAA09A9"/>
    <w:rsid w:val="7ABF2475"/>
    <w:rsid w:val="7AC21562"/>
    <w:rsid w:val="7AD474A4"/>
    <w:rsid w:val="7AD711B1"/>
    <w:rsid w:val="7AF55544"/>
    <w:rsid w:val="7AFC38DE"/>
    <w:rsid w:val="7B165244"/>
    <w:rsid w:val="7B217A1E"/>
    <w:rsid w:val="7B2965AD"/>
    <w:rsid w:val="7B303E8C"/>
    <w:rsid w:val="7B39121D"/>
    <w:rsid w:val="7B865D50"/>
    <w:rsid w:val="7B87547C"/>
    <w:rsid w:val="7B8D34C3"/>
    <w:rsid w:val="7B971D84"/>
    <w:rsid w:val="7BA673F4"/>
    <w:rsid w:val="7BAB0CB7"/>
    <w:rsid w:val="7BB4028F"/>
    <w:rsid w:val="7BE031FB"/>
    <w:rsid w:val="7BE1444E"/>
    <w:rsid w:val="7BE85BAB"/>
    <w:rsid w:val="7BF32F03"/>
    <w:rsid w:val="7BF50D2C"/>
    <w:rsid w:val="7C066F4E"/>
    <w:rsid w:val="7C1724A5"/>
    <w:rsid w:val="7C273CFF"/>
    <w:rsid w:val="7CA54112"/>
    <w:rsid w:val="7CA553D9"/>
    <w:rsid w:val="7CAB27F5"/>
    <w:rsid w:val="7CAF438A"/>
    <w:rsid w:val="7CCE726D"/>
    <w:rsid w:val="7CD71EA3"/>
    <w:rsid w:val="7CE50CE4"/>
    <w:rsid w:val="7CED6AF5"/>
    <w:rsid w:val="7CF877E9"/>
    <w:rsid w:val="7D134762"/>
    <w:rsid w:val="7D2E5ABF"/>
    <w:rsid w:val="7D4A45B8"/>
    <w:rsid w:val="7D943A85"/>
    <w:rsid w:val="7DE22616"/>
    <w:rsid w:val="7DF847BA"/>
    <w:rsid w:val="7E007625"/>
    <w:rsid w:val="7E0737C8"/>
    <w:rsid w:val="7E131C51"/>
    <w:rsid w:val="7E176B90"/>
    <w:rsid w:val="7E2142A2"/>
    <w:rsid w:val="7E240411"/>
    <w:rsid w:val="7E5148A6"/>
    <w:rsid w:val="7E6A046F"/>
    <w:rsid w:val="7E797DE5"/>
    <w:rsid w:val="7E7B0BF2"/>
    <w:rsid w:val="7E8D75B6"/>
    <w:rsid w:val="7E8E672B"/>
    <w:rsid w:val="7EB16167"/>
    <w:rsid w:val="7EF760EE"/>
    <w:rsid w:val="7F193E37"/>
    <w:rsid w:val="7F202690"/>
    <w:rsid w:val="7F2536B5"/>
    <w:rsid w:val="7F383117"/>
    <w:rsid w:val="7F485E64"/>
    <w:rsid w:val="7F5A01CA"/>
    <w:rsid w:val="7FA01732"/>
    <w:rsid w:val="7FD334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link w:val="41"/>
    <w:qFormat/>
    <w:uiPriority w:val="9"/>
    <w:pPr>
      <w:keepNext/>
      <w:keepLines/>
      <w:spacing w:before="340" w:after="330" w:line="576" w:lineRule="auto"/>
      <w:outlineLvl w:val="0"/>
    </w:pPr>
    <w:rPr>
      <w:b/>
      <w:kern w:val="44"/>
      <w:sz w:val="44"/>
    </w:rPr>
  </w:style>
  <w:style w:type="paragraph" w:styleId="3">
    <w:name w:val="heading 2"/>
    <w:basedOn w:val="1"/>
    <w:next w:val="1"/>
    <w:link w:val="4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9"/>
    <w:pPr>
      <w:keepNext/>
      <w:keepLines/>
      <w:outlineLvl w:val="3"/>
    </w:pPr>
    <w:rPr>
      <w:rFonts w:asciiTheme="majorHAnsi" w:hAnsiTheme="majorHAnsi" w:cstheme="majorBidi"/>
      <w:b/>
      <w:bCs/>
      <w:sz w:val="24"/>
      <w:szCs w:val="28"/>
    </w:rPr>
  </w:style>
  <w:style w:type="paragraph" w:styleId="6">
    <w:name w:val="heading 5"/>
    <w:basedOn w:val="1"/>
    <w:next w:val="1"/>
    <w:link w:val="77"/>
    <w:semiHidden/>
    <w:unhideWhenUsed/>
    <w:qFormat/>
    <w:uiPriority w:val="9"/>
    <w:pPr>
      <w:keepNext/>
      <w:keepLines/>
      <w:spacing w:before="280" w:after="290" w:line="372" w:lineRule="auto"/>
      <w:outlineLvl w:val="4"/>
    </w:pPr>
    <w:rPr>
      <w:b/>
      <w:sz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widowControl w:val="0"/>
      <w:adjustRightInd/>
      <w:snapToGrid/>
      <w:spacing w:line="240" w:lineRule="auto"/>
      <w:ind w:left="2520" w:leftChars="1200"/>
      <w:jc w:val="both"/>
    </w:pPr>
    <w:rPr>
      <w:rFonts w:asciiTheme="minorHAnsi" w:hAnsiTheme="minorHAnsi" w:eastAsiaTheme="minorEastAsia"/>
      <w:kern w:val="2"/>
    </w:rPr>
  </w:style>
  <w:style w:type="paragraph" w:styleId="8">
    <w:name w:val="Normal Indent"/>
    <w:basedOn w:val="1"/>
    <w:qFormat/>
    <w:uiPriority w:val="99"/>
    <w:pPr>
      <w:autoSpaceDE w:val="0"/>
      <w:autoSpaceDN w:val="0"/>
      <w:ind w:left="181" w:firstLine="420"/>
    </w:pPr>
    <w:rPr>
      <w:rFonts w:ascii="Times New Roman" w:hAnsi="Times New Roman" w:cs="Times New Roman"/>
    </w:rPr>
  </w:style>
  <w:style w:type="paragraph" w:styleId="9">
    <w:name w:val="toa heading"/>
    <w:basedOn w:val="1"/>
    <w:next w:val="1"/>
    <w:qFormat/>
    <w:uiPriority w:val="0"/>
    <w:pPr>
      <w:autoSpaceDE w:val="0"/>
      <w:autoSpaceDN w:val="0"/>
      <w:spacing w:before="120"/>
    </w:pPr>
    <w:rPr>
      <w:rFonts w:ascii="Arial" w:hAnsi="Arial"/>
      <w:snapToGrid w:val="0"/>
      <w:color w:val="000000"/>
      <w:szCs w:val="20"/>
    </w:rPr>
  </w:style>
  <w:style w:type="paragraph" w:styleId="10">
    <w:name w:val="annotation text"/>
    <w:basedOn w:val="1"/>
    <w:link w:val="66"/>
    <w:unhideWhenUsed/>
    <w:qFormat/>
    <w:uiPriority w:val="99"/>
  </w:style>
  <w:style w:type="paragraph" w:styleId="11">
    <w:name w:val="Body Text"/>
    <w:basedOn w:val="1"/>
    <w:link w:val="69"/>
    <w:qFormat/>
    <w:uiPriority w:val="1"/>
    <w:pPr>
      <w:spacing w:before="161"/>
      <w:ind w:left="120"/>
    </w:pPr>
    <w:rPr>
      <w:rFonts w:ascii="宋体" w:hAnsi="宋体" w:cs="宋体"/>
      <w:sz w:val="24"/>
      <w:lang w:val="zh-CN" w:bidi="zh-CN"/>
    </w:rPr>
  </w:style>
  <w:style w:type="paragraph" w:styleId="12">
    <w:name w:val="Body Text Indent"/>
    <w:basedOn w:val="1"/>
    <w:qFormat/>
    <w:uiPriority w:val="0"/>
    <w:pPr>
      <w:ind w:left="359" w:leftChars="171" w:firstLine="179" w:firstLineChars="85"/>
    </w:pPr>
    <w:rPr>
      <w:rFonts w:ascii="宋体" w:hAnsi="宋体"/>
      <w:b/>
      <w:bCs/>
      <w:szCs w:val="26"/>
    </w:rPr>
  </w:style>
  <w:style w:type="paragraph" w:styleId="13">
    <w:name w:val="toc 5"/>
    <w:basedOn w:val="1"/>
    <w:next w:val="1"/>
    <w:unhideWhenUsed/>
    <w:qFormat/>
    <w:uiPriority w:val="39"/>
    <w:pPr>
      <w:widowControl w:val="0"/>
      <w:adjustRightInd/>
      <w:snapToGrid/>
      <w:spacing w:line="240" w:lineRule="auto"/>
      <w:ind w:left="1680" w:leftChars="800"/>
      <w:jc w:val="both"/>
    </w:pPr>
    <w:rPr>
      <w:rFonts w:asciiTheme="minorHAnsi" w:hAnsiTheme="minorHAnsi" w:eastAsiaTheme="minorEastAsia"/>
      <w:kern w:val="2"/>
    </w:rPr>
  </w:style>
  <w:style w:type="paragraph" w:styleId="14">
    <w:name w:val="toc 3"/>
    <w:basedOn w:val="1"/>
    <w:next w:val="1"/>
    <w:unhideWhenUsed/>
    <w:qFormat/>
    <w:uiPriority w:val="39"/>
    <w:pPr>
      <w:tabs>
        <w:tab w:val="right" w:leader="dot" w:pos="8296"/>
      </w:tabs>
      <w:ind w:left="838" w:leftChars="381"/>
    </w:pPr>
    <w:rPr>
      <w:szCs w:val="21"/>
    </w:rPr>
  </w:style>
  <w:style w:type="paragraph" w:styleId="15">
    <w:name w:val="Plain Text"/>
    <w:basedOn w:val="1"/>
    <w:link w:val="58"/>
    <w:qFormat/>
    <w:uiPriority w:val="0"/>
    <w:pPr>
      <w:widowControl w:val="0"/>
      <w:adjustRightInd/>
      <w:snapToGrid/>
      <w:jc w:val="both"/>
    </w:pPr>
    <w:rPr>
      <w:rFonts w:ascii="宋体" w:hAnsi="Courier New" w:cs="Times New Roman"/>
      <w:b/>
      <w:kern w:val="2"/>
      <w:szCs w:val="20"/>
    </w:rPr>
  </w:style>
  <w:style w:type="paragraph" w:styleId="16">
    <w:name w:val="toc 8"/>
    <w:basedOn w:val="1"/>
    <w:next w:val="1"/>
    <w:unhideWhenUsed/>
    <w:qFormat/>
    <w:uiPriority w:val="39"/>
    <w:pPr>
      <w:widowControl w:val="0"/>
      <w:adjustRightInd/>
      <w:snapToGrid/>
      <w:spacing w:line="240" w:lineRule="auto"/>
      <w:ind w:left="2940" w:leftChars="1400"/>
      <w:jc w:val="both"/>
    </w:pPr>
    <w:rPr>
      <w:rFonts w:asciiTheme="minorHAnsi" w:hAnsiTheme="minorHAnsi" w:eastAsiaTheme="minorEastAsia"/>
      <w:kern w:val="2"/>
    </w:rPr>
  </w:style>
  <w:style w:type="paragraph" w:styleId="17">
    <w:name w:val="Balloon Text"/>
    <w:basedOn w:val="1"/>
    <w:link w:val="61"/>
    <w:semiHidden/>
    <w:unhideWhenUsed/>
    <w:qFormat/>
    <w:uiPriority w:val="99"/>
    <w:rPr>
      <w:sz w:val="18"/>
      <w:szCs w:val="18"/>
    </w:rPr>
  </w:style>
  <w:style w:type="paragraph" w:styleId="18">
    <w:name w:val="footer"/>
    <w:basedOn w:val="1"/>
    <w:link w:val="60"/>
    <w:unhideWhenUsed/>
    <w:qFormat/>
    <w:uiPriority w:val="99"/>
    <w:pPr>
      <w:tabs>
        <w:tab w:val="center" w:pos="4153"/>
        <w:tab w:val="right" w:pos="8306"/>
      </w:tabs>
    </w:pPr>
    <w:rPr>
      <w:sz w:val="18"/>
      <w:szCs w:val="18"/>
    </w:rPr>
  </w:style>
  <w:style w:type="paragraph" w:styleId="19">
    <w:name w:val="header"/>
    <w:basedOn w:val="1"/>
    <w:link w:val="59"/>
    <w:unhideWhenUsed/>
    <w:qFormat/>
    <w:uiPriority w:val="99"/>
    <w:pPr>
      <w:pBdr>
        <w:bottom w:val="single" w:color="auto" w:sz="6" w:space="1"/>
      </w:pBdr>
      <w:tabs>
        <w:tab w:val="center" w:pos="4153"/>
        <w:tab w:val="right" w:pos="8306"/>
      </w:tabs>
      <w:jc w:val="center"/>
    </w:pPr>
    <w:rPr>
      <w:sz w:val="18"/>
      <w:szCs w:val="18"/>
    </w:rPr>
  </w:style>
  <w:style w:type="paragraph" w:styleId="20">
    <w:name w:val="toc 1"/>
    <w:basedOn w:val="1"/>
    <w:next w:val="1"/>
    <w:unhideWhenUsed/>
    <w:qFormat/>
    <w:uiPriority w:val="39"/>
  </w:style>
  <w:style w:type="paragraph" w:styleId="21">
    <w:name w:val="toc 4"/>
    <w:basedOn w:val="1"/>
    <w:next w:val="1"/>
    <w:unhideWhenUsed/>
    <w:qFormat/>
    <w:uiPriority w:val="39"/>
    <w:pPr>
      <w:tabs>
        <w:tab w:val="right" w:leader="dot" w:pos="8296"/>
      </w:tabs>
      <w:spacing w:after="120"/>
      <w:ind w:left="1320" w:leftChars="600"/>
    </w:pPr>
  </w:style>
  <w:style w:type="paragraph" w:styleId="22">
    <w:name w:val="footnote text"/>
    <w:basedOn w:val="1"/>
    <w:semiHidden/>
    <w:unhideWhenUsed/>
    <w:qFormat/>
    <w:uiPriority w:val="99"/>
    <w:rPr>
      <w:sz w:val="18"/>
    </w:rPr>
  </w:style>
  <w:style w:type="paragraph" w:styleId="23">
    <w:name w:val="toc 6"/>
    <w:basedOn w:val="1"/>
    <w:next w:val="1"/>
    <w:qFormat/>
    <w:uiPriority w:val="39"/>
    <w:pPr>
      <w:ind w:left="1200"/>
    </w:pPr>
    <w:rPr>
      <w:rFonts w:ascii="Calibri" w:cs="Calibri"/>
      <w:sz w:val="18"/>
      <w:szCs w:val="18"/>
    </w:rPr>
  </w:style>
  <w:style w:type="paragraph" w:styleId="24">
    <w:name w:val="Body Text Indent 3"/>
    <w:basedOn w:val="1"/>
    <w:semiHidden/>
    <w:unhideWhenUsed/>
    <w:qFormat/>
    <w:uiPriority w:val="99"/>
    <w:pPr>
      <w:spacing w:after="120"/>
      <w:ind w:left="420" w:leftChars="200"/>
    </w:pPr>
    <w:rPr>
      <w:sz w:val="16"/>
      <w:szCs w:val="16"/>
    </w:rPr>
  </w:style>
  <w:style w:type="paragraph" w:styleId="25">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6">
    <w:name w:val="toc 9"/>
    <w:basedOn w:val="1"/>
    <w:next w:val="1"/>
    <w:unhideWhenUsed/>
    <w:qFormat/>
    <w:uiPriority w:val="39"/>
    <w:pPr>
      <w:widowControl w:val="0"/>
      <w:adjustRightInd/>
      <w:snapToGrid/>
      <w:spacing w:line="240" w:lineRule="auto"/>
      <w:ind w:left="3360" w:leftChars="1600"/>
      <w:jc w:val="both"/>
    </w:pPr>
    <w:rPr>
      <w:rFonts w:asciiTheme="minorHAnsi" w:hAnsiTheme="minorHAnsi" w:eastAsiaTheme="minorEastAsia"/>
      <w:kern w:val="2"/>
    </w:rPr>
  </w:style>
  <w:style w:type="paragraph" w:styleId="27">
    <w:name w:val="Body Text 2"/>
    <w:basedOn w:val="1"/>
    <w:qFormat/>
    <w:uiPriority w:val="0"/>
    <w:rPr>
      <w:sz w:val="24"/>
    </w:rPr>
  </w:style>
  <w:style w:type="paragraph" w:styleId="28">
    <w:name w:val="Normal (Web)"/>
    <w:basedOn w:val="1"/>
    <w:link w:val="63"/>
    <w:qFormat/>
    <w:uiPriority w:val="0"/>
    <w:pPr>
      <w:widowControl w:val="0"/>
      <w:adjustRightInd/>
      <w:snapToGrid/>
      <w:jc w:val="both"/>
    </w:pPr>
    <w:rPr>
      <w:rFonts w:asciiTheme="minorHAnsi" w:hAnsiTheme="minorHAnsi"/>
      <w:kern w:val="2"/>
      <w:sz w:val="24"/>
      <w:szCs w:val="24"/>
    </w:rPr>
  </w:style>
  <w:style w:type="paragraph" w:styleId="29">
    <w:name w:val="annotation subject"/>
    <w:basedOn w:val="10"/>
    <w:next w:val="10"/>
    <w:link w:val="67"/>
    <w:semiHidden/>
    <w:unhideWhenUsed/>
    <w:qFormat/>
    <w:uiPriority w:val="99"/>
    <w:rPr>
      <w:b/>
      <w:bCs/>
    </w:rPr>
  </w:style>
  <w:style w:type="paragraph" w:styleId="30">
    <w:name w:val="Body Text First Indent"/>
    <w:basedOn w:val="11"/>
    <w:next w:val="31"/>
    <w:qFormat/>
    <w:uiPriority w:val="0"/>
    <w:pPr>
      <w:spacing w:after="120"/>
      <w:ind w:firstLine="420" w:firstLineChars="100"/>
    </w:pPr>
    <w:rPr>
      <w:bCs/>
      <w:szCs w:val="21"/>
    </w:rPr>
  </w:style>
  <w:style w:type="paragraph" w:customStyle="1" w:styleId="31">
    <w:name w:val="样式 正文首行缩进 + 首行缩进:  1 字符"/>
    <w:basedOn w:val="1"/>
    <w:next w:val="1"/>
    <w:qFormat/>
    <w:uiPriority w:val="0"/>
    <w:pPr>
      <w:ind w:firstLine="200" w:firstLineChars="200"/>
    </w:pPr>
    <w:rPr>
      <w:rFonts w:cs="宋体"/>
      <w:szCs w:val="20"/>
    </w:rPr>
  </w:style>
  <w:style w:type="table" w:styleId="33">
    <w:name w:val="Table Grid"/>
    <w:basedOn w:val="3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22"/>
    <w:rPr>
      <w:b/>
      <w:bCs/>
    </w:rPr>
  </w:style>
  <w:style w:type="character" w:styleId="36">
    <w:name w:val="page number"/>
    <w:basedOn w:val="34"/>
    <w:qFormat/>
    <w:uiPriority w:val="0"/>
  </w:style>
  <w:style w:type="character" w:styleId="37">
    <w:name w:val="Emphasis"/>
    <w:basedOn w:val="34"/>
    <w:qFormat/>
    <w:uiPriority w:val="20"/>
    <w:rPr>
      <w:i/>
      <w:iCs/>
    </w:rPr>
  </w:style>
  <w:style w:type="character" w:styleId="38">
    <w:name w:val="Hyperlink"/>
    <w:qFormat/>
    <w:uiPriority w:val="99"/>
    <w:rPr>
      <w:rFonts w:hint="eastAsia" w:ascii="宋体" w:hAnsi="宋体" w:eastAsia="宋体" w:cs="宋体"/>
      <w:b/>
      <w:color w:val="0031C1"/>
      <w:kern w:val="0"/>
      <w:sz w:val="18"/>
      <w:szCs w:val="18"/>
      <w:u w:val="none"/>
      <w:lang w:eastAsia="en-US"/>
    </w:rPr>
  </w:style>
  <w:style w:type="character" w:styleId="39">
    <w:name w:val="annotation reference"/>
    <w:basedOn w:val="34"/>
    <w:semiHidden/>
    <w:unhideWhenUsed/>
    <w:qFormat/>
    <w:uiPriority w:val="99"/>
    <w:rPr>
      <w:sz w:val="21"/>
      <w:szCs w:val="21"/>
    </w:rPr>
  </w:style>
  <w:style w:type="character" w:styleId="40">
    <w:name w:val="footnote reference"/>
    <w:basedOn w:val="34"/>
    <w:semiHidden/>
    <w:unhideWhenUsed/>
    <w:qFormat/>
    <w:uiPriority w:val="99"/>
    <w:rPr>
      <w:vertAlign w:val="superscript"/>
    </w:rPr>
  </w:style>
  <w:style w:type="character" w:customStyle="1" w:styleId="41">
    <w:name w:val="标题 1 字符"/>
    <w:link w:val="2"/>
    <w:qFormat/>
    <w:uiPriority w:val="9"/>
    <w:rPr>
      <w:b/>
      <w:kern w:val="44"/>
      <w:sz w:val="44"/>
    </w:rPr>
  </w:style>
  <w:style w:type="character" w:customStyle="1" w:styleId="42">
    <w:name w:val="标题 2 字符"/>
    <w:basedOn w:val="34"/>
    <w:link w:val="3"/>
    <w:qFormat/>
    <w:uiPriority w:val="9"/>
    <w:rPr>
      <w:rFonts w:asciiTheme="majorHAnsi" w:hAnsiTheme="majorHAnsi" w:eastAsiaTheme="majorEastAsia" w:cstheme="majorBidi"/>
      <w:b/>
      <w:bCs/>
      <w:sz w:val="32"/>
      <w:szCs w:val="32"/>
    </w:rPr>
  </w:style>
  <w:style w:type="character" w:customStyle="1" w:styleId="43">
    <w:name w:val="标题 3 字符"/>
    <w:basedOn w:val="34"/>
    <w:link w:val="4"/>
    <w:qFormat/>
    <w:uiPriority w:val="9"/>
    <w:rPr>
      <w:rFonts w:ascii="Tahoma" w:hAnsi="Tahoma"/>
      <w:b/>
      <w:bCs/>
      <w:sz w:val="32"/>
      <w:szCs w:val="32"/>
    </w:rPr>
  </w:style>
  <w:style w:type="paragraph" w:customStyle="1" w:styleId="44">
    <w:name w:val="_Style 3"/>
    <w:basedOn w:val="1"/>
    <w:next w:val="24"/>
    <w:qFormat/>
    <w:uiPriority w:val="0"/>
    <w:pPr>
      <w:widowControl w:val="0"/>
      <w:adjustRightInd/>
      <w:snapToGrid/>
      <w:ind w:firstLine="420" w:firstLineChars="200"/>
      <w:jc w:val="both"/>
    </w:pPr>
    <w:rPr>
      <w:rFonts w:ascii="Times New Roman" w:hAnsi="Times New Roman" w:cs="Times New Roman"/>
      <w:kern w:val="2"/>
      <w:szCs w:val="24"/>
    </w:rPr>
  </w:style>
  <w:style w:type="paragraph" w:customStyle="1" w:styleId="45">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 w:type="paragraph" w:customStyle="1" w:styleId="46">
    <w:name w:val="Body Text First Indent1"/>
    <w:next w:val="1"/>
    <w:qFormat/>
    <w:uiPriority w:val="0"/>
    <w:pPr>
      <w:widowControl w:val="0"/>
      <w:spacing w:beforeLines="50"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47">
    <w:name w:val="List Paragraph"/>
    <w:basedOn w:val="1"/>
    <w:link w:val="68"/>
    <w:qFormat/>
    <w:uiPriority w:val="0"/>
    <w:pPr>
      <w:ind w:firstLine="420" w:firstLineChars="200"/>
    </w:pPr>
  </w:style>
  <w:style w:type="character" w:customStyle="1" w:styleId="48">
    <w:name w:val="标题 4 字符"/>
    <w:basedOn w:val="34"/>
    <w:link w:val="5"/>
    <w:qFormat/>
    <w:uiPriority w:val="9"/>
    <w:rPr>
      <w:rFonts w:eastAsia="宋体" w:asciiTheme="majorHAnsi" w:hAnsiTheme="majorHAnsi" w:cstheme="majorBidi"/>
      <w:b/>
      <w:bCs/>
      <w:sz w:val="24"/>
      <w:szCs w:val="28"/>
    </w:rPr>
  </w:style>
  <w:style w:type="character" w:customStyle="1" w:styleId="49">
    <w:name w:val="正文缩进2格 Char"/>
    <w:link w:val="50"/>
    <w:qFormat/>
    <w:uiPriority w:val="0"/>
    <w:rPr>
      <w:rFonts w:ascii="方正仿宋_GB2312" w:hAnsi="宋体" w:eastAsia="方正仿宋_GB2312"/>
      <w:kern w:val="2"/>
      <w:sz w:val="31"/>
    </w:rPr>
  </w:style>
  <w:style w:type="paragraph" w:customStyle="1" w:styleId="50">
    <w:name w:val="正文缩进2格"/>
    <w:basedOn w:val="1"/>
    <w:next w:val="1"/>
    <w:link w:val="49"/>
    <w:qFormat/>
    <w:uiPriority w:val="0"/>
    <w:pPr>
      <w:widowControl w:val="0"/>
      <w:adjustRightInd/>
      <w:snapToGrid/>
      <w:spacing w:line="600" w:lineRule="exact"/>
      <w:ind w:firstLine="639" w:firstLineChars="206"/>
      <w:jc w:val="both"/>
    </w:pPr>
    <w:rPr>
      <w:rFonts w:ascii="方正仿宋_GB2312" w:hAnsi="宋体" w:eastAsia="方正仿宋_GB2312"/>
      <w:kern w:val="2"/>
      <w:sz w:val="31"/>
    </w:rPr>
  </w:style>
  <w:style w:type="paragraph" w:customStyle="1" w:styleId="51">
    <w:name w:val="正文缩进4格"/>
    <w:basedOn w:val="50"/>
    <w:qFormat/>
    <w:uiPriority w:val="0"/>
    <w:pPr>
      <w:ind w:left="2" w:firstLine="538" w:firstLineChars="192"/>
    </w:pPr>
    <w:rPr>
      <w:color w:val="0000FF"/>
      <w:sz w:val="28"/>
    </w:rPr>
  </w:style>
  <w:style w:type="character" w:customStyle="1" w:styleId="52">
    <w:name w:val="正文缩进2格 Char Char"/>
    <w:qFormat/>
    <w:uiPriority w:val="0"/>
    <w:rPr>
      <w:rFonts w:ascii="方正仿宋_GB2312" w:hAnsi="宋体" w:eastAsia="方正仿宋_GB2312" w:cs="Times New Roman"/>
      <w:b/>
      <w:kern w:val="2"/>
      <w:sz w:val="31"/>
      <w:szCs w:val="28"/>
      <w:lang w:val="en-US" w:eastAsia="zh-CN" w:bidi="ar-SA"/>
    </w:rPr>
  </w:style>
  <w:style w:type="character" w:customStyle="1" w:styleId="53">
    <w:name w:val="标题1"/>
    <w:qFormat/>
    <w:uiPriority w:val="0"/>
    <w:rPr>
      <w:rFonts w:ascii="Times New Roman" w:hAnsi="Times New Roman" w:eastAsia="宋体" w:cs="Times New Roman"/>
      <w:b/>
      <w:kern w:val="0"/>
      <w:sz w:val="24"/>
      <w:szCs w:val="20"/>
      <w:lang w:eastAsia="en-US"/>
    </w:rPr>
  </w:style>
  <w:style w:type="character" w:customStyle="1" w:styleId="54">
    <w:name w:val="标题 3.1 Char"/>
    <w:link w:val="55"/>
    <w:qFormat/>
    <w:uiPriority w:val="0"/>
    <w:rPr>
      <w:rFonts w:ascii="宋体" w:hAnsi="宋体" w:eastAsia="宋体"/>
      <w:b/>
      <w:color w:val="FF0000"/>
      <w:kern w:val="2"/>
      <w:sz w:val="32"/>
    </w:rPr>
  </w:style>
  <w:style w:type="paragraph" w:customStyle="1" w:styleId="55">
    <w:name w:val="标题 3.1"/>
    <w:basedOn w:val="4"/>
    <w:link w:val="54"/>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6">
    <w:name w:val="样式 楷体_GB2312 小四"/>
    <w:qFormat/>
    <w:uiPriority w:val="0"/>
    <w:rPr>
      <w:rFonts w:ascii="方正楷体_GB2312" w:hAnsi="方正楷体_GB2312" w:eastAsia="方正仿宋_GB2312"/>
      <w:sz w:val="24"/>
    </w:rPr>
  </w:style>
  <w:style w:type="character" w:customStyle="1" w:styleId="57">
    <w:name w:val="纯文本 Char"/>
    <w:qFormat/>
    <w:uiPriority w:val="0"/>
    <w:rPr>
      <w:rFonts w:ascii="宋体" w:hAnsi="Courier New" w:eastAsia="宋体" w:cs="Times New Roman"/>
      <w:b/>
      <w:kern w:val="2"/>
      <w:sz w:val="21"/>
      <w:szCs w:val="20"/>
    </w:rPr>
  </w:style>
  <w:style w:type="character" w:customStyle="1" w:styleId="58">
    <w:name w:val="纯文本 字符"/>
    <w:basedOn w:val="34"/>
    <w:link w:val="15"/>
    <w:semiHidden/>
    <w:qFormat/>
    <w:uiPriority w:val="99"/>
    <w:rPr>
      <w:rFonts w:ascii="宋体" w:hAnsi="Courier New" w:eastAsia="宋体" w:cs="Courier New"/>
      <w:sz w:val="21"/>
      <w:szCs w:val="21"/>
    </w:rPr>
  </w:style>
  <w:style w:type="character" w:customStyle="1" w:styleId="59">
    <w:name w:val="页眉 字符"/>
    <w:basedOn w:val="34"/>
    <w:link w:val="19"/>
    <w:qFormat/>
    <w:uiPriority w:val="99"/>
    <w:rPr>
      <w:rFonts w:ascii="Tahoma" w:hAnsi="Tahoma"/>
      <w:sz w:val="18"/>
      <w:szCs w:val="18"/>
    </w:rPr>
  </w:style>
  <w:style w:type="character" w:customStyle="1" w:styleId="60">
    <w:name w:val="页脚 字符"/>
    <w:basedOn w:val="34"/>
    <w:link w:val="18"/>
    <w:qFormat/>
    <w:uiPriority w:val="99"/>
    <w:rPr>
      <w:rFonts w:ascii="Tahoma" w:hAnsi="Tahoma"/>
      <w:sz w:val="18"/>
      <w:szCs w:val="18"/>
    </w:rPr>
  </w:style>
  <w:style w:type="character" w:customStyle="1" w:styleId="61">
    <w:name w:val="批注框文本 字符"/>
    <w:basedOn w:val="34"/>
    <w:link w:val="17"/>
    <w:semiHidden/>
    <w:qFormat/>
    <w:uiPriority w:val="99"/>
    <w:rPr>
      <w:rFonts w:ascii="Tahoma" w:hAnsi="Tahoma"/>
      <w:sz w:val="18"/>
      <w:szCs w:val="18"/>
    </w:rPr>
  </w:style>
  <w:style w:type="paragraph" w:customStyle="1" w:styleId="62">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63">
    <w:name w:val="普通(网站) 字符"/>
    <w:link w:val="28"/>
    <w:qFormat/>
    <w:uiPriority w:val="0"/>
    <w:rPr>
      <w:rFonts w:eastAsia="宋体"/>
      <w:kern w:val="2"/>
      <w:sz w:val="24"/>
      <w:szCs w:val="24"/>
    </w:rPr>
  </w:style>
  <w:style w:type="paragraph" w:customStyle="1" w:styleId="64">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65">
    <w:name w:val="p141"/>
    <w:qFormat/>
    <w:uiPriority w:val="0"/>
    <w:rPr>
      <w:sz w:val="21"/>
      <w:szCs w:val="21"/>
    </w:rPr>
  </w:style>
  <w:style w:type="character" w:customStyle="1" w:styleId="66">
    <w:name w:val="批注文字 字符"/>
    <w:basedOn w:val="34"/>
    <w:link w:val="10"/>
    <w:qFormat/>
    <w:uiPriority w:val="99"/>
    <w:rPr>
      <w:rFonts w:ascii="Tahoma" w:hAnsi="Tahoma" w:eastAsia="微软雅黑" w:cstheme="minorBidi"/>
      <w:sz w:val="22"/>
      <w:szCs w:val="22"/>
    </w:rPr>
  </w:style>
  <w:style w:type="character" w:customStyle="1" w:styleId="67">
    <w:name w:val="批注主题 字符"/>
    <w:basedOn w:val="66"/>
    <w:link w:val="29"/>
    <w:semiHidden/>
    <w:qFormat/>
    <w:uiPriority w:val="99"/>
    <w:rPr>
      <w:rFonts w:ascii="Tahoma" w:hAnsi="Tahoma" w:eastAsia="微软雅黑" w:cstheme="minorBidi"/>
      <w:b/>
      <w:bCs/>
      <w:sz w:val="22"/>
      <w:szCs w:val="22"/>
    </w:rPr>
  </w:style>
  <w:style w:type="character" w:customStyle="1" w:styleId="68">
    <w:name w:val="列表段落 字符"/>
    <w:link w:val="47"/>
    <w:qFormat/>
    <w:uiPriority w:val="0"/>
    <w:rPr>
      <w:rFonts w:ascii="Tahoma" w:hAnsi="Tahoma" w:eastAsia="微软雅黑" w:cstheme="minorBidi"/>
      <w:sz w:val="22"/>
      <w:szCs w:val="22"/>
    </w:rPr>
  </w:style>
  <w:style w:type="character" w:customStyle="1" w:styleId="69">
    <w:name w:val="正文文本 字符"/>
    <w:basedOn w:val="34"/>
    <w:link w:val="11"/>
    <w:qFormat/>
    <w:uiPriority w:val="1"/>
    <w:rPr>
      <w:rFonts w:ascii="宋体" w:hAnsi="宋体" w:cs="宋体"/>
      <w:sz w:val="24"/>
      <w:szCs w:val="22"/>
      <w:lang w:val="zh-CN" w:bidi="zh-CN"/>
    </w:rPr>
  </w:style>
  <w:style w:type="paragraph" w:customStyle="1" w:styleId="7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1">
    <w:name w:val="_Style 1"/>
    <w:basedOn w:val="1"/>
    <w:qFormat/>
    <w:uiPriority w:val="0"/>
    <w:pPr>
      <w:ind w:firstLine="420" w:firstLineChars="200"/>
    </w:pPr>
  </w:style>
  <w:style w:type="paragraph" w:customStyle="1" w:styleId="72">
    <w:name w:val="列出段落2"/>
    <w:basedOn w:val="1"/>
    <w:qFormat/>
    <w:uiPriority w:val="0"/>
    <w:pPr>
      <w:ind w:firstLine="420" w:firstLineChars="200"/>
    </w:pPr>
  </w:style>
  <w:style w:type="paragraph" w:customStyle="1" w:styleId="73">
    <w:name w:val="p0"/>
    <w:basedOn w:val="1"/>
    <w:qFormat/>
    <w:uiPriority w:val="0"/>
    <w:rPr>
      <w:szCs w:val="21"/>
    </w:rPr>
  </w:style>
  <w:style w:type="paragraph" w:customStyle="1" w:styleId="74">
    <w:name w:val="正文文本缩进 21"/>
    <w:basedOn w:val="1"/>
    <w:qFormat/>
    <w:uiPriority w:val="0"/>
    <w:pPr>
      <w:spacing w:line="480" w:lineRule="auto"/>
      <w:ind w:firstLine="540"/>
    </w:pPr>
    <w:rPr>
      <w:rFonts w:ascii="Calibri" w:hAnsi="Calibri"/>
      <w:sz w:val="20"/>
      <w:szCs w:val="20"/>
    </w:rPr>
  </w:style>
  <w:style w:type="paragraph" w:customStyle="1" w:styleId="75">
    <w:name w:val="_Style 2"/>
    <w:basedOn w:val="1"/>
    <w:qFormat/>
    <w:uiPriority w:val="0"/>
    <w:pPr>
      <w:ind w:firstLine="420" w:firstLineChars="200"/>
    </w:pPr>
  </w:style>
  <w:style w:type="paragraph" w:customStyle="1" w:styleId="76">
    <w:name w:val="msolistparagraph"/>
    <w:basedOn w:val="1"/>
    <w:qFormat/>
    <w:uiPriority w:val="0"/>
    <w:pPr>
      <w:ind w:firstLine="420" w:firstLineChars="200"/>
    </w:pPr>
    <w:rPr>
      <w:rFonts w:hint="eastAsia" w:hAnsi="宋体"/>
    </w:rPr>
  </w:style>
  <w:style w:type="character" w:customStyle="1" w:styleId="77">
    <w:name w:val="标题 5 字符"/>
    <w:link w:val="6"/>
    <w:qFormat/>
    <w:uiPriority w:val="0"/>
    <w:rPr>
      <w:b/>
      <w:sz w:val="28"/>
    </w:rPr>
  </w:style>
  <w:style w:type="paragraph" w:customStyle="1" w:styleId="78">
    <w:name w:val="修订1"/>
    <w:hidden/>
    <w:semiHidden/>
    <w:qFormat/>
    <w:uiPriority w:val="99"/>
    <w:rPr>
      <w:rFonts w:ascii="Tahoma" w:hAnsi="Tahoma" w:eastAsia="宋体" w:cstheme="minorBidi"/>
      <w:sz w:val="21"/>
      <w:szCs w:val="22"/>
      <w:lang w:val="en-US" w:eastAsia="zh-CN" w:bidi="ar-SA"/>
    </w:rPr>
  </w:style>
  <w:style w:type="paragraph" w:customStyle="1" w:styleId="79">
    <w:name w:val="表格文字"/>
    <w:basedOn w:val="1"/>
    <w:qFormat/>
    <w:uiPriority w:val="0"/>
    <w:pPr>
      <w:adjustRightInd/>
      <w:spacing w:before="25" w:after="25"/>
    </w:pPr>
    <w:rPr>
      <w:rFonts w:ascii="Times New Roman"/>
      <w:bCs/>
      <w:spacing w:val="10"/>
      <w:szCs w:val="20"/>
    </w:rPr>
  </w:style>
  <w:style w:type="paragraph" w:customStyle="1" w:styleId="80">
    <w:name w:val="纯文本1"/>
    <w:basedOn w:val="81"/>
    <w:qFormat/>
    <w:uiPriority w:val="0"/>
    <w:rPr>
      <w:rFonts w:ascii="宋体" w:hAnsi="Courier New"/>
      <w:szCs w:val="20"/>
    </w:rPr>
  </w:style>
  <w:style w:type="paragraph" w:customStyle="1" w:styleId="81">
    <w:name w:val="正文 New"/>
    <w:qFormat/>
    <w:uiPriority w:val="99"/>
    <w:pPr>
      <w:widowControl w:val="0"/>
      <w:spacing w:line="360" w:lineRule="auto"/>
      <w:jc w:val="both"/>
    </w:pPr>
    <w:rPr>
      <w:rFonts w:ascii="Times New Roman" w:hAnsi="Times New Roman" w:eastAsia="宋体" w:cs="兰米黑体"/>
      <w:kern w:val="2"/>
      <w:sz w:val="21"/>
      <w:szCs w:val="22"/>
      <w:lang w:val="en-US" w:eastAsia="zh-CN" w:bidi="ar-SA"/>
    </w:rPr>
  </w:style>
  <w:style w:type="paragraph" w:customStyle="1" w:styleId="82">
    <w:name w:val="正文2"/>
    <w:qFormat/>
    <w:uiPriority w:val="0"/>
    <w:pPr>
      <w:jc w:val="both"/>
    </w:pPr>
    <w:rPr>
      <w:rFonts w:ascii="Times New Roman" w:hAnsi="Times New Roman" w:eastAsia="宋体" w:cs="Times New Roman"/>
      <w:kern w:val="2"/>
      <w:sz w:val="21"/>
      <w:szCs w:val="21"/>
      <w:lang w:val="en-US" w:eastAsia="zh-CN" w:bidi="ar-SA"/>
    </w:rPr>
  </w:style>
  <w:style w:type="table" w:customStyle="1" w:styleId="83">
    <w:name w:val="Table Normal"/>
    <w:semiHidden/>
    <w:unhideWhenUsed/>
    <w:qFormat/>
    <w:uiPriority w:val="2"/>
    <w:tblPr>
      <w:tblCellMar>
        <w:top w:w="0" w:type="dxa"/>
        <w:left w:w="0" w:type="dxa"/>
        <w:bottom w:w="0" w:type="dxa"/>
        <w:right w:w="0" w:type="dxa"/>
      </w:tblCellMar>
    </w:tblPr>
  </w:style>
  <w:style w:type="paragraph" w:customStyle="1" w:styleId="84">
    <w:name w:val="Table Paragraph"/>
    <w:basedOn w:val="1"/>
    <w:qFormat/>
    <w:uiPriority w:val="1"/>
  </w:style>
  <w:style w:type="paragraph" w:customStyle="1" w:styleId="85">
    <w:name w:val="正文文本缩进1"/>
    <w:basedOn w:val="81"/>
    <w:qFormat/>
    <w:uiPriority w:val="0"/>
    <w:pPr>
      <w:spacing w:after="120"/>
      <w:ind w:left="420" w:leftChars="200"/>
    </w:pPr>
  </w:style>
  <w:style w:type="paragraph" w:customStyle="1" w:styleId="86">
    <w:name w:val="正文 New New"/>
    <w:qFormat/>
    <w:uiPriority w:val="0"/>
    <w:pPr>
      <w:widowControl w:val="0"/>
      <w:jc w:val="both"/>
    </w:pPr>
    <w:rPr>
      <w:rFonts w:ascii="Times New Roman" w:hAnsi="Times New Roman" w:eastAsia="宋体" w:cs="Times New Roman"/>
      <w:szCs w:val="24"/>
      <w:lang w:val="en-US" w:eastAsia="zh-CN" w:bidi="ar-SA"/>
    </w:rPr>
  </w:style>
  <w:style w:type="paragraph" w:customStyle="1" w:styleId="87">
    <w:name w:val="纯文本2"/>
    <w:basedOn w:val="81"/>
    <w:qFormat/>
    <w:uiPriority w:val="0"/>
    <w:rPr>
      <w:rFonts w:ascii="宋体" w:hAnsi="Courier New"/>
      <w:szCs w:val="20"/>
    </w:rPr>
  </w:style>
  <w:style w:type="character" w:customStyle="1" w:styleId="88">
    <w:name w:val="font141"/>
    <w:qFormat/>
    <w:uiPriority w:val="0"/>
    <w:rPr>
      <w:rFonts w:hint="default" w:ascii="Times New Roman" w:hAnsi="Times New Roman" w:cs="Times New Roman"/>
      <w:color w:val="000000"/>
      <w:sz w:val="18"/>
      <w:szCs w:val="18"/>
      <w:u w:val="none"/>
    </w:rPr>
  </w:style>
  <w:style w:type="character" w:customStyle="1" w:styleId="89">
    <w:name w:val="font71"/>
    <w:qFormat/>
    <w:uiPriority w:val="0"/>
    <w:rPr>
      <w:rFonts w:hint="eastAsia" w:ascii="宋体" w:hAnsi="宋体" w:eastAsia="宋体" w:cs="宋体"/>
      <w:color w:val="000000"/>
      <w:sz w:val="18"/>
      <w:szCs w:val="18"/>
      <w:u w:val="none"/>
    </w:rPr>
  </w:style>
  <w:style w:type="paragraph" w:customStyle="1" w:styleId="90">
    <w:name w:val="正文文本首行缩进1"/>
    <w:next w:val="1"/>
    <w:qFormat/>
    <w:uiPriority w:val="0"/>
    <w:pPr>
      <w:widowControl w:val="0"/>
      <w:spacing w:beforeLines="50"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91">
    <w:name w:val="正文文本首行缩进11"/>
    <w:next w:val="1"/>
    <w:qFormat/>
    <w:uiPriority w:val="0"/>
    <w:pPr>
      <w:widowControl w:val="0"/>
      <w:spacing w:beforeLines="50"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92">
    <w:name w:val="table"/>
    <w:qFormat/>
    <w:uiPriority w:val="0"/>
    <w:pPr>
      <w:adjustRightInd w:val="0"/>
      <w:snapToGrid w:val="0"/>
    </w:pPr>
    <w:rPr>
      <w:rFonts w:ascii="宋体" w:hAnsi="Calibri" w:eastAsia="宋体" w:cs="Times New Roman"/>
      <w:kern w:val="2"/>
      <w:sz w:val="24"/>
      <w:szCs w:val="22"/>
      <w:lang w:val="en-US" w:eastAsia="zh-CN" w:bidi="ar-SA"/>
    </w:rPr>
  </w:style>
  <w:style w:type="paragraph" w:customStyle="1" w:styleId="93">
    <w:name w:val="样式 左侧:  0.74 厘米"/>
    <w:basedOn w:val="1"/>
    <w:qFormat/>
    <w:uiPriority w:val="99"/>
    <w:pPr>
      <w:widowControl w:val="0"/>
      <w:adjustRightInd/>
      <w:snapToGrid/>
      <w:ind w:left="620" w:hanging="200" w:hangingChars="200"/>
      <w:jc w:val="both"/>
    </w:pPr>
    <w:rPr>
      <w:rFonts w:ascii="Times New Roman" w:hAnsi="Times New Roman" w:cs="宋体"/>
      <w:kern w:val="2"/>
      <w:szCs w:val="20"/>
    </w:rPr>
  </w:style>
  <w:style w:type="paragraph" w:customStyle="1" w:styleId="94">
    <w:name w:val="楷体粗正文文字"/>
    <w:basedOn w:val="1"/>
    <w:next w:val="24"/>
    <w:qFormat/>
    <w:uiPriority w:val="99"/>
    <w:pPr>
      <w:widowControl w:val="0"/>
      <w:adjustRightInd/>
      <w:spacing w:line="480" w:lineRule="exact"/>
      <w:ind w:firstLine="560"/>
      <w:jc w:val="both"/>
    </w:pPr>
    <w:rPr>
      <w:rFonts w:ascii="Times New Roman" w:hAnsi="Times New Roman" w:cs="Times New Roman"/>
      <w:kern w:val="2"/>
      <w:sz w:val="28"/>
      <w:szCs w:val="20"/>
    </w:rPr>
  </w:style>
  <w:style w:type="paragraph" w:customStyle="1" w:styleId="95">
    <w:name w:val="Normal_7_0"/>
    <w:qFormat/>
    <w:uiPriority w:val="0"/>
    <w:pPr>
      <w:widowControl w:val="0"/>
      <w:jc w:val="both"/>
    </w:pPr>
    <w:rPr>
      <w:rFonts w:ascii="宋体" w:hAnsi="宋体" w:eastAsia="宋体" w:cs="宋体"/>
      <w:lang w:val="en-US" w:eastAsia="zh-CN" w:bidi="ar-SA"/>
    </w:rPr>
  </w:style>
  <w:style w:type="paragraph" w:customStyle="1" w:styleId="96">
    <w:name w:val="ds-markdown-paragraph"/>
    <w:basedOn w:val="1"/>
    <w:qFormat/>
    <w:uiPriority w:val="0"/>
    <w:pPr>
      <w:adjustRightInd/>
      <w:snapToGrid/>
      <w:spacing w:before="100" w:beforeAutospacing="1" w:after="100" w:afterAutospacing="1" w:line="240" w:lineRule="auto"/>
    </w:pPr>
    <w:rPr>
      <w:rFonts w:ascii="宋体" w:hAnsi="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1.jpeg"/><Relationship Id="rId31" Type="http://schemas.openxmlformats.org/officeDocument/2006/relationships/image" Target="media/image20.jpe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jpe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jpe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2FDE4B-77BC-4B7C-94B1-DC883D12665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97</Pages>
  <Words>9872</Words>
  <Characters>10711</Characters>
  <Lines>382</Lines>
  <Paragraphs>107</Paragraphs>
  <TotalTime>8</TotalTime>
  <ScaleCrop>false</ScaleCrop>
  <LinksUpToDate>false</LinksUpToDate>
  <CharactersWithSpaces>10891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2022-10-28T09:19:00Z</dcterms:created>
  <dc:creator>MyPC</dc:creator>
  <cp:lastModifiedBy>Steven</cp:lastModifiedBy>
  <cp:lastPrinted>2025-10-17T09:39:00Z</cp:lastPrinted>
  <dcterms:modified xsi:type="dcterms:W3CDTF">2026-08-25T07:19:11Z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1BC5BA12996543178ED6F8970B64DCBF_13</vt:lpwstr>
  </property>
  <property fmtid="{D5CDD505-2E9C-101B-9397-08002B2CF9AE}" pid="4" name="KSOTemplateDocerSaveRecord">
    <vt:lpwstr>eyJoZGlkIjoiMjM2ODFkNzM3YjFmM2ZkNTQzZjVjOWMwMzE4N2JlYTEiLCJ1c2VySWQiOiIyNDY2MzMwNzIifQ==</vt:lpwstr>
  </property>
</Properties>
</file>