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2D147">
      <w:pPr>
        <w:jc w:val="center"/>
        <w:rPr>
          <w:rFonts w:hint="eastAsia" w:ascii="楷体_GB2312" w:hAnsi="楷体_GB2312" w:eastAsia="楷体_GB2312" w:cs="楷体_GB2312"/>
          <w:sz w:val="32"/>
        </w:rPr>
      </w:pPr>
      <w:r>
        <w:rPr>
          <w:rFonts w:hint="eastAsia" w:ascii="楷体_GB2312" w:hAnsi="楷体_GB2312" w:eastAsia="楷体_GB2312" w:cs="楷体_GB2312"/>
          <w:sz w:val="32"/>
        </w:rPr>
        <w:t>采购公告</w:t>
      </w:r>
    </w:p>
    <w:p w14:paraId="100AACDB">
      <w:pPr>
        <w:widowControl/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至：投标人</w:t>
      </w:r>
    </w:p>
    <w:p w14:paraId="585AE5A2">
      <w:pPr>
        <w:widowControl/>
        <w:snapToGrid w:val="0"/>
        <w:spacing w:line="360" w:lineRule="auto"/>
        <w:ind w:firstLine="525" w:firstLineChars="25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  <w:r>
        <w:rPr>
          <w:rFonts w:hint="eastAsia" w:ascii="仿宋_GB2312" w:hAnsi="仿宋_GB2312" w:eastAsia="仿宋_GB2312" w:cs="仿宋_GB2312"/>
          <w:kern w:val="0"/>
          <w:szCs w:val="21"/>
        </w:rPr>
        <w:t>就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东莞市中心广场南广场活化改造提升项目斜顶商业街装饰装修工程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kern w:val="0"/>
          <w:szCs w:val="21"/>
        </w:rPr>
        <w:t>进行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公开采购 </w:t>
      </w:r>
      <w:r>
        <w:rPr>
          <w:rFonts w:hint="eastAsia" w:ascii="仿宋_GB2312" w:hAnsi="仿宋_GB2312" w:eastAsia="仿宋_GB2312" w:cs="仿宋_GB2312"/>
          <w:kern w:val="0"/>
          <w:szCs w:val="21"/>
        </w:rPr>
        <w:t>现将有关事项说明如下：</w:t>
      </w:r>
    </w:p>
    <w:p w14:paraId="3CCAEBC5">
      <w:pPr>
        <w:widowControl/>
        <w:numPr>
          <w:ilvl w:val="0"/>
          <w:numId w:val="1"/>
        </w:numPr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项目名称：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东莞市中心广场南广场活化改造提升项目斜顶商业街装饰装修工程</w:t>
      </w:r>
    </w:p>
    <w:p w14:paraId="0AF5B58E">
      <w:pPr>
        <w:widowControl/>
        <w:numPr>
          <w:ilvl w:val="0"/>
          <w:numId w:val="1"/>
        </w:numPr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项目编号：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ZBCG-202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>-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146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</w:t>
      </w:r>
    </w:p>
    <w:p w14:paraId="0FF12E70">
      <w:pPr>
        <w:widowControl/>
        <w:snapToGrid w:val="0"/>
        <w:spacing w:line="360" w:lineRule="auto"/>
        <w:ind w:left="42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三、工程地点：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东莞南城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             </w:t>
      </w:r>
    </w:p>
    <w:p w14:paraId="71A2C722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四、采购限价：本项目采购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限</w:t>
      </w:r>
      <w:r>
        <w:rPr>
          <w:rFonts w:hint="eastAsia" w:ascii="仿宋_GB2312" w:hAnsi="仿宋_GB2312" w:eastAsia="仿宋_GB2312" w:cs="仿宋_GB2312"/>
          <w:kern w:val="0"/>
          <w:szCs w:val="21"/>
        </w:rPr>
        <w:t>价为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¥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2522464.79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元（含税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%）</w:t>
      </w:r>
      <w:r>
        <w:rPr>
          <w:rFonts w:hint="eastAsia" w:ascii="仿宋_GB2312" w:hAnsi="仿宋_GB2312" w:eastAsia="仿宋_GB2312" w:cs="仿宋_GB2312"/>
          <w:color w:val="7E7E7E"/>
          <w:kern w:val="0"/>
          <w:szCs w:val="21"/>
        </w:rPr>
        <w:t>，</w:t>
      </w:r>
      <w:r>
        <w:rPr>
          <w:rFonts w:hint="eastAsia" w:ascii="仿宋_GB2312" w:hAnsi="仿宋_GB2312" w:eastAsia="仿宋_GB2312" w:cs="仿宋_GB2312"/>
          <w:kern w:val="0"/>
          <w:szCs w:val="21"/>
        </w:rPr>
        <w:t>其中不含税工程价款为: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(小写)¥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2314187.88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>(大写)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贰佰叁拾壹万肆仟壹佰捌拾柒元捌角捌分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;</w:t>
      </w:r>
      <w:r>
        <w:rPr>
          <w:rFonts w:hint="eastAsia" w:ascii="仿宋_GB2312" w:hAnsi="仿宋_GB2312" w:eastAsia="仿宋_GB2312" w:cs="仿宋_GB2312"/>
          <w:kern w:val="0"/>
          <w:szCs w:val="21"/>
        </w:rPr>
        <w:t>税金:(小写)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¥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208276.91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(大写)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贰拾万零捌仟贰佰柒拾陆元玖角壹分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。（投标人报价不得高于采购限价）</w:t>
      </w:r>
    </w:p>
    <w:p w14:paraId="0B0A824A">
      <w:pPr>
        <w:widowControl/>
        <w:tabs>
          <w:tab w:val="left" w:pos="361"/>
        </w:tabs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szCs w:val="21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五、工程概况：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21"/>
          <w:szCs w:val="21"/>
          <w:u w:val="single"/>
          <w:lang w:val="en-US" w:eastAsia="zh-CN" w:bidi="ar-SA"/>
        </w:rPr>
        <w:t>斜顶商业街建筑面积约2343.68㎡，占地面积约1734.76㎡，规划高度9.5m，对原办公楼外立面进行改造美化及室内装修，完善配套功能；水下区域建筑面积约4811.12㎡，占地面积约4811.12㎡，规划高度4.7m，原为地下商铺，拟改造为停车场（规划停车位97个）。</w:t>
      </w:r>
    </w:p>
    <w:p w14:paraId="0347C30A">
      <w:pPr>
        <w:widowControl/>
        <w:snapToGrid w:val="0"/>
        <w:spacing w:line="360" w:lineRule="auto"/>
        <w:ind w:firstLine="367" w:firstLineChars="175"/>
        <w:rPr>
          <w:rFonts w:hint="default" w:ascii="仿宋_GB2312" w:hAnsi="仿宋_GB2312" w:eastAsia="仿宋_GB2312" w:cs="仿宋_GB2312"/>
          <w:kern w:val="0"/>
          <w:szCs w:val="21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六、工程范围：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Cs w:val="21"/>
          <w:u w:val="single"/>
          <w:lang w:val="en-US" w:eastAsia="zh-CN"/>
        </w:rPr>
        <w:t>包括不限于：</w:t>
      </w:r>
      <w:r>
        <w:rPr>
          <w:rFonts w:hint="eastAsia" w:ascii="仿宋_GB2312" w:hAnsi="仿宋_GB2312" w:eastAsia="仿宋_GB2312" w:cs="仿宋_GB2312"/>
          <w:szCs w:val="21"/>
          <w:u w:val="single"/>
        </w:rPr>
        <w:t>土方工程（挖基坑及沟槽土方约237m³、回填约196m³）；砌筑工程（加气混凝土砌块及实心砖墙约224m³）；混凝土及钢筋混凝土工程（含设备基础、垫层、独立基础、有梁板、楼梯、构造柱等）；门窗工程（防火门、铝合金门、不锈钢卷帘门、铝合金窗、百叶窗、金属格栅等）；屋面及防水工程；保温隔热工程；楼地面装饰工程（细石混凝土地面、块料楼地面约900㎡等）；墙柱面装饰与隔断工程；天棚工程（吊顶约496㎡）；油漆涂料工程；其他装饰工程（屋面栏杆约437m、成品卫浴配件等）；屋顶花园及室外园建工程）；以及模板工程、脚手架及垂直运输等</w:t>
      </w:r>
      <w:r>
        <w:rPr>
          <w:rFonts w:hint="eastAsia" w:ascii="仿宋_GB2312" w:hAnsi="仿宋_GB2312" w:eastAsia="仿宋_GB2312" w:cs="仿宋_GB2312"/>
          <w:szCs w:val="21"/>
          <w:u w:val="single"/>
          <w:lang w:eastAsia="zh-CN"/>
        </w:rPr>
        <w:t>，</w:t>
      </w:r>
      <w:r>
        <w:rPr>
          <w:rFonts w:hint="eastAsia" w:ascii="仿宋_GB2312" w:hAnsi="仿宋_GB2312" w:eastAsia="仿宋_GB2312" w:cs="仿宋_GB2312"/>
          <w:szCs w:val="21"/>
          <w:u w:val="single"/>
          <w:lang w:val="en-US" w:eastAsia="zh-CN"/>
        </w:rPr>
        <w:t>具体详见工程量清单及图纸</w:t>
      </w:r>
      <w:r>
        <w:rPr>
          <w:rFonts w:hint="eastAsia" w:ascii="仿宋_GB2312" w:hAnsi="仿宋_GB2312" w:eastAsia="仿宋_GB2312" w:cs="仿宋_GB2312"/>
          <w:szCs w:val="21"/>
          <w:u w:val="single"/>
        </w:rPr>
        <w:t>。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 xml:space="preserve">              </w:t>
      </w:r>
    </w:p>
    <w:p w14:paraId="6A1C7F2B">
      <w:pPr>
        <w:widowControl/>
        <w:snapToGrid w:val="0"/>
        <w:spacing w:line="360" w:lineRule="auto"/>
        <w:ind w:firstLine="367" w:firstLineChars="175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七、承包方式：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包工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Cs w:val="21"/>
        </w:rPr>
        <w:t>包辅材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Cs w:val="21"/>
        </w:rPr>
        <w:t>包小型机械设备（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Cs w:val="21"/>
        </w:rPr>
        <w:t>人提供的设备除外）、包小型机械设备操作用工、包施工用水电设备及相关费用、包保险费用、包税金、包工期、包质量、包安全生产、包现场文明施工、包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制安</w:t>
      </w:r>
      <w:r>
        <w:rPr>
          <w:rFonts w:hint="eastAsia" w:ascii="仿宋_GB2312" w:hAnsi="仿宋_GB2312" w:eastAsia="仿宋_GB2312" w:cs="仿宋_GB2312"/>
          <w:kern w:val="0"/>
          <w:szCs w:val="21"/>
        </w:rPr>
        <w:t>、包验收、包结算、包风险、包与其他分包单位的配合等。</w:t>
      </w:r>
    </w:p>
    <w:p w14:paraId="61535353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2、甲供材：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钢筋、混凝土、瓷砖、石材、防腐木菠萝格木板、菠萝格防腐木木板、菠萝格防腐木扶手等，具体详见清单描述及备注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eastAsia="zh-CN"/>
        </w:rPr>
        <w:t>。</w:t>
      </w:r>
    </w:p>
    <w:p w14:paraId="6990A05F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八、工期：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计划2026年8月15日起至2026年9月25日，工期为41个日历天，具体施工时间根据项目部施工进度安排，乙方无条件配合施工进度。</w:t>
      </w:r>
    </w:p>
    <w:p w14:paraId="49A135DC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九、投标文件的递交时间及开标地点：以密封形式于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</w:rPr>
        <w:t>年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月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</w:rPr>
        <w:t>日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时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分前递交，截止时间为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年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月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日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时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分，所有应答文件必须在规定的应答截止时间前按规定地址送达采购人，逾期恕不接受。</w:t>
      </w:r>
    </w:p>
    <w:p w14:paraId="3E63BA49">
      <w:pPr>
        <w:widowControl/>
        <w:snapToGrid w:val="0"/>
        <w:spacing w:line="360" w:lineRule="auto"/>
        <w:ind w:firstLine="630" w:firstLineChars="3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开标地址：东莞市南城街道城市风景街8栋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4楼城工集团</w:t>
      </w:r>
      <w:r>
        <w:rPr>
          <w:rFonts w:hint="eastAsia" w:ascii="仿宋_GB2312" w:hAnsi="仿宋_GB2312" w:eastAsia="仿宋_GB2312" w:cs="仿宋_GB2312"/>
          <w:kern w:val="0"/>
          <w:szCs w:val="21"/>
        </w:rPr>
        <w:t>开标室。</w:t>
      </w:r>
    </w:p>
    <w:p w14:paraId="75EC24B7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十、注意事项：</w:t>
      </w:r>
    </w:p>
    <w:p w14:paraId="47FD012B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1、投标人必须全面响应采购文件要求，投标人任何附加条件采购人一律不接受或视为废标。</w:t>
      </w:r>
    </w:p>
    <w:p w14:paraId="4C1B97F0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2、中标人严禁有挂靠或者违法转包行为。</w:t>
      </w:r>
    </w:p>
    <w:p w14:paraId="02E5EABE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3、投标文件严禁出现不平衡报价。</w:t>
      </w:r>
    </w:p>
    <w:p w14:paraId="468CA98A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4、质量要求：现行的施工规范要求</w:t>
      </w:r>
      <w:r>
        <w:rPr>
          <w:rFonts w:hint="eastAsia" w:ascii="仿宋_GB2312" w:hAnsi="仿宋_GB2312" w:eastAsia="仿宋_GB2312" w:cs="仿宋_GB2312"/>
          <w:color w:val="FF0000"/>
          <w:kern w:val="0"/>
          <w:szCs w:val="21"/>
        </w:rPr>
        <w:t>及用户需求书列明的质量管控要求。</w:t>
      </w:r>
    </w:p>
    <w:p w14:paraId="31FF0229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  <w:t>5、本工程要求开具工人工资支付保函：</w:t>
      </w:r>
    </w:p>
    <w:p w14:paraId="197E96CF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  <w:t>专业分包单位需要提供合同总额3%的工人工资支付保函。</w:t>
      </w:r>
    </w:p>
    <w:p w14:paraId="2C3FB443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</w:pPr>
      <w:bookmarkStart w:id="0" w:name="OLE_LINK4"/>
      <w:r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  <w:t>6、本项目履约保证金：设立（详见合同条款约定第十一条）</w:t>
      </w:r>
      <w:bookmarkEnd w:id="0"/>
    </w:p>
    <w:p w14:paraId="1965753F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十一、采购文件获取：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城工集团</w:t>
      </w:r>
      <w:r>
        <w:rPr>
          <w:rFonts w:hint="eastAsia" w:ascii="仿宋_GB2312" w:hAnsi="仿宋_GB2312" w:eastAsia="仿宋_GB2312" w:cs="仿宋_GB2312"/>
          <w:szCs w:val="21"/>
        </w:rPr>
        <w:t>公司官网（http: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Cs w:val="21"/>
        </w:rPr>
        <w:t>/www.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Cs w:val="21"/>
        </w:rPr>
        <w:t>dggcc.cn）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/>
        </w:rPr>
        <w:t>东实集团官网（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eastAsia="zh-CN"/>
        </w:rPr>
        <w:t>http://www.dgsy.com.cn）</w:t>
      </w:r>
      <w:r>
        <w:rPr>
          <w:rFonts w:hint="eastAsia" w:ascii="仿宋_GB2312" w:hAnsi="仿宋_GB2312" w:eastAsia="仿宋_GB2312" w:cs="仿宋_GB2312"/>
          <w:kern w:val="0"/>
          <w:szCs w:val="21"/>
        </w:rPr>
        <w:t>。</w:t>
      </w:r>
    </w:p>
    <w:p w14:paraId="33FCDE63">
      <w:pPr>
        <w:widowControl/>
        <w:snapToGrid w:val="0"/>
        <w:spacing w:line="360" w:lineRule="auto"/>
        <w:ind w:firstLine="367" w:firstLineChars="175"/>
        <w:rPr>
          <w:rFonts w:hint="default" w:ascii="仿宋_GB2312" w:hAnsi="仿宋_GB2312" w:eastAsia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十二、其他及特别内容说明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>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 xml:space="preserve"> /  。</w:t>
      </w:r>
    </w:p>
    <w:p w14:paraId="1A5EA868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 xml:space="preserve">十三、有关此次采购答疑事宜，按下列地址以书面或电话形式向采购人查询：  </w:t>
      </w:r>
    </w:p>
    <w:p w14:paraId="42F345DB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采购人：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</w:p>
    <w:p w14:paraId="6B72FD44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地址：东莞市南城区城市风景街8栋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城工集团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Cs w:val="21"/>
        </w:rPr>
        <w:t>层。</w:t>
      </w:r>
    </w:p>
    <w:p w14:paraId="7E653EB0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联系人：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黄</w:t>
      </w:r>
      <w:r>
        <w:rPr>
          <w:rFonts w:hint="eastAsia" w:ascii="仿宋_GB2312" w:hAnsi="仿宋_GB2312" w:eastAsia="仿宋_GB2312" w:cs="仿宋_GB2312"/>
          <w:kern w:val="0"/>
          <w:szCs w:val="21"/>
        </w:rPr>
        <w:t>工                   邮政编码：523000</w:t>
      </w:r>
    </w:p>
    <w:p w14:paraId="327876FD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联系方式：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15017133726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         传真：0769-39009090</w:t>
      </w:r>
    </w:p>
    <w:p w14:paraId="50E1E5CA">
      <w:pPr>
        <w:widowControl/>
        <w:snapToGrid w:val="0"/>
        <w:spacing w:line="480" w:lineRule="auto"/>
        <w:ind w:firstLine="640"/>
        <w:jc w:val="right"/>
        <w:rPr>
          <w:rFonts w:hint="eastAsia" w:ascii="仿宋_GB2312" w:hAnsi="仿宋_GB2312" w:eastAsia="仿宋_GB2312" w:cs="仿宋_GB2312"/>
          <w:kern w:val="0"/>
          <w:szCs w:val="21"/>
        </w:rPr>
      </w:pPr>
    </w:p>
    <w:p w14:paraId="13D96AD5">
      <w:pPr>
        <w:widowControl/>
        <w:snapToGrid w:val="0"/>
        <w:spacing w:line="480" w:lineRule="auto"/>
        <w:ind w:firstLine="640"/>
        <w:jc w:val="right"/>
        <w:rPr>
          <w:rFonts w:hint="eastAsia" w:ascii="仿宋_GB2312" w:hAnsi="仿宋_GB2312" w:eastAsia="仿宋_GB2312" w:cs="仿宋_GB2312"/>
          <w:kern w:val="0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</w:p>
    <w:p w14:paraId="7B28A31D"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年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月  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04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E8EEF5"/>
    <w:multiLevelType w:val="singleLevel"/>
    <w:tmpl w:val="80E8EEF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09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2026-08-04T03:39:28Z</dcterms:created>
  <dc:creator>lenovo</dc:creator>
  <cp:lastModifiedBy>黄惠东</cp:lastModifiedBy>
  <dcterms:modified xsi:type="dcterms:W3CDTF">2026-08-04T03:39:41Z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eyJoZGlkIjoiMDVhNGUzYzIxMzZiNGUwYjk4M2NhYzM1YTAzMjk5NTIiLCJ1c2VySWQiOiIxNTgyODExNDczIn0=</vt:lpwstr>
  </property>
  <property fmtid="{D5CDD505-2E9C-101B-9397-08002B2CF9AE}" pid="4" name="ICV">
    <vt:lpwstr>271247EA1818438FA9532AECED6C7EC4_12</vt:lpwstr>
  </property>
</Properties>
</file>